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155A" w:rsidRDefault="003477EB" w:rsidP="00E3155A">
      <w:pPr>
        <w:jc w:val="left"/>
        <w:rPr>
          <w:b/>
          <w:sz w:val="36"/>
          <w:szCs w:val="36"/>
        </w:rPr>
      </w:pPr>
      <w:bookmarkStart w:id="0" w:name="_GoBack"/>
      <w:bookmarkEnd w:id="0"/>
      <w:r>
        <w:rPr>
          <w:b/>
          <w:sz w:val="36"/>
          <w:szCs w:val="36"/>
        </w:rPr>
        <w:t>6</w:t>
      </w:r>
      <w:r w:rsidR="00BA62CA" w:rsidRPr="00C12C14">
        <w:rPr>
          <w:b/>
          <w:sz w:val="36"/>
          <w:szCs w:val="36"/>
        </w:rPr>
        <w:t>.</w:t>
      </w:r>
      <w:r>
        <w:rPr>
          <w:b/>
          <w:sz w:val="36"/>
          <w:szCs w:val="36"/>
        </w:rPr>
        <w:t>05</w:t>
      </w:r>
      <w:r w:rsidR="00BA62CA" w:rsidRPr="00C12C14">
        <w:rPr>
          <w:b/>
          <w:sz w:val="36"/>
          <w:szCs w:val="36"/>
        </w:rPr>
        <w:tab/>
      </w:r>
      <w:r w:rsidR="00D87E25">
        <w:rPr>
          <w:b/>
          <w:sz w:val="36"/>
          <w:szCs w:val="36"/>
        </w:rPr>
        <w:t>RANIBIZUMAB</w:t>
      </w:r>
      <w:r w:rsidR="00D87E25" w:rsidRPr="00C12C14">
        <w:rPr>
          <w:b/>
          <w:sz w:val="36"/>
          <w:szCs w:val="36"/>
        </w:rPr>
        <w:t xml:space="preserve">, </w:t>
      </w:r>
      <w:r w:rsidR="00D87E25">
        <w:rPr>
          <w:b/>
          <w:sz w:val="36"/>
          <w:szCs w:val="36"/>
        </w:rPr>
        <w:t xml:space="preserve">2.3 mg/0.23 mL, 0.23 mL vial and 1.65 mg/0.165 mL, pre-filled syringe, </w:t>
      </w:r>
    </w:p>
    <w:p w:rsidR="00081A92" w:rsidRPr="00AF57E0" w:rsidRDefault="00D87E25" w:rsidP="004F1B17">
      <w:pPr>
        <w:spacing w:after="240"/>
        <w:jc w:val="left"/>
        <w:rPr>
          <w:b/>
          <w:sz w:val="36"/>
          <w:szCs w:val="36"/>
        </w:rPr>
      </w:pPr>
      <w:r>
        <w:rPr>
          <w:b/>
          <w:sz w:val="36"/>
          <w:szCs w:val="36"/>
        </w:rPr>
        <w:t>Lucentis</w:t>
      </w:r>
      <w:r w:rsidRPr="00C12C14">
        <w:rPr>
          <w:b/>
          <w:sz w:val="36"/>
          <w:szCs w:val="36"/>
          <w:vertAlign w:val="superscript"/>
        </w:rPr>
        <w:t>®</w:t>
      </w:r>
      <w:r w:rsidRPr="00C12C14">
        <w:rPr>
          <w:b/>
          <w:sz w:val="36"/>
          <w:szCs w:val="36"/>
        </w:rPr>
        <w:t xml:space="preserve">, </w:t>
      </w:r>
      <w:r>
        <w:rPr>
          <w:b/>
          <w:sz w:val="36"/>
          <w:szCs w:val="36"/>
        </w:rPr>
        <w:t>Novartis Australia Pty Ltd</w:t>
      </w:r>
      <w:r w:rsidRPr="00C12C14">
        <w:rPr>
          <w:b/>
          <w:sz w:val="36"/>
          <w:szCs w:val="36"/>
        </w:rPr>
        <w:t>.</w:t>
      </w:r>
    </w:p>
    <w:p w:rsidR="000F1DE4" w:rsidRPr="004F1B17" w:rsidRDefault="000F1DE4" w:rsidP="004F1B17">
      <w:pPr>
        <w:pStyle w:val="PBACHeading1"/>
      </w:pPr>
      <w:bookmarkStart w:id="1" w:name="_Toc500424296"/>
      <w:bookmarkStart w:id="2" w:name="_Toc500757983"/>
      <w:bookmarkStart w:id="3" w:name="_Toc503186251"/>
      <w:bookmarkStart w:id="4" w:name="_Toc500424302"/>
      <w:bookmarkStart w:id="5" w:name="_Toc500757989"/>
      <w:r w:rsidRPr="004F1B17">
        <w:t>Purpose of application</w:t>
      </w:r>
      <w:bookmarkEnd w:id="1"/>
      <w:bookmarkEnd w:id="2"/>
      <w:bookmarkEnd w:id="3"/>
    </w:p>
    <w:p w:rsidR="000F1DE4" w:rsidRPr="00081A92" w:rsidRDefault="000F1DE4" w:rsidP="000F1DE4">
      <w:pPr>
        <w:widowControl/>
        <w:numPr>
          <w:ilvl w:val="1"/>
          <w:numId w:val="2"/>
        </w:numPr>
        <w:spacing w:after="160"/>
      </w:pPr>
      <w:r w:rsidRPr="00081A92">
        <w:t>The submission requested an extension to the current Authority required listing for ranibizumab to include the treatment of visual impairment caused by rare choroidal neovascularisation (CNV), which covers CNV secondary to conditions other than age-related macular degeneration (AMD) or pathologic myopia (PM). For convenience, CNV caused by conditions other than AMD or PM is referred to as ‘rare CNV’. This is the first request for PBAC consideration of ranibizumab for this population.</w:t>
      </w:r>
    </w:p>
    <w:p w:rsidR="000F1DE4" w:rsidRPr="00F363EE" w:rsidRDefault="000F1DE4" w:rsidP="000F1DE4">
      <w:pPr>
        <w:widowControl/>
        <w:numPr>
          <w:ilvl w:val="1"/>
          <w:numId w:val="2"/>
        </w:numPr>
        <w:spacing w:after="160"/>
      </w:pPr>
      <w:r w:rsidRPr="00F363EE">
        <w:t xml:space="preserve">A similar submission requesting extension of the current listing for ranibizumab to include </w:t>
      </w:r>
      <w:r>
        <w:t xml:space="preserve">the </w:t>
      </w:r>
      <w:r w:rsidRPr="00F363EE">
        <w:t xml:space="preserve">treatment of CNV </w:t>
      </w:r>
      <w:r>
        <w:t>secondary to</w:t>
      </w:r>
      <w:r w:rsidRPr="00F363EE">
        <w:t xml:space="preserve"> PM </w:t>
      </w:r>
      <w:r>
        <w:t>was also lodged for consideration at the March 2018 PBAC meeting.</w:t>
      </w:r>
    </w:p>
    <w:p w:rsidR="000F1DE4" w:rsidRPr="00F363EE" w:rsidRDefault="000F1DE4" w:rsidP="000F1DE4">
      <w:pPr>
        <w:widowControl/>
        <w:numPr>
          <w:ilvl w:val="1"/>
          <w:numId w:val="2"/>
        </w:numPr>
        <w:spacing w:after="120"/>
      </w:pPr>
      <w:r w:rsidRPr="00F363EE">
        <w:t xml:space="preserve">The submission was based on a cost-utility analysis of ranibizumab compared with </w:t>
      </w:r>
      <w:r>
        <w:t>sham treatment</w:t>
      </w:r>
      <w:r w:rsidRPr="00F363EE">
        <w:t xml:space="preserve"> in patients with CNV </w:t>
      </w:r>
      <w:r>
        <w:t>due to causes other than AMD or PM</w:t>
      </w:r>
      <w:r w:rsidRPr="00F363EE">
        <w:t>.</w:t>
      </w:r>
    </w:p>
    <w:p w:rsidR="000F1DE4" w:rsidRPr="00F363EE" w:rsidRDefault="000F1DE4" w:rsidP="00957DD7">
      <w:pPr>
        <w:keepNext/>
        <w:rPr>
          <w:rFonts w:ascii="Arial Narrow" w:hAnsi="Arial Narrow"/>
          <w:b/>
          <w:sz w:val="20"/>
          <w:szCs w:val="16"/>
        </w:rPr>
      </w:pPr>
      <w:r w:rsidRPr="00F363EE">
        <w:rPr>
          <w:rFonts w:ascii="Arial Narrow" w:hAnsi="Arial Narrow"/>
          <w:b/>
          <w:sz w:val="20"/>
          <w:szCs w:val="16"/>
        </w:rPr>
        <w:t>Table 1: Key components of the clinical issue addressed by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7488"/>
      </w:tblGrid>
      <w:tr w:rsidR="000F1DE4" w:rsidRPr="00A518F3" w:rsidTr="00CC134B">
        <w:tc>
          <w:tcPr>
            <w:tcW w:w="1668" w:type="dxa"/>
            <w:vAlign w:val="center"/>
          </w:tcPr>
          <w:p w:rsidR="000F1DE4" w:rsidRPr="00A518F3" w:rsidRDefault="000F1DE4" w:rsidP="00957DD7">
            <w:pPr>
              <w:pStyle w:val="Tabletext"/>
              <w:keepNext/>
              <w:rPr>
                <w:b/>
              </w:rPr>
            </w:pPr>
            <w:r w:rsidRPr="00A518F3">
              <w:rPr>
                <w:b/>
              </w:rPr>
              <w:t>Component</w:t>
            </w:r>
          </w:p>
        </w:tc>
        <w:tc>
          <w:tcPr>
            <w:tcW w:w="7488" w:type="dxa"/>
            <w:vAlign w:val="center"/>
          </w:tcPr>
          <w:p w:rsidR="000F1DE4" w:rsidRPr="00A518F3" w:rsidRDefault="000F1DE4" w:rsidP="00957DD7">
            <w:pPr>
              <w:pStyle w:val="Tabletext"/>
              <w:keepNext/>
              <w:jc w:val="center"/>
              <w:rPr>
                <w:b/>
              </w:rPr>
            </w:pPr>
            <w:r w:rsidRPr="00A518F3">
              <w:rPr>
                <w:b/>
              </w:rPr>
              <w:t>Description</w:t>
            </w:r>
          </w:p>
        </w:tc>
      </w:tr>
      <w:tr w:rsidR="000F1DE4" w:rsidTr="00CC134B">
        <w:tc>
          <w:tcPr>
            <w:tcW w:w="1668" w:type="dxa"/>
            <w:vAlign w:val="center"/>
          </w:tcPr>
          <w:p w:rsidR="000F1DE4" w:rsidRDefault="000F1DE4" w:rsidP="00957DD7">
            <w:pPr>
              <w:pStyle w:val="Tabletext"/>
              <w:keepNext/>
            </w:pPr>
            <w:r>
              <w:t>Population</w:t>
            </w:r>
          </w:p>
        </w:tc>
        <w:tc>
          <w:tcPr>
            <w:tcW w:w="7488" w:type="dxa"/>
            <w:vAlign w:val="center"/>
          </w:tcPr>
          <w:p w:rsidR="000F1DE4" w:rsidRDefault="000F1DE4" w:rsidP="00957DD7">
            <w:pPr>
              <w:pStyle w:val="Tabletext"/>
              <w:keepNext/>
            </w:pPr>
            <w:r w:rsidRPr="00D075DD">
              <w:t>Patients with visual impairment due to rare choroidal neovascularisation</w:t>
            </w:r>
            <w:r>
              <w:t xml:space="preserve"> (CNV).</w:t>
            </w:r>
            <w:r w:rsidRPr="00E73A37">
              <w:rPr>
                <w:i/>
              </w:rPr>
              <w:t xml:space="preserve"> </w:t>
            </w:r>
            <w:r w:rsidRPr="003B4B48">
              <w:t xml:space="preserve">The requested restriction is for </w:t>
            </w:r>
            <w:r w:rsidRPr="003B4B48">
              <w:rPr>
                <w:u w:val="single"/>
              </w:rPr>
              <w:t>subfoveal</w:t>
            </w:r>
            <w:r w:rsidRPr="003B4B48">
              <w:t xml:space="preserve"> CNV not due to age-related macular degeneration or pathologic myopia.</w:t>
            </w:r>
          </w:p>
        </w:tc>
      </w:tr>
      <w:tr w:rsidR="000F1DE4" w:rsidTr="00CC134B">
        <w:tc>
          <w:tcPr>
            <w:tcW w:w="1668" w:type="dxa"/>
            <w:vAlign w:val="center"/>
          </w:tcPr>
          <w:p w:rsidR="000F1DE4" w:rsidRDefault="000F1DE4" w:rsidP="00957DD7">
            <w:pPr>
              <w:pStyle w:val="Tabletext"/>
              <w:keepNext/>
            </w:pPr>
            <w:r>
              <w:t>Intervention</w:t>
            </w:r>
          </w:p>
        </w:tc>
        <w:tc>
          <w:tcPr>
            <w:tcW w:w="7488" w:type="dxa"/>
            <w:vAlign w:val="center"/>
          </w:tcPr>
          <w:p w:rsidR="000F1DE4" w:rsidRDefault="000F1DE4" w:rsidP="00957DD7">
            <w:pPr>
              <w:pStyle w:val="Tabletext"/>
              <w:keepNext/>
            </w:pPr>
            <w:r>
              <w:t>Ranibizumab solution for intravitreal injection.</w:t>
            </w:r>
          </w:p>
        </w:tc>
      </w:tr>
      <w:tr w:rsidR="000F1DE4" w:rsidTr="00CC134B">
        <w:tc>
          <w:tcPr>
            <w:tcW w:w="1668" w:type="dxa"/>
            <w:vAlign w:val="center"/>
          </w:tcPr>
          <w:p w:rsidR="000F1DE4" w:rsidRDefault="000F1DE4" w:rsidP="00957DD7">
            <w:pPr>
              <w:pStyle w:val="Tabletext"/>
              <w:keepNext/>
            </w:pPr>
            <w:r>
              <w:t>Comparator</w:t>
            </w:r>
          </w:p>
        </w:tc>
        <w:tc>
          <w:tcPr>
            <w:tcW w:w="7488" w:type="dxa"/>
            <w:vAlign w:val="center"/>
          </w:tcPr>
          <w:p w:rsidR="000F1DE4" w:rsidRDefault="00511F9D" w:rsidP="00957DD7">
            <w:pPr>
              <w:pStyle w:val="Tabletext"/>
              <w:keepNext/>
            </w:pPr>
            <w:r>
              <w:t>Sham treatment.</w:t>
            </w:r>
          </w:p>
        </w:tc>
      </w:tr>
      <w:tr w:rsidR="000F1DE4" w:rsidTr="00CC134B">
        <w:tc>
          <w:tcPr>
            <w:tcW w:w="1668" w:type="dxa"/>
            <w:vAlign w:val="center"/>
          </w:tcPr>
          <w:p w:rsidR="000F1DE4" w:rsidRDefault="000F1DE4" w:rsidP="00957DD7">
            <w:pPr>
              <w:pStyle w:val="Tabletext"/>
              <w:keepNext/>
            </w:pPr>
            <w:r>
              <w:t>Outcomes</w:t>
            </w:r>
          </w:p>
        </w:tc>
        <w:tc>
          <w:tcPr>
            <w:tcW w:w="7488" w:type="dxa"/>
            <w:vAlign w:val="center"/>
          </w:tcPr>
          <w:p w:rsidR="000F1DE4" w:rsidRDefault="000F1DE4" w:rsidP="00957DD7">
            <w:pPr>
              <w:pStyle w:val="Tabletext"/>
              <w:keepNext/>
            </w:pPr>
            <w:r>
              <w:t>Best corrected visual acuity (BCVA)</w:t>
            </w:r>
            <w:r>
              <w:rPr>
                <w:vertAlign w:val="superscript"/>
              </w:rPr>
              <w:t>a</w:t>
            </w:r>
            <w:r>
              <w:t>, quality of life, safety</w:t>
            </w:r>
            <w:r w:rsidR="00511F9D">
              <w:t>.</w:t>
            </w:r>
          </w:p>
        </w:tc>
      </w:tr>
      <w:tr w:rsidR="000F1DE4" w:rsidTr="00CC134B">
        <w:tc>
          <w:tcPr>
            <w:tcW w:w="1668" w:type="dxa"/>
            <w:vAlign w:val="center"/>
          </w:tcPr>
          <w:p w:rsidR="000F1DE4" w:rsidRDefault="000F1DE4" w:rsidP="00957DD7">
            <w:pPr>
              <w:pStyle w:val="Tabletext"/>
              <w:keepNext/>
            </w:pPr>
            <w:r>
              <w:t>Clinical claim</w:t>
            </w:r>
          </w:p>
        </w:tc>
        <w:tc>
          <w:tcPr>
            <w:tcW w:w="7488" w:type="dxa"/>
            <w:vAlign w:val="center"/>
          </w:tcPr>
          <w:p w:rsidR="000F1DE4" w:rsidRDefault="000F1DE4" w:rsidP="00957DD7">
            <w:pPr>
              <w:pStyle w:val="Tabletext"/>
              <w:keepNext/>
            </w:pPr>
            <w:r>
              <w:t>In patients with rare choroidal neovascularisation, ranibizumab is superior to sham therapy in terms of efficacy and quality of life, and is non-inferior to s</w:t>
            </w:r>
            <w:r w:rsidR="002074A0">
              <w:t>ham therapy in terms of safety.</w:t>
            </w:r>
          </w:p>
        </w:tc>
      </w:tr>
    </w:tbl>
    <w:p w:rsidR="000F1DE4" w:rsidRPr="00F920C0" w:rsidRDefault="000F1DE4" w:rsidP="000F1DE4">
      <w:pPr>
        <w:pStyle w:val="TableFooter"/>
        <w:ind w:left="142" w:hanging="142"/>
        <w:rPr>
          <w:i/>
        </w:rPr>
      </w:pPr>
      <w:r>
        <w:rPr>
          <w:vertAlign w:val="superscript"/>
        </w:rPr>
        <w:t>a</w:t>
      </w:r>
      <w:r>
        <w:t xml:space="preserve"> The primary outcome was</w:t>
      </w:r>
      <w:r w:rsidRPr="00F920C0">
        <w:t xml:space="preserve"> </w:t>
      </w:r>
      <w:r>
        <w:t xml:space="preserve">change in BCVA from baseline to </w:t>
      </w:r>
      <w:r w:rsidR="0054578F">
        <w:t xml:space="preserve">the end of </w:t>
      </w:r>
      <w:r w:rsidR="00A17F1F">
        <w:t>month 2</w:t>
      </w:r>
      <w:r>
        <w:t>.</w:t>
      </w:r>
    </w:p>
    <w:p w:rsidR="000F1DE4" w:rsidRDefault="000F1DE4" w:rsidP="00AF16CD">
      <w:pPr>
        <w:pStyle w:val="TableFooter"/>
        <w:spacing w:after="160"/>
      </w:pPr>
      <w:r>
        <w:t>Source: Table 1.1-1, p23 of the submission.</w:t>
      </w:r>
    </w:p>
    <w:p w:rsidR="000F1DE4" w:rsidRDefault="000F1DE4" w:rsidP="004F1B17">
      <w:pPr>
        <w:pStyle w:val="PBACHeading1"/>
      </w:pPr>
      <w:bookmarkStart w:id="6" w:name="_Toc500424297"/>
      <w:bookmarkStart w:id="7" w:name="_Toc500757984"/>
      <w:bookmarkStart w:id="8" w:name="_Toc503186252"/>
      <w:r w:rsidRPr="00F363EE">
        <w:t>Requested listing</w:t>
      </w:r>
      <w:bookmarkEnd w:id="6"/>
      <w:bookmarkEnd w:id="7"/>
      <w:bookmarkEnd w:id="8"/>
    </w:p>
    <w:p w:rsidR="00046851" w:rsidRDefault="00046851" w:rsidP="00046851">
      <w:pPr>
        <w:pStyle w:val="ListParagraph"/>
        <w:numPr>
          <w:ilvl w:val="1"/>
          <w:numId w:val="2"/>
        </w:numPr>
      </w:pPr>
      <w:r>
        <w:t xml:space="preserve">The submission requested an Authority Required listing for ranibizumab for the treatment of patients with subfoveal CNV due to rare causes. </w:t>
      </w:r>
    </w:p>
    <w:p w:rsidR="00046851" w:rsidRPr="00F363EE" w:rsidRDefault="00046851" w:rsidP="00046851">
      <w:pPr>
        <w:pStyle w:val="ListParagraph"/>
        <w:numPr>
          <w:ilvl w:val="1"/>
          <w:numId w:val="2"/>
        </w:numPr>
      </w:pPr>
      <w:r w:rsidRPr="002513EE">
        <w:t>Suggestions and additions proposed by the Secretariat to the requested listing are added in italics</w:t>
      </w:r>
      <w:r>
        <w:t>.</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2884"/>
        <w:gridCol w:w="1065"/>
        <w:gridCol w:w="913"/>
        <w:gridCol w:w="2433"/>
        <w:gridCol w:w="1948"/>
      </w:tblGrid>
      <w:tr w:rsidR="000F1DE4" w:rsidRPr="00AF57E0" w:rsidTr="00CC134B">
        <w:tc>
          <w:tcPr>
            <w:tcW w:w="1560" w:type="pct"/>
            <w:tcBorders>
              <w:bottom w:val="single" w:sz="4" w:space="0" w:color="auto"/>
            </w:tcBorders>
          </w:tcPr>
          <w:p w:rsidR="000F1DE4" w:rsidRPr="00AF57E0" w:rsidRDefault="000F1DE4" w:rsidP="00CC134B">
            <w:pPr>
              <w:widowControl/>
              <w:jc w:val="left"/>
              <w:rPr>
                <w:rFonts w:ascii="Arial Narrow" w:hAnsi="Arial Narrow" w:cs="Times New Roman"/>
                <w:bCs/>
                <w:snapToGrid/>
                <w:sz w:val="20"/>
              </w:rPr>
            </w:pPr>
            <w:r w:rsidRPr="00AF57E0">
              <w:rPr>
                <w:rFonts w:ascii="Arial Narrow" w:hAnsi="Arial Narrow" w:cs="Times New Roman"/>
                <w:snapToGrid/>
                <w:sz w:val="20"/>
              </w:rPr>
              <w:t>Name, restriction, manner of administration, form</w:t>
            </w:r>
          </w:p>
        </w:tc>
        <w:tc>
          <w:tcPr>
            <w:tcW w:w="576" w:type="pct"/>
            <w:tcBorders>
              <w:bottom w:val="single" w:sz="4" w:space="0" w:color="auto"/>
            </w:tcBorders>
          </w:tcPr>
          <w:p w:rsidR="000F1DE4" w:rsidRPr="00AF57E0" w:rsidRDefault="000F1DE4" w:rsidP="00CC134B">
            <w:pPr>
              <w:widowControl/>
              <w:jc w:val="center"/>
              <w:rPr>
                <w:rFonts w:ascii="Arial Narrow" w:hAnsi="Arial Narrow" w:cs="Times New Roman"/>
                <w:bCs/>
                <w:snapToGrid/>
                <w:sz w:val="20"/>
              </w:rPr>
            </w:pPr>
            <w:r w:rsidRPr="00AF57E0">
              <w:rPr>
                <w:rFonts w:ascii="Arial Narrow" w:hAnsi="Arial Narrow" w:cs="Times New Roman"/>
                <w:snapToGrid/>
                <w:sz w:val="20"/>
              </w:rPr>
              <w:t>Maximum quantity</w:t>
            </w:r>
          </w:p>
        </w:tc>
        <w:tc>
          <w:tcPr>
            <w:tcW w:w="494" w:type="pct"/>
            <w:tcBorders>
              <w:bottom w:val="single" w:sz="4" w:space="0" w:color="auto"/>
            </w:tcBorders>
          </w:tcPr>
          <w:p w:rsidR="000F1DE4" w:rsidRPr="00AF57E0" w:rsidRDefault="000F1DE4" w:rsidP="00CC134B">
            <w:pPr>
              <w:widowControl/>
              <w:jc w:val="left"/>
              <w:rPr>
                <w:rFonts w:ascii="Arial Narrow" w:hAnsi="Arial Narrow" w:cs="Times New Roman"/>
                <w:bCs/>
                <w:snapToGrid/>
                <w:sz w:val="20"/>
              </w:rPr>
            </w:pPr>
            <w:r w:rsidRPr="00AF57E0">
              <w:rPr>
                <w:rFonts w:ascii="Arial Narrow" w:hAnsi="Arial Narrow" w:cs="Times New Roman"/>
                <w:snapToGrid/>
                <w:sz w:val="20"/>
              </w:rPr>
              <w:t>No. of repeats</w:t>
            </w:r>
          </w:p>
        </w:tc>
        <w:tc>
          <w:tcPr>
            <w:tcW w:w="1316" w:type="pct"/>
            <w:tcBorders>
              <w:bottom w:val="single" w:sz="4" w:space="0" w:color="auto"/>
            </w:tcBorders>
          </w:tcPr>
          <w:p w:rsidR="000F1DE4" w:rsidRPr="00AF57E0" w:rsidRDefault="000F1DE4" w:rsidP="00CC134B">
            <w:pPr>
              <w:widowControl/>
              <w:jc w:val="left"/>
              <w:rPr>
                <w:rFonts w:ascii="Arial Narrow" w:hAnsi="Arial Narrow" w:cs="Times New Roman"/>
                <w:bCs/>
                <w:snapToGrid/>
                <w:sz w:val="20"/>
              </w:rPr>
            </w:pPr>
            <w:r w:rsidRPr="00AF57E0">
              <w:rPr>
                <w:rFonts w:ascii="Arial Narrow" w:hAnsi="Arial Narrow" w:cs="Times New Roman"/>
                <w:snapToGrid/>
                <w:sz w:val="20"/>
              </w:rPr>
              <w:t>Dispensed price for maximum quantity</w:t>
            </w:r>
          </w:p>
        </w:tc>
        <w:tc>
          <w:tcPr>
            <w:tcW w:w="1054" w:type="pct"/>
            <w:tcBorders>
              <w:bottom w:val="single" w:sz="4" w:space="0" w:color="auto"/>
            </w:tcBorders>
          </w:tcPr>
          <w:p w:rsidR="000F1DE4" w:rsidRPr="00AF57E0" w:rsidRDefault="000F1DE4" w:rsidP="00CC134B">
            <w:pPr>
              <w:widowControl/>
              <w:jc w:val="left"/>
              <w:rPr>
                <w:rFonts w:ascii="Arial Narrow" w:hAnsi="Arial Narrow" w:cs="Times New Roman"/>
                <w:bCs/>
                <w:snapToGrid/>
                <w:sz w:val="20"/>
              </w:rPr>
            </w:pPr>
            <w:r w:rsidRPr="00AF57E0">
              <w:rPr>
                <w:rFonts w:ascii="Arial Narrow" w:hAnsi="Arial Narrow" w:cs="Times New Roman"/>
                <w:snapToGrid/>
                <w:sz w:val="20"/>
              </w:rPr>
              <w:t>Proprietary name and manufacturer</w:t>
            </w:r>
          </w:p>
        </w:tc>
      </w:tr>
      <w:tr w:rsidR="000F1DE4" w:rsidRPr="00AF57E0" w:rsidTr="00CC134B">
        <w:tc>
          <w:tcPr>
            <w:tcW w:w="1560" w:type="pct"/>
            <w:tcBorders>
              <w:bottom w:val="nil"/>
            </w:tcBorders>
          </w:tcPr>
          <w:p w:rsidR="000F1DE4" w:rsidRPr="00AF57E0" w:rsidRDefault="000F1DE4" w:rsidP="00CC134B">
            <w:pPr>
              <w:widowControl/>
              <w:jc w:val="left"/>
              <w:rPr>
                <w:rFonts w:ascii="Arial Narrow" w:hAnsi="Arial Narrow" w:cs="Times New Roman"/>
                <w:smallCaps/>
                <w:snapToGrid/>
                <w:sz w:val="20"/>
              </w:rPr>
            </w:pPr>
            <w:r w:rsidRPr="00AF57E0">
              <w:rPr>
                <w:rFonts w:ascii="Arial Narrow" w:hAnsi="Arial Narrow" w:cs="Times New Roman"/>
                <w:smallCaps/>
                <w:snapToGrid/>
                <w:sz w:val="20"/>
              </w:rPr>
              <w:t>Ranibizumab</w:t>
            </w:r>
          </w:p>
          <w:p w:rsidR="000F1DE4" w:rsidRPr="00AF57E0" w:rsidRDefault="000F1DE4" w:rsidP="00CC134B">
            <w:pPr>
              <w:widowControl/>
              <w:jc w:val="left"/>
              <w:rPr>
                <w:rFonts w:ascii="Arial Narrow" w:hAnsi="Arial Narrow" w:cs="Times New Roman"/>
                <w:bCs/>
                <w:snapToGrid/>
                <w:sz w:val="20"/>
              </w:rPr>
            </w:pPr>
            <w:r w:rsidRPr="00AF57E0">
              <w:rPr>
                <w:rFonts w:ascii="Arial Narrow" w:hAnsi="Arial Narrow" w:cs="Times New Roman"/>
                <w:bCs/>
                <w:snapToGrid/>
                <w:sz w:val="20"/>
              </w:rPr>
              <w:t xml:space="preserve">1.65 mg/0.165 mL injection, </w:t>
            </w:r>
          </w:p>
          <w:p w:rsidR="000F1DE4" w:rsidRPr="00AF57E0" w:rsidRDefault="000F1DE4" w:rsidP="00CC134B">
            <w:pPr>
              <w:widowControl/>
              <w:ind w:left="142"/>
              <w:jc w:val="left"/>
              <w:rPr>
                <w:rFonts w:ascii="Arial Narrow" w:hAnsi="Arial Narrow" w:cs="Times New Roman"/>
                <w:bCs/>
                <w:snapToGrid/>
                <w:sz w:val="20"/>
              </w:rPr>
            </w:pPr>
            <w:r w:rsidRPr="00AF57E0">
              <w:rPr>
                <w:rFonts w:ascii="Arial Narrow" w:hAnsi="Arial Narrow" w:cs="Times New Roman"/>
                <w:bCs/>
                <w:snapToGrid/>
                <w:sz w:val="20"/>
              </w:rPr>
              <w:t>1 x 0.165 mL syringe</w:t>
            </w:r>
          </w:p>
        </w:tc>
        <w:tc>
          <w:tcPr>
            <w:tcW w:w="576" w:type="pct"/>
            <w:tcBorders>
              <w:bottom w:val="nil"/>
            </w:tcBorders>
          </w:tcPr>
          <w:p w:rsidR="000F1DE4" w:rsidRPr="00AF57E0" w:rsidRDefault="000F1DE4" w:rsidP="00CC134B">
            <w:pPr>
              <w:widowControl/>
              <w:jc w:val="center"/>
              <w:rPr>
                <w:rFonts w:ascii="Arial Narrow" w:hAnsi="Arial Narrow" w:cs="Times New Roman"/>
                <w:snapToGrid/>
                <w:sz w:val="20"/>
              </w:rPr>
            </w:pPr>
          </w:p>
          <w:p w:rsidR="000F1DE4" w:rsidRPr="00AF57E0" w:rsidRDefault="000F1DE4" w:rsidP="00CC134B">
            <w:pPr>
              <w:widowControl/>
              <w:jc w:val="center"/>
              <w:rPr>
                <w:rFonts w:ascii="Arial Narrow" w:hAnsi="Arial Narrow" w:cs="Times New Roman"/>
                <w:snapToGrid/>
                <w:sz w:val="20"/>
              </w:rPr>
            </w:pPr>
            <w:r w:rsidRPr="00AF57E0">
              <w:rPr>
                <w:rFonts w:ascii="Arial Narrow" w:hAnsi="Arial Narrow" w:cs="Times New Roman"/>
                <w:snapToGrid/>
                <w:sz w:val="20"/>
              </w:rPr>
              <w:t>1</w:t>
            </w:r>
          </w:p>
        </w:tc>
        <w:tc>
          <w:tcPr>
            <w:tcW w:w="494" w:type="pct"/>
            <w:tcBorders>
              <w:bottom w:val="nil"/>
            </w:tcBorders>
          </w:tcPr>
          <w:p w:rsidR="000F1DE4" w:rsidRPr="00AF57E0" w:rsidRDefault="000F1DE4" w:rsidP="00CC134B">
            <w:pPr>
              <w:widowControl/>
              <w:jc w:val="center"/>
              <w:rPr>
                <w:rFonts w:ascii="Arial Narrow" w:hAnsi="Arial Narrow" w:cs="Times New Roman"/>
                <w:snapToGrid/>
                <w:sz w:val="20"/>
              </w:rPr>
            </w:pPr>
          </w:p>
          <w:p w:rsidR="000F1DE4" w:rsidRPr="00AF57E0" w:rsidRDefault="000F1DE4" w:rsidP="00CC134B">
            <w:pPr>
              <w:widowControl/>
              <w:jc w:val="center"/>
              <w:rPr>
                <w:rFonts w:ascii="Arial Narrow" w:hAnsi="Arial Narrow" w:cs="Times New Roman"/>
                <w:snapToGrid/>
                <w:sz w:val="20"/>
              </w:rPr>
            </w:pPr>
            <w:r w:rsidRPr="00AF57E0">
              <w:rPr>
                <w:rFonts w:ascii="Arial Narrow" w:hAnsi="Arial Narrow" w:cs="Times New Roman"/>
                <w:snapToGrid/>
                <w:sz w:val="20"/>
              </w:rPr>
              <w:t>2</w:t>
            </w:r>
          </w:p>
        </w:tc>
        <w:tc>
          <w:tcPr>
            <w:tcW w:w="1316" w:type="pct"/>
            <w:tcBorders>
              <w:bottom w:val="nil"/>
            </w:tcBorders>
          </w:tcPr>
          <w:p w:rsidR="000F1DE4" w:rsidRPr="00AF57E0" w:rsidRDefault="000F1DE4" w:rsidP="00CC134B">
            <w:pPr>
              <w:widowControl/>
              <w:jc w:val="left"/>
              <w:rPr>
                <w:rFonts w:ascii="Arial Narrow" w:hAnsi="Arial Narrow" w:cs="Times New Roman"/>
                <w:snapToGrid/>
                <w:sz w:val="20"/>
              </w:rPr>
            </w:pPr>
          </w:p>
          <w:p w:rsidR="000F1DE4" w:rsidRPr="00AF57E0" w:rsidRDefault="000F1DE4" w:rsidP="00CC134B">
            <w:pPr>
              <w:widowControl/>
              <w:jc w:val="left"/>
              <w:rPr>
                <w:rFonts w:ascii="Arial Narrow" w:hAnsi="Arial Narrow" w:cs="Times New Roman"/>
                <w:snapToGrid/>
                <w:sz w:val="20"/>
              </w:rPr>
            </w:pPr>
            <w:r w:rsidRPr="00AF57E0">
              <w:rPr>
                <w:rFonts w:ascii="Arial Narrow" w:hAnsi="Arial Narrow" w:cs="Times New Roman"/>
                <w:snapToGrid/>
                <w:sz w:val="20"/>
              </w:rPr>
              <w:t>$1,149.44 (published price)</w:t>
            </w:r>
          </w:p>
          <w:p w:rsidR="000F1DE4" w:rsidRPr="00AF57E0" w:rsidRDefault="000F1DE4" w:rsidP="00CC134B">
            <w:pPr>
              <w:widowControl/>
              <w:jc w:val="left"/>
              <w:rPr>
                <w:rFonts w:ascii="Arial Narrow" w:hAnsi="Arial Narrow" w:cs="Times New Roman"/>
                <w:snapToGrid/>
                <w:sz w:val="20"/>
              </w:rPr>
            </w:pPr>
            <w:r w:rsidRPr="00AF57E0">
              <w:rPr>
                <w:rFonts w:ascii="Arial Narrow" w:hAnsi="Arial Narrow" w:cs="Times New Roman"/>
                <w:snapToGrid/>
                <w:sz w:val="20"/>
              </w:rPr>
              <w:t>$</w:t>
            </w:r>
            <w:r w:rsidR="004C5EA1">
              <w:rPr>
                <w:rFonts w:ascii="Arial Narrow" w:hAnsi="Arial Narrow" w:cs="Times New Roman"/>
                <w:noProof/>
                <w:snapToGrid/>
                <w:color w:val="000000"/>
                <w:sz w:val="20"/>
                <w:highlight w:val="black"/>
              </w:rPr>
              <w:t>'''''''''''''''''</w:t>
            </w:r>
            <w:r w:rsidRPr="00AF57E0">
              <w:rPr>
                <w:rFonts w:ascii="Arial Narrow" w:hAnsi="Arial Narrow" w:cs="Times New Roman"/>
                <w:snapToGrid/>
                <w:sz w:val="20"/>
                <w:vertAlign w:val="superscript"/>
              </w:rPr>
              <w:t>a</w:t>
            </w:r>
            <w:r w:rsidRPr="00AF57E0">
              <w:rPr>
                <w:rFonts w:ascii="Arial Narrow" w:hAnsi="Arial Narrow" w:cs="Times New Roman"/>
                <w:snapToGrid/>
                <w:sz w:val="20"/>
              </w:rPr>
              <w:t xml:space="preserve"> (effective price)</w:t>
            </w:r>
          </w:p>
        </w:tc>
        <w:tc>
          <w:tcPr>
            <w:tcW w:w="1054" w:type="pct"/>
            <w:tcBorders>
              <w:bottom w:val="nil"/>
            </w:tcBorders>
          </w:tcPr>
          <w:p w:rsidR="000F1DE4" w:rsidRPr="00AF57E0" w:rsidRDefault="000F1DE4" w:rsidP="00CC134B">
            <w:pPr>
              <w:widowControl/>
              <w:jc w:val="left"/>
              <w:rPr>
                <w:rFonts w:ascii="Arial Narrow" w:hAnsi="Arial Narrow" w:cs="Times New Roman"/>
                <w:snapToGrid/>
                <w:sz w:val="20"/>
                <w:vertAlign w:val="superscript"/>
              </w:rPr>
            </w:pPr>
            <w:r w:rsidRPr="00AF57E0">
              <w:rPr>
                <w:rFonts w:ascii="Arial Narrow" w:hAnsi="Arial Narrow" w:cs="Times New Roman"/>
                <w:snapToGrid/>
                <w:sz w:val="20"/>
              </w:rPr>
              <w:t>Lucentis</w:t>
            </w:r>
            <w:r w:rsidRPr="00AF57E0">
              <w:rPr>
                <w:rFonts w:ascii="Arial Narrow" w:hAnsi="Arial Narrow" w:cs="Times New Roman"/>
                <w:snapToGrid/>
                <w:sz w:val="20"/>
                <w:vertAlign w:val="superscript"/>
              </w:rPr>
              <w:t>®</w:t>
            </w:r>
          </w:p>
          <w:p w:rsidR="000F1DE4" w:rsidRPr="00AF57E0" w:rsidRDefault="000F1DE4" w:rsidP="00CC134B">
            <w:pPr>
              <w:widowControl/>
              <w:jc w:val="left"/>
              <w:rPr>
                <w:rFonts w:ascii="Arial Narrow" w:hAnsi="Arial Narrow" w:cs="Times New Roman"/>
                <w:snapToGrid/>
                <w:sz w:val="20"/>
              </w:rPr>
            </w:pPr>
          </w:p>
          <w:p w:rsidR="000F1DE4" w:rsidRPr="00AF57E0" w:rsidRDefault="000F1DE4" w:rsidP="00CC134B">
            <w:pPr>
              <w:widowControl/>
              <w:jc w:val="left"/>
              <w:rPr>
                <w:rFonts w:ascii="Arial Narrow" w:hAnsi="Arial Narrow" w:cs="Times New Roman"/>
                <w:snapToGrid/>
                <w:sz w:val="20"/>
                <w:vertAlign w:val="superscript"/>
              </w:rPr>
            </w:pPr>
            <w:r w:rsidRPr="00AF57E0">
              <w:rPr>
                <w:rFonts w:ascii="Arial Narrow" w:hAnsi="Arial Narrow" w:cs="Times New Roman"/>
                <w:snapToGrid/>
                <w:sz w:val="20"/>
              </w:rPr>
              <w:t>Novartis Australia Pty. Ltd.</w:t>
            </w:r>
          </w:p>
        </w:tc>
      </w:tr>
      <w:tr w:rsidR="000F1DE4" w:rsidRPr="00AF57E0" w:rsidTr="00CC134B">
        <w:tc>
          <w:tcPr>
            <w:tcW w:w="1560" w:type="pct"/>
            <w:tcBorders>
              <w:top w:val="nil"/>
            </w:tcBorders>
          </w:tcPr>
          <w:p w:rsidR="000F1DE4" w:rsidRPr="00AF57E0" w:rsidRDefault="000F1DE4" w:rsidP="00CC134B">
            <w:pPr>
              <w:widowControl/>
              <w:jc w:val="left"/>
              <w:rPr>
                <w:rFonts w:ascii="Arial Narrow" w:hAnsi="Arial Narrow" w:cs="Times New Roman"/>
                <w:snapToGrid/>
                <w:sz w:val="20"/>
              </w:rPr>
            </w:pPr>
            <w:r w:rsidRPr="00AF57E0">
              <w:rPr>
                <w:rFonts w:ascii="Arial Narrow" w:hAnsi="Arial Narrow" w:cs="Times New Roman"/>
                <w:snapToGrid/>
                <w:sz w:val="20"/>
              </w:rPr>
              <w:t xml:space="preserve">2.3 mg/0.23 mL injection, </w:t>
            </w:r>
          </w:p>
          <w:p w:rsidR="000F1DE4" w:rsidRPr="00AF57E0" w:rsidRDefault="000F1DE4" w:rsidP="00CC134B">
            <w:pPr>
              <w:widowControl/>
              <w:ind w:left="142"/>
              <w:jc w:val="left"/>
              <w:rPr>
                <w:rFonts w:ascii="Arial Narrow" w:hAnsi="Arial Narrow" w:cs="Times New Roman"/>
                <w:smallCaps/>
                <w:snapToGrid/>
                <w:sz w:val="20"/>
              </w:rPr>
            </w:pPr>
            <w:r w:rsidRPr="00AF57E0">
              <w:rPr>
                <w:rFonts w:ascii="Arial Narrow" w:hAnsi="Arial Narrow" w:cs="Times New Roman"/>
                <w:snapToGrid/>
                <w:sz w:val="20"/>
              </w:rPr>
              <w:t>1 x 0.23 mL vial</w:t>
            </w:r>
          </w:p>
        </w:tc>
        <w:tc>
          <w:tcPr>
            <w:tcW w:w="576" w:type="pct"/>
            <w:tcBorders>
              <w:top w:val="nil"/>
            </w:tcBorders>
          </w:tcPr>
          <w:p w:rsidR="000F1DE4" w:rsidRPr="00AF57E0" w:rsidRDefault="000F1DE4" w:rsidP="00CC134B">
            <w:pPr>
              <w:widowControl/>
              <w:jc w:val="center"/>
              <w:rPr>
                <w:rFonts w:ascii="Arial Narrow" w:hAnsi="Arial Narrow" w:cs="Times New Roman"/>
                <w:snapToGrid/>
                <w:sz w:val="20"/>
              </w:rPr>
            </w:pPr>
            <w:r w:rsidRPr="00AF57E0">
              <w:rPr>
                <w:rFonts w:ascii="Arial Narrow" w:hAnsi="Arial Narrow" w:cs="Times New Roman"/>
                <w:snapToGrid/>
                <w:sz w:val="20"/>
              </w:rPr>
              <w:t>1</w:t>
            </w:r>
          </w:p>
        </w:tc>
        <w:tc>
          <w:tcPr>
            <w:tcW w:w="494" w:type="pct"/>
            <w:tcBorders>
              <w:top w:val="nil"/>
            </w:tcBorders>
          </w:tcPr>
          <w:p w:rsidR="000F1DE4" w:rsidRPr="00AF57E0" w:rsidRDefault="000F1DE4" w:rsidP="00CC134B">
            <w:pPr>
              <w:widowControl/>
              <w:jc w:val="center"/>
              <w:rPr>
                <w:rFonts w:ascii="Arial Narrow" w:hAnsi="Arial Narrow" w:cs="Times New Roman"/>
                <w:snapToGrid/>
                <w:sz w:val="20"/>
              </w:rPr>
            </w:pPr>
            <w:r w:rsidRPr="00AF57E0">
              <w:rPr>
                <w:rFonts w:ascii="Arial Narrow" w:hAnsi="Arial Narrow" w:cs="Times New Roman"/>
                <w:snapToGrid/>
                <w:sz w:val="20"/>
              </w:rPr>
              <w:t>2</w:t>
            </w:r>
          </w:p>
        </w:tc>
        <w:tc>
          <w:tcPr>
            <w:tcW w:w="1316" w:type="pct"/>
            <w:tcBorders>
              <w:top w:val="nil"/>
            </w:tcBorders>
          </w:tcPr>
          <w:p w:rsidR="000F1DE4" w:rsidRPr="00AF57E0" w:rsidRDefault="000F1DE4" w:rsidP="00CC134B">
            <w:pPr>
              <w:widowControl/>
              <w:jc w:val="left"/>
              <w:rPr>
                <w:rFonts w:ascii="Arial Narrow" w:hAnsi="Arial Narrow" w:cs="Times New Roman"/>
                <w:snapToGrid/>
                <w:sz w:val="20"/>
              </w:rPr>
            </w:pPr>
            <w:r w:rsidRPr="00AF57E0">
              <w:rPr>
                <w:rFonts w:ascii="Arial Narrow" w:hAnsi="Arial Narrow" w:cs="Times New Roman"/>
                <w:snapToGrid/>
                <w:sz w:val="20"/>
              </w:rPr>
              <w:t>$1,149.44 (published price)</w:t>
            </w:r>
          </w:p>
          <w:p w:rsidR="000F1DE4" w:rsidRPr="00AF57E0" w:rsidRDefault="000F1DE4" w:rsidP="00CC134B">
            <w:pPr>
              <w:widowControl/>
              <w:jc w:val="left"/>
              <w:rPr>
                <w:rFonts w:ascii="Arial Narrow" w:hAnsi="Arial Narrow" w:cs="Times New Roman"/>
                <w:snapToGrid/>
                <w:sz w:val="20"/>
              </w:rPr>
            </w:pPr>
            <w:r w:rsidRPr="00AF57E0">
              <w:rPr>
                <w:rFonts w:ascii="Arial Narrow" w:hAnsi="Arial Narrow" w:cs="Times New Roman"/>
                <w:snapToGrid/>
                <w:sz w:val="20"/>
              </w:rPr>
              <w:t>$</w:t>
            </w:r>
            <w:r w:rsidR="004C5EA1">
              <w:rPr>
                <w:rFonts w:ascii="Arial Narrow" w:hAnsi="Arial Narrow" w:cs="Times New Roman"/>
                <w:noProof/>
                <w:snapToGrid/>
                <w:color w:val="000000"/>
                <w:sz w:val="20"/>
                <w:highlight w:val="black"/>
              </w:rPr>
              <w:t>''''''''''''''''</w:t>
            </w:r>
            <w:r w:rsidRPr="00AF57E0">
              <w:rPr>
                <w:rFonts w:ascii="Arial Narrow" w:hAnsi="Arial Narrow" w:cs="Times New Roman"/>
                <w:snapToGrid/>
                <w:sz w:val="20"/>
                <w:vertAlign w:val="superscript"/>
              </w:rPr>
              <w:t>a</w:t>
            </w:r>
            <w:r w:rsidRPr="00AF57E0">
              <w:rPr>
                <w:rFonts w:ascii="Arial Narrow" w:hAnsi="Arial Narrow" w:cs="Times New Roman"/>
                <w:snapToGrid/>
                <w:sz w:val="20"/>
              </w:rPr>
              <w:t xml:space="preserve"> (effective price) </w:t>
            </w:r>
          </w:p>
        </w:tc>
        <w:tc>
          <w:tcPr>
            <w:tcW w:w="1054" w:type="pct"/>
            <w:tcBorders>
              <w:top w:val="nil"/>
            </w:tcBorders>
          </w:tcPr>
          <w:p w:rsidR="000F1DE4" w:rsidRPr="00AF57E0" w:rsidRDefault="000F1DE4" w:rsidP="00CC134B">
            <w:pPr>
              <w:widowControl/>
              <w:jc w:val="left"/>
              <w:rPr>
                <w:rFonts w:ascii="Arial Narrow" w:hAnsi="Arial Narrow" w:cs="Times New Roman"/>
                <w:snapToGrid/>
                <w:sz w:val="20"/>
              </w:rPr>
            </w:pPr>
          </w:p>
        </w:tc>
      </w:tr>
    </w:tbl>
    <w:p w:rsidR="000F1DE4" w:rsidRDefault="000F1DE4" w:rsidP="000F1DE4">
      <w:pPr>
        <w:spacing w:after="40"/>
        <w:ind w:left="142" w:hanging="142"/>
        <w:rPr>
          <w:rFonts w:ascii="Arial Narrow" w:hAnsi="Arial Narrow"/>
          <w:sz w:val="18"/>
        </w:rPr>
      </w:pPr>
      <w:r w:rsidRPr="00F363EE">
        <w:rPr>
          <w:rFonts w:ascii="Arial Narrow" w:hAnsi="Arial Narrow"/>
          <w:sz w:val="18"/>
          <w:vertAlign w:val="superscript"/>
        </w:rPr>
        <w:t>a</w:t>
      </w:r>
      <w:r w:rsidRPr="00F363EE">
        <w:rPr>
          <w:rFonts w:ascii="Arial Narrow" w:hAnsi="Arial Narrow"/>
          <w:sz w:val="18"/>
        </w:rPr>
        <w:t xml:space="preserve"> Based on the effective dispense</w:t>
      </w:r>
      <w:r w:rsidR="005777DA">
        <w:rPr>
          <w:rFonts w:ascii="Arial Narrow" w:hAnsi="Arial Narrow"/>
          <w:sz w:val="18"/>
        </w:rPr>
        <w:t>d price for maximum quantity for</w:t>
      </w:r>
      <w:r w:rsidRPr="00F363EE">
        <w:rPr>
          <w:rFonts w:ascii="Arial Narrow" w:hAnsi="Arial Narrow"/>
          <w:sz w:val="18"/>
        </w:rPr>
        <w:t xml:space="preserve"> ranibizumab for CNV due to age-related macular degeneration, as of 1 January 2018.</w:t>
      </w:r>
    </w:p>
    <w:tbl>
      <w:tblPr>
        <w:tblW w:w="5000" w:type="pct"/>
        <w:tblLook w:val="0000" w:firstRow="0" w:lastRow="0" w:firstColumn="0" w:lastColumn="0" w:noHBand="0" w:noVBand="0"/>
      </w:tblPr>
      <w:tblGrid>
        <w:gridCol w:w="2843"/>
        <w:gridCol w:w="6400"/>
      </w:tblGrid>
      <w:tr w:rsidR="00046851" w:rsidRPr="004F1B17" w:rsidTr="00046851">
        <w:trPr>
          <w:trHeight w:val="360"/>
        </w:trPr>
        <w:tc>
          <w:tcPr>
            <w:tcW w:w="1538" w:type="pct"/>
            <w:tcBorders>
              <w:top w:val="single" w:sz="4" w:space="0" w:color="auto"/>
              <w:left w:val="single" w:sz="4" w:space="0" w:color="auto"/>
              <w:bottom w:val="single" w:sz="4" w:space="0" w:color="auto"/>
              <w:right w:val="single" w:sz="4" w:space="0" w:color="auto"/>
            </w:tcBorders>
          </w:tcPr>
          <w:p w:rsidR="00046851" w:rsidRPr="004F1B17" w:rsidRDefault="00046851" w:rsidP="00046851">
            <w:pPr>
              <w:rPr>
                <w:rFonts w:ascii="Arial Narrow" w:hAnsi="Arial Narrow"/>
                <w:b/>
                <w:snapToGrid/>
                <w:sz w:val="20"/>
                <w:szCs w:val="20"/>
                <w:lang w:eastAsia="en-AU"/>
              </w:rPr>
            </w:pPr>
            <w:r w:rsidRPr="004F1B17">
              <w:rPr>
                <w:rFonts w:ascii="Arial Narrow" w:hAnsi="Arial Narrow"/>
                <w:b/>
                <w:snapToGrid/>
                <w:sz w:val="20"/>
                <w:szCs w:val="20"/>
                <w:lang w:eastAsia="en-AU"/>
              </w:rPr>
              <w:lastRenderedPageBreak/>
              <w:t xml:space="preserve">Category / </w:t>
            </w:r>
          </w:p>
          <w:p w:rsidR="00046851" w:rsidRPr="004F1B17" w:rsidRDefault="00046851" w:rsidP="00046851">
            <w:pPr>
              <w:rPr>
                <w:rFonts w:ascii="Arial Narrow" w:hAnsi="Arial Narrow"/>
                <w:b/>
                <w:snapToGrid/>
                <w:sz w:val="20"/>
                <w:szCs w:val="20"/>
                <w:lang w:eastAsia="en-AU"/>
              </w:rPr>
            </w:pPr>
            <w:r w:rsidRPr="004F1B17">
              <w:rPr>
                <w:rFonts w:ascii="Arial Narrow" w:hAnsi="Arial Narrow"/>
                <w:b/>
                <w:snapToGrid/>
                <w:sz w:val="20"/>
                <w:szCs w:val="20"/>
                <w:lang w:eastAsia="en-AU"/>
              </w:rPr>
              <w:t>Program</w:t>
            </w:r>
          </w:p>
        </w:tc>
        <w:tc>
          <w:tcPr>
            <w:tcW w:w="3462" w:type="pct"/>
            <w:tcBorders>
              <w:top w:val="single" w:sz="4" w:space="0" w:color="auto"/>
              <w:left w:val="single" w:sz="4" w:space="0" w:color="auto"/>
              <w:bottom w:val="single" w:sz="4" w:space="0" w:color="auto"/>
              <w:right w:val="single" w:sz="4" w:space="0" w:color="auto"/>
            </w:tcBorders>
          </w:tcPr>
          <w:p w:rsidR="00046851" w:rsidRPr="004F1B17" w:rsidRDefault="00046851" w:rsidP="00046851">
            <w:pPr>
              <w:jc w:val="left"/>
              <w:rPr>
                <w:rFonts w:ascii="Arial Narrow" w:hAnsi="Arial Narrow"/>
                <w:snapToGrid/>
                <w:sz w:val="20"/>
                <w:szCs w:val="20"/>
                <w:lang w:eastAsia="en-AU"/>
              </w:rPr>
            </w:pPr>
            <w:r w:rsidRPr="004F1B17">
              <w:rPr>
                <w:rFonts w:ascii="Arial Narrow" w:hAnsi="Arial Narrow"/>
                <w:snapToGrid/>
                <w:sz w:val="20"/>
                <w:szCs w:val="20"/>
                <w:lang w:eastAsia="en-AU"/>
              </w:rPr>
              <w:t>GENERAL – General Schedule (Code GE)</w:t>
            </w:r>
          </w:p>
          <w:p w:rsidR="00046851" w:rsidRPr="004F1B17" w:rsidRDefault="00046851" w:rsidP="00046851">
            <w:pPr>
              <w:jc w:val="left"/>
              <w:rPr>
                <w:rFonts w:ascii="Arial Narrow" w:hAnsi="Arial Narrow"/>
                <w:snapToGrid/>
                <w:sz w:val="20"/>
                <w:szCs w:val="20"/>
                <w:lang w:eastAsia="en-AU"/>
              </w:rPr>
            </w:pPr>
          </w:p>
        </w:tc>
      </w:tr>
      <w:tr w:rsidR="00046851" w:rsidRPr="004F1B17" w:rsidTr="00046851">
        <w:trPr>
          <w:trHeight w:val="360"/>
        </w:trPr>
        <w:tc>
          <w:tcPr>
            <w:tcW w:w="1538" w:type="pct"/>
            <w:tcBorders>
              <w:top w:val="single" w:sz="4" w:space="0" w:color="auto"/>
              <w:left w:val="single" w:sz="4" w:space="0" w:color="auto"/>
              <w:bottom w:val="single" w:sz="4" w:space="0" w:color="auto"/>
              <w:right w:val="single" w:sz="4" w:space="0" w:color="auto"/>
            </w:tcBorders>
          </w:tcPr>
          <w:p w:rsidR="00046851" w:rsidRPr="004F1B17" w:rsidRDefault="00046851" w:rsidP="00046851">
            <w:pPr>
              <w:rPr>
                <w:rFonts w:ascii="Arial Narrow" w:hAnsi="Arial Narrow"/>
                <w:b/>
                <w:snapToGrid/>
                <w:sz w:val="20"/>
                <w:szCs w:val="20"/>
                <w:lang w:eastAsia="en-AU"/>
              </w:rPr>
            </w:pPr>
            <w:r w:rsidRPr="004F1B17">
              <w:rPr>
                <w:rFonts w:ascii="Arial Narrow" w:hAnsi="Arial Narrow"/>
                <w:b/>
                <w:snapToGrid/>
                <w:sz w:val="20"/>
                <w:szCs w:val="20"/>
                <w:lang w:eastAsia="en-AU"/>
              </w:rPr>
              <w:t>Prescriber type:</w:t>
            </w:r>
          </w:p>
          <w:p w:rsidR="00046851" w:rsidRPr="004F1B17" w:rsidRDefault="00046851" w:rsidP="00046851">
            <w:pPr>
              <w:rPr>
                <w:rFonts w:ascii="Arial Narrow" w:hAnsi="Arial Narrow"/>
                <w:b/>
                <w:snapToGrid/>
                <w:sz w:val="20"/>
                <w:szCs w:val="20"/>
                <w:lang w:eastAsia="en-AU"/>
              </w:rPr>
            </w:pPr>
          </w:p>
        </w:tc>
        <w:tc>
          <w:tcPr>
            <w:tcW w:w="3462" w:type="pct"/>
            <w:tcBorders>
              <w:top w:val="single" w:sz="4" w:space="0" w:color="auto"/>
              <w:left w:val="single" w:sz="4" w:space="0" w:color="auto"/>
              <w:bottom w:val="single" w:sz="4" w:space="0" w:color="auto"/>
              <w:right w:val="single" w:sz="4" w:space="0" w:color="auto"/>
            </w:tcBorders>
          </w:tcPr>
          <w:p w:rsidR="00046851" w:rsidRPr="004F1B17" w:rsidRDefault="00046851" w:rsidP="00046851">
            <w:pPr>
              <w:jc w:val="left"/>
              <w:rPr>
                <w:rFonts w:ascii="Arial Narrow" w:hAnsi="Arial Narrow"/>
                <w:snapToGrid/>
                <w:sz w:val="20"/>
                <w:szCs w:val="20"/>
                <w:lang w:eastAsia="en-AU"/>
              </w:rPr>
            </w:pPr>
            <w:r w:rsidRPr="004F1B17">
              <w:rPr>
                <w:rFonts w:ascii="Arial Narrow" w:hAnsi="Arial Narrow"/>
                <w:snapToGrid/>
                <w:sz w:val="20"/>
                <w:szCs w:val="20"/>
                <w:lang w:eastAsia="en-AU"/>
              </w:rPr>
              <w:fldChar w:fldCharType="begin">
                <w:ffData>
                  <w:name w:val="Check1"/>
                  <w:enabled/>
                  <w:calcOnExit w:val="0"/>
                  <w:checkBox>
                    <w:sizeAuto/>
                    <w:default w:val="0"/>
                  </w:checkBox>
                </w:ffData>
              </w:fldChar>
            </w:r>
            <w:r w:rsidRPr="004F1B17">
              <w:rPr>
                <w:rFonts w:ascii="Arial Narrow" w:hAnsi="Arial Narrow"/>
                <w:snapToGrid/>
                <w:sz w:val="20"/>
                <w:szCs w:val="20"/>
                <w:lang w:eastAsia="en-AU"/>
              </w:rPr>
              <w:instrText xml:space="preserve"> FORMCHECKBOX </w:instrText>
            </w:r>
            <w:r w:rsidR="00D20955">
              <w:rPr>
                <w:rFonts w:ascii="Arial Narrow" w:hAnsi="Arial Narrow"/>
                <w:snapToGrid/>
                <w:sz w:val="20"/>
                <w:szCs w:val="20"/>
                <w:lang w:eastAsia="en-AU"/>
              </w:rPr>
            </w:r>
            <w:r w:rsidR="00D20955">
              <w:rPr>
                <w:rFonts w:ascii="Arial Narrow" w:hAnsi="Arial Narrow"/>
                <w:snapToGrid/>
                <w:sz w:val="20"/>
                <w:szCs w:val="20"/>
                <w:lang w:eastAsia="en-AU"/>
              </w:rPr>
              <w:fldChar w:fldCharType="separate"/>
            </w:r>
            <w:r w:rsidRPr="004F1B17">
              <w:rPr>
                <w:rFonts w:ascii="Arial Narrow" w:hAnsi="Arial Narrow"/>
                <w:snapToGrid/>
                <w:sz w:val="20"/>
                <w:szCs w:val="20"/>
                <w:lang w:eastAsia="en-AU"/>
              </w:rPr>
              <w:fldChar w:fldCharType="end"/>
            </w:r>
            <w:r w:rsidRPr="004F1B17">
              <w:rPr>
                <w:rFonts w:ascii="Arial Narrow" w:hAnsi="Arial Narrow"/>
                <w:snapToGrid/>
                <w:sz w:val="20"/>
                <w:szCs w:val="20"/>
                <w:lang w:eastAsia="en-AU"/>
              </w:rPr>
              <w:t xml:space="preserve">Dental  </w:t>
            </w:r>
            <w:r w:rsidRPr="004F1B17">
              <w:rPr>
                <w:rFonts w:ascii="Arial Narrow" w:hAnsi="Arial Narrow"/>
                <w:snapToGrid/>
                <w:sz w:val="20"/>
                <w:szCs w:val="20"/>
                <w:lang w:eastAsia="en-AU"/>
              </w:rPr>
              <w:fldChar w:fldCharType="begin">
                <w:ffData>
                  <w:name w:val=""/>
                  <w:enabled/>
                  <w:calcOnExit w:val="0"/>
                  <w:checkBox>
                    <w:sizeAuto/>
                    <w:default w:val="1"/>
                  </w:checkBox>
                </w:ffData>
              </w:fldChar>
            </w:r>
            <w:r w:rsidRPr="004F1B17">
              <w:rPr>
                <w:rFonts w:ascii="Arial Narrow" w:hAnsi="Arial Narrow"/>
                <w:snapToGrid/>
                <w:sz w:val="20"/>
                <w:szCs w:val="20"/>
                <w:lang w:eastAsia="en-AU"/>
              </w:rPr>
              <w:instrText xml:space="preserve"> FORMCHECKBOX </w:instrText>
            </w:r>
            <w:r w:rsidR="00D20955">
              <w:rPr>
                <w:rFonts w:ascii="Arial Narrow" w:hAnsi="Arial Narrow"/>
                <w:snapToGrid/>
                <w:sz w:val="20"/>
                <w:szCs w:val="20"/>
                <w:lang w:eastAsia="en-AU"/>
              </w:rPr>
            </w:r>
            <w:r w:rsidR="00D20955">
              <w:rPr>
                <w:rFonts w:ascii="Arial Narrow" w:hAnsi="Arial Narrow"/>
                <w:snapToGrid/>
                <w:sz w:val="20"/>
                <w:szCs w:val="20"/>
                <w:lang w:eastAsia="en-AU"/>
              </w:rPr>
              <w:fldChar w:fldCharType="separate"/>
            </w:r>
            <w:r w:rsidRPr="004F1B17">
              <w:rPr>
                <w:rFonts w:ascii="Arial Narrow" w:hAnsi="Arial Narrow"/>
                <w:snapToGrid/>
                <w:sz w:val="20"/>
                <w:szCs w:val="20"/>
                <w:lang w:eastAsia="en-AU"/>
              </w:rPr>
              <w:fldChar w:fldCharType="end"/>
            </w:r>
            <w:r w:rsidRPr="004F1B17">
              <w:rPr>
                <w:rFonts w:ascii="Arial Narrow" w:hAnsi="Arial Narrow"/>
                <w:snapToGrid/>
                <w:sz w:val="20"/>
                <w:szCs w:val="20"/>
                <w:lang w:eastAsia="en-AU"/>
              </w:rPr>
              <w:t xml:space="preserve">Medical Practitioners  </w:t>
            </w:r>
            <w:r w:rsidRPr="004F1B17">
              <w:rPr>
                <w:rFonts w:ascii="Arial Narrow" w:hAnsi="Arial Narrow"/>
                <w:snapToGrid/>
                <w:sz w:val="20"/>
                <w:szCs w:val="20"/>
                <w:lang w:eastAsia="en-AU"/>
              </w:rPr>
              <w:fldChar w:fldCharType="begin">
                <w:ffData>
                  <w:name w:val="Check3"/>
                  <w:enabled/>
                  <w:calcOnExit w:val="0"/>
                  <w:checkBox>
                    <w:sizeAuto/>
                    <w:default w:val="0"/>
                  </w:checkBox>
                </w:ffData>
              </w:fldChar>
            </w:r>
            <w:r w:rsidRPr="004F1B17">
              <w:rPr>
                <w:rFonts w:ascii="Arial Narrow" w:hAnsi="Arial Narrow"/>
                <w:snapToGrid/>
                <w:sz w:val="20"/>
                <w:szCs w:val="20"/>
                <w:lang w:eastAsia="en-AU"/>
              </w:rPr>
              <w:instrText xml:space="preserve"> FORMCHECKBOX </w:instrText>
            </w:r>
            <w:r w:rsidR="00D20955">
              <w:rPr>
                <w:rFonts w:ascii="Arial Narrow" w:hAnsi="Arial Narrow"/>
                <w:snapToGrid/>
                <w:sz w:val="20"/>
                <w:szCs w:val="20"/>
                <w:lang w:eastAsia="en-AU"/>
              </w:rPr>
            </w:r>
            <w:r w:rsidR="00D20955">
              <w:rPr>
                <w:rFonts w:ascii="Arial Narrow" w:hAnsi="Arial Narrow"/>
                <w:snapToGrid/>
                <w:sz w:val="20"/>
                <w:szCs w:val="20"/>
                <w:lang w:eastAsia="en-AU"/>
              </w:rPr>
              <w:fldChar w:fldCharType="separate"/>
            </w:r>
            <w:r w:rsidRPr="004F1B17">
              <w:rPr>
                <w:rFonts w:ascii="Arial Narrow" w:hAnsi="Arial Narrow"/>
                <w:snapToGrid/>
                <w:sz w:val="20"/>
                <w:szCs w:val="20"/>
                <w:lang w:eastAsia="en-AU"/>
              </w:rPr>
              <w:fldChar w:fldCharType="end"/>
            </w:r>
            <w:r w:rsidRPr="004F1B17">
              <w:rPr>
                <w:rFonts w:ascii="Arial Narrow" w:hAnsi="Arial Narrow"/>
                <w:snapToGrid/>
                <w:sz w:val="20"/>
                <w:szCs w:val="20"/>
                <w:lang w:eastAsia="en-AU"/>
              </w:rPr>
              <w:t xml:space="preserve">Nurse practitioners  </w:t>
            </w:r>
            <w:r w:rsidRPr="004F1B17">
              <w:rPr>
                <w:rFonts w:ascii="Arial Narrow" w:hAnsi="Arial Narrow"/>
                <w:snapToGrid/>
                <w:sz w:val="20"/>
                <w:szCs w:val="20"/>
                <w:lang w:eastAsia="en-AU"/>
              </w:rPr>
              <w:fldChar w:fldCharType="begin">
                <w:ffData>
                  <w:name w:val=""/>
                  <w:enabled/>
                  <w:calcOnExit w:val="0"/>
                  <w:checkBox>
                    <w:sizeAuto/>
                    <w:default w:val="0"/>
                  </w:checkBox>
                </w:ffData>
              </w:fldChar>
            </w:r>
            <w:r w:rsidRPr="004F1B17">
              <w:rPr>
                <w:rFonts w:ascii="Arial Narrow" w:hAnsi="Arial Narrow"/>
                <w:snapToGrid/>
                <w:sz w:val="20"/>
                <w:szCs w:val="20"/>
                <w:lang w:eastAsia="en-AU"/>
              </w:rPr>
              <w:instrText xml:space="preserve"> FORMCHECKBOX </w:instrText>
            </w:r>
            <w:r w:rsidR="00D20955">
              <w:rPr>
                <w:rFonts w:ascii="Arial Narrow" w:hAnsi="Arial Narrow"/>
                <w:snapToGrid/>
                <w:sz w:val="20"/>
                <w:szCs w:val="20"/>
                <w:lang w:eastAsia="en-AU"/>
              </w:rPr>
            </w:r>
            <w:r w:rsidR="00D20955">
              <w:rPr>
                <w:rFonts w:ascii="Arial Narrow" w:hAnsi="Arial Narrow"/>
                <w:snapToGrid/>
                <w:sz w:val="20"/>
                <w:szCs w:val="20"/>
                <w:lang w:eastAsia="en-AU"/>
              </w:rPr>
              <w:fldChar w:fldCharType="separate"/>
            </w:r>
            <w:r w:rsidRPr="004F1B17">
              <w:rPr>
                <w:rFonts w:ascii="Arial Narrow" w:hAnsi="Arial Narrow"/>
                <w:snapToGrid/>
                <w:sz w:val="20"/>
                <w:szCs w:val="20"/>
                <w:lang w:eastAsia="en-AU"/>
              </w:rPr>
              <w:fldChar w:fldCharType="end"/>
            </w:r>
            <w:r w:rsidRPr="004F1B17">
              <w:rPr>
                <w:rFonts w:ascii="Arial Narrow" w:hAnsi="Arial Narrow"/>
                <w:snapToGrid/>
                <w:sz w:val="20"/>
                <w:szCs w:val="20"/>
                <w:lang w:eastAsia="en-AU"/>
              </w:rPr>
              <w:t>Optometrists</w:t>
            </w:r>
          </w:p>
          <w:p w:rsidR="00046851" w:rsidRPr="004F1B17" w:rsidRDefault="00046851" w:rsidP="00046851">
            <w:pPr>
              <w:jc w:val="left"/>
              <w:rPr>
                <w:rFonts w:ascii="Arial Narrow" w:hAnsi="Arial Narrow"/>
                <w:snapToGrid/>
                <w:sz w:val="20"/>
                <w:szCs w:val="20"/>
                <w:lang w:eastAsia="en-AU"/>
              </w:rPr>
            </w:pPr>
            <w:r w:rsidRPr="004F1B17">
              <w:rPr>
                <w:rFonts w:ascii="Arial Narrow" w:hAnsi="Arial Narrow"/>
                <w:snapToGrid/>
                <w:sz w:val="20"/>
                <w:szCs w:val="20"/>
                <w:lang w:eastAsia="en-AU"/>
              </w:rPr>
              <w:fldChar w:fldCharType="begin">
                <w:ffData>
                  <w:name w:val="Check5"/>
                  <w:enabled/>
                  <w:calcOnExit w:val="0"/>
                  <w:checkBox>
                    <w:sizeAuto/>
                    <w:default w:val="0"/>
                  </w:checkBox>
                </w:ffData>
              </w:fldChar>
            </w:r>
            <w:r w:rsidRPr="004F1B17">
              <w:rPr>
                <w:rFonts w:ascii="Arial Narrow" w:hAnsi="Arial Narrow"/>
                <w:snapToGrid/>
                <w:sz w:val="20"/>
                <w:szCs w:val="20"/>
                <w:lang w:eastAsia="en-AU"/>
              </w:rPr>
              <w:instrText xml:space="preserve"> FORMCHECKBOX </w:instrText>
            </w:r>
            <w:r w:rsidR="00D20955">
              <w:rPr>
                <w:rFonts w:ascii="Arial Narrow" w:hAnsi="Arial Narrow"/>
                <w:snapToGrid/>
                <w:sz w:val="20"/>
                <w:szCs w:val="20"/>
                <w:lang w:eastAsia="en-AU"/>
              </w:rPr>
            </w:r>
            <w:r w:rsidR="00D20955">
              <w:rPr>
                <w:rFonts w:ascii="Arial Narrow" w:hAnsi="Arial Narrow"/>
                <w:snapToGrid/>
                <w:sz w:val="20"/>
                <w:szCs w:val="20"/>
                <w:lang w:eastAsia="en-AU"/>
              </w:rPr>
              <w:fldChar w:fldCharType="separate"/>
            </w:r>
            <w:r w:rsidRPr="004F1B17">
              <w:rPr>
                <w:rFonts w:ascii="Arial Narrow" w:hAnsi="Arial Narrow"/>
                <w:snapToGrid/>
                <w:sz w:val="20"/>
                <w:szCs w:val="20"/>
                <w:lang w:eastAsia="en-AU"/>
              </w:rPr>
              <w:fldChar w:fldCharType="end"/>
            </w:r>
            <w:r w:rsidRPr="004F1B17">
              <w:rPr>
                <w:rFonts w:ascii="Arial Narrow" w:hAnsi="Arial Narrow"/>
                <w:snapToGrid/>
                <w:sz w:val="20"/>
                <w:szCs w:val="20"/>
                <w:lang w:eastAsia="en-AU"/>
              </w:rPr>
              <w:t>Midwives</w:t>
            </w:r>
          </w:p>
        </w:tc>
      </w:tr>
      <w:tr w:rsidR="00046851" w:rsidRPr="004F1B17" w:rsidTr="00046851">
        <w:trPr>
          <w:trHeight w:val="360"/>
        </w:trPr>
        <w:tc>
          <w:tcPr>
            <w:tcW w:w="1538" w:type="pct"/>
            <w:tcBorders>
              <w:top w:val="single" w:sz="4" w:space="0" w:color="auto"/>
              <w:left w:val="single" w:sz="4" w:space="0" w:color="auto"/>
              <w:bottom w:val="single" w:sz="4" w:space="0" w:color="auto"/>
              <w:right w:val="single" w:sz="4" w:space="0" w:color="auto"/>
            </w:tcBorders>
          </w:tcPr>
          <w:p w:rsidR="00046851" w:rsidRPr="004F1B17" w:rsidRDefault="00046851" w:rsidP="00046851">
            <w:pPr>
              <w:rPr>
                <w:rFonts w:ascii="Arial Narrow" w:hAnsi="Arial Narrow"/>
                <w:b/>
                <w:snapToGrid/>
                <w:sz w:val="20"/>
                <w:szCs w:val="20"/>
                <w:lang w:eastAsia="en-AU"/>
              </w:rPr>
            </w:pPr>
            <w:r w:rsidRPr="004F1B17">
              <w:rPr>
                <w:rFonts w:ascii="Arial Narrow" w:hAnsi="Arial Narrow"/>
                <w:b/>
                <w:snapToGrid/>
                <w:sz w:val="20"/>
                <w:szCs w:val="20"/>
                <w:lang w:eastAsia="en-AU"/>
              </w:rPr>
              <w:t>Condition:</w:t>
            </w:r>
          </w:p>
        </w:tc>
        <w:tc>
          <w:tcPr>
            <w:tcW w:w="3462" w:type="pct"/>
            <w:tcBorders>
              <w:top w:val="single" w:sz="4" w:space="0" w:color="auto"/>
              <w:left w:val="single" w:sz="4" w:space="0" w:color="auto"/>
              <w:bottom w:val="single" w:sz="4" w:space="0" w:color="auto"/>
              <w:right w:val="single" w:sz="4" w:space="0" w:color="auto"/>
            </w:tcBorders>
          </w:tcPr>
          <w:p w:rsidR="00046851" w:rsidRPr="004F1B17" w:rsidRDefault="00046851" w:rsidP="00046851">
            <w:pPr>
              <w:jc w:val="left"/>
              <w:rPr>
                <w:rFonts w:ascii="Arial Narrow" w:hAnsi="Arial Narrow"/>
                <w:snapToGrid/>
                <w:sz w:val="20"/>
                <w:szCs w:val="20"/>
                <w:lang w:eastAsia="en-AU"/>
              </w:rPr>
            </w:pPr>
            <w:r w:rsidRPr="004F1B17">
              <w:rPr>
                <w:rFonts w:ascii="Arial Narrow" w:hAnsi="Arial Narrow"/>
                <w:snapToGrid/>
                <w:sz w:val="20"/>
                <w:szCs w:val="20"/>
                <w:lang w:eastAsia="en-AU"/>
              </w:rPr>
              <w:t xml:space="preserve">Subfoveal choroidal neovascularisation </w:t>
            </w:r>
          </w:p>
        </w:tc>
      </w:tr>
      <w:tr w:rsidR="00046851" w:rsidRPr="004F1B17" w:rsidTr="000551CF">
        <w:trPr>
          <w:trHeight w:val="385"/>
        </w:trPr>
        <w:tc>
          <w:tcPr>
            <w:tcW w:w="1538" w:type="pct"/>
            <w:tcBorders>
              <w:top w:val="single" w:sz="4" w:space="0" w:color="auto"/>
              <w:left w:val="single" w:sz="4" w:space="0" w:color="auto"/>
              <w:bottom w:val="single" w:sz="4" w:space="0" w:color="auto"/>
              <w:right w:val="single" w:sz="4" w:space="0" w:color="auto"/>
            </w:tcBorders>
          </w:tcPr>
          <w:p w:rsidR="00046851" w:rsidRPr="004F1B17" w:rsidRDefault="00046851" w:rsidP="00046851">
            <w:pPr>
              <w:rPr>
                <w:rFonts w:ascii="Arial Narrow" w:hAnsi="Arial Narrow"/>
                <w:b/>
                <w:snapToGrid/>
                <w:sz w:val="20"/>
                <w:szCs w:val="20"/>
                <w:lang w:eastAsia="en-AU"/>
              </w:rPr>
            </w:pPr>
            <w:r w:rsidRPr="004F1B17">
              <w:rPr>
                <w:rFonts w:ascii="Arial Narrow" w:hAnsi="Arial Narrow"/>
                <w:b/>
                <w:snapToGrid/>
                <w:sz w:val="20"/>
                <w:szCs w:val="20"/>
                <w:lang w:eastAsia="en-AU"/>
              </w:rPr>
              <w:t>PBS Indication:</w:t>
            </w:r>
          </w:p>
        </w:tc>
        <w:tc>
          <w:tcPr>
            <w:tcW w:w="3462" w:type="pct"/>
            <w:tcBorders>
              <w:top w:val="single" w:sz="4" w:space="0" w:color="auto"/>
              <w:left w:val="single" w:sz="4" w:space="0" w:color="auto"/>
              <w:bottom w:val="single" w:sz="4" w:space="0" w:color="auto"/>
              <w:right w:val="single" w:sz="4" w:space="0" w:color="auto"/>
            </w:tcBorders>
          </w:tcPr>
          <w:p w:rsidR="00046851" w:rsidRPr="004F1B17" w:rsidRDefault="00046851" w:rsidP="00046851">
            <w:pPr>
              <w:jc w:val="left"/>
              <w:rPr>
                <w:rFonts w:ascii="Arial Narrow" w:hAnsi="Arial Narrow"/>
                <w:snapToGrid/>
                <w:sz w:val="20"/>
                <w:szCs w:val="20"/>
                <w:lang w:eastAsia="en-AU"/>
              </w:rPr>
            </w:pPr>
            <w:r w:rsidRPr="004F1B17">
              <w:rPr>
                <w:rFonts w:ascii="Arial Narrow" w:hAnsi="Arial Narrow"/>
                <w:snapToGrid/>
                <w:sz w:val="20"/>
                <w:szCs w:val="20"/>
                <w:lang w:eastAsia="en-AU"/>
              </w:rPr>
              <w:t xml:space="preserve">Subfoveal choroidal neovascularisation </w:t>
            </w:r>
          </w:p>
        </w:tc>
      </w:tr>
      <w:tr w:rsidR="00046851" w:rsidRPr="004F1B17" w:rsidTr="00046851">
        <w:trPr>
          <w:trHeight w:val="360"/>
        </w:trPr>
        <w:tc>
          <w:tcPr>
            <w:tcW w:w="1538" w:type="pct"/>
            <w:tcBorders>
              <w:top w:val="single" w:sz="4" w:space="0" w:color="auto"/>
              <w:left w:val="single" w:sz="4" w:space="0" w:color="auto"/>
              <w:bottom w:val="single" w:sz="4" w:space="0" w:color="auto"/>
              <w:right w:val="single" w:sz="4" w:space="0" w:color="auto"/>
            </w:tcBorders>
          </w:tcPr>
          <w:p w:rsidR="00046851" w:rsidRPr="004F1B17" w:rsidRDefault="00046851" w:rsidP="00046851">
            <w:pPr>
              <w:rPr>
                <w:rFonts w:ascii="Arial Narrow" w:hAnsi="Arial Narrow"/>
                <w:b/>
                <w:snapToGrid/>
                <w:sz w:val="20"/>
                <w:szCs w:val="20"/>
                <w:lang w:eastAsia="en-AU"/>
              </w:rPr>
            </w:pPr>
            <w:r w:rsidRPr="004F1B17">
              <w:rPr>
                <w:rFonts w:ascii="Arial Narrow" w:hAnsi="Arial Narrow"/>
                <w:b/>
                <w:snapToGrid/>
                <w:sz w:val="20"/>
                <w:szCs w:val="20"/>
                <w:lang w:eastAsia="en-AU"/>
              </w:rPr>
              <w:t>Treatment phase:</w:t>
            </w:r>
          </w:p>
        </w:tc>
        <w:tc>
          <w:tcPr>
            <w:tcW w:w="3462" w:type="pct"/>
            <w:tcBorders>
              <w:top w:val="single" w:sz="4" w:space="0" w:color="auto"/>
              <w:left w:val="single" w:sz="4" w:space="0" w:color="auto"/>
              <w:bottom w:val="single" w:sz="4" w:space="0" w:color="auto"/>
              <w:right w:val="single" w:sz="4" w:space="0" w:color="auto"/>
            </w:tcBorders>
          </w:tcPr>
          <w:p w:rsidR="00046851" w:rsidRPr="004F1B17" w:rsidRDefault="00046851" w:rsidP="00046851">
            <w:pPr>
              <w:jc w:val="left"/>
              <w:rPr>
                <w:rFonts w:ascii="Arial Narrow" w:hAnsi="Arial Narrow"/>
                <w:snapToGrid/>
                <w:sz w:val="20"/>
                <w:szCs w:val="20"/>
                <w:lang w:eastAsia="en-AU"/>
              </w:rPr>
            </w:pPr>
            <w:r w:rsidRPr="004F1B17">
              <w:rPr>
                <w:rFonts w:ascii="Arial Narrow" w:hAnsi="Arial Narrow"/>
                <w:snapToGrid/>
                <w:sz w:val="20"/>
                <w:szCs w:val="20"/>
                <w:lang w:eastAsia="en-AU"/>
              </w:rPr>
              <w:t xml:space="preserve">Initial treatment </w:t>
            </w:r>
          </w:p>
        </w:tc>
      </w:tr>
      <w:tr w:rsidR="00046851" w:rsidRPr="004F1B17" w:rsidTr="00046851">
        <w:trPr>
          <w:trHeight w:val="360"/>
        </w:trPr>
        <w:tc>
          <w:tcPr>
            <w:tcW w:w="1538" w:type="pct"/>
            <w:tcBorders>
              <w:top w:val="single" w:sz="4" w:space="0" w:color="auto"/>
              <w:left w:val="single" w:sz="4" w:space="0" w:color="auto"/>
              <w:bottom w:val="single" w:sz="4" w:space="0" w:color="auto"/>
              <w:right w:val="single" w:sz="4" w:space="0" w:color="auto"/>
            </w:tcBorders>
          </w:tcPr>
          <w:p w:rsidR="00046851" w:rsidRPr="004F1B17" w:rsidRDefault="00046851" w:rsidP="00046851">
            <w:pPr>
              <w:rPr>
                <w:rFonts w:ascii="Arial Narrow" w:hAnsi="Arial Narrow"/>
                <w:b/>
                <w:snapToGrid/>
                <w:sz w:val="20"/>
                <w:szCs w:val="20"/>
                <w:lang w:eastAsia="en-AU"/>
              </w:rPr>
            </w:pPr>
            <w:r w:rsidRPr="004F1B17">
              <w:rPr>
                <w:rFonts w:ascii="Arial Narrow" w:hAnsi="Arial Narrow"/>
                <w:b/>
                <w:snapToGrid/>
                <w:sz w:val="20"/>
                <w:szCs w:val="20"/>
                <w:lang w:eastAsia="en-AU"/>
              </w:rPr>
              <w:t>Restriction Level / Method:</w:t>
            </w:r>
          </w:p>
          <w:p w:rsidR="00046851" w:rsidRPr="004F1B17" w:rsidRDefault="00046851" w:rsidP="00046851">
            <w:pPr>
              <w:jc w:val="left"/>
              <w:rPr>
                <w:rFonts w:ascii="Arial Narrow" w:hAnsi="Arial Narrow"/>
                <w:i/>
                <w:snapToGrid/>
                <w:sz w:val="20"/>
                <w:szCs w:val="20"/>
                <w:highlight w:val="yellow"/>
                <w:lang w:eastAsia="en-AU"/>
              </w:rPr>
            </w:pPr>
          </w:p>
          <w:p w:rsidR="00046851" w:rsidRPr="004F1B17" w:rsidRDefault="00046851" w:rsidP="00046851">
            <w:pPr>
              <w:jc w:val="left"/>
              <w:rPr>
                <w:rFonts w:ascii="Arial Narrow" w:hAnsi="Arial Narrow"/>
                <w:i/>
                <w:snapToGrid/>
                <w:sz w:val="20"/>
                <w:szCs w:val="20"/>
                <w:lang w:eastAsia="en-AU"/>
              </w:rPr>
            </w:pPr>
          </w:p>
          <w:p w:rsidR="00046851" w:rsidRPr="004F1B17" w:rsidRDefault="00046851" w:rsidP="00046851">
            <w:pPr>
              <w:jc w:val="left"/>
              <w:rPr>
                <w:rFonts w:ascii="Arial Narrow" w:hAnsi="Arial Narrow"/>
                <w:i/>
                <w:snapToGrid/>
                <w:sz w:val="20"/>
                <w:szCs w:val="20"/>
                <w:lang w:eastAsia="en-AU"/>
              </w:rPr>
            </w:pPr>
          </w:p>
        </w:tc>
        <w:tc>
          <w:tcPr>
            <w:tcW w:w="3462" w:type="pct"/>
            <w:tcBorders>
              <w:top w:val="single" w:sz="4" w:space="0" w:color="auto"/>
              <w:left w:val="single" w:sz="4" w:space="0" w:color="auto"/>
              <w:bottom w:val="single" w:sz="4" w:space="0" w:color="auto"/>
              <w:right w:val="single" w:sz="4" w:space="0" w:color="auto"/>
            </w:tcBorders>
          </w:tcPr>
          <w:p w:rsidR="00046851" w:rsidRPr="004F1B17" w:rsidRDefault="00046851" w:rsidP="00046851">
            <w:pPr>
              <w:jc w:val="left"/>
              <w:rPr>
                <w:rFonts w:ascii="Arial Narrow" w:hAnsi="Arial Narrow"/>
                <w:snapToGrid/>
                <w:sz w:val="20"/>
                <w:szCs w:val="20"/>
                <w:lang w:eastAsia="en-AU"/>
              </w:rPr>
            </w:pPr>
            <w:r w:rsidRPr="004F1B17">
              <w:rPr>
                <w:rFonts w:ascii="Arial Narrow" w:hAnsi="Arial Narrow"/>
                <w:snapToGrid/>
                <w:sz w:val="20"/>
                <w:szCs w:val="20"/>
                <w:lang w:eastAsia="en-AU"/>
              </w:rPr>
              <w:fldChar w:fldCharType="begin">
                <w:ffData>
                  <w:name w:val="Check1"/>
                  <w:enabled/>
                  <w:calcOnExit w:val="0"/>
                  <w:checkBox>
                    <w:sizeAuto/>
                    <w:default w:val="0"/>
                  </w:checkBox>
                </w:ffData>
              </w:fldChar>
            </w:r>
            <w:r w:rsidRPr="004F1B17">
              <w:rPr>
                <w:rFonts w:ascii="Arial Narrow" w:hAnsi="Arial Narrow"/>
                <w:snapToGrid/>
                <w:sz w:val="20"/>
                <w:szCs w:val="20"/>
                <w:lang w:eastAsia="en-AU"/>
              </w:rPr>
              <w:instrText xml:space="preserve"> FORMCHECKBOX </w:instrText>
            </w:r>
            <w:r w:rsidR="00D20955">
              <w:rPr>
                <w:rFonts w:ascii="Arial Narrow" w:hAnsi="Arial Narrow"/>
                <w:snapToGrid/>
                <w:sz w:val="20"/>
                <w:szCs w:val="20"/>
                <w:lang w:eastAsia="en-AU"/>
              </w:rPr>
            </w:r>
            <w:r w:rsidR="00D20955">
              <w:rPr>
                <w:rFonts w:ascii="Arial Narrow" w:hAnsi="Arial Narrow"/>
                <w:snapToGrid/>
                <w:sz w:val="20"/>
                <w:szCs w:val="20"/>
                <w:lang w:eastAsia="en-AU"/>
              </w:rPr>
              <w:fldChar w:fldCharType="separate"/>
            </w:r>
            <w:r w:rsidRPr="004F1B17">
              <w:rPr>
                <w:rFonts w:ascii="Arial Narrow" w:hAnsi="Arial Narrow"/>
                <w:snapToGrid/>
                <w:sz w:val="20"/>
                <w:szCs w:val="20"/>
                <w:lang w:eastAsia="en-AU"/>
              </w:rPr>
              <w:fldChar w:fldCharType="end"/>
            </w:r>
            <w:r w:rsidRPr="004F1B17">
              <w:rPr>
                <w:rFonts w:ascii="Arial Narrow" w:hAnsi="Arial Narrow"/>
                <w:snapToGrid/>
                <w:sz w:val="20"/>
                <w:szCs w:val="20"/>
                <w:lang w:eastAsia="en-AU"/>
              </w:rPr>
              <w:t>Restricted benefit</w:t>
            </w:r>
          </w:p>
          <w:p w:rsidR="00046851" w:rsidRPr="004F1B17" w:rsidRDefault="00046851" w:rsidP="00046851">
            <w:pPr>
              <w:jc w:val="left"/>
              <w:rPr>
                <w:rFonts w:ascii="Arial Narrow" w:hAnsi="Arial Narrow"/>
                <w:snapToGrid/>
                <w:sz w:val="20"/>
                <w:szCs w:val="20"/>
                <w:lang w:eastAsia="en-AU"/>
              </w:rPr>
            </w:pPr>
            <w:r w:rsidRPr="004F1B17">
              <w:rPr>
                <w:rFonts w:ascii="Arial Narrow" w:hAnsi="Arial Narrow"/>
                <w:snapToGrid/>
                <w:sz w:val="20"/>
                <w:szCs w:val="20"/>
                <w:lang w:eastAsia="en-AU"/>
              </w:rPr>
              <w:fldChar w:fldCharType="begin">
                <w:ffData>
                  <w:name w:val=""/>
                  <w:enabled/>
                  <w:calcOnExit w:val="0"/>
                  <w:checkBox>
                    <w:sizeAuto/>
                    <w:default w:val="1"/>
                  </w:checkBox>
                </w:ffData>
              </w:fldChar>
            </w:r>
            <w:r w:rsidRPr="004F1B17">
              <w:rPr>
                <w:rFonts w:ascii="Arial Narrow" w:hAnsi="Arial Narrow"/>
                <w:snapToGrid/>
                <w:sz w:val="20"/>
                <w:szCs w:val="20"/>
                <w:lang w:eastAsia="en-AU"/>
              </w:rPr>
              <w:instrText xml:space="preserve"> FORMCHECKBOX </w:instrText>
            </w:r>
            <w:r w:rsidR="00D20955">
              <w:rPr>
                <w:rFonts w:ascii="Arial Narrow" w:hAnsi="Arial Narrow"/>
                <w:snapToGrid/>
                <w:sz w:val="20"/>
                <w:szCs w:val="20"/>
                <w:lang w:eastAsia="en-AU"/>
              </w:rPr>
            </w:r>
            <w:r w:rsidR="00D20955">
              <w:rPr>
                <w:rFonts w:ascii="Arial Narrow" w:hAnsi="Arial Narrow"/>
                <w:snapToGrid/>
                <w:sz w:val="20"/>
                <w:szCs w:val="20"/>
                <w:lang w:eastAsia="en-AU"/>
              </w:rPr>
              <w:fldChar w:fldCharType="separate"/>
            </w:r>
            <w:r w:rsidRPr="004F1B17">
              <w:rPr>
                <w:rFonts w:ascii="Arial Narrow" w:hAnsi="Arial Narrow"/>
                <w:snapToGrid/>
                <w:sz w:val="20"/>
                <w:szCs w:val="20"/>
                <w:lang w:eastAsia="en-AU"/>
              </w:rPr>
              <w:fldChar w:fldCharType="end"/>
            </w:r>
            <w:r w:rsidRPr="004F1B17">
              <w:rPr>
                <w:rFonts w:ascii="Arial Narrow" w:hAnsi="Arial Narrow"/>
                <w:snapToGrid/>
                <w:sz w:val="20"/>
                <w:szCs w:val="20"/>
                <w:lang w:eastAsia="en-AU"/>
              </w:rPr>
              <w:t>Authority Required - In Writing</w:t>
            </w:r>
          </w:p>
          <w:p w:rsidR="00046851" w:rsidRPr="004F1B17" w:rsidRDefault="00046851" w:rsidP="00046851">
            <w:pPr>
              <w:jc w:val="left"/>
              <w:rPr>
                <w:rFonts w:ascii="Arial Narrow" w:hAnsi="Arial Narrow"/>
                <w:snapToGrid/>
                <w:sz w:val="20"/>
                <w:szCs w:val="20"/>
                <w:lang w:eastAsia="en-AU"/>
              </w:rPr>
            </w:pPr>
            <w:r w:rsidRPr="004F1B17">
              <w:rPr>
                <w:rFonts w:ascii="Arial Narrow" w:hAnsi="Arial Narrow"/>
                <w:snapToGrid/>
                <w:sz w:val="20"/>
                <w:szCs w:val="20"/>
                <w:lang w:eastAsia="en-AU"/>
              </w:rPr>
              <w:fldChar w:fldCharType="begin">
                <w:ffData>
                  <w:name w:val="Check3"/>
                  <w:enabled/>
                  <w:calcOnExit w:val="0"/>
                  <w:checkBox>
                    <w:sizeAuto/>
                    <w:default w:val="0"/>
                  </w:checkBox>
                </w:ffData>
              </w:fldChar>
            </w:r>
            <w:r w:rsidRPr="004F1B17">
              <w:rPr>
                <w:rFonts w:ascii="Arial Narrow" w:hAnsi="Arial Narrow"/>
                <w:snapToGrid/>
                <w:sz w:val="20"/>
                <w:szCs w:val="20"/>
                <w:lang w:eastAsia="en-AU"/>
              </w:rPr>
              <w:instrText xml:space="preserve"> FORMCHECKBOX </w:instrText>
            </w:r>
            <w:r w:rsidR="00D20955">
              <w:rPr>
                <w:rFonts w:ascii="Arial Narrow" w:hAnsi="Arial Narrow"/>
                <w:snapToGrid/>
                <w:sz w:val="20"/>
                <w:szCs w:val="20"/>
                <w:lang w:eastAsia="en-AU"/>
              </w:rPr>
            </w:r>
            <w:r w:rsidR="00D20955">
              <w:rPr>
                <w:rFonts w:ascii="Arial Narrow" w:hAnsi="Arial Narrow"/>
                <w:snapToGrid/>
                <w:sz w:val="20"/>
                <w:szCs w:val="20"/>
                <w:lang w:eastAsia="en-AU"/>
              </w:rPr>
              <w:fldChar w:fldCharType="separate"/>
            </w:r>
            <w:r w:rsidRPr="004F1B17">
              <w:rPr>
                <w:rFonts w:ascii="Arial Narrow" w:hAnsi="Arial Narrow"/>
                <w:snapToGrid/>
                <w:sz w:val="20"/>
                <w:szCs w:val="20"/>
                <w:lang w:eastAsia="en-AU"/>
              </w:rPr>
              <w:fldChar w:fldCharType="end"/>
            </w:r>
            <w:r w:rsidRPr="004F1B17">
              <w:rPr>
                <w:rFonts w:ascii="Arial Narrow" w:hAnsi="Arial Narrow"/>
                <w:snapToGrid/>
                <w:sz w:val="20"/>
                <w:szCs w:val="20"/>
                <w:lang w:eastAsia="en-AU"/>
              </w:rPr>
              <w:t>Authority Required - Telephone</w:t>
            </w:r>
          </w:p>
          <w:p w:rsidR="00046851" w:rsidRPr="004F1B17" w:rsidRDefault="00046851" w:rsidP="00046851">
            <w:pPr>
              <w:jc w:val="left"/>
              <w:rPr>
                <w:rFonts w:ascii="Arial Narrow" w:hAnsi="Arial Narrow"/>
                <w:snapToGrid/>
                <w:sz w:val="20"/>
                <w:szCs w:val="20"/>
                <w:lang w:eastAsia="en-AU"/>
              </w:rPr>
            </w:pPr>
            <w:r w:rsidRPr="004F1B17">
              <w:rPr>
                <w:rFonts w:ascii="Arial Narrow" w:hAnsi="Arial Narrow"/>
                <w:snapToGrid/>
                <w:sz w:val="20"/>
                <w:szCs w:val="20"/>
                <w:lang w:eastAsia="en-AU"/>
              </w:rPr>
              <w:fldChar w:fldCharType="begin">
                <w:ffData>
                  <w:name w:val=""/>
                  <w:enabled/>
                  <w:calcOnExit w:val="0"/>
                  <w:checkBox>
                    <w:sizeAuto/>
                    <w:default w:val="0"/>
                  </w:checkBox>
                </w:ffData>
              </w:fldChar>
            </w:r>
            <w:r w:rsidRPr="004F1B17">
              <w:rPr>
                <w:rFonts w:ascii="Arial Narrow" w:hAnsi="Arial Narrow"/>
                <w:snapToGrid/>
                <w:sz w:val="20"/>
                <w:szCs w:val="20"/>
                <w:lang w:eastAsia="en-AU"/>
              </w:rPr>
              <w:instrText xml:space="preserve"> FORMCHECKBOX </w:instrText>
            </w:r>
            <w:r w:rsidR="00D20955">
              <w:rPr>
                <w:rFonts w:ascii="Arial Narrow" w:hAnsi="Arial Narrow"/>
                <w:snapToGrid/>
                <w:sz w:val="20"/>
                <w:szCs w:val="20"/>
                <w:lang w:eastAsia="en-AU"/>
              </w:rPr>
            </w:r>
            <w:r w:rsidR="00D20955">
              <w:rPr>
                <w:rFonts w:ascii="Arial Narrow" w:hAnsi="Arial Narrow"/>
                <w:snapToGrid/>
                <w:sz w:val="20"/>
                <w:szCs w:val="20"/>
                <w:lang w:eastAsia="en-AU"/>
              </w:rPr>
              <w:fldChar w:fldCharType="separate"/>
            </w:r>
            <w:r w:rsidRPr="004F1B17">
              <w:rPr>
                <w:rFonts w:ascii="Arial Narrow" w:hAnsi="Arial Narrow"/>
                <w:snapToGrid/>
                <w:sz w:val="20"/>
                <w:szCs w:val="20"/>
                <w:lang w:eastAsia="en-AU"/>
              </w:rPr>
              <w:fldChar w:fldCharType="end"/>
            </w:r>
            <w:r w:rsidRPr="004F1B17">
              <w:rPr>
                <w:rFonts w:ascii="Arial Narrow" w:hAnsi="Arial Narrow"/>
                <w:snapToGrid/>
                <w:sz w:val="20"/>
                <w:szCs w:val="20"/>
                <w:lang w:eastAsia="en-AU"/>
              </w:rPr>
              <w:t>Authority Required - Emergency</w:t>
            </w:r>
          </w:p>
          <w:p w:rsidR="00046851" w:rsidRPr="004F1B17" w:rsidRDefault="00046851" w:rsidP="00046851">
            <w:pPr>
              <w:jc w:val="left"/>
              <w:rPr>
                <w:rFonts w:ascii="Arial Narrow" w:hAnsi="Arial Narrow"/>
                <w:snapToGrid/>
                <w:sz w:val="20"/>
                <w:szCs w:val="20"/>
                <w:lang w:eastAsia="en-AU"/>
              </w:rPr>
            </w:pPr>
            <w:r w:rsidRPr="004F1B17">
              <w:rPr>
                <w:rFonts w:ascii="Arial Narrow" w:hAnsi="Arial Narrow"/>
                <w:snapToGrid/>
                <w:sz w:val="20"/>
                <w:szCs w:val="20"/>
                <w:lang w:eastAsia="en-AU"/>
              </w:rPr>
              <w:fldChar w:fldCharType="begin">
                <w:ffData>
                  <w:name w:val="Check5"/>
                  <w:enabled/>
                  <w:calcOnExit w:val="0"/>
                  <w:checkBox>
                    <w:sizeAuto/>
                    <w:default w:val="0"/>
                  </w:checkBox>
                </w:ffData>
              </w:fldChar>
            </w:r>
            <w:r w:rsidRPr="004F1B17">
              <w:rPr>
                <w:rFonts w:ascii="Arial Narrow" w:hAnsi="Arial Narrow"/>
                <w:snapToGrid/>
                <w:sz w:val="20"/>
                <w:szCs w:val="20"/>
                <w:lang w:eastAsia="en-AU"/>
              </w:rPr>
              <w:instrText xml:space="preserve"> FORMCHECKBOX </w:instrText>
            </w:r>
            <w:r w:rsidR="00D20955">
              <w:rPr>
                <w:rFonts w:ascii="Arial Narrow" w:hAnsi="Arial Narrow"/>
                <w:snapToGrid/>
                <w:sz w:val="20"/>
                <w:szCs w:val="20"/>
                <w:lang w:eastAsia="en-AU"/>
              </w:rPr>
            </w:r>
            <w:r w:rsidR="00D20955">
              <w:rPr>
                <w:rFonts w:ascii="Arial Narrow" w:hAnsi="Arial Narrow"/>
                <w:snapToGrid/>
                <w:sz w:val="20"/>
                <w:szCs w:val="20"/>
                <w:lang w:eastAsia="en-AU"/>
              </w:rPr>
              <w:fldChar w:fldCharType="separate"/>
            </w:r>
            <w:r w:rsidRPr="004F1B17">
              <w:rPr>
                <w:rFonts w:ascii="Arial Narrow" w:hAnsi="Arial Narrow"/>
                <w:snapToGrid/>
                <w:sz w:val="20"/>
                <w:szCs w:val="20"/>
                <w:lang w:eastAsia="en-AU"/>
              </w:rPr>
              <w:fldChar w:fldCharType="end"/>
            </w:r>
            <w:r w:rsidRPr="004F1B17">
              <w:rPr>
                <w:rFonts w:ascii="Arial Narrow" w:hAnsi="Arial Narrow"/>
                <w:snapToGrid/>
                <w:sz w:val="20"/>
                <w:szCs w:val="20"/>
                <w:lang w:eastAsia="en-AU"/>
              </w:rPr>
              <w:t>Authority Required - Electronic</w:t>
            </w:r>
          </w:p>
          <w:p w:rsidR="00046851" w:rsidRPr="004F1B17" w:rsidRDefault="00046851" w:rsidP="00046851">
            <w:pPr>
              <w:jc w:val="left"/>
              <w:rPr>
                <w:rFonts w:ascii="Arial Narrow" w:hAnsi="Arial Narrow"/>
                <w:snapToGrid/>
                <w:sz w:val="20"/>
                <w:szCs w:val="20"/>
                <w:lang w:eastAsia="en-AU"/>
              </w:rPr>
            </w:pPr>
            <w:r w:rsidRPr="004F1B17">
              <w:rPr>
                <w:rFonts w:ascii="Arial Narrow" w:hAnsi="Arial Narrow"/>
                <w:snapToGrid/>
                <w:sz w:val="20"/>
                <w:szCs w:val="20"/>
                <w:lang w:eastAsia="en-AU"/>
              </w:rPr>
              <w:fldChar w:fldCharType="begin">
                <w:ffData>
                  <w:name w:val="Check5"/>
                  <w:enabled/>
                  <w:calcOnExit w:val="0"/>
                  <w:checkBox>
                    <w:sizeAuto/>
                    <w:default w:val="0"/>
                  </w:checkBox>
                </w:ffData>
              </w:fldChar>
            </w:r>
            <w:r w:rsidRPr="004F1B17">
              <w:rPr>
                <w:rFonts w:ascii="Arial Narrow" w:hAnsi="Arial Narrow"/>
                <w:snapToGrid/>
                <w:sz w:val="20"/>
                <w:szCs w:val="20"/>
                <w:lang w:eastAsia="en-AU"/>
              </w:rPr>
              <w:instrText xml:space="preserve"> FORMCHECKBOX </w:instrText>
            </w:r>
            <w:r w:rsidR="00D20955">
              <w:rPr>
                <w:rFonts w:ascii="Arial Narrow" w:hAnsi="Arial Narrow"/>
                <w:snapToGrid/>
                <w:sz w:val="20"/>
                <w:szCs w:val="20"/>
                <w:lang w:eastAsia="en-AU"/>
              </w:rPr>
            </w:r>
            <w:r w:rsidR="00D20955">
              <w:rPr>
                <w:rFonts w:ascii="Arial Narrow" w:hAnsi="Arial Narrow"/>
                <w:snapToGrid/>
                <w:sz w:val="20"/>
                <w:szCs w:val="20"/>
                <w:lang w:eastAsia="en-AU"/>
              </w:rPr>
              <w:fldChar w:fldCharType="separate"/>
            </w:r>
            <w:r w:rsidRPr="004F1B17">
              <w:rPr>
                <w:rFonts w:ascii="Arial Narrow" w:hAnsi="Arial Narrow"/>
                <w:snapToGrid/>
                <w:sz w:val="20"/>
                <w:szCs w:val="20"/>
                <w:lang w:eastAsia="en-AU"/>
              </w:rPr>
              <w:fldChar w:fldCharType="end"/>
            </w:r>
            <w:r w:rsidRPr="004F1B17">
              <w:rPr>
                <w:rFonts w:ascii="Arial Narrow" w:hAnsi="Arial Narrow"/>
                <w:snapToGrid/>
                <w:sz w:val="20"/>
                <w:szCs w:val="20"/>
                <w:lang w:eastAsia="en-AU"/>
              </w:rPr>
              <w:t>Streamlined</w:t>
            </w:r>
          </w:p>
        </w:tc>
      </w:tr>
      <w:tr w:rsidR="00046851" w:rsidRPr="004F1B17" w:rsidTr="00046851">
        <w:trPr>
          <w:trHeight w:val="360"/>
        </w:trPr>
        <w:tc>
          <w:tcPr>
            <w:tcW w:w="1538" w:type="pct"/>
            <w:tcBorders>
              <w:top w:val="single" w:sz="4" w:space="0" w:color="auto"/>
              <w:left w:val="single" w:sz="4" w:space="0" w:color="auto"/>
              <w:bottom w:val="single" w:sz="4" w:space="0" w:color="auto"/>
              <w:right w:val="single" w:sz="4" w:space="0" w:color="auto"/>
            </w:tcBorders>
          </w:tcPr>
          <w:p w:rsidR="00046851" w:rsidRPr="004F1B17" w:rsidRDefault="00046851" w:rsidP="00046851">
            <w:pPr>
              <w:jc w:val="left"/>
              <w:rPr>
                <w:rFonts w:ascii="Arial Narrow" w:hAnsi="Arial Narrow"/>
                <w:snapToGrid/>
                <w:sz w:val="20"/>
                <w:szCs w:val="20"/>
                <w:lang w:eastAsia="en-AU"/>
              </w:rPr>
            </w:pPr>
            <w:r w:rsidRPr="004F1B17">
              <w:rPr>
                <w:rFonts w:ascii="Arial Narrow" w:hAnsi="Arial Narrow"/>
                <w:b/>
                <w:snapToGrid/>
                <w:sz w:val="20"/>
                <w:szCs w:val="20"/>
                <w:lang w:eastAsia="en-AU"/>
              </w:rPr>
              <w:t>Treatment criteria:</w:t>
            </w:r>
          </w:p>
        </w:tc>
        <w:tc>
          <w:tcPr>
            <w:tcW w:w="3462" w:type="pct"/>
            <w:tcBorders>
              <w:top w:val="single" w:sz="4" w:space="0" w:color="auto"/>
              <w:left w:val="single" w:sz="4" w:space="0" w:color="auto"/>
              <w:bottom w:val="single" w:sz="4" w:space="0" w:color="auto"/>
              <w:right w:val="single" w:sz="4" w:space="0" w:color="auto"/>
            </w:tcBorders>
          </w:tcPr>
          <w:p w:rsidR="000551CF" w:rsidRPr="004F1B17" w:rsidRDefault="00046851" w:rsidP="00046851">
            <w:pPr>
              <w:jc w:val="left"/>
              <w:rPr>
                <w:rFonts w:ascii="Arial Narrow" w:hAnsi="Arial Narrow"/>
                <w:snapToGrid/>
                <w:sz w:val="20"/>
                <w:szCs w:val="20"/>
                <w:lang w:eastAsia="en-AU"/>
              </w:rPr>
            </w:pPr>
            <w:r w:rsidRPr="004F1B17">
              <w:rPr>
                <w:rFonts w:ascii="Arial Narrow" w:hAnsi="Arial Narrow"/>
                <w:snapToGrid/>
                <w:sz w:val="20"/>
                <w:szCs w:val="20"/>
                <w:lang w:eastAsia="en-AU"/>
              </w:rPr>
              <w:t xml:space="preserve">Must be treated by an ophthalmologist </w:t>
            </w:r>
            <w:r w:rsidRPr="004F1B17">
              <w:rPr>
                <w:rFonts w:ascii="Arial Narrow" w:hAnsi="Arial Narrow"/>
                <w:i/>
                <w:snapToGrid/>
                <w:sz w:val="20"/>
                <w:szCs w:val="20"/>
                <w:lang w:eastAsia="en-AU"/>
              </w:rPr>
              <w:t>or in consultation with an ophthalmologist</w:t>
            </w:r>
            <w:r w:rsidRPr="004F1B17">
              <w:rPr>
                <w:rFonts w:ascii="Arial Narrow" w:hAnsi="Arial Narrow"/>
                <w:snapToGrid/>
                <w:sz w:val="20"/>
                <w:szCs w:val="20"/>
                <w:lang w:eastAsia="en-AU"/>
              </w:rPr>
              <w:t xml:space="preserve">. </w:t>
            </w:r>
          </w:p>
        </w:tc>
      </w:tr>
      <w:tr w:rsidR="00046851" w:rsidRPr="004F1B17" w:rsidTr="00046851">
        <w:trPr>
          <w:trHeight w:val="360"/>
        </w:trPr>
        <w:tc>
          <w:tcPr>
            <w:tcW w:w="1538" w:type="pct"/>
            <w:tcBorders>
              <w:top w:val="single" w:sz="4" w:space="0" w:color="auto"/>
              <w:left w:val="single" w:sz="4" w:space="0" w:color="auto"/>
              <w:bottom w:val="single" w:sz="4" w:space="0" w:color="auto"/>
              <w:right w:val="single" w:sz="4" w:space="0" w:color="auto"/>
            </w:tcBorders>
          </w:tcPr>
          <w:p w:rsidR="00046851" w:rsidRPr="004F1B17" w:rsidRDefault="00046851" w:rsidP="00046851">
            <w:pPr>
              <w:rPr>
                <w:rFonts w:ascii="Arial Narrow" w:hAnsi="Arial Narrow"/>
                <w:b/>
                <w:snapToGrid/>
                <w:sz w:val="20"/>
                <w:szCs w:val="20"/>
                <w:lang w:eastAsia="en-AU"/>
              </w:rPr>
            </w:pPr>
            <w:r w:rsidRPr="004F1B17">
              <w:rPr>
                <w:rFonts w:ascii="Arial Narrow" w:hAnsi="Arial Narrow"/>
                <w:b/>
                <w:snapToGrid/>
                <w:sz w:val="20"/>
                <w:szCs w:val="20"/>
                <w:lang w:eastAsia="en-AU"/>
              </w:rPr>
              <w:t>Clinical criteria:</w:t>
            </w:r>
          </w:p>
          <w:p w:rsidR="00046851" w:rsidRPr="004F1B17" w:rsidRDefault="00046851" w:rsidP="00046851">
            <w:pPr>
              <w:rPr>
                <w:rFonts w:ascii="Arial Narrow" w:hAnsi="Arial Narrow"/>
                <w:i/>
                <w:snapToGrid/>
                <w:sz w:val="20"/>
                <w:szCs w:val="20"/>
                <w:lang w:eastAsia="en-AU"/>
              </w:rPr>
            </w:pPr>
          </w:p>
          <w:p w:rsidR="00046851" w:rsidRPr="004F1B17" w:rsidRDefault="00046851" w:rsidP="00046851">
            <w:pPr>
              <w:rPr>
                <w:rFonts w:ascii="Arial Narrow" w:hAnsi="Arial Narrow"/>
                <w:snapToGrid/>
                <w:sz w:val="20"/>
                <w:szCs w:val="20"/>
                <w:lang w:eastAsia="en-AU"/>
              </w:rPr>
            </w:pPr>
          </w:p>
        </w:tc>
        <w:tc>
          <w:tcPr>
            <w:tcW w:w="3462" w:type="pct"/>
            <w:tcBorders>
              <w:top w:val="single" w:sz="4" w:space="0" w:color="auto"/>
              <w:left w:val="single" w:sz="4" w:space="0" w:color="auto"/>
              <w:bottom w:val="single" w:sz="4" w:space="0" w:color="auto"/>
              <w:right w:val="single" w:sz="4" w:space="0" w:color="auto"/>
            </w:tcBorders>
          </w:tcPr>
          <w:p w:rsidR="00046851" w:rsidRPr="004F1B17" w:rsidRDefault="00046851" w:rsidP="004F1B17">
            <w:pPr>
              <w:spacing w:before="40" w:after="40"/>
              <w:jc w:val="left"/>
              <w:rPr>
                <w:rFonts w:ascii="Arial Narrow" w:hAnsi="Arial Narrow"/>
                <w:snapToGrid/>
                <w:sz w:val="20"/>
                <w:szCs w:val="20"/>
                <w:lang w:eastAsia="en-AU"/>
              </w:rPr>
            </w:pPr>
            <w:r w:rsidRPr="004F1B17">
              <w:rPr>
                <w:rFonts w:ascii="Arial Narrow" w:hAnsi="Arial Narrow"/>
                <w:snapToGrid/>
                <w:sz w:val="20"/>
                <w:szCs w:val="20"/>
                <w:lang w:eastAsia="en-AU"/>
              </w:rPr>
              <w:t xml:space="preserve">The condition must </w:t>
            </w:r>
            <w:r w:rsidRPr="004F1B17">
              <w:rPr>
                <w:rFonts w:ascii="Arial Narrow" w:hAnsi="Arial Narrow"/>
                <w:strike/>
                <w:snapToGrid/>
                <w:sz w:val="20"/>
                <w:szCs w:val="20"/>
                <w:lang w:eastAsia="en-AU"/>
              </w:rPr>
              <w:t xml:space="preserve">not </w:t>
            </w:r>
            <w:r w:rsidRPr="004F1B17">
              <w:rPr>
                <w:rFonts w:ascii="Arial Narrow" w:hAnsi="Arial Narrow"/>
                <w:snapToGrid/>
                <w:sz w:val="20"/>
                <w:szCs w:val="20"/>
                <w:lang w:eastAsia="en-AU"/>
              </w:rPr>
              <w:t xml:space="preserve">be due to </w:t>
            </w:r>
            <w:r w:rsidRPr="004F1B17">
              <w:rPr>
                <w:rFonts w:ascii="Arial Narrow" w:hAnsi="Arial Narrow"/>
                <w:i/>
                <w:snapToGrid/>
                <w:sz w:val="20"/>
                <w:szCs w:val="20"/>
                <w:lang w:eastAsia="en-AU"/>
              </w:rPr>
              <w:t>causes other than</w:t>
            </w:r>
            <w:r w:rsidRPr="004F1B17">
              <w:rPr>
                <w:rFonts w:ascii="Arial Narrow" w:hAnsi="Arial Narrow"/>
                <w:snapToGrid/>
                <w:sz w:val="20"/>
                <w:szCs w:val="20"/>
                <w:lang w:eastAsia="en-AU"/>
              </w:rPr>
              <w:t xml:space="preserve"> age-related macular degeneration (AMD) </w:t>
            </w:r>
            <w:r w:rsidRPr="004F1B17">
              <w:rPr>
                <w:rFonts w:ascii="Arial Narrow" w:hAnsi="Arial Narrow"/>
                <w:strike/>
                <w:snapToGrid/>
                <w:sz w:val="20"/>
                <w:szCs w:val="20"/>
                <w:lang w:eastAsia="en-AU"/>
              </w:rPr>
              <w:t>or</w:t>
            </w:r>
            <w:r w:rsidRPr="004F1B17">
              <w:rPr>
                <w:rFonts w:ascii="Arial Narrow" w:hAnsi="Arial Narrow"/>
                <w:snapToGrid/>
                <w:sz w:val="20"/>
                <w:szCs w:val="20"/>
                <w:lang w:eastAsia="en-AU"/>
              </w:rPr>
              <w:t>and pathologic myopia (PM)</w:t>
            </w:r>
          </w:p>
          <w:p w:rsidR="00046851" w:rsidRPr="004F1B17" w:rsidRDefault="00046851" w:rsidP="004F1B17">
            <w:pPr>
              <w:spacing w:before="40" w:after="40"/>
              <w:jc w:val="left"/>
              <w:rPr>
                <w:rFonts w:ascii="Arial Narrow" w:hAnsi="Arial Narrow"/>
                <w:snapToGrid/>
                <w:sz w:val="20"/>
                <w:szCs w:val="20"/>
                <w:lang w:eastAsia="en-AU"/>
              </w:rPr>
            </w:pPr>
            <w:r w:rsidRPr="004F1B17">
              <w:rPr>
                <w:rFonts w:ascii="Arial Narrow" w:hAnsi="Arial Narrow"/>
                <w:snapToGrid/>
                <w:sz w:val="20"/>
                <w:szCs w:val="20"/>
                <w:lang w:eastAsia="en-AU"/>
              </w:rPr>
              <w:t>AND</w:t>
            </w:r>
          </w:p>
          <w:p w:rsidR="00046851" w:rsidRPr="004F1B17" w:rsidRDefault="00046851" w:rsidP="004F1B17">
            <w:pPr>
              <w:spacing w:before="40" w:after="40"/>
              <w:jc w:val="left"/>
              <w:rPr>
                <w:rFonts w:ascii="Arial Narrow" w:hAnsi="Arial Narrow"/>
                <w:snapToGrid/>
                <w:sz w:val="20"/>
                <w:szCs w:val="20"/>
                <w:lang w:eastAsia="en-AU"/>
              </w:rPr>
            </w:pPr>
            <w:r w:rsidRPr="004F1B17">
              <w:rPr>
                <w:rFonts w:ascii="Arial Narrow" w:hAnsi="Arial Narrow"/>
                <w:snapToGrid/>
                <w:sz w:val="20"/>
                <w:szCs w:val="20"/>
                <w:lang w:eastAsia="en-AU"/>
              </w:rPr>
              <w:t>The condition must be diagnosed by optical coherence tomography; OR</w:t>
            </w:r>
          </w:p>
          <w:p w:rsidR="00046851" w:rsidRPr="004F1B17" w:rsidRDefault="00046851" w:rsidP="004F1B17">
            <w:pPr>
              <w:spacing w:before="40" w:after="40"/>
              <w:jc w:val="left"/>
              <w:rPr>
                <w:rFonts w:ascii="Arial Narrow" w:hAnsi="Arial Narrow"/>
                <w:snapToGrid/>
                <w:sz w:val="20"/>
                <w:szCs w:val="20"/>
                <w:lang w:eastAsia="en-AU"/>
              </w:rPr>
            </w:pPr>
            <w:r w:rsidRPr="004F1B17">
              <w:rPr>
                <w:rFonts w:ascii="Arial Narrow" w:hAnsi="Arial Narrow"/>
                <w:snapToGrid/>
                <w:sz w:val="20"/>
                <w:szCs w:val="20"/>
                <w:lang w:eastAsia="en-AU"/>
              </w:rPr>
              <w:t xml:space="preserve">The condition must be diagnosed by fluorescein angiography </w:t>
            </w:r>
          </w:p>
          <w:p w:rsidR="00046851" w:rsidRPr="004F1B17" w:rsidRDefault="00046851" w:rsidP="004F1B17">
            <w:pPr>
              <w:spacing w:before="40" w:after="40"/>
              <w:jc w:val="left"/>
              <w:rPr>
                <w:rFonts w:ascii="Arial Narrow" w:hAnsi="Arial Narrow"/>
                <w:snapToGrid/>
                <w:sz w:val="20"/>
                <w:szCs w:val="20"/>
                <w:lang w:eastAsia="en-AU"/>
              </w:rPr>
            </w:pPr>
            <w:r w:rsidRPr="004F1B17">
              <w:rPr>
                <w:rFonts w:ascii="Arial Narrow" w:hAnsi="Arial Narrow"/>
                <w:snapToGrid/>
                <w:sz w:val="20"/>
                <w:szCs w:val="20"/>
                <w:lang w:eastAsia="en-AU"/>
              </w:rPr>
              <w:t xml:space="preserve">AND </w:t>
            </w:r>
            <w:r w:rsidRPr="004F1B17">
              <w:rPr>
                <w:rFonts w:ascii="Arial Narrow" w:hAnsi="Arial Narrow"/>
                <w:snapToGrid/>
                <w:sz w:val="20"/>
                <w:szCs w:val="20"/>
                <w:lang w:eastAsia="en-AU"/>
              </w:rPr>
              <w:br/>
              <w:t>The treatment must be the sole PBS-subsidi</w:t>
            </w:r>
            <w:r w:rsidR="000551CF" w:rsidRPr="004F1B17">
              <w:rPr>
                <w:rFonts w:ascii="Arial Narrow" w:hAnsi="Arial Narrow"/>
                <w:snapToGrid/>
                <w:sz w:val="20"/>
                <w:szCs w:val="20"/>
                <w:lang w:eastAsia="en-AU"/>
              </w:rPr>
              <w:t>sed therapy for this condition.</w:t>
            </w:r>
          </w:p>
        </w:tc>
      </w:tr>
      <w:tr w:rsidR="00046851" w:rsidRPr="004F1B17" w:rsidTr="00046851">
        <w:trPr>
          <w:trHeight w:val="360"/>
        </w:trPr>
        <w:tc>
          <w:tcPr>
            <w:tcW w:w="1538" w:type="pct"/>
            <w:tcBorders>
              <w:top w:val="single" w:sz="4" w:space="0" w:color="auto"/>
              <w:left w:val="single" w:sz="4" w:space="0" w:color="auto"/>
              <w:bottom w:val="single" w:sz="4" w:space="0" w:color="auto"/>
              <w:right w:val="single" w:sz="4" w:space="0" w:color="auto"/>
            </w:tcBorders>
          </w:tcPr>
          <w:p w:rsidR="00046851" w:rsidRPr="004F1B17" w:rsidRDefault="00046851" w:rsidP="00046851">
            <w:pPr>
              <w:rPr>
                <w:rFonts w:ascii="Arial Narrow" w:hAnsi="Arial Narrow"/>
                <w:b/>
                <w:snapToGrid/>
                <w:sz w:val="20"/>
                <w:szCs w:val="20"/>
                <w:lang w:eastAsia="en-AU"/>
              </w:rPr>
            </w:pPr>
            <w:r w:rsidRPr="004F1B17">
              <w:rPr>
                <w:rFonts w:ascii="Arial Narrow" w:hAnsi="Arial Narrow"/>
                <w:b/>
                <w:snapToGrid/>
                <w:sz w:val="20"/>
                <w:szCs w:val="20"/>
                <w:lang w:eastAsia="en-AU"/>
              </w:rPr>
              <w:t>Prescriber Instructions</w:t>
            </w:r>
          </w:p>
          <w:p w:rsidR="00046851" w:rsidRPr="004F1B17" w:rsidRDefault="00046851" w:rsidP="00046851">
            <w:pPr>
              <w:rPr>
                <w:rFonts w:ascii="Arial Narrow" w:hAnsi="Arial Narrow"/>
                <w:snapToGrid/>
                <w:sz w:val="20"/>
                <w:szCs w:val="20"/>
                <w:lang w:eastAsia="en-AU"/>
              </w:rPr>
            </w:pPr>
          </w:p>
        </w:tc>
        <w:tc>
          <w:tcPr>
            <w:tcW w:w="3462" w:type="pct"/>
            <w:tcBorders>
              <w:top w:val="single" w:sz="4" w:space="0" w:color="auto"/>
              <w:left w:val="single" w:sz="4" w:space="0" w:color="auto"/>
              <w:bottom w:val="single" w:sz="4" w:space="0" w:color="auto"/>
              <w:right w:val="single" w:sz="4" w:space="0" w:color="auto"/>
            </w:tcBorders>
          </w:tcPr>
          <w:p w:rsidR="00046851" w:rsidRPr="004F1B17" w:rsidRDefault="00046851" w:rsidP="004F1B17">
            <w:pPr>
              <w:spacing w:before="40" w:after="40"/>
              <w:jc w:val="left"/>
              <w:rPr>
                <w:rFonts w:ascii="Arial Narrow" w:hAnsi="Arial Narrow"/>
                <w:i/>
                <w:snapToGrid/>
                <w:sz w:val="20"/>
                <w:szCs w:val="20"/>
                <w:lang w:eastAsia="en-AU"/>
              </w:rPr>
            </w:pPr>
            <w:r w:rsidRPr="004F1B17">
              <w:rPr>
                <w:rFonts w:ascii="Arial Narrow" w:hAnsi="Arial Narrow"/>
                <w:i/>
                <w:snapToGrid/>
                <w:sz w:val="20"/>
                <w:szCs w:val="20"/>
                <w:lang w:eastAsia="en-AU"/>
              </w:rPr>
              <w:t>Authority approval for initial treatment of each eye must be sought.</w:t>
            </w:r>
          </w:p>
          <w:p w:rsidR="00046851" w:rsidRPr="004F1B17" w:rsidRDefault="00046851" w:rsidP="004F1B17">
            <w:pPr>
              <w:spacing w:before="40" w:after="40"/>
              <w:jc w:val="left"/>
              <w:rPr>
                <w:rFonts w:ascii="Arial Narrow" w:hAnsi="Arial Narrow"/>
                <w:i/>
                <w:snapToGrid/>
                <w:sz w:val="20"/>
                <w:szCs w:val="20"/>
                <w:lang w:eastAsia="en-AU"/>
              </w:rPr>
            </w:pPr>
            <w:r w:rsidRPr="004F1B17">
              <w:rPr>
                <w:rFonts w:ascii="Arial Narrow" w:hAnsi="Arial Narrow"/>
                <w:i/>
                <w:snapToGrid/>
                <w:sz w:val="20"/>
                <w:szCs w:val="20"/>
                <w:lang w:eastAsia="en-AU"/>
              </w:rPr>
              <w:t>The first authority application for each eye must be made in writing or by telephone.</w:t>
            </w:r>
          </w:p>
          <w:p w:rsidR="00046851" w:rsidRPr="004F1B17" w:rsidRDefault="00046851" w:rsidP="004F1B17">
            <w:pPr>
              <w:spacing w:before="40" w:after="40"/>
              <w:jc w:val="left"/>
              <w:rPr>
                <w:rFonts w:ascii="Arial Narrow" w:hAnsi="Arial Narrow"/>
                <w:i/>
                <w:snapToGrid/>
                <w:sz w:val="20"/>
                <w:szCs w:val="20"/>
                <w:lang w:eastAsia="en-AU"/>
              </w:rPr>
            </w:pPr>
            <w:r w:rsidRPr="004F1B17">
              <w:rPr>
                <w:rFonts w:ascii="Arial Narrow" w:hAnsi="Arial Narrow"/>
                <w:i/>
                <w:snapToGrid/>
                <w:sz w:val="20"/>
                <w:szCs w:val="20"/>
                <w:lang w:eastAsia="en-AU"/>
              </w:rPr>
              <w:t>A written application must include:</w:t>
            </w:r>
          </w:p>
          <w:p w:rsidR="00046851" w:rsidRPr="004F1B17" w:rsidRDefault="00046851" w:rsidP="004F1B17">
            <w:pPr>
              <w:spacing w:before="40" w:after="40"/>
              <w:jc w:val="left"/>
              <w:rPr>
                <w:rFonts w:ascii="Arial Narrow" w:hAnsi="Arial Narrow"/>
                <w:i/>
                <w:snapToGrid/>
                <w:sz w:val="20"/>
                <w:szCs w:val="20"/>
                <w:lang w:eastAsia="en-AU"/>
              </w:rPr>
            </w:pPr>
            <w:r w:rsidRPr="004F1B17">
              <w:rPr>
                <w:rFonts w:ascii="Arial Narrow" w:hAnsi="Arial Narrow"/>
                <w:i/>
                <w:snapToGrid/>
                <w:sz w:val="20"/>
                <w:szCs w:val="20"/>
                <w:lang w:eastAsia="en-AU"/>
              </w:rPr>
              <w:t>a) a completed authority prescription form;</w:t>
            </w:r>
          </w:p>
          <w:p w:rsidR="00046851" w:rsidRPr="004F1B17" w:rsidRDefault="00046851" w:rsidP="004F1B17">
            <w:pPr>
              <w:spacing w:before="40" w:after="40"/>
              <w:jc w:val="left"/>
              <w:rPr>
                <w:rFonts w:ascii="Arial Narrow" w:hAnsi="Arial Narrow"/>
                <w:i/>
                <w:snapToGrid/>
                <w:sz w:val="20"/>
                <w:szCs w:val="20"/>
                <w:lang w:eastAsia="en-AU"/>
              </w:rPr>
            </w:pPr>
            <w:r w:rsidRPr="004F1B17">
              <w:rPr>
                <w:rFonts w:ascii="Arial Narrow" w:hAnsi="Arial Narrow"/>
                <w:i/>
                <w:snapToGrid/>
                <w:sz w:val="20"/>
                <w:szCs w:val="20"/>
                <w:lang w:eastAsia="en-AU"/>
              </w:rPr>
              <w:t>b) a completed Subfoveal Choroidal Neovascularisation (CNV) - PBS Supporting Information Form; and</w:t>
            </w:r>
          </w:p>
          <w:p w:rsidR="00046851" w:rsidRPr="004F1B17" w:rsidRDefault="00046851" w:rsidP="004F1B17">
            <w:pPr>
              <w:spacing w:before="40" w:after="40"/>
              <w:jc w:val="left"/>
              <w:rPr>
                <w:rFonts w:ascii="Arial Narrow" w:hAnsi="Arial Narrow"/>
                <w:i/>
                <w:snapToGrid/>
                <w:sz w:val="20"/>
                <w:szCs w:val="20"/>
                <w:lang w:eastAsia="en-AU"/>
              </w:rPr>
            </w:pPr>
            <w:r w:rsidRPr="004F1B17">
              <w:rPr>
                <w:rFonts w:ascii="Arial Narrow" w:hAnsi="Arial Narrow"/>
                <w:i/>
                <w:snapToGrid/>
                <w:sz w:val="20"/>
                <w:szCs w:val="20"/>
                <w:lang w:eastAsia="en-AU"/>
              </w:rPr>
              <w:t>c) a copy of the optical coherence tomography or fluorescein angiogram report.</w:t>
            </w:r>
          </w:p>
          <w:p w:rsidR="00046851" w:rsidRPr="004F1B17" w:rsidRDefault="00046851" w:rsidP="004F1B17">
            <w:pPr>
              <w:spacing w:before="40" w:after="40"/>
              <w:jc w:val="left"/>
              <w:rPr>
                <w:rFonts w:ascii="Arial Narrow" w:hAnsi="Arial Narrow"/>
                <w:i/>
                <w:snapToGrid/>
                <w:sz w:val="20"/>
                <w:szCs w:val="20"/>
                <w:lang w:eastAsia="en-AU"/>
              </w:rPr>
            </w:pPr>
            <w:r w:rsidRPr="004F1B17">
              <w:rPr>
                <w:rFonts w:ascii="Arial Narrow" w:hAnsi="Arial Narrow"/>
                <w:i/>
                <w:snapToGrid/>
                <w:sz w:val="20"/>
                <w:szCs w:val="20"/>
                <w:lang w:eastAsia="en-AU"/>
              </w:rPr>
              <w:t>A telephone application must be made following submission by facsimile of a copy of a completed Subfoveal Choroidal Neovascularisation (CNV) - PBS Supporting Information Form and a copy of the optical coherence tomography or fluorescein angiogram report.</w:t>
            </w:r>
          </w:p>
        </w:tc>
      </w:tr>
      <w:tr w:rsidR="00046851" w:rsidRPr="004F1B17" w:rsidTr="00046851">
        <w:trPr>
          <w:trHeight w:val="360"/>
        </w:trPr>
        <w:tc>
          <w:tcPr>
            <w:tcW w:w="1538" w:type="pct"/>
            <w:tcBorders>
              <w:top w:val="single" w:sz="4" w:space="0" w:color="auto"/>
              <w:left w:val="single" w:sz="4" w:space="0" w:color="auto"/>
              <w:bottom w:val="single" w:sz="4" w:space="0" w:color="auto"/>
              <w:right w:val="single" w:sz="4" w:space="0" w:color="auto"/>
            </w:tcBorders>
          </w:tcPr>
          <w:p w:rsidR="00046851" w:rsidRPr="004F1B17" w:rsidRDefault="00046851" w:rsidP="00046851">
            <w:pPr>
              <w:rPr>
                <w:rFonts w:ascii="Arial Narrow" w:hAnsi="Arial Narrow"/>
                <w:b/>
                <w:snapToGrid/>
                <w:sz w:val="20"/>
                <w:szCs w:val="20"/>
                <w:lang w:eastAsia="en-AU"/>
              </w:rPr>
            </w:pPr>
            <w:r w:rsidRPr="004F1B17">
              <w:rPr>
                <w:rFonts w:ascii="Arial Narrow" w:hAnsi="Arial Narrow"/>
                <w:b/>
                <w:snapToGrid/>
                <w:sz w:val="20"/>
                <w:szCs w:val="20"/>
                <w:lang w:eastAsia="en-AU"/>
              </w:rPr>
              <w:t>Administrative Advice</w:t>
            </w:r>
          </w:p>
          <w:p w:rsidR="00046851" w:rsidRPr="004F1B17" w:rsidRDefault="00046851" w:rsidP="00046851">
            <w:pPr>
              <w:rPr>
                <w:rFonts w:ascii="Arial Narrow" w:hAnsi="Arial Narrow"/>
                <w:i/>
                <w:snapToGrid/>
                <w:sz w:val="20"/>
                <w:szCs w:val="20"/>
                <w:lang w:eastAsia="en-AU"/>
              </w:rPr>
            </w:pPr>
          </w:p>
        </w:tc>
        <w:tc>
          <w:tcPr>
            <w:tcW w:w="3462" w:type="pct"/>
            <w:tcBorders>
              <w:top w:val="single" w:sz="4" w:space="0" w:color="auto"/>
              <w:left w:val="single" w:sz="4" w:space="0" w:color="auto"/>
              <w:bottom w:val="single" w:sz="4" w:space="0" w:color="auto"/>
              <w:right w:val="single" w:sz="4" w:space="0" w:color="auto"/>
            </w:tcBorders>
          </w:tcPr>
          <w:p w:rsidR="00046851" w:rsidRPr="004F1B17" w:rsidRDefault="00046851" w:rsidP="004F1B17">
            <w:pPr>
              <w:spacing w:before="40" w:after="40"/>
              <w:jc w:val="left"/>
              <w:rPr>
                <w:rFonts w:ascii="Arial Narrow" w:hAnsi="Arial Narrow"/>
                <w:i/>
                <w:snapToGrid/>
                <w:sz w:val="20"/>
                <w:szCs w:val="20"/>
                <w:lang w:eastAsia="en-AU"/>
              </w:rPr>
            </w:pPr>
            <w:r w:rsidRPr="004F1B17">
              <w:rPr>
                <w:rFonts w:ascii="Arial Narrow" w:hAnsi="Arial Narrow"/>
                <w:i/>
                <w:snapToGrid/>
                <w:sz w:val="20"/>
                <w:szCs w:val="20"/>
                <w:lang w:eastAsia="en-AU"/>
              </w:rPr>
              <w:t>The first authority application may be faxed to the Department of Human Services on 1300 093 177 (hours of operation 8 a.m. to 5 p.m. EST Monday to Friday). The Department will then contact the prescriber by telephone.</w:t>
            </w:r>
          </w:p>
          <w:p w:rsidR="00046851" w:rsidRPr="004F1B17" w:rsidRDefault="00046851" w:rsidP="004F1B17">
            <w:pPr>
              <w:spacing w:before="40" w:after="40"/>
              <w:jc w:val="left"/>
              <w:rPr>
                <w:rFonts w:ascii="Arial Narrow" w:hAnsi="Arial Narrow"/>
                <w:i/>
                <w:snapToGrid/>
                <w:sz w:val="20"/>
                <w:szCs w:val="20"/>
                <w:lang w:eastAsia="en-AU"/>
              </w:rPr>
            </w:pPr>
            <w:r w:rsidRPr="004F1B17">
              <w:rPr>
                <w:rFonts w:ascii="Arial Narrow" w:hAnsi="Arial Narrow"/>
                <w:i/>
                <w:snapToGrid/>
                <w:sz w:val="20"/>
                <w:szCs w:val="20"/>
                <w:lang w:eastAsia="en-AU"/>
              </w:rPr>
              <w:t>Any queries concerning the arrangements to prescribe may be directed to the Department of Human Services on 1800 700 270 (hours of operation 8 a.m. to 5 p.m. EST Monday to Friday).</w:t>
            </w:r>
          </w:p>
          <w:p w:rsidR="00046851" w:rsidRPr="004F1B17" w:rsidRDefault="00046851" w:rsidP="004F1B17">
            <w:pPr>
              <w:spacing w:before="40" w:after="40"/>
              <w:jc w:val="left"/>
              <w:rPr>
                <w:rFonts w:ascii="Arial Narrow" w:hAnsi="Arial Narrow"/>
                <w:i/>
                <w:snapToGrid/>
                <w:sz w:val="20"/>
                <w:szCs w:val="20"/>
                <w:lang w:eastAsia="en-AU"/>
              </w:rPr>
            </w:pPr>
            <w:r w:rsidRPr="004F1B17">
              <w:rPr>
                <w:rFonts w:ascii="Arial Narrow" w:hAnsi="Arial Narrow"/>
                <w:i/>
                <w:snapToGrid/>
                <w:sz w:val="20"/>
                <w:szCs w:val="20"/>
                <w:lang w:eastAsia="en-AU"/>
              </w:rPr>
              <w:t>Prescribing information (including Authority Application forms and other relevant documentation as applicable) is available on the Department of Human Services website at www.humanservices.gov.au</w:t>
            </w:r>
          </w:p>
          <w:p w:rsidR="00046851" w:rsidRPr="004F1B17" w:rsidRDefault="00046851" w:rsidP="004F1B17">
            <w:pPr>
              <w:spacing w:before="40" w:after="40"/>
              <w:jc w:val="left"/>
              <w:rPr>
                <w:rFonts w:ascii="Arial Narrow" w:hAnsi="Arial Narrow"/>
                <w:i/>
                <w:snapToGrid/>
                <w:sz w:val="20"/>
                <w:szCs w:val="20"/>
                <w:lang w:eastAsia="en-AU"/>
              </w:rPr>
            </w:pPr>
            <w:r w:rsidRPr="004F1B17">
              <w:rPr>
                <w:rFonts w:ascii="Arial Narrow" w:hAnsi="Arial Narrow"/>
                <w:i/>
                <w:snapToGrid/>
                <w:sz w:val="20"/>
                <w:szCs w:val="20"/>
                <w:lang w:eastAsia="en-AU"/>
              </w:rPr>
              <w:t>Applications for authority to prescribe should be forwarded to:</w:t>
            </w:r>
          </w:p>
          <w:p w:rsidR="00046851" w:rsidRPr="004F1B17" w:rsidRDefault="00046851" w:rsidP="004F1B17">
            <w:pPr>
              <w:spacing w:before="40" w:after="40"/>
              <w:jc w:val="left"/>
              <w:rPr>
                <w:rFonts w:ascii="Arial Narrow" w:hAnsi="Arial Narrow"/>
                <w:i/>
                <w:snapToGrid/>
                <w:sz w:val="20"/>
                <w:szCs w:val="20"/>
                <w:lang w:eastAsia="en-AU"/>
              </w:rPr>
            </w:pPr>
            <w:r w:rsidRPr="004F1B17">
              <w:rPr>
                <w:rFonts w:ascii="Arial Narrow" w:hAnsi="Arial Narrow"/>
                <w:i/>
                <w:snapToGrid/>
                <w:sz w:val="20"/>
                <w:szCs w:val="20"/>
                <w:lang w:eastAsia="en-AU"/>
              </w:rPr>
              <w:t>Department of Human Services</w:t>
            </w:r>
          </w:p>
          <w:p w:rsidR="00046851" w:rsidRPr="004F1B17" w:rsidRDefault="00046851" w:rsidP="004F1B17">
            <w:pPr>
              <w:spacing w:before="40" w:after="40"/>
              <w:jc w:val="left"/>
              <w:rPr>
                <w:rFonts w:ascii="Arial Narrow" w:hAnsi="Arial Narrow"/>
                <w:i/>
                <w:snapToGrid/>
                <w:sz w:val="20"/>
                <w:szCs w:val="20"/>
                <w:lang w:eastAsia="en-AU"/>
              </w:rPr>
            </w:pPr>
            <w:r w:rsidRPr="004F1B17">
              <w:rPr>
                <w:rFonts w:ascii="Arial Narrow" w:hAnsi="Arial Narrow"/>
                <w:i/>
                <w:snapToGrid/>
                <w:sz w:val="20"/>
                <w:szCs w:val="20"/>
                <w:lang w:eastAsia="en-AU"/>
              </w:rPr>
              <w:t>Complex Drugs</w:t>
            </w:r>
          </w:p>
          <w:p w:rsidR="00046851" w:rsidRPr="004F1B17" w:rsidRDefault="00046851" w:rsidP="004F1B17">
            <w:pPr>
              <w:spacing w:before="40" w:after="40"/>
              <w:jc w:val="left"/>
              <w:rPr>
                <w:rFonts w:ascii="Arial Narrow" w:hAnsi="Arial Narrow"/>
                <w:i/>
                <w:snapToGrid/>
                <w:sz w:val="20"/>
                <w:szCs w:val="20"/>
                <w:lang w:eastAsia="en-AU"/>
              </w:rPr>
            </w:pPr>
            <w:r w:rsidRPr="004F1B17">
              <w:rPr>
                <w:rFonts w:ascii="Arial Narrow" w:hAnsi="Arial Narrow"/>
                <w:i/>
                <w:snapToGrid/>
                <w:sz w:val="20"/>
                <w:szCs w:val="20"/>
                <w:lang w:eastAsia="en-AU"/>
              </w:rPr>
              <w:t>Reply Paid 9826</w:t>
            </w:r>
          </w:p>
          <w:p w:rsidR="00046851" w:rsidRPr="004F1B17" w:rsidRDefault="00046851" w:rsidP="004F1B17">
            <w:pPr>
              <w:spacing w:before="40" w:after="40"/>
              <w:jc w:val="left"/>
              <w:rPr>
                <w:rFonts w:ascii="Arial Narrow" w:hAnsi="Arial Narrow"/>
                <w:i/>
                <w:snapToGrid/>
                <w:sz w:val="20"/>
                <w:szCs w:val="20"/>
                <w:lang w:eastAsia="en-AU"/>
              </w:rPr>
            </w:pPr>
            <w:r w:rsidRPr="004F1B17">
              <w:rPr>
                <w:rFonts w:ascii="Arial Narrow" w:hAnsi="Arial Narrow"/>
                <w:i/>
                <w:snapToGrid/>
                <w:sz w:val="20"/>
                <w:szCs w:val="20"/>
                <w:lang w:eastAsia="en-AU"/>
              </w:rPr>
              <w:t>HOBART TAS 7001</w:t>
            </w:r>
          </w:p>
          <w:p w:rsidR="00046851" w:rsidRPr="004F1B17" w:rsidRDefault="00046851" w:rsidP="004F1B17">
            <w:pPr>
              <w:spacing w:before="40" w:after="40"/>
              <w:jc w:val="left"/>
              <w:rPr>
                <w:rFonts w:ascii="Arial Narrow" w:hAnsi="Arial Narrow"/>
                <w:i/>
                <w:snapToGrid/>
                <w:sz w:val="20"/>
                <w:szCs w:val="20"/>
                <w:lang w:eastAsia="en-AU"/>
              </w:rPr>
            </w:pPr>
            <w:r w:rsidRPr="004F1B17">
              <w:rPr>
                <w:rFonts w:ascii="Arial Narrow" w:hAnsi="Arial Narrow"/>
                <w:i/>
                <w:snapToGrid/>
                <w:sz w:val="20"/>
                <w:szCs w:val="20"/>
                <w:lang w:eastAsia="en-AU"/>
              </w:rPr>
              <w:t>Special Pricing Arrangements apply.</w:t>
            </w:r>
          </w:p>
          <w:p w:rsidR="00046851" w:rsidRPr="004F1B17" w:rsidRDefault="00046851" w:rsidP="004F1B17">
            <w:pPr>
              <w:spacing w:before="40" w:after="40"/>
              <w:jc w:val="left"/>
              <w:rPr>
                <w:rFonts w:ascii="Arial Narrow" w:hAnsi="Arial Narrow"/>
                <w:i/>
                <w:snapToGrid/>
                <w:sz w:val="20"/>
                <w:szCs w:val="20"/>
                <w:lang w:eastAsia="en-AU"/>
              </w:rPr>
            </w:pPr>
            <w:r w:rsidRPr="004F1B17">
              <w:rPr>
                <w:rFonts w:ascii="Arial Narrow" w:hAnsi="Arial Narrow"/>
                <w:i/>
                <w:snapToGrid/>
                <w:sz w:val="20"/>
                <w:szCs w:val="20"/>
                <w:lang w:eastAsia="en-AU"/>
              </w:rPr>
              <w:t xml:space="preserve">Pharmaceutical benefits that have the form ranibizumab 0.165 mL injection syringe </w:t>
            </w:r>
            <w:r w:rsidRPr="004F1B17">
              <w:rPr>
                <w:rFonts w:ascii="Arial Narrow" w:hAnsi="Arial Narrow"/>
                <w:i/>
                <w:snapToGrid/>
                <w:sz w:val="20"/>
                <w:szCs w:val="20"/>
                <w:lang w:eastAsia="en-AU"/>
              </w:rPr>
              <w:lastRenderedPageBreak/>
              <w:t xml:space="preserve">and pharmaceutical benefits that have the form ranibizumab 0.23 mL injection vial are equivalent for the purposes of substitution. </w:t>
            </w:r>
          </w:p>
        </w:tc>
      </w:tr>
    </w:tbl>
    <w:p w:rsidR="00FB1389" w:rsidRDefault="00FB1389" w:rsidP="00046851">
      <w:pPr>
        <w:widowControl/>
        <w:jc w:val="left"/>
        <w:rPr>
          <w:rFonts w:asciiTheme="minorHAnsi" w:hAnsiTheme="minorHAnsi"/>
          <w:snapToGrid/>
          <w:sz w:val="20"/>
          <w:szCs w:val="20"/>
          <w:lang w:eastAsia="en-AU"/>
        </w:rPr>
      </w:pPr>
    </w:p>
    <w:tbl>
      <w:tblPr>
        <w:tblW w:w="5000" w:type="pct"/>
        <w:tblLook w:val="0000" w:firstRow="0" w:lastRow="0" w:firstColumn="0" w:lastColumn="0" w:noHBand="0" w:noVBand="0"/>
      </w:tblPr>
      <w:tblGrid>
        <w:gridCol w:w="2843"/>
        <w:gridCol w:w="6400"/>
      </w:tblGrid>
      <w:tr w:rsidR="00046851" w:rsidRPr="004F1B17" w:rsidTr="002075A7">
        <w:trPr>
          <w:cantSplit/>
          <w:trHeight w:val="360"/>
        </w:trPr>
        <w:tc>
          <w:tcPr>
            <w:tcW w:w="1538" w:type="pct"/>
            <w:tcBorders>
              <w:top w:val="single" w:sz="4" w:space="0" w:color="auto"/>
              <w:left w:val="single" w:sz="4" w:space="0" w:color="auto"/>
              <w:bottom w:val="single" w:sz="4" w:space="0" w:color="auto"/>
              <w:right w:val="single" w:sz="4" w:space="0" w:color="auto"/>
            </w:tcBorders>
          </w:tcPr>
          <w:p w:rsidR="00046851" w:rsidRPr="004F1B17" w:rsidRDefault="00FB1389" w:rsidP="00AF57E0">
            <w:pPr>
              <w:widowControl/>
              <w:rPr>
                <w:rFonts w:ascii="Arial Narrow" w:hAnsi="Arial Narrow"/>
                <w:b/>
                <w:snapToGrid/>
                <w:sz w:val="20"/>
                <w:szCs w:val="20"/>
                <w:lang w:eastAsia="en-AU"/>
              </w:rPr>
            </w:pPr>
            <w:r w:rsidRPr="004F1B17">
              <w:rPr>
                <w:rFonts w:ascii="Arial Narrow" w:hAnsi="Arial Narrow"/>
                <w:snapToGrid/>
                <w:sz w:val="20"/>
                <w:szCs w:val="20"/>
                <w:lang w:eastAsia="en-AU"/>
              </w:rPr>
              <w:br w:type="page"/>
            </w:r>
            <w:r w:rsidR="00046851" w:rsidRPr="004F1B17">
              <w:rPr>
                <w:rFonts w:ascii="Arial Narrow" w:hAnsi="Arial Narrow"/>
                <w:b/>
                <w:snapToGrid/>
                <w:sz w:val="20"/>
                <w:szCs w:val="20"/>
                <w:lang w:eastAsia="en-AU"/>
              </w:rPr>
              <w:t xml:space="preserve">Category / </w:t>
            </w:r>
          </w:p>
          <w:p w:rsidR="00046851" w:rsidRPr="004F1B17" w:rsidRDefault="00046851" w:rsidP="00AF57E0">
            <w:pPr>
              <w:widowControl/>
              <w:rPr>
                <w:rFonts w:ascii="Arial Narrow" w:hAnsi="Arial Narrow"/>
                <w:b/>
                <w:snapToGrid/>
                <w:sz w:val="20"/>
                <w:szCs w:val="20"/>
                <w:lang w:eastAsia="en-AU"/>
              </w:rPr>
            </w:pPr>
            <w:r w:rsidRPr="004F1B17">
              <w:rPr>
                <w:rFonts w:ascii="Arial Narrow" w:hAnsi="Arial Narrow"/>
                <w:b/>
                <w:snapToGrid/>
                <w:sz w:val="20"/>
                <w:szCs w:val="20"/>
                <w:lang w:eastAsia="en-AU"/>
              </w:rPr>
              <w:t>Program</w:t>
            </w:r>
          </w:p>
        </w:tc>
        <w:tc>
          <w:tcPr>
            <w:tcW w:w="3462" w:type="pct"/>
            <w:tcBorders>
              <w:top w:val="single" w:sz="4" w:space="0" w:color="auto"/>
              <w:left w:val="single" w:sz="4" w:space="0" w:color="auto"/>
              <w:bottom w:val="single" w:sz="4" w:space="0" w:color="auto"/>
              <w:right w:val="single" w:sz="4" w:space="0" w:color="auto"/>
            </w:tcBorders>
          </w:tcPr>
          <w:p w:rsidR="00046851" w:rsidRPr="004F1B17" w:rsidRDefault="00046851" w:rsidP="00AF57E0">
            <w:pPr>
              <w:widowControl/>
              <w:jc w:val="left"/>
              <w:rPr>
                <w:rFonts w:ascii="Arial Narrow" w:hAnsi="Arial Narrow"/>
                <w:snapToGrid/>
                <w:sz w:val="20"/>
                <w:szCs w:val="20"/>
                <w:lang w:eastAsia="en-AU"/>
              </w:rPr>
            </w:pPr>
            <w:r w:rsidRPr="004F1B17">
              <w:rPr>
                <w:rFonts w:ascii="Arial Narrow" w:hAnsi="Arial Narrow"/>
                <w:snapToGrid/>
                <w:sz w:val="20"/>
                <w:szCs w:val="20"/>
                <w:lang w:eastAsia="en-AU"/>
              </w:rPr>
              <w:t>GENERAL – General Schedule (Code GE)</w:t>
            </w:r>
          </w:p>
          <w:p w:rsidR="00046851" w:rsidRPr="004F1B17" w:rsidRDefault="00046851" w:rsidP="00AF57E0">
            <w:pPr>
              <w:widowControl/>
              <w:jc w:val="left"/>
              <w:rPr>
                <w:rFonts w:ascii="Arial Narrow" w:hAnsi="Arial Narrow"/>
                <w:snapToGrid/>
                <w:sz w:val="20"/>
                <w:szCs w:val="20"/>
                <w:lang w:eastAsia="en-AU"/>
              </w:rPr>
            </w:pPr>
          </w:p>
        </w:tc>
      </w:tr>
      <w:tr w:rsidR="00046851" w:rsidRPr="004F1B17" w:rsidTr="002075A7">
        <w:trPr>
          <w:cantSplit/>
          <w:trHeight w:val="360"/>
        </w:trPr>
        <w:tc>
          <w:tcPr>
            <w:tcW w:w="1538" w:type="pct"/>
            <w:tcBorders>
              <w:top w:val="single" w:sz="4" w:space="0" w:color="auto"/>
              <w:left w:val="single" w:sz="4" w:space="0" w:color="auto"/>
              <w:bottom w:val="single" w:sz="4" w:space="0" w:color="auto"/>
              <w:right w:val="single" w:sz="4" w:space="0" w:color="auto"/>
            </w:tcBorders>
          </w:tcPr>
          <w:p w:rsidR="00046851" w:rsidRPr="004F1B17" w:rsidRDefault="00046851" w:rsidP="00AF57E0">
            <w:pPr>
              <w:widowControl/>
              <w:rPr>
                <w:rFonts w:ascii="Arial Narrow" w:hAnsi="Arial Narrow"/>
                <w:b/>
                <w:snapToGrid/>
                <w:sz w:val="20"/>
                <w:szCs w:val="20"/>
                <w:lang w:eastAsia="en-AU"/>
              </w:rPr>
            </w:pPr>
            <w:r w:rsidRPr="004F1B17">
              <w:rPr>
                <w:rFonts w:ascii="Arial Narrow" w:hAnsi="Arial Narrow"/>
                <w:b/>
                <w:snapToGrid/>
                <w:sz w:val="20"/>
                <w:szCs w:val="20"/>
                <w:lang w:eastAsia="en-AU"/>
              </w:rPr>
              <w:t>Prescriber type:</w:t>
            </w:r>
          </w:p>
          <w:p w:rsidR="00046851" w:rsidRPr="004F1B17" w:rsidRDefault="00046851" w:rsidP="00AF57E0">
            <w:pPr>
              <w:widowControl/>
              <w:rPr>
                <w:rFonts w:ascii="Arial Narrow" w:hAnsi="Arial Narrow"/>
                <w:b/>
                <w:snapToGrid/>
                <w:sz w:val="20"/>
                <w:szCs w:val="20"/>
                <w:lang w:eastAsia="en-AU"/>
              </w:rPr>
            </w:pPr>
          </w:p>
        </w:tc>
        <w:tc>
          <w:tcPr>
            <w:tcW w:w="3462" w:type="pct"/>
            <w:tcBorders>
              <w:top w:val="single" w:sz="4" w:space="0" w:color="auto"/>
              <w:left w:val="single" w:sz="4" w:space="0" w:color="auto"/>
              <w:bottom w:val="single" w:sz="4" w:space="0" w:color="auto"/>
              <w:right w:val="single" w:sz="4" w:space="0" w:color="auto"/>
            </w:tcBorders>
          </w:tcPr>
          <w:p w:rsidR="00046851" w:rsidRPr="004F1B17" w:rsidRDefault="00046851" w:rsidP="00AF57E0">
            <w:pPr>
              <w:widowControl/>
              <w:jc w:val="left"/>
              <w:rPr>
                <w:rFonts w:ascii="Arial Narrow" w:hAnsi="Arial Narrow"/>
                <w:snapToGrid/>
                <w:sz w:val="20"/>
                <w:szCs w:val="20"/>
                <w:lang w:eastAsia="en-AU"/>
              </w:rPr>
            </w:pPr>
            <w:r w:rsidRPr="004F1B17">
              <w:rPr>
                <w:rFonts w:ascii="Arial Narrow" w:hAnsi="Arial Narrow"/>
                <w:snapToGrid/>
                <w:sz w:val="20"/>
                <w:szCs w:val="20"/>
                <w:lang w:eastAsia="en-AU"/>
              </w:rPr>
              <w:fldChar w:fldCharType="begin">
                <w:ffData>
                  <w:name w:val="Check1"/>
                  <w:enabled/>
                  <w:calcOnExit w:val="0"/>
                  <w:checkBox>
                    <w:sizeAuto/>
                    <w:default w:val="0"/>
                  </w:checkBox>
                </w:ffData>
              </w:fldChar>
            </w:r>
            <w:r w:rsidRPr="004F1B17">
              <w:rPr>
                <w:rFonts w:ascii="Arial Narrow" w:hAnsi="Arial Narrow"/>
                <w:snapToGrid/>
                <w:sz w:val="20"/>
                <w:szCs w:val="20"/>
                <w:lang w:eastAsia="en-AU"/>
              </w:rPr>
              <w:instrText xml:space="preserve"> FORMCHECKBOX </w:instrText>
            </w:r>
            <w:r w:rsidR="00D20955">
              <w:rPr>
                <w:rFonts w:ascii="Arial Narrow" w:hAnsi="Arial Narrow"/>
                <w:snapToGrid/>
                <w:sz w:val="20"/>
                <w:szCs w:val="20"/>
                <w:lang w:eastAsia="en-AU"/>
              </w:rPr>
            </w:r>
            <w:r w:rsidR="00D20955">
              <w:rPr>
                <w:rFonts w:ascii="Arial Narrow" w:hAnsi="Arial Narrow"/>
                <w:snapToGrid/>
                <w:sz w:val="20"/>
                <w:szCs w:val="20"/>
                <w:lang w:eastAsia="en-AU"/>
              </w:rPr>
              <w:fldChar w:fldCharType="separate"/>
            </w:r>
            <w:r w:rsidRPr="004F1B17">
              <w:rPr>
                <w:rFonts w:ascii="Arial Narrow" w:hAnsi="Arial Narrow"/>
                <w:snapToGrid/>
                <w:sz w:val="20"/>
                <w:szCs w:val="20"/>
                <w:lang w:eastAsia="en-AU"/>
              </w:rPr>
              <w:fldChar w:fldCharType="end"/>
            </w:r>
            <w:r w:rsidRPr="004F1B17">
              <w:rPr>
                <w:rFonts w:ascii="Arial Narrow" w:hAnsi="Arial Narrow"/>
                <w:snapToGrid/>
                <w:sz w:val="20"/>
                <w:szCs w:val="20"/>
                <w:lang w:eastAsia="en-AU"/>
              </w:rPr>
              <w:t xml:space="preserve">Dental  </w:t>
            </w:r>
            <w:r w:rsidRPr="004F1B17">
              <w:rPr>
                <w:rFonts w:ascii="Arial Narrow" w:hAnsi="Arial Narrow"/>
                <w:snapToGrid/>
                <w:sz w:val="20"/>
                <w:szCs w:val="20"/>
                <w:lang w:eastAsia="en-AU"/>
              </w:rPr>
              <w:fldChar w:fldCharType="begin">
                <w:ffData>
                  <w:name w:val=""/>
                  <w:enabled/>
                  <w:calcOnExit w:val="0"/>
                  <w:checkBox>
                    <w:sizeAuto/>
                    <w:default w:val="1"/>
                  </w:checkBox>
                </w:ffData>
              </w:fldChar>
            </w:r>
            <w:r w:rsidRPr="004F1B17">
              <w:rPr>
                <w:rFonts w:ascii="Arial Narrow" w:hAnsi="Arial Narrow"/>
                <w:snapToGrid/>
                <w:sz w:val="20"/>
                <w:szCs w:val="20"/>
                <w:lang w:eastAsia="en-AU"/>
              </w:rPr>
              <w:instrText xml:space="preserve"> FORMCHECKBOX </w:instrText>
            </w:r>
            <w:r w:rsidR="00D20955">
              <w:rPr>
                <w:rFonts w:ascii="Arial Narrow" w:hAnsi="Arial Narrow"/>
                <w:snapToGrid/>
                <w:sz w:val="20"/>
                <w:szCs w:val="20"/>
                <w:lang w:eastAsia="en-AU"/>
              </w:rPr>
            </w:r>
            <w:r w:rsidR="00D20955">
              <w:rPr>
                <w:rFonts w:ascii="Arial Narrow" w:hAnsi="Arial Narrow"/>
                <w:snapToGrid/>
                <w:sz w:val="20"/>
                <w:szCs w:val="20"/>
                <w:lang w:eastAsia="en-AU"/>
              </w:rPr>
              <w:fldChar w:fldCharType="separate"/>
            </w:r>
            <w:r w:rsidRPr="004F1B17">
              <w:rPr>
                <w:rFonts w:ascii="Arial Narrow" w:hAnsi="Arial Narrow"/>
                <w:snapToGrid/>
                <w:sz w:val="20"/>
                <w:szCs w:val="20"/>
                <w:lang w:eastAsia="en-AU"/>
              </w:rPr>
              <w:fldChar w:fldCharType="end"/>
            </w:r>
            <w:r w:rsidRPr="004F1B17">
              <w:rPr>
                <w:rFonts w:ascii="Arial Narrow" w:hAnsi="Arial Narrow"/>
                <w:snapToGrid/>
                <w:sz w:val="20"/>
                <w:szCs w:val="20"/>
                <w:lang w:eastAsia="en-AU"/>
              </w:rPr>
              <w:t xml:space="preserve">Medical Practitioners  </w:t>
            </w:r>
            <w:r w:rsidRPr="004F1B17">
              <w:rPr>
                <w:rFonts w:ascii="Arial Narrow" w:hAnsi="Arial Narrow"/>
                <w:snapToGrid/>
                <w:sz w:val="20"/>
                <w:szCs w:val="20"/>
                <w:lang w:eastAsia="en-AU"/>
              </w:rPr>
              <w:fldChar w:fldCharType="begin">
                <w:ffData>
                  <w:name w:val="Check3"/>
                  <w:enabled/>
                  <w:calcOnExit w:val="0"/>
                  <w:checkBox>
                    <w:sizeAuto/>
                    <w:default w:val="0"/>
                  </w:checkBox>
                </w:ffData>
              </w:fldChar>
            </w:r>
            <w:r w:rsidRPr="004F1B17">
              <w:rPr>
                <w:rFonts w:ascii="Arial Narrow" w:hAnsi="Arial Narrow"/>
                <w:snapToGrid/>
                <w:sz w:val="20"/>
                <w:szCs w:val="20"/>
                <w:lang w:eastAsia="en-AU"/>
              </w:rPr>
              <w:instrText xml:space="preserve"> FORMCHECKBOX </w:instrText>
            </w:r>
            <w:r w:rsidR="00D20955">
              <w:rPr>
                <w:rFonts w:ascii="Arial Narrow" w:hAnsi="Arial Narrow"/>
                <w:snapToGrid/>
                <w:sz w:val="20"/>
                <w:szCs w:val="20"/>
                <w:lang w:eastAsia="en-AU"/>
              </w:rPr>
            </w:r>
            <w:r w:rsidR="00D20955">
              <w:rPr>
                <w:rFonts w:ascii="Arial Narrow" w:hAnsi="Arial Narrow"/>
                <w:snapToGrid/>
                <w:sz w:val="20"/>
                <w:szCs w:val="20"/>
                <w:lang w:eastAsia="en-AU"/>
              </w:rPr>
              <w:fldChar w:fldCharType="separate"/>
            </w:r>
            <w:r w:rsidRPr="004F1B17">
              <w:rPr>
                <w:rFonts w:ascii="Arial Narrow" w:hAnsi="Arial Narrow"/>
                <w:snapToGrid/>
                <w:sz w:val="20"/>
                <w:szCs w:val="20"/>
                <w:lang w:eastAsia="en-AU"/>
              </w:rPr>
              <w:fldChar w:fldCharType="end"/>
            </w:r>
            <w:r w:rsidRPr="004F1B17">
              <w:rPr>
                <w:rFonts w:ascii="Arial Narrow" w:hAnsi="Arial Narrow"/>
                <w:snapToGrid/>
                <w:sz w:val="20"/>
                <w:szCs w:val="20"/>
                <w:lang w:eastAsia="en-AU"/>
              </w:rPr>
              <w:t xml:space="preserve">Nurse practitioners  </w:t>
            </w:r>
            <w:r w:rsidRPr="004F1B17">
              <w:rPr>
                <w:rFonts w:ascii="Arial Narrow" w:hAnsi="Arial Narrow"/>
                <w:snapToGrid/>
                <w:sz w:val="20"/>
                <w:szCs w:val="20"/>
                <w:lang w:eastAsia="en-AU"/>
              </w:rPr>
              <w:fldChar w:fldCharType="begin">
                <w:ffData>
                  <w:name w:val=""/>
                  <w:enabled/>
                  <w:calcOnExit w:val="0"/>
                  <w:checkBox>
                    <w:sizeAuto/>
                    <w:default w:val="0"/>
                  </w:checkBox>
                </w:ffData>
              </w:fldChar>
            </w:r>
            <w:r w:rsidRPr="004F1B17">
              <w:rPr>
                <w:rFonts w:ascii="Arial Narrow" w:hAnsi="Arial Narrow"/>
                <w:snapToGrid/>
                <w:sz w:val="20"/>
                <w:szCs w:val="20"/>
                <w:lang w:eastAsia="en-AU"/>
              </w:rPr>
              <w:instrText xml:space="preserve"> FORMCHECKBOX </w:instrText>
            </w:r>
            <w:r w:rsidR="00D20955">
              <w:rPr>
                <w:rFonts w:ascii="Arial Narrow" w:hAnsi="Arial Narrow"/>
                <w:snapToGrid/>
                <w:sz w:val="20"/>
                <w:szCs w:val="20"/>
                <w:lang w:eastAsia="en-AU"/>
              </w:rPr>
            </w:r>
            <w:r w:rsidR="00D20955">
              <w:rPr>
                <w:rFonts w:ascii="Arial Narrow" w:hAnsi="Arial Narrow"/>
                <w:snapToGrid/>
                <w:sz w:val="20"/>
                <w:szCs w:val="20"/>
                <w:lang w:eastAsia="en-AU"/>
              </w:rPr>
              <w:fldChar w:fldCharType="separate"/>
            </w:r>
            <w:r w:rsidRPr="004F1B17">
              <w:rPr>
                <w:rFonts w:ascii="Arial Narrow" w:hAnsi="Arial Narrow"/>
                <w:snapToGrid/>
                <w:sz w:val="20"/>
                <w:szCs w:val="20"/>
                <w:lang w:eastAsia="en-AU"/>
              </w:rPr>
              <w:fldChar w:fldCharType="end"/>
            </w:r>
            <w:r w:rsidRPr="004F1B17">
              <w:rPr>
                <w:rFonts w:ascii="Arial Narrow" w:hAnsi="Arial Narrow"/>
                <w:snapToGrid/>
                <w:sz w:val="20"/>
                <w:szCs w:val="20"/>
                <w:lang w:eastAsia="en-AU"/>
              </w:rPr>
              <w:t>Optometrists</w:t>
            </w:r>
          </w:p>
          <w:p w:rsidR="00046851" w:rsidRPr="004F1B17" w:rsidRDefault="00046851" w:rsidP="00AF57E0">
            <w:pPr>
              <w:widowControl/>
              <w:jc w:val="left"/>
              <w:rPr>
                <w:rFonts w:ascii="Arial Narrow" w:hAnsi="Arial Narrow"/>
                <w:snapToGrid/>
                <w:sz w:val="20"/>
                <w:szCs w:val="20"/>
                <w:lang w:eastAsia="en-AU"/>
              </w:rPr>
            </w:pPr>
            <w:r w:rsidRPr="004F1B17">
              <w:rPr>
                <w:rFonts w:ascii="Arial Narrow" w:hAnsi="Arial Narrow"/>
                <w:snapToGrid/>
                <w:sz w:val="20"/>
                <w:szCs w:val="20"/>
                <w:lang w:eastAsia="en-AU"/>
              </w:rPr>
              <w:fldChar w:fldCharType="begin">
                <w:ffData>
                  <w:name w:val="Check5"/>
                  <w:enabled/>
                  <w:calcOnExit w:val="0"/>
                  <w:checkBox>
                    <w:sizeAuto/>
                    <w:default w:val="0"/>
                  </w:checkBox>
                </w:ffData>
              </w:fldChar>
            </w:r>
            <w:r w:rsidRPr="004F1B17">
              <w:rPr>
                <w:rFonts w:ascii="Arial Narrow" w:hAnsi="Arial Narrow"/>
                <w:snapToGrid/>
                <w:sz w:val="20"/>
                <w:szCs w:val="20"/>
                <w:lang w:eastAsia="en-AU"/>
              </w:rPr>
              <w:instrText xml:space="preserve"> FORMCHECKBOX </w:instrText>
            </w:r>
            <w:r w:rsidR="00D20955">
              <w:rPr>
                <w:rFonts w:ascii="Arial Narrow" w:hAnsi="Arial Narrow"/>
                <w:snapToGrid/>
                <w:sz w:val="20"/>
                <w:szCs w:val="20"/>
                <w:lang w:eastAsia="en-AU"/>
              </w:rPr>
            </w:r>
            <w:r w:rsidR="00D20955">
              <w:rPr>
                <w:rFonts w:ascii="Arial Narrow" w:hAnsi="Arial Narrow"/>
                <w:snapToGrid/>
                <w:sz w:val="20"/>
                <w:szCs w:val="20"/>
                <w:lang w:eastAsia="en-AU"/>
              </w:rPr>
              <w:fldChar w:fldCharType="separate"/>
            </w:r>
            <w:r w:rsidRPr="004F1B17">
              <w:rPr>
                <w:rFonts w:ascii="Arial Narrow" w:hAnsi="Arial Narrow"/>
                <w:snapToGrid/>
                <w:sz w:val="20"/>
                <w:szCs w:val="20"/>
                <w:lang w:eastAsia="en-AU"/>
              </w:rPr>
              <w:fldChar w:fldCharType="end"/>
            </w:r>
            <w:r w:rsidRPr="004F1B17">
              <w:rPr>
                <w:rFonts w:ascii="Arial Narrow" w:hAnsi="Arial Narrow"/>
                <w:snapToGrid/>
                <w:sz w:val="20"/>
                <w:szCs w:val="20"/>
                <w:lang w:eastAsia="en-AU"/>
              </w:rPr>
              <w:t>Midwives</w:t>
            </w:r>
          </w:p>
        </w:tc>
      </w:tr>
      <w:tr w:rsidR="00046851" w:rsidRPr="004F1B17" w:rsidTr="002075A7">
        <w:trPr>
          <w:cantSplit/>
          <w:trHeight w:val="360"/>
        </w:trPr>
        <w:tc>
          <w:tcPr>
            <w:tcW w:w="1538" w:type="pct"/>
            <w:tcBorders>
              <w:top w:val="single" w:sz="4" w:space="0" w:color="auto"/>
              <w:left w:val="single" w:sz="4" w:space="0" w:color="auto"/>
              <w:bottom w:val="single" w:sz="4" w:space="0" w:color="auto"/>
              <w:right w:val="single" w:sz="4" w:space="0" w:color="auto"/>
            </w:tcBorders>
          </w:tcPr>
          <w:p w:rsidR="00046851" w:rsidRPr="004F1B17" w:rsidRDefault="00046851" w:rsidP="00AF57E0">
            <w:pPr>
              <w:widowControl/>
              <w:rPr>
                <w:rFonts w:ascii="Arial Narrow" w:hAnsi="Arial Narrow"/>
                <w:b/>
                <w:snapToGrid/>
                <w:sz w:val="20"/>
                <w:szCs w:val="20"/>
                <w:lang w:eastAsia="en-AU"/>
              </w:rPr>
            </w:pPr>
            <w:r w:rsidRPr="004F1B17">
              <w:rPr>
                <w:rFonts w:ascii="Arial Narrow" w:hAnsi="Arial Narrow"/>
                <w:b/>
                <w:snapToGrid/>
                <w:sz w:val="20"/>
                <w:szCs w:val="20"/>
                <w:lang w:eastAsia="en-AU"/>
              </w:rPr>
              <w:t>Condition:</w:t>
            </w:r>
          </w:p>
        </w:tc>
        <w:tc>
          <w:tcPr>
            <w:tcW w:w="3462" w:type="pct"/>
            <w:tcBorders>
              <w:top w:val="single" w:sz="4" w:space="0" w:color="auto"/>
              <w:left w:val="single" w:sz="4" w:space="0" w:color="auto"/>
              <w:bottom w:val="single" w:sz="4" w:space="0" w:color="auto"/>
              <w:right w:val="single" w:sz="4" w:space="0" w:color="auto"/>
            </w:tcBorders>
          </w:tcPr>
          <w:p w:rsidR="00046851" w:rsidRPr="004F1B17" w:rsidRDefault="00046851" w:rsidP="00AF57E0">
            <w:pPr>
              <w:widowControl/>
              <w:jc w:val="left"/>
              <w:rPr>
                <w:rFonts w:ascii="Arial Narrow" w:hAnsi="Arial Narrow"/>
                <w:snapToGrid/>
                <w:sz w:val="20"/>
                <w:szCs w:val="20"/>
                <w:lang w:eastAsia="en-AU"/>
              </w:rPr>
            </w:pPr>
            <w:r w:rsidRPr="004F1B17">
              <w:rPr>
                <w:rFonts w:ascii="Arial Narrow" w:hAnsi="Arial Narrow"/>
                <w:snapToGrid/>
                <w:sz w:val="20"/>
                <w:szCs w:val="20"/>
                <w:lang w:eastAsia="en-AU"/>
              </w:rPr>
              <w:t xml:space="preserve">Subfoveal choroidal neovascularisation </w:t>
            </w:r>
          </w:p>
        </w:tc>
      </w:tr>
      <w:tr w:rsidR="00046851" w:rsidRPr="004F1B17" w:rsidTr="000551CF">
        <w:trPr>
          <w:cantSplit/>
          <w:trHeight w:val="394"/>
        </w:trPr>
        <w:tc>
          <w:tcPr>
            <w:tcW w:w="1538" w:type="pct"/>
            <w:tcBorders>
              <w:top w:val="single" w:sz="4" w:space="0" w:color="auto"/>
              <w:left w:val="single" w:sz="4" w:space="0" w:color="auto"/>
              <w:bottom w:val="single" w:sz="4" w:space="0" w:color="auto"/>
              <w:right w:val="single" w:sz="4" w:space="0" w:color="auto"/>
            </w:tcBorders>
          </w:tcPr>
          <w:p w:rsidR="00046851" w:rsidRPr="004F1B17" w:rsidRDefault="00046851" w:rsidP="00AF57E0">
            <w:pPr>
              <w:widowControl/>
              <w:rPr>
                <w:rFonts w:ascii="Arial Narrow" w:hAnsi="Arial Narrow"/>
                <w:b/>
                <w:snapToGrid/>
                <w:sz w:val="20"/>
                <w:szCs w:val="20"/>
                <w:lang w:eastAsia="en-AU"/>
              </w:rPr>
            </w:pPr>
            <w:r w:rsidRPr="004F1B17">
              <w:rPr>
                <w:rFonts w:ascii="Arial Narrow" w:hAnsi="Arial Narrow"/>
                <w:b/>
                <w:snapToGrid/>
                <w:sz w:val="20"/>
                <w:szCs w:val="20"/>
                <w:lang w:eastAsia="en-AU"/>
              </w:rPr>
              <w:t>PBS Indication:</w:t>
            </w:r>
          </w:p>
        </w:tc>
        <w:tc>
          <w:tcPr>
            <w:tcW w:w="3462" w:type="pct"/>
            <w:tcBorders>
              <w:top w:val="single" w:sz="4" w:space="0" w:color="auto"/>
              <w:left w:val="single" w:sz="4" w:space="0" w:color="auto"/>
              <w:bottom w:val="single" w:sz="4" w:space="0" w:color="auto"/>
              <w:right w:val="single" w:sz="4" w:space="0" w:color="auto"/>
            </w:tcBorders>
          </w:tcPr>
          <w:p w:rsidR="00046851" w:rsidRPr="004F1B17" w:rsidRDefault="00046851" w:rsidP="00AF57E0">
            <w:pPr>
              <w:widowControl/>
              <w:jc w:val="left"/>
              <w:rPr>
                <w:rFonts w:ascii="Arial Narrow" w:hAnsi="Arial Narrow"/>
                <w:snapToGrid/>
                <w:sz w:val="20"/>
                <w:szCs w:val="20"/>
                <w:lang w:eastAsia="en-AU"/>
              </w:rPr>
            </w:pPr>
            <w:r w:rsidRPr="004F1B17">
              <w:rPr>
                <w:rFonts w:ascii="Arial Narrow" w:hAnsi="Arial Narrow"/>
                <w:snapToGrid/>
                <w:sz w:val="20"/>
                <w:szCs w:val="20"/>
                <w:lang w:eastAsia="en-AU"/>
              </w:rPr>
              <w:t xml:space="preserve">Subfoveal choroidal neovascularisation </w:t>
            </w:r>
          </w:p>
        </w:tc>
      </w:tr>
      <w:tr w:rsidR="00046851" w:rsidRPr="004F1B17" w:rsidTr="000551CF">
        <w:trPr>
          <w:cantSplit/>
          <w:trHeight w:val="221"/>
        </w:trPr>
        <w:tc>
          <w:tcPr>
            <w:tcW w:w="1538" w:type="pct"/>
            <w:tcBorders>
              <w:top w:val="single" w:sz="4" w:space="0" w:color="auto"/>
              <w:left w:val="single" w:sz="4" w:space="0" w:color="auto"/>
              <w:bottom w:val="single" w:sz="4" w:space="0" w:color="auto"/>
              <w:right w:val="single" w:sz="4" w:space="0" w:color="auto"/>
            </w:tcBorders>
          </w:tcPr>
          <w:p w:rsidR="00046851" w:rsidRPr="004F1B17" w:rsidRDefault="00046851" w:rsidP="00AF57E0">
            <w:pPr>
              <w:widowControl/>
              <w:rPr>
                <w:rFonts w:ascii="Arial Narrow" w:hAnsi="Arial Narrow"/>
                <w:b/>
                <w:snapToGrid/>
                <w:sz w:val="20"/>
                <w:szCs w:val="20"/>
                <w:lang w:eastAsia="en-AU"/>
              </w:rPr>
            </w:pPr>
            <w:r w:rsidRPr="004F1B17">
              <w:rPr>
                <w:rFonts w:ascii="Arial Narrow" w:hAnsi="Arial Narrow"/>
                <w:b/>
                <w:snapToGrid/>
                <w:sz w:val="20"/>
                <w:szCs w:val="20"/>
                <w:lang w:eastAsia="en-AU"/>
              </w:rPr>
              <w:t>Treatment phase:</w:t>
            </w:r>
          </w:p>
        </w:tc>
        <w:tc>
          <w:tcPr>
            <w:tcW w:w="3462" w:type="pct"/>
            <w:tcBorders>
              <w:top w:val="single" w:sz="4" w:space="0" w:color="auto"/>
              <w:left w:val="single" w:sz="4" w:space="0" w:color="auto"/>
              <w:bottom w:val="single" w:sz="4" w:space="0" w:color="auto"/>
              <w:right w:val="single" w:sz="4" w:space="0" w:color="auto"/>
            </w:tcBorders>
          </w:tcPr>
          <w:p w:rsidR="00046851" w:rsidRPr="004F1B17" w:rsidRDefault="00046851" w:rsidP="00AF57E0">
            <w:pPr>
              <w:widowControl/>
              <w:jc w:val="left"/>
              <w:rPr>
                <w:rFonts w:ascii="Arial Narrow" w:hAnsi="Arial Narrow"/>
                <w:snapToGrid/>
                <w:sz w:val="20"/>
                <w:szCs w:val="20"/>
                <w:lang w:eastAsia="en-AU"/>
              </w:rPr>
            </w:pPr>
            <w:r w:rsidRPr="004F1B17">
              <w:rPr>
                <w:rFonts w:ascii="Arial Narrow" w:hAnsi="Arial Narrow"/>
                <w:snapToGrid/>
                <w:sz w:val="20"/>
                <w:szCs w:val="20"/>
                <w:lang w:eastAsia="en-AU"/>
              </w:rPr>
              <w:t xml:space="preserve">Continuing treatment  </w:t>
            </w:r>
          </w:p>
        </w:tc>
      </w:tr>
      <w:tr w:rsidR="00046851" w:rsidRPr="004F1B17" w:rsidTr="002075A7">
        <w:trPr>
          <w:cantSplit/>
          <w:trHeight w:val="360"/>
        </w:trPr>
        <w:tc>
          <w:tcPr>
            <w:tcW w:w="1538" w:type="pct"/>
            <w:tcBorders>
              <w:top w:val="single" w:sz="4" w:space="0" w:color="auto"/>
              <w:left w:val="single" w:sz="4" w:space="0" w:color="auto"/>
              <w:bottom w:val="single" w:sz="4" w:space="0" w:color="auto"/>
              <w:right w:val="single" w:sz="4" w:space="0" w:color="auto"/>
            </w:tcBorders>
          </w:tcPr>
          <w:p w:rsidR="00046851" w:rsidRPr="004F1B17" w:rsidRDefault="00046851" w:rsidP="00AF57E0">
            <w:pPr>
              <w:widowControl/>
              <w:rPr>
                <w:rFonts w:ascii="Arial Narrow" w:hAnsi="Arial Narrow"/>
                <w:b/>
                <w:snapToGrid/>
                <w:sz w:val="20"/>
                <w:szCs w:val="20"/>
                <w:lang w:eastAsia="en-AU"/>
              </w:rPr>
            </w:pPr>
            <w:r w:rsidRPr="004F1B17">
              <w:rPr>
                <w:rFonts w:ascii="Arial Narrow" w:hAnsi="Arial Narrow"/>
                <w:b/>
                <w:snapToGrid/>
                <w:sz w:val="20"/>
                <w:szCs w:val="20"/>
                <w:lang w:eastAsia="en-AU"/>
              </w:rPr>
              <w:t>Restriction Level / Method:</w:t>
            </w:r>
          </w:p>
          <w:p w:rsidR="00046851" w:rsidRPr="004F1B17" w:rsidRDefault="00046851" w:rsidP="00AF57E0">
            <w:pPr>
              <w:widowControl/>
              <w:jc w:val="left"/>
              <w:rPr>
                <w:rFonts w:ascii="Arial Narrow" w:hAnsi="Arial Narrow"/>
                <w:i/>
                <w:snapToGrid/>
                <w:sz w:val="20"/>
                <w:szCs w:val="20"/>
                <w:highlight w:val="yellow"/>
                <w:lang w:eastAsia="en-AU"/>
              </w:rPr>
            </w:pPr>
          </w:p>
          <w:p w:rsidR="00046851" w:rsidRPr="004F1B17" w:rsidRDefault="00046851" w:rsidP="00AF57E0">
            <w:pPr>
              <w:widowControl/>
              <w:jc w:val="left"/>
              <w:rPr>
                <w:rFonts w:ascii="Arial Narrow" w:hAnsi="Arial Narrow"/>
                <w:i/>
                <w:snapToGrid/>
                <w:sz w:val="20"/>
                <w:szCs w:val="20"/>
                <w:lang w:eastAsia="en-AU"/>
              </w:rPr>
            </w:pPr>
          </w:p>
          <w:p w:rsidR="00046851" w:rsidRPr="004F1B17" w:rsidRDefault="00046851" w:rsidP="00AF57E0">
            <w:pPr>
              <w:widowControl/>
              <w:jc w:val="left"/>
              <w:rPr>
                <w:rFonts w:ascii="Arial Narrow" w:hAnsi="Arial Narrow"/>
                <w:i/>
                <w:snapToGrid/>
                <w:sz w:val="20"/>
                <w:szCs w:val="20"/>
                <w:lang w:eastAsia="en-AU"/>
              </w:rPr>
            </w:pPr>
          </w:p>
        </w:tc>
        <w:tc>
          <w:tcPr>
            <w:tcW w:w="3462" w:type="pct"/>
            <w:tcBorders>
              <w:top w:val="single" w:sz="4" w:space="0" w:color="auto"/>
              <w:left w:val="single" w:sz="4" w:space="0" w:color="auto"/>
              <w:bottom w:val="single" w:sz="4" w:space="0" w:color="auto"/>
              <w:right w:val="single" w:sz="4" w:space="0" w:color="auto"/>
            </w:tcBorders>
          </w:tcPr>
          <w:p w:rsidR="00046851" w:rsidRPr="004F1B17" w:rsidRDefault="00046851" w:rsidP="00AF57E0">
            <w:pPr>
              <w:widowControl/>
              <w:jc w:val="left"/>
              <w:rPr>
                <w:rFonts w:ascii="Arial Narrow" w:hAnsi="Arial Narrow"/>
                <w:snapToGrid/>
                <w:sz w:val="20"/>
                <w:szCs w:val="20"/>
                <w:lang w:eastAsia="en-AU"/>
              </w:rPr>
            </w:pPr>
            <w:r w:rsidRPr="004F1B17">
              <w:rPr>
                <w:rFonts w:ascii="Arial Narrow" w:hAnsi="Arial Narrow"/>
                <w:snapToGrid/>
                <w:sz w:val="20"/>
                <w:szCs w:val="20"/>
                <w:lang w:eastAsia="en-AU"/>
              </w:rPr>
              <w:fldChar w:fldCharType="begin">
                <w:ffData>
                  <w:name w:val="Check1"/>
                  <w:enabled/>
                  <w:calcOnExit w:val="0"/>
                  <w:checkBox>
                    <w:sizeAuto/>
                    <w:default w:val="0"/>
                  </w:checkBox>
                </w:ffData>
              </w:fldChar>
            </w:r>
            <w:r w:rsidRPr="004F1B17">
              <w:rPr>
                <w:rFonts w:ascii="Arial Narrow" w:hAnsi="Arial Narrow"/>
                <w:snapToGrid/>
                <w:sz w:val="20"/>
                <w:szCs w:val="20"/>
                <w:lang w:eastAsia="en-AU"/>
              </w:rPr>
              <w:instrText xml:space="preserve"> FORMCHECKBOX </w:instrText>
            </w:r>
            <w:r w:rsidR="00D20955">
              <w:rPr>
                <w:rFonts w:ascii="Arial Narrow" w:hAnsi="Arial Narrow"/>
                <w:snapToGrid/>
                <w:sz w:val="20"/>
                <w:szCs w:val="20"/>
                <w:lang w:eastAsia="en-AU"/>
              </w:rPr>
            </w:r>
            <w:r w:rsidR="00D20955">
              <w:rPr>
                <w:rFonts w:ascii="Arial Narrow" w:hAnsi="Arial Narrow"/>
                <w:snapToGrid/>
                <w:sz w:val="20"/>
                <w:szCs w:val="20"/>
                <w:lang w:eastAsia="en-AU"/>
              </w:rPr>
              <w:fldChar w:fldCharType="separate"/>
            </w:r>
            <w:r w:rsidRPr="004F1B17">
              <w:rPr>
                <w:rFonts w:ascii="Arial Narrow" w:hAnsi="Arial Narrow"/>
                <w:snapToGrid/>
                <w:sz w:val="20"/>
                <w:szCs w:val="20"/>
                <w:lang w:eastAsia="en-AU"/>
              </w:rPr>
              <w:fldChar w:fldCharType="end"/>
            </w:r>
            <w:r w:rsidRPr="004F1B17">
              <w:rPr>
                <w:rFonts w:ascii="Arial Narrow" w:hAnsi="Arial Narrow"/>
                <w:snapToGrid/>
                <w:sz w:val="20"/>
                <w:szCs w:val="20"/>
                <w:lang w:eastAsia="en-AU"/>
              </w:rPr>
              <w:t>Restricted benefit</w:t>
            </w:r>
          </w:p>
          <w:p w:rsidR="00046851" w:rsidRPr="004F1B17" w:rsidRDefault="00046851" w:rsidP="00AF57E0">
            <w:pPr>
              <w:widowControl/>
              <w:jc w:val="left"/>
              <w:rPr>
                <w:rFonts w:ascii="Arial Narrow" w:hAnsi="Arial Narrow"/>
                <w:snapToGrid/>
                <w:sz w:val="20"/>
                <w:szCs w:val="20"/>
                <w:lang w:eastAsia="en-AU"/>
              </w:rPr>
            </w:pPr>
            <w:r w:rsidRPr="004F1B17">
              <w:rPr>
                <w:rFonts w:ascii="Arial Narrow" w:hAnsi="Arial Narrow"/>
                <w:snapToGrid/>
                <w:sz w:val="20"/>
                <w:szCs w:val="20"/>
                <w:lang w:eastAsia="en-AU"/>
              </w:rPr>
              <w:fldChar w:fldCharType="begin">
                <w:ffData>
                  <w:name w:val=""/>
                  <w:enabled/>
                  <w:calcOnExit w:val="0"/>
                  <w:checkBox>
                    <w:sizeAuto/>
                    <w:default w:val="0"/>
                  </w:checkBox>
                </w:ffData>
              </w:fldChar>
            </w:r>
            <w:r w:rsidRPr="004F1B17">
              <w:rPr>
                <w:rFonts w:ascii="Arial Narrow" w:hAnsi="Arial Narrow"/>
                <w:snapToGrid/>
                <w:sz w:val="20"/>
                <w:szCs w:val="20"/>
                <w:lang w:eastAsia="en-AU"/>
              </w:rPr>
              <w:instrText xml:space="preserve"> FORMCHECKBOX </w:instrText>
            </w:r>
            <w:r w:rsidR="00D20955">
              <w:rPr>
                <w:rFonts w:ascii="Arial Narrow" w:hAnsi="Arial Narrow"/>
                <w:snapToGrid/>
                <w:sz w:val="20"/>
                <w:szCs w:val="20"/>
                <w:lang w:eastAsia="en-AU"/>
              </w:rPr>
            </w:r>
            <w:r w:rsidR="00D20955">
              <w:rPr>
                <w:rFonts w:ascii="Arial Narrow" w:hAnsi="Arial Narrow"/>
                <w:snapToGrid/>
                <w:sz w:val="20"/>
                <w:szCs w:val="20"/>
                <w:lang w:eastAsia="en-AU"/>
              </w:rPr>
              <w:fldChar w:fldCharType="separate"/>
            </w:r>
            <w:r w:rsidRPr="004F1B17">
              <w:rPr>
                <w:rFonts w:ascii="Arial Narrow" w:hAnsi="Arial Narrow"/>
                <w:snapToGrid/>
                <w:sz w:val="20"/>
                <w:szCs w:val="20"/>
                <w:lang w:eastAsia="en-AU"/>
              </w:rPr>
              <w:fldChar w:fldCharType="end"/>
            </w:r>
            <w:r w:rsidRPr="004F1B17">
              <w:rPr>
                <w:rFonts w:ascii="Arial Narrow" w:hAnsi="Arial Narrow"/>
                <w:snapToGrid/>
                <w:sz w:val="20"/>
                <w:szCs w:val="20"/>
                <w:lang w:eastAsia="en-AU"/>
              </w:rPr>
              <w:t>Authority Required - In Writing</w:t>
            </w:r>
          </w:p>
          <w:p w:rsidR="00046851" w:rsidRPr="004F1B17" w:rsidRDefault="00046851" w:rsidP="00AF57E0">
            <w:pPr>
              <w:widowControl/>
              <w:jc w:val="left"/>
              <w:rPr>
                <w:rFonts w:ascii="Arial Narrow" w:hAnsi="Arial Narrow"/>
                <w:snapToGrid/>
                <w:sz w:val="20"/>
                <w:szCs w:val="20"/>
                <w:lang w:eastAsia="en-AU"/>
              </w:rPr>
            </w:pPr>
            <w:r w:rsidRPr="004F1B17">
              <w:rPr>
                <w:rFonts w:ascii="Arial Narrow" w:hAnsi="Arial Narrow"/>
                <w:snapToGrid/>
                <w:sz w:val="20"/>
                <w:szCs w:val="20"/>
                <w:lang w:eastAsia="en-AU"/>
              </w:rPr>
              <w:fldChar w:fldCharType="begin">
                <w:ffData>
                  <w:name w:val="Check3"/>
                  <w:enabled/>
                  <w:calcOnExit w:val="0"/>
                  <w:checkBox>
                    <w:sizeAuto/>
                    <w:default w:val="1"/>
                  </w:checkBox>
                </w:ffData>
              </w:fldChar>
            </w:r>
            <w:r w:rsidRPr="004F1B17">
              <w:rPr>
                <w:rFonts w:ascii="Arial Narrow" w:hAnsi="Arial Narrow"/>
                <w:snapToGrid/>
                <w:sz w:val="20"/>
                <w:szCs w:val="20"/>
                <w:lang w:eastAsia="en-AU"/>
              </w:rPr>
              <w:instrText xml:space="preserve"> FORMCHECKBOX </w:instrText>
            </w:r>
            <w:r w:rsidR="00D20955">
              <w:rPr>
                <w:rFonts w:ascii="Arial Narrow" w:hAnsi="Arial Narrow"/>
                <w:snapToGrid/>
                <w:sz w:val="20"/>
                <w:szCs w:val="20"/>
                <w:lang w:eastAsia="en-AU"/>
              </w:rPr>
            </w:r>
            <w:r w:rsidR="00D20955">
              <w:rPr>
                <w:rFonts w:ascii="Arial Narrow" w:hAnsi="Arial Narrow"/>
                <w:snapToGrid/>
                <w:sz w:val="20"/>
                <w:szCs w:val="20"/>
                <w:lang w:eastAsia="en-AU"/>
              </w:rPr>
              <w:fldChar w:fldCharType="separate"/>
            </w:r>
            <w:r w:rsidRPr="004F1B17">
              <w:rPr>
                <w:rFonts w:ascii="Arial Narrow" w:hAnsi="Arial Narrow"/>
                <w:snapToGrid/>
                <w:sz w:val="20"/>
                <w:szCs w:val="20"/>
                <w:lang w:eastAsia="en-AU"/>
              </w:rPr>
              <w:fldChar w:fldCharType="end"/>
            </w:r>
            <w:r w:rsidRPr="004F1B17">
              <w:rPr>
                <w:rFonts w:ascii="Arial Narrow" w:hAnsi="Arial Narrow"/>
                <w:snapToGrid/>
                <w:sz w:val="20"/>
                <w:szCs w:val="20"/>
                <w:lang w:eastAsia="en-AU"/>
              </w:rPr>
              <w:t>Authority Required - Telephone</w:t>
            </w:r>
          </w:p>
          <w:p w:rsidR="00046851" w:rsidRPr="004F1B17" w:rsidRDefault="00046851" w:rsidP="00AF57E0">
            <w:pPr>
              <w:widowControl/>
              <w:jc w:val="left"/>
              <w:rPr>
                <w:rFonts w:ascii="Arial Narrow" w:hAnsi="Arial Narrow"/>
                <w:snapToGrid/>
                <w:sz w:val="20"/>
                <w:szCs w:val="20"/>
                <w:lang w:eastAsia="en-AU"/>
              </w:rPr>
            </w:pPr>
            <w:r w:rsidRPr="004F1B17">
              <w:rPr>
                <w:rFonts w:ascii="Arial Narrow" w:hAnsi="Arial Narrow"/>
                <w:snapToGrid/>
                <w:sz w:val="20"/>
                <w:szCs w:val="20"/>
                <w:lang w:eastAsia="en-AU"/>
              </w:rPr>
              <w:fldChar w:fldCharType="begin">
                <w:ffData>
                  <w:name w:val=""/>
                  <w:enabled/>
                  <w:calcOnExit w:val="0"/>
                  <w:checkBox>
                    <w:sizeAuto/>
                    <w:default w:val="0"/>
                  </w:checkBox>
                </w:ffData>
              </w:fldChar>
            </w:r>
            <w:r w:rsidRPr="004F1B17">
              <w:rPr>
                <w:rFonts w:ascii="Arial Narrow" w:hAnsi="Arial Narrow"/>
                <w:snapToGrid/>
                <w:sz w:val="20"/>
                <w:szCs w:val="20"/>
                <w:lang w:eastAsia="en-AU"/>
              </w:rPr>
              <w:instrText xml:space="preserve"> FORMCHECKBOX </w:instrText>
            </w:r>
            <w:r w:rsidR="00D20955">
              <w:rPr>
                <w:rFonts w:ascii="Arial Narrow" w:hAnsi="Arial Narrow"/>
                <w:snapToGrid/>
                <w:sz w:val="20"/>
                <w:szCs w:val="20"/>
                <w:lang w:eastAsia="en-AU"/>
              </w:rPr>
            </w:r>
            <w:r w:rsidR="00D20955">
              <w:rPr>
                <w:rFonts w:ascii="Arial Narrow" w:hAnsi="Arial Narrow"/>
                <w:snapToGrid/>
                <w:sz w:val="20"/>
                <w:szCs w:val="20"/>
                <w:lang w:eastAsia="en-AU"/>
              </w:rPr>
              <w:fldChar w:fldCharType="separate"/>
            </w:r>
            <w:r w:rsidRPr="004F1B17">
              <w:rPr>
                <w:rFonts w:ascii="Arial Narrow" w:hAnsi="Arial Narrow"/>
                <w:snapToGrid/>
                <w:sz w:val="20"/>
                <w:szCs w:val="20"/>
                <w:lang w:eastAsia="en-AU"/>
              </w:rPr>
              <w:fldChar w:fldCharType="end"/>
            </w:r>
            <w:r w:rsidRPr="004F1B17">
              <w:rPr>
                <w:rFonts w:ascii="Arial Narrow" w:hAnsi="Arial Narrow"/>
                <w:snapToGrid/>
                <w:sz w:val="20"/>
                <w:szCs w:val="20"/>
                <w:lang w:eastAsia="en-AU"/>
              </w:rPr>
              <w:t>Authority Required - Emergency</w:t>
            </w:r>
          </w:p>
          <w:p w:rsidR="00046851" w:rsidRPr="004F1B17" w:rsidRDefault="00046851" w:rsidP="00AF57E0">
            <w:pPr>
              <w:widowControl/>
              <w:jc w:val="left"/>
              <w:rPr>
                <w:rFonts w:ascii="Arial Narrow" w:hAnsi="Arial Narrow"/>
                <w:snapToGrid/>
                <w:sz w:val="20"/>
                <w:szCs w:val="20"/>
                <w:lang w:eastAsia="en-AU"/>
              </w:rPr>
            </w:pPr>
            <w:r w:rsidRPr="004F1B17">
              <w:rPr>
                <w:rFonts w:ascii="Arial Narrow" w:hAnsi="Arial Narrow"/>
                <w:snapToGrid/>
                <w:sz w:val="20"/>
                <w:szCs w:val="20"/>
                <w:lang w:eastAsia="en-AU"/>
              </w:rPr>
              <w:fldChar w:fldCharType="begin">
                <w:ffData>
                  <w:name w:val="Check5"/>
                  <w:enabled/>
                  <w:calcOnExit w:val="0"/>
                  <w:checkBox>
                    <w:sizeAuto/>
                    <w:default w:val="0"/>
                  </w:checkBox>
                </w:ffData>
              </w:fldChar>
            </w:r>
            <w:r w:rsidRPr="004F1B17">
              <w:rPr>
                <w:rFonts w:ascii="Arial Narrow" w:hAnsi="Arial Narrow"/>
                <w:snapToGrid/>
                <w:sz w:val="20"/>
                <w:szCs w:val="20"/>
                <w:lang w:eastAsia="en-AU"/>
              </w:rPr>
              <w:instrText xml:space="preserve"> FORMCHECKBOX </w:instrText>
            </w:r>
            <w:r w:rsidR="00D20955">
              <w:rPr>
                <w:rFonts w:ascii="Arial Narrow" w:hAnsi="Arial Narrow"/>
                <w:snapToGrid/>
                <w:sz w:val="20"/>
                <w:szCs w:val="20"/>
                <w:lang w:eastAsia="en-AU"/>
              </w:rPr>
            </w:r>
            <w:r w:rsidR="00D20955">
              <w:rPr>
                <w:rFonts w:ascii="Arial Narrow" w:hAnsi="Arial Narrow"/>
                <w:snapToGrid/>
                <w:sz w:val="20"/>
                <w:szCs w:val="20"/>
                <w:lang w:eastAsia="en-AU"/>
              </w:rPr>
              <w:fldChar w:fldCharType="separate"/>
            </w:r>
            <w:r w:rsidRPr="004F1B17">
              <w:rPr>
                <w:rFonts w:ascii="Arial Narrow" w:hAnsi="Arial Narrow"/>
                <w:snapToGrid/>
                <w:sz w:val="20"/>
                <w:szCs w:val="20"/>
                <w:lang w:eastAsia="en-AU"/>
              </w:rPr>
              <w:fldChar w:fldCharType="end"/>
            </w:r>
            <w:r w:rsidRPr="004F1B17">
              <w:rPr>
                <w:rFonts w:ascii="Arial Narrow" w:hAnsi="Arial Narrow"/>
                <w:snapToGrid/>
                <w:sz w:val="20"/>
                <w:szCs w:val="20"/>
                <w:lang w:eastAsia="en-AU"/>
              </w:rPr>
              <w:t>Authority Required - Electronic</w:t>
            </w:r>
          </w:p>
          <w:p w:rsidR="00046851" w:rsidRPr="004F1B17" w:rsidRDefault="00046851" w:rsidP="00AF57E0">
            <w:pPr>
              <w:widowControl/>
              <w:jc w:val="left"/>
              <w:rPr>
                <w:rFonts w:ascii="Arial Narrow" w:hAnsi="Arial Narrow"/>
                <w:snapToGrid/>
                <w:sz w:val="20"/>
                <w:szCs w:val="20"/>
                <w:lang w:eastAsia="en-AU"/>
              </w:rPr>
            </w:pPr>
            <w:r w:rsidRPr="004F1B17">
              <w:rPr>
                <w:rFonts w:ascii="Arial Narrow" w:hAnsi="Arial Narrow"/>
                <w:snapToGrid/>
                <w:sz w:val="20"/>
                <w:szCs w:val="20"/>
                <w:lang w:eastAsia="en-AU"/>
              </w:rPr>
              <w:fldChar w:fldCharType="begin">
                <w:ffData>
                  <w:name w:val="Check5"/>
                  <w:enabled/>
                  <w:calcOnExit w:val="0"/>
                  <w:checkBox>
                    <w:sizeAuto/>
                    <w:default w:val="0"/>
                  </w:checkBox>
                </w:ffData>
              </w:fldChar>
            </w:r>
            <w:r w:rsidRPr="004F1B17">
              <w:rPr>
                <w:rFonts w:ascii="Arial Narrow" w:hAnsi="Arial Narrow"/>
                <w:snapToGrid/>
                <w:sz w:val="20"/>
                <w:szCs w:val="20"/>
                <w:lang w:eastAsia="en-AU"/>
              </w:rPr>
              <w:instrText xml:space="preserve"> FORMCHECKBOX </w:instrText>
            </w:r>
            <w:r w:rsidR="00D20955">
              <w:rPr>
                <w:rFonts w:ascii="Arial Narrow" w:hAnsi="Arial Narrow"/>
                <w:snapToGrid/>
                <w:sz w:val="20"/>
                <w:szCs w:val="20"/>
                <w:lang w:eastAsia="en-AU"/>
              </w:rPr>
            </w:r>
            <w:r w:rsidR="00D20955">
              <w:rPr>
                <w:rFonts w:ascii="Arial Narrow" w:hAnsi="Arial Narrow"/>
                <w:snapToGrid/>
                <w:sz w:val="20"/>
                <w:szCs w:val="20"/>
                <w:lang w:eastAsia="en-AU"/>
              </w:rPr>
              <w:fldChar w:fldCharType="separate"/>
            </w:r>
            <w:r w:rsidRPr="004F1B17">
              <w:rPr>
                <w:rFonts w:ascii="Arial Narrow" w:hAnsi="Arial Narrow"/>
                <w:snapToGrid/>
                <w:sz w:val="20"/>
                <w:szCs w:val="20"/>
                <w:lang w:eastAsia="en-AU"/>
              </w:rPr>
              <w:fldChar w:fldCharType="end"/>
            </w:r>
            <w:r w:rsidRPr="004F1B17">
              <w:rPr>
                <w:rFonts w:ascii="Arial Narrow" w:hAnsi="Arial Narrow"/>
                <w:snapToGrid/>
                <w:sz w:val="20"/>
                <w:szCs w:val="20"/>
                <w:lang w:eastAsia="en-AU"/>
              </w:rPr>
              <w:t>Streamlined</w:t>
            </w:r>
          </w:p>
        </w:tc>
      </w:tr>
      <w:tr w:rsidR="00046851" w:rsidRPr="004F1B17" w:rsidTr="002075A7">
        <w:trPr>
          <w:cantSplit/>
          <w:trHeight w:val="360"/>
        </w:trPr>
        <w:tc>
          <w:tcPr>
            <w:tcW w:w="1538" w:type="pct"/>
            <w:tcBorders>
              <w:top w:val="single" w:sz="4" w:space="0" w:color="auto"/>
              <w:left w:val="single" w:sz="4" w:space="0" w:color="auto"/>
              <w:bottom w:val="single" w:sz="4" w:space="0" w:color="auto"/>
              <w:right w:val="single" w:sz="4" w:space="0" w:color="auto"/>
            </w:tcBorders>
          </w:tcPr>
          <w:p w:rsidR="00046851" w:rsidRPr="004F1B17" w:rsidRDefault="00046851" w:rsidP="00AF57E0">
            <w:pPr>
              <w:widowControl/>
              <w:jc w:val="left"/>
              <w:rPr>
                <w:rFonts w:ascii="Arial Narrow" w:hAnsi="Arial Narrow"/>
                <w:snapToGrid/>
                <w:sz w:val="20"/>
                <w:szCs w:val="20"/>
                <w:lang w:eastAsia="en-AU"/>
              </w:rPr>
            </w:pPr>
            <w:r w:rsidRPr="004F1B17">
              <w:rPr>
                <w:rFonts w:ascii="Arial Narrow" w:hAnsi="Arial Narrow"/>
                <w:b/>
                <w:snapToGrid/>
                <w:sz w:val="20"/>
                <w:szCs w:val="20"/>
                <w:lang w:eastAsia="en-AU"/>
              </w:rPr>
              <w:t>Treatment criteria:</w:t>
            </w:r>
          </w:p>
        </w:tc>
        <w:tc>
          <w:tcPr>
            <w:tcW w:w="3462" w:type="pct"/>
            <w:tcBorders>
              <w:top w:val="single" w:sz="4" w:space="0" w:color="auto"/>
              <w:left w:val="single" w:sz="4" w:space="0" w:color="auto"/>
              <w:bottom w:val="single" w:sz="4" w:space="0" w:color="auto"/>
              <w:right w:val="single" w:sz="4" w:space="0" w:color="auto"/>
            </w:tcBorders>
          </w:tcPr>
          <w:p w:rsidR="00046851" w:rsidRPr="004F1B17" w:rsidRDefault="00046851" w:rsidP="00AF57E0">
            <w:pPr>
              <w:widowControl/>
              <w:jc w:val="left"/>
              <w:rPr>
                <w:rFonts w:ascii="Arial Narrow" w:hAnsi="Arial Narrow"/>
                <w:snapToGrid/>
                <w:sz w:val="20"/>
                <w:szCs w:val="20"/>
                <w:lang w:eastAsia="en-AU"/>
              </w:rPr>
            </w:pPr>
            <w:r w:rsidRPr="004F1B17">
              <w:rPr>
                <w:rFonts w:ascii="Arial Narrow" w:hAnsi="Arial Narrow"/>
                <w:snapToGrid/>
                <w:sz w:val="20"/>
                <w:szCs w:val="20"/>
                <w:lang w:eastAsia="en-AU"/>
              </w:rPr>
              <w:t xml:space="preserve">Must be treated by an ophthalmologist </w:t>
            </w:r>
            <w:r w:rsidRPr="004F1B17">
              <w:rPr>
                <w:rFonts w:ascii="Arial Narrow" w:hAnsi="Arial Narrow"/>
                <w:i/>
                <w:snapToGrid/>
                <w:sz w:val="20"/>
                <w:szCs w:val="20"/>
                <w:lang w:eastAsia="en-AU"/>
              </w:rPr>
              <w:t>or in consultation with an ophthalmologist</w:t>
            </w:r>
            <w:r w:rsidRPr="004F1B17">
              <w:rPr>
                <w:rFonts w:ascii="Arial Narrow" w:hAnsi="Arial Narrow"/>
                <w:snapToGrid/>
                <w:sz w:val="20"/>
                <w:szCs w:val="20"/>
                <w:lang w:eastAsia="en-AU"/>
              </w:rPr>
              <w:t xml:space="preserve">. </w:t>
            </w:r>
          </w:p>
        </w:tc>
      </w:tr>
      <w:tr w:rsidR="00046851" w:rsidRPr="004F1B17" w:rsidTr="002075A7">
        <w:trPr>
          <w:cantSplit/>
          <w:trHeight w:val="360"/>
        </w:trPr>
        <w:tc>
          <w:tcPr>
            <w:tcW w:w="1538" w:type="pct"/>
            <w:tcBorders>
              <w:top w:val="single" w:sz="4" w:space="0" w:color="auto"/>
              <w:left w:val="single" w:sz="4" w:space="0" w:color="auto"/>
              <w:bottom w:val="single" w:sz="4" w:space="0" w:color="auto"/>
              <w:right w:val="single" w:sz="4" w:space="0" w:color="auto"/>
            </w:tcBorders>
          </w:tcPr>
          <w:p w:rsidR="00046851" w:rsidRPr="004F1B17" w:rsidRDefault="00046851" w:rsidP="00AF57E0">
            <w:pPr>
              <w:widowControl/>
              <w:rPr>
                <w:rFonts w:ascii="Arial Narrow" w:hAnsi="Arial Narrow"/>
                <w:b/>
                <w:snapToGrid/>
                <w:sz w:val="20"/>
                <w:szCs w:val="20"/>
                <w:lang w:eastAsia="en-AU"/>
              </w:rPr>
            </w:pPr>
            <w:r w:rsidRPr="004F1B17">
              <w:rPr>
                <w:rFonts w:ascii="Arial Narrow" w:hAnsi="Arial Narrow"/>
                <w:b/>
                <w:snapToGrid/>
                <w:sz w:val="20"/>
                <w:szCs w:val="20"/>
                <w:lang w:eastAsia="en-AU"/>
              </w:rPr>
              <w:t>Clinical criteria:</w:t>
            </w:r>
          </w:p>
          <w:p w:rsidR="00046851" w:rsidRPr="004F1B17" w:rsidRDefault="00046851" w:rsidP="00AF57E0">
            <w:pPr>
              <w:widowControl/>
              <w:rPr>
                <w:rFonts w:ascii="Arial Narrow" w:hAnsi="Arial Narrow"/>
                <w:i/>
                <w:snapToGrid/>
                <w:sz w:val="20"/>
                <w:szCs w:val="20"/>
                <w:lang w:eastAsia="en-AU"/>
              </w:rPr>
            </w:pPr>
          </w:p>
          <w:p w:rsidR="00046851" w:rsidRPr="004F1B17" w:rsidRDefault="00046851" w:rsidP="00AF57E0">
            <w:pPr>
              <w:widowControl/>
              <w:rPr>
                <w:rFonts w:ascii="Arial Narrow" w:hAnsi="Arial Narrow"/>
                <w:snapToGrid/>
                <w:sz w:val="20"/>
                <w:szCs w:val="20"/>
                <w:lang w:eastAsia="en-AU"/>
              </w:rPr>
            </w:pPr>
          </w:p>
        </w:tc>
        <w:tc>
          <w:tcPr>
            <w:tcW w:w="3462" w:type="pct"/>
            <w:tcBorders>
              <w:top w:val="single" w:sz="4" w:space="0" w:color="auto"/>
              <w:left w:val="single" w:sz="4" w:space="0" w:color="auto"/>
              <w:bottom w:val="single" w:sz="4" w:space="0" w:color="auto"/>
              <w:right w:val="single" w:sz="4" w:space="0" w:color="auto"/>
            </w:tcBorders>
          </w:tcPr>
          <w:p w:rsidR="00046851" w:rsidRPr="004F1B17" w:rsidRDefault="00046851" w:rsidP="004F1B17">
            <w:pPr>
              <w:widowControl/>
              <w:spacing w:before="40" w:after="40"/>
              <w:jc w:val="left"/>
              <w:rPr>
                <w:rFonts w:ascii="Arial Narrow" w:hAnsi="Arial Narrow"/>
                <w:snapToGrid/>
                <w:sz w:val="20"/>
                <w:szCs w:val="20"/>
                <w:lang w:eastAsia="en-AU"/>
              </w:rPr>
            </w:pPr>
            <w:r w:rsidRPr="004F1B17">
              <w:rPr>
                <w:rFonts w:ascii="Arial Narrow" w:hAnsi="Arial Narrow"/>
                <w:snapToGrid/>
                <w:sz w:val="20"/>
                <w:szCs w:val="20"/>
                <w:lang w:eastAsia="en-AU"/>
              </w:rPr>
              <w:t xml:space="preserve">The condition must </w:t>
            </w:r>
            <w:r w:rsidRPr="004F1B17">
              <w:rPr>
                <w:rFonts w:ascii="Arial Narrow" w:hAnsi="Arial Narrow"/>
                <w:strike/>
                <w:snapToGrid/>
                <w:sz w:val="20"/>
                <w:szCs w:val="20"/>
                <w:lang w:eastAsia="en-AU"/>
              </w:rPr>
              <w:t>not</w:t>
            </w:r>
            <w:r w:rsidRPr="004F1B17">
              <w:rPr>
                <w:rFonts w:ascii="Arial Narrow" w:hAnsi="Arial Narrow"/>
                <w:snapToGrid/>
                <w:sz w:val="20"/>
                <w:szCs w:val="20"/>
                <w:lang w:eastAsia="en-AU"/>
              </w:rPr>
              <w:t xml:space="preserve"> be due to </w:t>
            </w:r>
            <w:r w:rsidRPr="004F1B17">
              <w:rPr>
                <w:rFonts w:ascii="Arial Narrow" w:hAnsi="Arial Narrow"/>
                <w:i/>
                <w:snapToGrid/>
                <w:sz w:val="20"/>
                <w:szCs w:val="20"/>
                <w:lang w:eastAsia="en-AU"/>
              </w:rPr>
              <w:t>causes other than</w:t>
            </w:r>
            <w:r w:rsidRPr="004F1B17">
              <w:rPr>
                <w:rFonts w:ascii="Arial Narrow" w:hAnsi="Arial Narrow"/>
                <w:snapToGrid/>
                <w:sz w:val="20"/>
                <w:szCs w:val="20"/>
                <w:lang w:eastAsia="en-AU"/>
              </w:rPr>
              <w:t xml:space="preserve"> age-related macular degeneration (AMD) </w:t>
            </w:r>
            <w:r w:rsidRPr="004F1B17">
              <w:rPr>
                <w:rFonts w:ascii="Arial Narrow" w:hAnsi="Arial Narrow"/>
                <w:strike/>
                <w:snapToGrid/>
                <w:sz w:val="20"/>
                <w:szCs w:val="20"/>
                <w:lang w:eastAsia="en-AU"/>
              </w:rPr>
              <w:t>or</w:t>
            </w:r>
            <w:r w:rsidRPr="004F1B17">
              <w:rPr>
                <w:rFonts w:ascii="Arial Narrow" w:hAnsi="Arial Narrow"/>
                <w:snapToGrid/>
                <w:sz w:val="20"/>
                <w:szCs w:val="20"/>
                <w:lang w:eastAsia="en-AU"/>
              </w:rPr>
              <w:t>and pathologic myopia (PM)</w:t>
            </w:r>
          </w:p>
          <w:p w:rsidR="00046851" w:rsidRPr="004F1B17" w:rsidRDefault="00046851" w:rsidP="004F1B17">
            <w:pPr>
              <w:widowControl/>
              <w:spacing w:before="40" w:after="40"/>
              <w:jc w:val="left"/>
              <w:rPr>
                <w:rFonts w:ascii="Arial Narrow" w:hAnsi="Arial Narrow"/>
                <w:snapToGrid/>
                <w:sz w:val="20"/>
                <w:szCs w:val="20"/>
                <w:lang w:eastAsia="en-AU"/>
              </w:rPr>
            </w:pPr>
            <w:r w:rsidRPr="004F1B17">
              <w:rPr>
                <w:rFonts w:ascii="Arial Narrow" w:hAnsi="Arial Narrow"/>
                <w:snapToGrid/>
                <w:sz w:val="20"/>
                <w:szCs w:val="20"/>
                <w:lang w:eastAsia="en-AU"/>
              </w:rPr>
              <w:t>AND</w:t>
            </w:r>
            <w:r w:rsidRPr="004F1B17">
              <w:rPr>
                <w:rFonts w:ascii="Arial Narrow" w:hAnsi="Arial Narrow"/>
                <w:snapToGrid/>
                <w:sz w:val="20"/>
                <w:szCs w:val="20"/>
                <w:lang w:eastAsia="en-AU"/>
              </w:rPr>
              <w:br/>
              <w:t xml:space="preserve">The treatment must be the sole PBS-subsidised therapy for this condition, </w:t>
            </w:r>
          </w:p>
          <w:p w:rsidR="00046851" w:rsidRPr="004F1B17" w:rsidRDefault="00046851" w:rsidP="004F1B17">
            <w:pPr>
              <w:widowControl/>
              <w:spacing w:before="40" w:after="40"/>
              <w:jc w:val="left"/>
              <w:rPr>
                <w:rFonts w:ascii="Arial Narrow" w:hAnsi="Arial Narrow"/>
                <w:snapToGrid/>
                <w:sz w:val="20"/>
                <w:szCs w:val="20"/>
                <w:lang w:eastAsia="en-AU"/>
              </w:rPr>
            </w:pPr>
            <w:r w:rsidRPr="004F1B17">
              <w:rPr>
                <w:rFonts w:ascii="Arial Narrow" w:hAnsi="Arial Narrow"/>
                <w:snapToGrid/>
                <w:sz w:val="20"/>
                <w:szCs w:val="20"/>
                <w:lang w:eastAsia="en-AU"/>
              </w:rPr>
              <w:t xml:space="preserve">AND </w:t>
            </w:r>
          </w:p>
          <w:p w:rsidR="00046851" w:rsidRPr="004F1B17" w:rsidRDefault="00046851" w:rsidP="004F1B17">
            <w:pPr>
              <w:widowControl/>
              <w:spacing w:before="40" w:after="40"/>
              <w:jc w:val="left"/>
              <w:rPr>
                <w:rFonts w:ascii="Arial Narrow" w:hAnsi="Arial Narrow"/>
                <w:snapToGrid/>
                <w:sz w:val="20"/>
                <w:szCs w:val="20"/>
                <w:lang w:eastAsia="en-AU"/>
              </w:rPr>
            </w:pPr>
            <w:r w:rsidRPr="004F1B17">
              <w:rPr>
                <w:rFonts w:ascii="Arial Narrow" w:hAnsi="Arial Narrow"/>
                <w:snapToGrid/>
                <w:sz w:val="20"/>
                <w:szCs w:val="20"/>
                <w:lang w:eastAsia="en-AU"/>
              </w:rPr>
              <w:t>Patient must have previously been granted an authority prescription for the same eye</w:t>
            </w:r>
          </w:p>
        </w:tc>
      </w:tr>
      <w:tr w:rsidR="00046851" w:rsidRPr="004F1B17" w:rsidTr="002075A7">
        <w:trPr>
          <w:cantSplit/>
          <w:trHeight w:val="360"/>
        </w:trPr>
        <w:tc>
          <w:tcPr>
            <w:tcW w:w="1538" w:type="pct"/>
            <w:tcBorders>
              <w:top w:val="single" w:sz="4" w:space="0" w:color="auto"/>
              <w:left w:val="single" w:sz="4" w:space="0" w:color="auto"/>
              <w:bottom w:val="single" w:sz="4" w:space="0" w:color="auto"/>
              <w:right w:val="single" w:sz="4" w:space="0" w:color="auto"/>
            </w:tcBorders>
          </w:tcPr>
          <w:p w:rsidR="00046851" w:rsidRPr="004F1B17" w:rsidRDefault="00046851" w:rsidP="00AF57E0">
            <w:pPr>
              <w:widowControl/>
              <w:rPr>
                <w:rFonts w:ascii="Arial Narrow" w:hAnsi="Arial Narrow"/>
                <w:b/>
                <w:snapToGrid/>
                <w:sz w:val="20"/>
                <w:szCs w:val="20"/>
                <w:lang w:eastAsia="en-AU"/>
              </w:rPr>
            </w:pPr>
            <w:r w:rsidRPr="004F1B17">
              <w:rPr>
                <w:rFonts w:ascii="Arial Narrow" w:hAnsi="Arial Narrow"/>
                <w:b/>
                <w:snapToGrid/>
                <w:sz w:val="20"/>
                <w:szCs w:val="20"/>
                <w:lang w:eastAsia="en-AU"/>
              </w:rPr>
              <w:t>Administrative Advice</w:t>
            </w:r>
          </w:p>
          <w:p w:rsidR="00046851" w:rsidRPr="004F1B17" w:rsidRDefault="00046851" w:rsidP="00AF57E0">
            <w:pPr>
              <w:widowControl/>
              <w:rPr>
                <w:rFonts w:ascii="Arial Narrow" w:hAnsi="Arial Narrow"/>
                <w:i/>
                <w:snapToGrid/>
                <w:sz w:val="20"/>
                <w:szCs w:val="20"/>
                <w:lang w:eastAsia="en-AU"/>
              </w:rPr>
            </w:pPr>
          </w:p>
        </w:tc>
        <w:tc>
          <w:tcPr>
            <w:tcW w:w="3462" w:type="pct"/>
            <w:tcBorders>
              <w:top w:val="single" w:sz="4" w:space="0" w:color="auto"/>
              <w:left w:val="single" w:sz="4" w:space="0" w:color="auto"/>
              <w:bottom w:val="single" w:sz="4" w:space="0" w:color="auto"/>
              <w:right w:val="single" w:sz="4" w:space="0" w:color="auto"/>
            </w:tcBorders>
          </w:tcPr>
          <w:p w:rsidR="00046851" w:rsidRPr="004F1B17" w:rsidRDefault="00046851" w:rsidP="004F1B17">
            <w:pPr>
              <w:widowControl/>
              <w:spacing w:before="40" w:after="40"/>
              <w:jc w:val="left"/>
              <w:rPr>
                <w:rFonts w:ascii="Arial Narrow" w:hAnsi="Arial Narrow"/>
                <w:i/>
                <w:snapToGrid/>
                <w:sz w:val="20"/>
                <w:szCs w:val="20"/>
                <w:lang w:eastAsia="en-AU"/>
              </w:rPr>
            </w:pPr>
            <w:r w:rsidRPr="004F1B17">
              <w:rPr>
                <w:rFonts w:ascii="Arial Narrow" w:hAnsi="Arial Narrow"/>
                <w:i/>
                <w:snapToGrid/>
                <w:sz w:val="20"/>
                <w:szCs w:val="20"/>
                <w:lang w:eastAsia="en-AU"/>
              </w:rPr>
              <w:t>Authority applications for continuing treatment in the same eye may be made by telephone on 1800 700 270 (hours of operation 8 a.m. to 5 p.m. EST Monday to Friday).</w:t>
            </w:r>
          </w:p>
          <w:p w:rsidR="00046851" w:rsidRPr="004F1B17" w:rsidRDefault="00046851" w:rsidP="004F1B17">
            <w:pPr>
              <w:widowControl/>
              <w:spacing w:before="40" w:after="40"/>
              <w:jc w:val="left"/>
              <w:rPr>
                <w:rFonts w:ascii="Arial Narrow" w:hAnsi="Arial Narrow"/>
                <w:i/>
                <w:snapToGrid/>
                <w:sz w:val="20"/>
                <w:szCs w:val="20"/>
                <w:lang w:eastAsia="en-AU"/>
              </w:rPr>
            </w:pPr>
            <w:r w:rsidRPr="004F1B17">
              <w:rPr>
                <w:rFonts w:ascii="Arial Narrow" w:hAnsi="Arial Narrow"/>
                <w:i/>
                <w:snapToGrid/>
                <w:sz w:val="20"/>
                <w:szCs w:val="20"/>
                <w:lang w:eastAsia="en-AU"/>
              </w:rPr>
              <w:t>Special Pricing Arrangements apply.</w:t>
            </w:r>
          </w:p>
          <w:p w:rsidR="00046851" w:rsidRPr="004F1B17" w:rsidRDefault="00046851" w:rsidP="004F1B17">
            <w:pPr>
              <w:widowControl/>
              <w:spacing w:before="40" w:after="40"/>
              <w:jc w:val="left"/>
              <w:rPr>
                <w:rFonts w:ascii="Arial Narrow" w:hAnsi="Arial Narrow"/>
                <w:i/>
                <w:snapToGrid/>
                <w:sz w:val="20"/>
                <w:szCs w:val="20"/>
                <w:lang w:eastAsia="en-AU"/>
              </w:rPr>
            </w:pPr>
            <w:r w:rsidRPr="004F1B17">
              <w:rPr>
                <w:rFonts w:ascii="Arial Narrow" w:hAnsi="Arial Narrow"/>
                <w:i/>
                <w:snapToGrid/>
                <w:sz w:val="20"/>
                <w:szCs w:val="20"/>
                <w:lang w:eastAsia="en-AU"/>
              </w:rPr>
              <w:t>Pharmaceutical benefits that have the form ranibizumab 0.165 mL injection syringe and pharmaceutical benefits that have the form ranibizumab 0.23 mL injection vial are equivalent for the purposes of substitution.</w:t>
            </w:r>
          </w:p>
        </w:tc>
      </w:tr>
    </w:tbl>
    <w:p w:rsidR="000F1DE4" w:rsidRPr="00EB3AF3" w:rsidRDefault="000F1DE4" w:rsidP="00AF16CD">
      <w:pPr>
        <w:widowControl/>
        <w:numPr>
          <w:ilvl w:val="1"/>
          <w:numId w:val="2"/>
        </w:numPr>
        <w:spacing w:before="160" w:after="160"/>
      </w:pPr>
      <w:r w:rsidRPr="00081A92">
        <w:t xml:space="preserve">CNV lesions are classified according to their location relative to the fovea. The fovea is the centre of the macula and is the area of the eye that provides the sharpest vision. </w:t>
      </w:r>
      <w:r w:rsidRPr="00081A92">
        <w:rPr>
          <w:rFonts w:cstheme="minorBidi"/>
        </w:rPr>
        <w:t xml:space="preserve">CNV lesions that are directly under the fovea are described as subfoveal. </w:t>
      </w:r>
      <w:r w:rsidRPr="00EB3AF3">
        <w:rPr>
          <w:rFonts w:cstheme="minorBidi"/>
        </w:rPr>
        <w:t xml:space="preserve">Juxtafoveal and extrafoveal lesions are located adjacent to and away from the fovea, </w:t>
      </w:r>
      <w:r w:rsidR="002074A0" w:rsidRPr="00EB3AF3">
        <w:rPr>
          <w:rFonts w:cstheme="minorBidi"/>
        </w:rPr>
        <w:t>respectively.</w:t>
      </w:r>
    </w:p>
    <w:p w:rsidR="00B21659" w:rsidRPr="00EB3AF3" w:rsidRDefault="000F1DE4" w:rsidP="00B21659">
      <w:pPr>
        <w:widowControl/>
        <w:numPr>
          <w:ilvl w:val="1"/>
          <w:numId w:val="2"/>
        </w:numPr>
        <w:spacing w:after="160"/>
      </w:pPr>
      <w:r w:rsidRPr="00EB3AF3">
        <w:t>The submission requested PBS listing of ranibizumab for the treatment of subfoveal CNV due to causes other than AMD or PM. The TGA indication is for the treatment of visual impairment due to CNV, regardless of the location of the lesion.</w:t>
      </w:r>
    </w:p>
    <w:p w:rsidR="000F1DE4" w:rsidRPr="00EB3AF3" w:rsidRDefault="00B21659" w:rsidP="00B21659">
      <w:pPr>
        <w:widowControl/>
        <w:numPr>
          <w:ilvl w:val="1"/>
          <w:numId w:val="2"/>
        </w:numPr>
        <w:spacing w:after="160"/>
      </w:pPr>
      <w:r w:rsidRPr="00EB3AF3">
        <w:t xml:space="preserve">The submission stated the focus of the submission was subfoveal CNV lesions, because it is these lesions that lead to the visual impairment for which ranibizumab is a registered treatment, and that juxtafoveal and extrafoveal lesions can be successfully </w:t>
      </w:r>
      <w:r w:rsidRPr="00EB3AF3">
        <w:rPr>
          <w:color w:val="000000" w:themeColor="text1"/>
        </w:rPr>
        <w:t>treated by laser photocoagulation.</w:t>
      </w:r>
      <w:r w:rsidRPr="00EB3AF3">
        <w:t xml:space="preserve"> Approximately 38% of patients in the key trial had juxtafoveal or extrafoveal CNV lesions, and the economic analysis was based on the results in the entire trial population. </w:t>
      </w:r>
      <w:r w:rsidR="003B4B48" w:rsidRPr="00EB3AF3">
        <w:t xml:space="preserve">The ESC agreed with the proposal </w:t>
      </w:r>
      <w:r w:rsidR="003B4B48" w:rsidRPr="00EB3AF3">
        <w:lastRenderedPageBreak/>
        <w:t xml:space="preserve">to limit PBS listing to subfoveal CNV as this would effectively target the highest risk group for </w:t>
      </w:r>
      <w:r w:rsidR="00AF16CD" w:rsidRPr="00EB3AF3">
        <w:t xml:space="preserve">more extensive </w:t>
      </w:r>
      <w:r w:rsidR="003B4B48" w:rsidRPr="00EB3AF3">
        <w:t>vision loss.</w:t>
      </w:r>
    </w:p>
    <w:p w:rsidR="00C816E6" w:rsidRPr="00943CF4" w:rsidRDefault="000F1DE4" w:rsidP="00C816E6">
      <w:pPr>
        <w:pStyle w:val="ListParagraph"/>
        <w:widowControl/>
        <w:numPr>
          <w:ilvl w:val="1"/>
          <w:numId w:val="2"/>
        </w:numPr>
      </w:pPr>
      <w:r w:rsidRPr="00EB3AF3">
        <w:t xml:space="preserve">The submission proposed that ranibizumab usage in rare CNV be listed at the same </w:t>
      </w:r>
      <w:r w:rsidRPr="00943CF4">
        <w:t xml:space="preserve">published and effective price as for the treatment of </w:t>
      </w:r>
      <w:r w:rsidR="003F4505" w:rsidRPr="00943CF4">
        <w:t xml:space="preserve">subfoveal </w:t>
      </w:r>
      <w:r w:rsidRPr="00943CF4">
        <w:t>CNV due to AMD, and should be incorporated into the risk sharing arrangement (RSA) negotiated to cover that indication.</w:t>
      </w:r>
      <w:r w:rsidR="00C816E6" w:rsidRPr="00943CF4">
        <w:t xml:space="preserve"> (See Financial Management – Risk Sharing Arrangements, below for more detail).</w:t>
      </w:r>
    </w:p>
    <w:p w:rsidR="000F1DE4" w:rsidRPr="00EB3AF3" w:rsidRDefault="000F1DE4" w:rsidP="000F1DE4">
      <w:pPr>
        <w:widowControl/>
        <w:numPr>
          <w:ilvl w:val="1"/>
          <w:numId w:val="2"/>
        </w:numPr>
        <w:spacing w:after="160"/>
      </w:pPr>
      <w:r w:rsidRPr="00EB3AF3">
        <w:t>The submission did not request a grandfather clause for patients currently receiving compassionate supply of ranibizumab through the sponsor. The requested restriction does not prevent the use of PBS subsidised ranibizumab in these patients.</w:t>
      </w:r>
    </w:p>
    <w:p w:rsidR="00636B27" w:rsidRDefault="000F1DE4" w:rsidP="00636B27">
      <w:pPr>
        <w:widowControl/>
        <w:numPr>
          <w:ilvl w:val="1"/>
          <w:numId w:val="2"/>
        </w:numPr>
        <w:spacing w:after="160"/>
      </w:pPr>
      <w:r w:rsidRPr="00EB3AF3">
        <w:t xml:space="preserve">The current MBS descriptor for optical coherence tomography (OCT) (MBS item 11219) does not include determining whether the requirements for access to initial treatment with ranibizumab for rare CNV under the PBS are fulfilled. </w:t>
      </w:r>
      <w:r w:rsidR="009046DD" w:rsidRPr="00EB3AF3">
        <w:t>The submission stated that the sponsor would seek approval from MSAC to have the MBS item descriptor for OCT broadened to include this population in the event of approval of ranibizumab for listing on the PBS, and the Department has since arranged to coordinate more effectively across the two committees.</w:t>
      </w:r>
    </w:p>
    <w:p w:rsidR="00636B27" w:rsidRPr="00636B27" w:rsidRDefault="00636B27" w:rsidP="00636B27">
      <w:pPr>
        <w:widowControl/>
        <w:spacing w:after="160"/>
        <w:ind w:left="720"/>
        <w:rPr>
          <w:i/>
        </w:rPr>
      </w:pPr>
      <w:r w:rsidRPr="00F64951">
        <w:rPr>
          <w:i/>
        </w:rPr>
        <w:t>For more detail on PBAC’s view, see section 7 PBAC outcome.</w:t>
      </w:r>
    </w:p>
    <w:p w:rsidR="000F1DE4" w:rsidRPr="00F363EE" w:rsidRDefault="000F1DE4" w:rsidP="004F1B17">
      <w:pPr>
        <w:pStyle w:val="PBACHeading1"/>
      </w:pPr>
      <w:bookmarkStart w:id="9" w:name="_Toc500424298"/>
      <w:bookmarkStart w:id="10" w:name="_Toc500757985"/>
      <w:bookmarkStart w:id="11" w:name="_Toc503186253"/>
      <w:r w:rsidRPr="00F363EE">
        <w:t>Background</w:t>
      </w:r>
      <w:bookmarkEnd w:id="9"/>
      <w:bookmarkEnd w:id="10"/>
      <w:bookmarkEnd w:id="11"/>
    </w:p>
    <w:p w:rsidR="000F1DE4" w:rsidRPr="00076F67" w:rsidRDefault="000F1DE4" w:rsidP="00076F67">
      <w:pPr>
        <w:pStyle w:val="Heading2"/>
      </w:pPr>
      <w:r w:rsidRPr="00076F67">
        <w:t>Registration status</w:t>
      </w:r>
    </w:p>
    <w:p w:rsidR="000F1DE4" w:rsidRPr="00F363EE" w:rsidRDefault="000F1DE4" w:rsidP="000F1DE4">
      <w:pPr>
        <w:widowControl/>
        <w:numPr>
          <w:ilvl w:val="1"/>
          <w:numId w:val="2"/>
        </w:numPr>
        <w:spacing w:after="160"/>
      </w:pPr>
      <w:r w:rsidRPr="00F363EE">
        <w:t xml:space="preserve">Ranibizumab </w:t>
      </w:r>
      <w:r>
        <w:t>was</w:t>
      </w:r>
      <w:r w:rsidRPr="00F363EE">
        <w:t xml:space="preserve"> TGA registered for the treatment of visual impairment due to CNV</w:t>
      </w:r>
      <w:r>
        <w:t xml:space="preserve"> </w:t>
      </w:r>
      <w:r w:rsidRPr="006F1B18">
        <w:t>in August 2017.</w:t>
      </w:r>
    </w:p>
    <w:p w:rsidR="000F1DE4" w:rsidRPr="00F363EE" w:rsidRDefault="000F1DE4" w:rsidP="00076F67">
      <w:pPr>
        <w:pStyle w:val="Heading2"/>
      </w:pPr>
      <w:r w:rsidRPr="00F363EE">
        <w:t>Previous PBAC consideration</w:t>
      </w:r>
    </w:p>
    <w:p w:rsidR="00636B27" w:rsidRDefault="000F1DE4" w:rsidP="00636B27">
      <w:pPr>
        <w:widowControl/>
        <w:numPr>
          <w:ilvl w:val="1"/>
          <w:numId w:val="2"/>
        </w:numPr>
        <w:spacing w:after="160"/>
      </w:pPr>
      <w:r w:rsidRPr="00F363EE">
        <w:t xml:space="preserve">Ranibizumab has not been previously considered by the PBAC for </w:t>
      </w:r>
      <w:r>
        <w:t xml:space="preserve">rare </w:t>
      </w:r>
      <w:r w:rsidRPr="00F363EE">
        <w:t xml:space="preserve">subfoveal CNV. Ranibizumab is currently listed on the PBS for the treatment of subfoveal CNV due to AMD, diabetic macular oedema (DME), central retinal vein occlusion </w:t>
      </w:r>
      <w:r>
        <w:t xml:space="preserve">(RVO) </w:t>
      </w:r>
      <w:r w:rsidRPr="00F363EE">
        <w:t>with macular oedema</w:t>
      </w:r>
      <w:r>
        <w:t>,</w:t>
      </w:r>
      <w:r w:rsidRPr="00F363EE">
        <w:t xml:space="preserve"> and branch </w:t>
      </w:r>
      <w:r>
        <w:t>RVO</w:t>
      </w:r>
      <w:r w:rsidR="003F4505">
        <w:t xml:space="preserve"> with macular oedema.</w:t>
      </w:r>
    </w:p>
    <w:p w:rsidR="00636B27" w:rsidRPr="00636B27" w:rsidRDefault="00636B27" w:rsidP="00636B27">
      <w:pPr>
        <w:widowControl/>
        <w:spacing w:after="160"/>
        <w:ind w:left="720"/>
        <w:rPr>
          <w:i/>
        </w:rPr>
      </w:pPr>
      <w:r w:rsidRPr="00F64951">
        <w:rPr>
          <w:i/>
        </w:rPr>
        <w:t>For more detail on PBAC’s view, see section 7 PBAC outcome.</w:t>
      </w:r>
    </w:p>
    <w:p w:rsidR="000F1DE4" w:rsidRPr="00F363EE" w:rsidRDefault="000F1DE4" w:rsidP="004F1B17">
      <w:pPr>
        <w:pStyle w:val="PBACHeading1"/>
      </w:pPr>
      <w:bookmarkStart w:id="12" w:name="_Toc500424299"/>
      <w:bookmarkStart w:id="13" w:name="_Toc500757986"/>
      <w:bookmarkStart w:id="14" w:name="_Toc503186254"/>
      <w:r w:rsidRPr="00F363EE">
        <w:t>Population and disease</w:t>
      </w:r>
      <w:bookmarkEnd w:id="12"/>
      <w:bookmarkEnd w:id="13"/>
      <w:bookmarkEnd w:id="14"/>
    </w:p>
    <w:p w:rsidR="000F1DE4" w:rsidRPr="00EB3AF3" w:rsidRDefault="000F1DE4" w:rsidP="000F1DE4">
      <w:pPr>
        <w:widowControl/>
        <w:numPr>
          <w:ilvl w:val="1"/>
          <w:numId w:val="2"/>
        </w:numPr>
        <w:spacing w:after="160"/>
      </w:pPr>
      <w:r w:rsidRPr="00EB3AF3">
        <w:t>CNV is characterised by the growth of pathologic new blood vessels from the choriocapillaris through a break in the Bruch’s membrane into the space under the retinal pigm</w:t>
      </w:r>
      <w:r w:rsidR="003F4505" w:rsidRPr="00EB3AF3">
        <w:t>ent epithelium or retina.</w:t>
      </w:r>
    </w:p>
    <w:p w:rsidR="000F1DE4" w:rsidRPr="00EB3AF3" w:rsidRDefault="000F1DE4" w:rsidP="000F1DE4">
      <w:pPr>
        <w:widowControl/>
        <w:numPr>
          <w:ilvl w:val="1"/>
          <w:numId w:val="2"/>
        </w:numPr>
        <w:spacing w:after="160"/>
      </w:pPr>
      <w:r w:rsidRPr="00EB3AF3">
        <w:t>Aside from AMD and PM, other causes of CNV are considered rare due to low incidence and prevalence. The submission proposed ranibizumab for the treatment of rare CNV. The submission stated that the most commonly associated conditions are angioid streaks</w:t>
      </w:r>
      <w:r w:rsidR="006B23F5">
        <w:t xml:space="preserve"> (AS)</w:t>
      </w:r>
      <w:r w:rsidRPr="00EB3AF3">
        <w:t xml:space="preserve">, central serous chorioretinopathy (CSC), inflammatory </w:t>
      </w:r>
      <w:r w:rsidRPr="00EB3AF3">
        <w:lastRenderedPageBreak/>
        <w:t>retinochoroidopathies, idiopathic CNV without any apparent ocular or systemic disease, and other causes such as trauma, tumours, and retinal or macular dystrophies.</w:t>
      </w:r>
    </w:p>
    <w:p w:rsidR="00636B27" w:rsidRDefault="000F1DE4" w:rsidP="00636B27">
      <w:pPr>
        <w:widowControl/>
        <w:numPr>
          <w:ilvl w:val="1"/>
          <w:numId w:val="2"/>
        </w:numPr>
        <w:spacing w:after="160"/>
      </w:pPr>
      <w:r w:rsidRPr="00EB3AF3">
        <w:t>Ranibizumab is a vascular endothelial growth factor (VEGF) inhibitor. VE</w:t>
      </w:r>
      <w:r w:rsidR="003F4505" w:rsidRPr="00EB3AF3">
        <w:t>G</w:t>
      </w:r>
      <w:r w:rsidRPr="00EB3AF3">
        <w:t xml:space="preserve">F has been shown to play a critical role in the molecular pathogenesis of CNV, regardless of the primary aetiology. Stimulation of VEGF signalling is critical for </w:t>
      </w:r>
      <w:r w:rsidR="005379E0" w:rsidRPr="00EB3AF3">
        <w:t>of the development of</w:t>
      </w:r>
      <w:r w:rsidRPr="00EB3AF3">
        <w:t xml:space="preserve"> CNV, and VEGF is required for continued growth and leakage of the neovascularisation.</w:t>
      </w:r>
      <w:r w:rsidRPr="00EB3AF3">
        <w:rPr>
          <w:rStyle w:val="FootnoteReference"/>
        </w:rPr>
        <w:footnoteReference w:id="1"/>
      </w:r>
    </w:p>
    <w:p w:rsidR="00636B27" w:rsidRPr="00636B27" w:rsidRDefault="00636B27" w:rsidP="00636B27">
      <w:pPr>
        <w:widowControl/>
        <w:spacing w:after="160"/>
        <w:ind w:left="720"/>
        <w:rPr>
          <w:i/>
        </w:rPr>
      </w:pPr>
      <w:r w:rsidRPr="00F64951">
        <w:rPr>
          <w:i/>
        </w:rPr>
        <w:t>For more detail on PBAC’s view, see section 7 PBAC outcome.</w:t>
      </w:r>
    </w:p>
    <w:p w:rsidR="000F1DE4" w:rsidRPr="00F363EE" w:rsidRDefault="000F1DE4" w:rsidP="004F1B17">
      <w:pPr>
        <w:pStyle w:val="PBACHeading1"/>
      </w:pPr>
      <w:bookmarkStart w:id="15" w:name="_Toc500424300"/>
      <w:bookmarkStart w:id="16" w:name="_Toc500757987"/>
      <w:bookmarkStart w:id="17" w:name="_Toc503186255"/>
      <w:r w:rsidRPr="00F363EE">
        <w:t>Comparator</w:t>
      </w:r>
      <w:bookmarkEnd w:id="15"/>
      <w:bookmarkEnd w:id="16"/>
      <w:bookmarkEnd w:id="17"/>
    </w:p>
    <w:p w:rsidR="000F1DE4" w:rsidRPr="00EB3AF3" w:rsidRDefault="000F1DE4" w:rsidP="000F1DE4">
      <w:pPr>
        <w:widowControl/>
        <w:numPr>
          <w:ilvl w:val="1"/>
          <w:numId w:val="2"/>
        </w:numPr>
        <w:spacing w:after="160"/>
      </w:pPr>
      <w:r w:rsidRPr="00EB3AF3">
        <w:t>The submission nominated sham therapy as the main comparator, on the basis that there is no established standard of care that is efficacious for the full range of patients covered under rare CNV.</w:t>
      </w:r>
    </w:p>
    <w:p w:rsidR="000F1DE4" w:rsidRPr="00EB3AF3" w:rsidRDefault="000F1DE4" w:rsidP="000F1DE4">
      <w:pPr>
        <w:widowControl/>
        <w:numPr>
          <w:ilvl w:val="1"/>
          <w:numId w:val="2"/>
        </w:numPr>
        <w:spacing w:after="160"/>
      </w:pPr>
      <w:r w:rsidRPr="00EB3AF3">
        <w:t>Ranibizumab and verteporfin photodynamic therapy (vPDT) are the only TGA registered drugs for the treatment of CNV due to causes other than AMD or PM. In November 2005, the PBAC did not recommend verteporfin for CNV due to macular diseases other than AMD because of the unacceptably high incremental cost per extra quality-adjusted life year (QALY) gained of more than $200,000, in comparison with placebo (Section 12, verteporfin Public Summary Document (PSD), November 2005 PBAC meeting).</w:t>
      </w:r>
    </w:p>
    <w:p w:rsidR="00636B27" w:rsidRPr="005C12D0" w:rsidRDefault="000F1DE4" w:rsidP="00636B27">
      <w:pPr>
        <w:widowControl/>
        <w:numPr>
          <w:ilvl w:val="1"/>
          <w:numId w:val="2"/>
        </w:numPr>
        <w:spacing w:after="160"/>
      </w:pPr>
      <w:r w:rsidRPr="00EB3AF3">
        <w:t xml:space="preserve">In the absence of an alternative treatment that has been determined to be cost-effective for this indication, </w:t>
      </w:r>
      <w:r w:rsidR="00C816E6" w:rsidRPr="00EB3AF3">
        <w:t>the ESC a</w:t>
      </w:r>
      <w:r w:rsidR="00AF16CD" w:rsidRPr="00EB3AF3">
        <w:t>greed with the submission</w:t>
      </w:r>
      <w:r w:rsidR="00C816E6" w:rsidRPr="00EB3AF3">
        <w:t xml:space="preserve"> that </w:t>
      </w:r>
      <w:r w:rsidRPr="00EB3AF3">
        <w:t>no active CNV treatment (</w:t>
      </w:r>
      <w:r w:rsidR="003F4505" w:rsidRPr="00EB3AF3">
        <w:t xml:space="preserve">represented by </w:t>
      </w:r>
      <w:r w:rsidRPr="00EB3AF3">
        <w:t>sham injection</w:t>
      </w:r>
      <w:r w:rsidR="003F4505" w:rsidRPr="00EB3AF3">
        <w:t xml:space="preserve"> in the trial evidence</w:t>
      </w:r>
      <w:r w:rsidRPr="00EB3AF3">
        <w:t xml:space="preserve">) </w:t>
      </w:r>
      <w:r w:rsidR="00392CAC" w:rsidRPr="00EB3AF3">
        <w:t>is the</w:t>
      </w:r>
      <w:r w:rsidRPr="00EB3AF3">
        <w:t xml:space="preserve"> most relevant comparator for assessing clinical and cost-effectiveness of ranibizumab for the treatment of rare CNV.</w:t>
      </w:r>
      <w:r w:rsidR="00064DB8">
        <w:rPr>
          <w:i/>
        </w:rPr>
        <w:t xml:space="preserve"> </w:t>
      </w:r>
      <w:r w:rsidR="00064DB8" w:rsidRPr="005C12D0">
        <w:t xml:space="preserve">The PBAC considered that sham injection (as a proxy for no treatment) is the appropriate comparator to assess the clinical and cost-effectiveness of ranibizumab for the treatment of rare CNV. </w:t>
      </w:r>
    </w:p>
    <w:p w:rsidR="00636B27" w:rsidRPr="00636B27" w:rsidRDefault="00636B27" w:rsidP="00636B27">
      <w:pPr>
        <w:widowControl/>
        <w:spacing w:after="160"/>
        <w:ind w:left="720"/>
        <w:rPr>
          <w:i/>
        </w:rPr>
      </w:pPr>
      <w:r w:rsidRPr="00064DB8">
        <w:rPr>
          <w:i/>
        </w:rPr>
        <w:t>For more detail on PBAC’s view, see section 7 PBAC outcome.</w:t>
      </w:r>
    </w:p>
    <w:p w:rsidR="000F1DE4" w:rsidRDefault="000F1DE4" w:rsidP="004F1B17">
      <w:pPr>
        <w:pStyle w:val="PBACHeading1"/>
      </w:pPr>
      <w:bookmarkStart w:id="18" w:name="_Toc500424301"/>
      <w:bookmarkStart w:id="19" w:name="_Toc500757988"/>
      <w:bookmarkStart w:id="20" w:name="_Toc503186256"/>
      <w:r w:rsidRPr="00F363EE">
        <w:t>Consideration of the evidence</w:t>
      </w:r>
      <w:bookmarkEnd w:id="18"/>
      <w:bookmarkEnd w:id="19"/>
      <w:bookmarkEnd w:id="20"/>
    </w:p>
    <w:p w:rsidR="00257608" w:rsidRPr="00516C45" w:rsidRDefault="00257608" w:rsidP="00076F67">
      <w:pPr>
        <w:pStyle w:val="Heading2"/>
      </w:pPr>
      <w:r w:rsidRPr="00516C45">
        <w:t>Sponsor hearing</w:t>
      </w:r>
    </w:p>
    <w:p w:rsidR="00257608" w:rsidRPr="00516C45" w:rsidRDefault="00257608" w:rsidP="00257608">
      <w:pPr>
        <w:numPr>
          <w:ilvl w:val="1"/>
          <w:numId w:val="2"/>
        </w:numPr>
        <w:spacing w:after="120"/>
        <w:rPr>
          <w:rFonts w:asciiTheme="minorHAnsi" w:hAnsiTheme="minorHAnsi"/>
          <w:bCs/>
        </w:rPr>
      </w:pPr>
      <w:r w:rsidRPr="00516C45">
        <w:rPr>
          <w:rFonts w:asciiTheme="minorHAnsi" w:hAnsiTheme="minorHAnsi"/>
          <w:bCs/>
        </w:rPr>
        <w:t>There was no hearing for this item.</w:t>
      </w:r>
    </w:p>
    <w:p w:rsidR="00257608" w:rsidRPr="00516C45" w:rsidRDefault="00257608" w:rsidP="00076F67">
      <w:pPr>
        <w:pStyle w:val="Heading2"/>
      </w:pPr>
      <w:r w:rsidRPr="00516C45">
        <w:t>Consumer comments</w:t>
      </w:r>
    </w:p>
    <w:p w:rsidR="00516C45" w:rsidRPr="005C12D0" w:rsidRDefault="00516C45" w:rsidP="00516C45">
      <w:pPr>
        <w:pStyle w:val="ListParagraph"/>
        <w:numPr>
          <w:ilvl w:val="1"/>
          <w:numId w:val="2"/>
        </w:numPr>
        <w:rPr>
          <w:rFonts w:asciiTheme="minorHAnsi" w:hAnsiTheme="minorHAnsi"/>
          <w:bCs/>
        </w:rPr>
      </w:pPr>
      <w:r w:rsidRPr="005C12D0">
        <w:rPr>
          <w:rFonts w:asciiTheme="minorHAnsi" w:hAnsiTheme="minorHAnsi"/>
          <w:bCs/>
        </w:rPr>
        <w:t xml:space="preserve">The PBAC noted and welcomed the input from the Royal Australian and New Zealand </w:t>
      </w:r>
      <w:r w:rsidRPr="005C12D0">
        <w:rPr>
          <w:rFonts w:asciiTheme="minorHAnsi" w:hAnsiTheme="minorHAnsi"/>
          <w:bCs/>
        </w:rPr>
        <w:lastRenderedPageBreak/>
        <w:t>College of Ophthalmologists in support of a listing of ranibizumab for the treatment of patients with rare CNV.</w:t>
      </w:r>
    </w:p>
    <w:p w:rsidR="00BA62CA" w:rsidRPr="001A38E7" w:rsidRDefault="00BA62CA" w:rsidP="00076F67">
      <w:pPr>
        <w:pStyle w:val="Heading2"/>
      </w:pPr>
      <w:r w:rsidRPr="001A38E7">
        <w:t>Clinical trials</w:t>
      </w:r>
      <w:bookmarkEnd w:id="4"/>
      <w:bookmarkEnd w:id="5"/>
    </w:p>
    <w:p w:rsidR="00BA62CA" w:rsidRPr="00F363EE" w:rsidRDefault="00BA62CA" w:rsidP="00FF28DB">
      <w:pPr>
        <w:widowControl/>
        <w:numPr>
          <w:ilvl w:val="1"/>
          <w:numId w:val="2"/>
        </w:numPr>
        <w:spacing w:after="160"/>
      </w:pPr>
      <w:r w:rsidRPr="00F363EE">
        <w:t xml:space="preserve">The submission was based on </w:t>
      </w:r>
      <w:r>
        <w:t>one head-to-head randomised trial</w:t>
      </w:r>
      <w:r w:rsidRPr="00F363EE">
        <w:t xml:space="preserve"> </w:t>
      </w:r>
      <w:r>
        <w:t xml:space="preserve">(MINERVA) </w:t>
      </w:r>
      <w:r w:rsidRPr="00F363EE">
        <w:t xml:space="preserve">comparing ranibizumab </w:t>
      </w:r>
      <w:r>
        <w:t>(N=119) with sham therapy</w:t>
      </w:r>
      <w:r w:rsidRPr="00F363EE">
        <w:t xml:space="preserve"> </w:t>
      </w:r>
      <w:r>
        <w:t xml:space="preserve">(N=59) </w:t>
      </w:r>
      <w:r w:rsidRPr="00F363EE">
        <w:t xml:space="preserve">in patients with </w:t>
      </w:r>
      <w:r>
        <w:t xml:space="preserve">rare </w:t>
      </w:r>
      <w:r w:rsidRPr="00F363EE">
        <w:t>CNV</w:t>
      </w:r>
      <w:r>
        <w:t>.</w:t>
      </w:r>
    </w:p>
    <w:p w:rsidR="00BA62CA" w:rsidRPr="00F363EE" w:rsidRDefault="00BA62CA" w:rsidP="00FF28DB">
      <w:pPr>
        <w:widowControl/>
        <w:numPr>
          <w:ilvl w:val="1"/>
          <w:numId w:val="2"/>
        </w:numPr>
        <w:spacing w:after="160"/>
      </w:pPr>
      <w:r w:rsidRPr="00F363EE">
        <w:rPr>
          <w:rFonts w:cs="Calibri"/>
          <w:snapToGrid/>
          <w:szCs w:val="24"/>
          <w:lang w:val="en-US" w:eastAsia="en-AU"/>
        </w:rPr>
        <w:t>Details of the trial presented in the submission ar</w:t>
      </w:r>
      <w:r w:rsidR="003F4505">
        <w:rPr>
          <w:rFonts w:cs="Calibri"/>
          <w:snapToGrid/>
          <w:szCs w:val="24"/>
          <w:lang w:val="en-US" w:eastAsia="en-AU"/>
        </w:rPr>
        <w:t>e provided in the table below.</w:t>
      </w:r>
    </w:p>
    <w:p w:rsidR="00BA62CA" w:rsidRPr="00F363EE" w:rsidRDefault="00BA62CA" w:rsidP="00BA62CA">
      <w:pPr>
        <w:rPr>
          <w:rFonts w:ascii="Arial Narrow" w:hAnsi="Arial Narrow"/>
          <w:b/>
          <w:sz w:val="20"/>
          <w:szCs w:val="16"/>
        </w:rPr>
      </w:pPr>
      <w:r w:rsidRPr="00F363EE">
        <w:rPr>
          <w:rFonts w:ascii="Arial Narrow" w:hAnsi="Arial Narrow"/>
          <w:b/>
          <w:sz w:val="20"/>
          <w:szCs w:val="16"/>
        </w:rPr>
        <w:t>Table 2: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46"/>
        <w:gridCol w:w="5499"/>
        <w:gridCol w:w="2138"/>
      </w:tblGrid>
      <w:tr w:rsidR="00BA62CA" w:rsidRPr="00B41614" w:rsidTr="007B3E1F">
        <w:trPr>
          <w:tblHeader/>
        </w:trPr>
        <w:tc>
          <w:tcPr>
            <w:tcW w:w="796" w:type="pct"/>
            <w:vAlign w:val="center"/>
          </w:tcPr>
          <w:p w:rsidR="00BA62CA" w:rsidRPr="00B41614" w:rsidRDefault="00BA62CA" w:rsidP="007B3E1F">
            <w:pPr>
              <w:pStyle w:val="Tabletext"/>
              <w:rPr>
                <w:b/>
              </w:rPr>
            </w:pPr>
            <w:r w:rsidRPr="00B41614">
              <w:rPr>
                <w:b/>
              </w:rPr>
              <w:t>Trial ID</w:t>
            </w:r>
          </w:p>
        </w:tc>
        <w:tc>
          <w:tcPr>
            <w:tcW w:w="3027" w:type="pct"/>
            <w:vAlign w:val="center"/>
          </w:tcPr>
          <w:p w:rsidR="00BA62CA" w:rsidRPr="00B41614" w:rsidRDefault="00BA62CA" w:rsidP="007B3E1F">
            <w:pPr>
              <w:pStyle w:val="Tabletext"/>
              <w:jc w:val="center"/>
              <w:rPr>
                <w:b/>
              </w:rPr>
            </w:pPr>
            <w:r w:rsidRPr="00B41614">
              <w:rPr>
                <w:b/>
              </w:rPr>
              <w:t>Protocol title/ Publication title</w:t>
            </w:r>
          </w:p>
        </w:tc>
        <w:tc>
          <w:tcPr>
            <w:tcW w:w="1177" w:type="pct"/>
            <w:vAlign w:val="center"/>
          </w:tcPr>
          <w:p w:rsidR="00BA62CA" w:rsidRPr="00B41614" w:rsidRDefault="00BA62CA" w:rsidP="007B3E1F">
            <w:pPr>
              <w:pStyle w:val="Tabletext"/>
              <w:jc w:val="center"/>
              <w:rPr>
                <w:b/>
              </w:rPr>
            </w:pPr>
            <w:r w:rsidRPr="00B41614">
              <w:rPr>
                <w:b/>
              </w:rPr>
              <w:t>Publication citation</w:t>
            </w:r>
          </w:p>
        </w:tc>
      </w:tr>
      <w:tr w:rsidR="00BA62CA" w:rsidRPr="00CB38A8" w:rsidTr="007B3E1F">
        <w:tc>
          <w:tcPr>
            <w:tcW w:w="796" w:type="pct"/>
            <w:vMerge w:val="restart"/>
            <w:tcBorders>
              <w:top w:val="single" w:sz="4" w:space="0" w:color="auto"/>
            </w:tcBorders>
            <w:vAlign w:val="center"/>
          </w:tcPr>
          <w:p w:rsidR="00BA62CA" w:rsidRPr="00CB38A8" w:rsidRDefault="00BA62CA" w:rsidP="007B3E1F">
            <w:pPr>
              <w:pStyle w:val="Tabletext"/>
            </w:pPr>
            <w:r>
              <w:t>MINERVA</w:t>
            </w:r>
          </w:p>
        </w:tc>
        <w:tc>
          <w:tcPr>
            <w:tcW w:w="3027" w:type="pct"/>
            <w:tcBorders>
              <w:top w:val="single" w:sz="4" w:space="0" w:color="auto"/>
              <w:bottom w:val="single" w:sz="4" w:space="0" w:color="auto"/>
            </w:tcBorders>
            <w:vAlign w:val="center"/>
          </w:tcPr>
          <w:p w:rsidR="00BA62CA" w:rsidRPr="00AB6248" w:rsidRDefault="00BA62CA" w:rsidP="007B3E1F">
            <w:pPr>
              <w:pStyle w:val="Tabletext"/>
              <w:rPr>
                <w:szCs w:val="18"/>
                <w:lang w:val="en-US" w:eastAsia="en-AU"/>
              </w:rPr>
            </w:pPr>
            <w:r>
              <w:rPr>
                <w:szCs w:val="18"/>
                <w:lang w:val="en-US" w:eastAsia="en-AU"/>
              </w:rPr>
              <w:t xml:space="preserve">Clinical Study Report: </w:t>
            </w:r>
            <w:r w:rsidRPr="48D097F3">
              <w:rPr>
                <w:rFonts w:eastAsia="Calibri"/>
              </w:rPr>
              <w:t>A 12-month, randomized, double-masked, sham-controlled, multicenter study to evaluate efficacy and safety of 0.5 mg ranibizumab intravitreal injections in patients with visual impairment due to vascular endothelial growth factor (VEGF) driven choroida</w:t>
            </w:r>
            <w:r>
              <w:rPr>
                <w:rFonts w:eastAsia="Calibri"/>
              </w:rPr>
              <w:t xml:space="preserve">l neovascularization. </w:t>
            </w:r>
          </w:p>
        </w:tc>
        <w:tc>
          <w:tcPr>
            <w:tcW w:w="1177" w:type="pct"/>
            <w:tcBorders>
              <w:top w:val="single" w:sz="4" w:space="0" w:color="auto"/>
              <w:bottom w:val="single" w:sz="4" w:space="0" w:color="auto"/>
            </w:tcBorders>
            <w:vAlign w:val="center"/>
          </w:tcPr>
          <w:p w:rsidR="00BA62CA" w:rsidRPr="00AB6248" w:rsidRDefault="00BA62CA" w:rsidP="007B3E1F">
            <w:pPr>
              <w:pStyle w:val="Tabletext"/>
              <w:rPr>
                <w:szCs w:val="18"/>
                <w:lang w:val="en-US" w:eastAsia="en-AU"/>
              </w:rPr>
            </w:pPr>
            <w:r>
              <w:rPr>
                <w:szCs w:val="18"/>
                <w:lang w:val="en-US" w:eastAsia="en-AU"/>
              </w:rPr>
              <w:t>March 2016</w:t>
            </w:r>
          </w:p>
        </w:tc>
      </w:tr>
      <w:tr w:rsidR="00BA62CA" w:rsidRPr="00CB38A8" w:rsidTr="007B3E1F">
        <w:tc>
          <w:tcPr>
            <w:tcW w:w="796" w:type="pct"/>
            <w:vMerge/>
            <w:vAlign w:val="center"/>
          </w:tcPr>
          <w:p w:rsidR="00BA62CA" w:rsidRDefault="00BA62CA" w:rsidP="007B3E1F">
            <w:pPr>
              <w:pStyle w:val="Tabletext"/>
            </w:pPr>
          </w:p>
        </w:tc>
        <w:tc>
          <w:tcPr>
            <w:tcW w:w="3027" w:type="pct"/>
            <w:tcBorders>
              <w:top w:val="single" w:sz="4" w:space="0" w:color="auto"/>
              <w:bottom w:val="single" w:sz="4" w:space="0" w:color="auto"/>
            </w:tcBorders>
            <w:vAlign w:val="center"/>
          </w:tcPr>
          <w:p w:rsidR="00BA62CA" w:rsidRPr="00AB6248" w:rsidRDefault="00BA62CA" w:rsidP="007B3E1F">
            <w:pPr>
              <w:pStyle w:val="Tabletext"/>
              <w:rPr>
                <w:szCs w:val="18"/>
                <w:lang w:val="en-US" w:eastAsia="en-AU"/>
              </w:rPr>
            </w:pPr>
            <w:r>
              <w:rPr>
                <w:szCs w:val="18"/>
                <w:lang w:val="en-US" w:eastAsia="en-AU"/>
              </w:rPr>
              <w:t xml:space="preserve">Lai TYY, Staurenghi G, et al. </w:t>
            </w:r>
            <w:r w:rsidRPr="00E8310B">
              <w:t>Efficacy and safety of ranibizumab for the treatment of choroidal neovascularization</w:t>
            </w:r>
            <w:r>
              <w:t xml:space="preserve"> due to uncommon cause: Twelve-month results of the MINERVA s</w:t>
            </w:r>
            <w:r w:rsidRPr="00E8310B">
              <w:t>tudy.</w:t>
            </w:r>
          </w:p>
        </w:tc>
        <w:tc>
          <w:tcPr>
            <w:tcW w:w="1177" w:type="pct"/>
            <w:tcBorders>
              <w:top w:val="single" w:sz="4" w:space="0" w:color="auto"/>
              <w:bottom w:val="single" w:sz="4" w:space="0" w:color="auto"/>
            </w:tcBorders>
            <w:vAlign w:val="center"/>
          </w:tcPr>
          <w:p w:rsidR="00BA62CA" w:rsidRPr="000B622D" w:rsidRDefault="00BA62CA" w:rsidP="007B3E1F">
            <w:pPr>
              <w:pStyle w:val="Tabletext"/>
              <w:rPr>
                <w:szCs w:val="18"/>
                <w:lang w:val="en-US" w:eastAsia="en-AU"/>
              </w:rPr>
            </w:pPr>
            <w:r>
              <w:rPr>
                <w:i/>
                <w:szCs w:val="18"/>
                <w:lang w:val="en-US" w:eastAsia="en-AU"/>
              </w:rPr>
              <w:t>Retina</w:t>
            </w:r>
            <w:r>
              <w:rPr>
                <w:szCs w:val="18"/>
                <w:lang w:val="en-US" w:eastAsia="en-AU"/>
              </w:rPr>
              <w:t>. Published ahead of print.</w:t>
            </w:r>
          </w:p>
        </w:tc>
      </w:tr>
      <w:tr w:rsidR="00BA62CA" w:rsidRPr="00CB38A8" w:rsidTr="007B3E1F">
        <w:tc>
          <w:tcPr>
            <w:tcW w:w="796" w:type="pct"/>
            <w:vMerge/>
            <w:vAlign w:val="center"/>
          </w:tcPr>
          <w:p w:rsidR="00BA62CA" w:rsidRDefault="00BA62CA" w:rsidP="007B3E1F">
            <w:pPr>
              <w:pStyle w:val="Tabletext"/>
            </w:pPr>
          </w:p>
        </w:tc>
        <w:tc>
          <w:tcPr>
            <w:tcW w:w="3027" w:type="pct"/>
            <w:tcBorders>
              <w:top w:val="single" w:sz="4" w:space="0" w:color="auto"/>
              <w:bottom w:val="single" w:sz="4" w:space="0" w:color="auto"/>
            </w:tcBorders>
            <w:vAlign w:val="center"/>
          </w:tcPr>
          <w:p w:rsidR="00BA62CA" w:rsidRDefault="00BA62CA" w:rsidP="007B3E1F">
            <w:pPr>
              <w:pStyle w:val="Tabletext"/>
              <w:rPr>
                <w:szCs w:val="18"/>
                <w:lang w:val="en-US" w:eastAsia="en-AU"/>
              </w:rPr>
            </w:pPr>
            <w:r>
              <w:rPr>
                <w:szCs w:val="18"/>
                <w:lang w:val="en-US" w:eastAsia="en-AU"/>
              </w:rPr>
              <w:t xml:space="preserve">Hykin P, et al. </w:t>
            </w:r>
            <w:r w:rsidRPr="00E8310B">
              <w:t>Efficacy and safety of ranibizumab 0.5 mg in adult patients with visual impairment due to choroidal neovascularization associated with rare diseases: 12-month results of the MINERVA study.</w:t>
            </w:r>
          </w:p>
        </w:tc>
        <w:tc>
          <w:tcPr>
            <w:tcW w:w="1177" w:type="pct"/>
            <w:tcBorders>
              <w:top w:val="single" w:sz="4" w:space="0" w:color="auto"/>
              <w:bottom w:val="single" w:sz="4" w:space="0" w:color="auto"/>
            </w:tcBorders>
            <w:vAlign w:val="center"/>
          </w:tcPr>
          <w:p w:rsidR="00BA62CA" w:rsidRPr="004A1730" w:rsidRDefault="00BA62CA" w:rsidP="007B3E1F">
            <w:pPr>
              <w:pStyle w:val="Tabletext"/>
              <w:rPr>
                <w:szCs w:val="18"/>
                <w:lang w:val="en-US" w:eastAsia="en-AU"/>
              </w:rPr>
            </w:pPr>
            <w:r>
              <w:rPr>
                <w:i/>
                <w:szCs w:val="18"/>
                <w:lang w:val="en-US" w:eastAsia="en-AU"/>
              </w:rPr>
              <w:t xml:space="preserve">Ophthalmologica </w:t>
            </w:r>
            <w:r>
              <w:rPr>
                <w:szCs w:val="18"/>
                <w:lang w:val="en-US" w:eastAsia="en-AU"/>
              </w:rPr>
              <w:t>2016; 236: 11-12.</w:t>
            </w:r>
          </w:p>
        </w:tc>
      </w:tr>
      <w:tr w:rsidR="00BA62CA" w:rsidRPr="00CB38A8" w:rsidTr="007B3E1F">
        <w:tc>
          <w:tcPr>
            <w:tcW w:w="796" w:type="pct"/>
            <w:vMerge/>
            <w:tcBorders>
              <w:bottom w:val="single" w:sz="4" w:space="0" w:color="auto"/>
            </w:tcBorders>
            <w:vAlign w:val="center"/>
          </w:tcPr>
          <w:p w:rsidR="00BA62CA" w:rsidRDefault="00BA62CA" w:rsidP="007B3E1F">
            <w:pPr>
              <w:pStyle w:val="Tabletext"/>
            </w:pPr>
          </w:p>
        </w:tc>
        <w:tc>
          <w:tcPr>
            <w:tcW w:w="3027" w:type="pct"/>
            <w:tcBorders>
              <w:top w:val="single" w:sz="4" w:space="0" w:color="auto"/>
              <w:bottom w:val="single" w:sz="4" w:space="0" w:color="auto"/>
            </w:tcBorders>
            <w:vAlign w:val="center"/>
          </w:tcPr>
          <w:p w:rsidR="00BA62CA" w:rsidRDefault="00BA62CA" w:rsidP="007B3E1F">
            <w:pPr>
              <w:pStyle w:val="Tabletext"/>
              <w:rPr>
                <w:szCs w:val="18"/>
                <w:lang w:val="en-US" w:eastAsia="en-AU"/>
              </w:rPr>
            </w:pPr>
            <w:r>
              <w:rPr>
                <w:szCs w:val="18"/>
                <w:lang w:val="en-US" w:eastAsia="en-AU"/>
              </w:rPr>
              <w:t xml:space="preserve">Gilhotra J, et al. </w:t>
            </w:r>
            <w:r w:rsidRPr="00E8310B">
              <w:t>Efficacy</w:t>
            </w:r>
            <w:r>
              <w:t xml:space="preserve"> </w:t>
            </w:r>
            <w:r w:rsidRPr="00E8310B">
              <w:t>and safety of ranibizumab 0.5 mg in adult patients with visual impairment due to choroidal neovascularization associated with rare diseases: 12 month results of the MINERVA study.</w:t>
            </w:r>
          </w:p>
        </w:tc>
        <w:tc>
          <w:tcPr>
            <w:tcW w:w="1177" w:type="pct"/>
            <w:tcBorders>
              <w:top w:val="single" w:sz="4" w:space="0" w:color="auto"/>
              <w:bottom w:val="single" w:sz="4" w:space="0" w:color="auto"/>
            </w:tcBorders>
            <w:vAlign w:val="center"/>
          </w:tcPr>
          <w:p w:rsidR="00BA62CA" w:rsidRPr="004A1730" w:rsidRDefault="00BA62CA" w:rsidP="007B3E1F">
            <w:pPr>
              <w:pStyle w:val="Tabletext"/>
              <w:rPr>
                <w:szCs w:val="18"/>
                <w:lang w:val="en-US" w:eastAsia="en-AU"/>
              </w:rPr>
            </w:pPr>
            <w:r w:rsidRPr="004A1730">
              <w:rPr>
                <w:i/>
                <w:szCs w:val="18"/>
                <w:lang w:val="en-US" w:eastAsia="en-AU"/>
              </w:rPr>
              <w:t xml:space="preserve">Clinical and Experimental </w:t>
            </w:r>
            <w:r>
              <w:rPr>
                <w:i/>
                <w:szCs w:val="18"/>
                <w:lang w:val="en-US" w:eastAsia="en-AU"/>
              </w:rPr>
              <w:t xml:space="preserve">Ophthalmology </w:t>
            </w:r>
            <w:r>
              <w:rPr>
                <w:szCs w:val="18"/>
                <w:lang w:val="en-US" w:eastAsia="en-AU"/>
              </w:rPr>
              <w:t>2016; 44 (supplement S1): 123-4.</w:t>
            </w:r>
          </w:p>
        </w:tc>
      </w:tr>
    </w:tbl>
    <w:p w:rsidR="00FB1389" w:rsidRDefault="00BA62CA" w:rsidP="00AF16CD">
      <w:pPr>
        <w:spacing w:after="160"/>
        <w:rPr>
          <w:rFonts w:ascii="Arial Narrow" w:hAnsi="Arial Narrow"/>
          <w:sz w:val="18"/>
        </w:rPr>
      </w:pPr>
      <w:r w:rsidRPr="00F363EE">
        <w:rPr>
          <w:rFonts w:ascii="Arial Narrow" w:hAnsi="Arial Narrow"/>
          <w:sz w:val="18"/>
        </w:rPr>
        <w:t xml:space="preserve">Source: </w:t>
      </w:r>
      <w:r w:rsidRPr="00044764">
        <w:rPr>
          <w:rFonts w:ascii="Arial Narrow" w:hAnsi="Arial Narrow"/>
          <w:sz w:val="18"/>
        </w:rPr>
        <w:t>Table 2.2-1, p37 of the submission.</w:t>
      </w:r>
    </w:p>
    <w:p w:rsidR="00BA62CA" w:rsidRPr="00F363EE" w:rsidRDefault="00BA62CA" w:rsidP="00FF28DB">
      <w:pPr>
        <w:widowControl/>
        <w:numPr>
          <w:ilvl w:val="1"/>
          <w:numId w:val="2"/>
        </w:numPr>
        <w:spacing w:after="160"/>
      </w:pPr>
      <w:r w:rsidRPr="00F363EE">
        <w:t xml:space="preserve">The key features of the direct randomised trial are </w:t>
      </w:r>
      <w:r w:rsidR="003F4505">
        <w:t>summarised in the table below.</w:t>
      </w:r>
    </w:p>
    <w:p w:rsidR="00BA62CA" w:rsidRPr="00F363EE" w:rsidRDefault="00BA62CA" w:rsidP="00E20384">
      <w:pPr>
        <w:keepNext/>
        <w:rPr>
          <w:rFonts w:ascii="Arial Narrow" w:hAnsi="Arial Narrow"/>
          <w:b/>
          <w:sz w:val="20"/>
          <w:szCs w:val="16"/>
        </w:rPr>
      </w:pPr>
      <w:r w:rsidRPr="00F363EE">
        <w:rPr>
          <w:rFonts w:ascii="Arial Narrow" w:hAnsi="Arial Narrow"/>
          <w:b/>
          <w:sz w:val="20"/>
          <w:szCs w:val="16"/>
        </w:rPr>
        <w:t>Table 3: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019"/>
        <w:gridCol w:w="841"/>
        <w:gridCol w:w="1415"/>
        <w:gridCol w:w="1121"/>
        <w:gridCol w:w="1548"/>
        <w:gridCol w:w="1437"/>
        <w:gridCol w:w="1702"/>
      </w:tblGrid>
      <w:tr w:rsidR="00BA62CA" w:rsidRPr="00F363EE" w:rsidTr="00C00BBD">
        <w:tc>
          <w:tcPr>
            <w:tcW w:w="561" w:type="pct"/>
            <w:shd w:val="clear" w:color="auto" w:fill="auto"/>
            <w:vAlign w:val="center"/>
          </w:tcPr>
          <w:p w:rsidR="00BA62CA" w:rsidRPr="00F363EE" w:rsidRDefault="00BA62CA" w:rsidP="00E20384">
            <w:pPr>
              <w:keepNext/>
              <w:widowControl/>
              <w:jc w:val="left"/>
              <w:rPr>
                <w:rFonts w:ascii="Arial Narrow" w:hAnsi="Arial Narrow" w:cs="Times New Roman"/>
                <w:b/>
                <w:snapToGrid/>
                <w:sz w:val="20"/>
                <w:lang w:val="en-US"/>
              </w:rPr>
            </w:pPr>
            <w:r w:rsidRPr="00F363EE">
              <w:rPr>
                <w:rFonts w:ascii="Arial Narrow" w:hAnsi="Arial Narrow" w:cs="Times New Roman"/>
                <w:b/>
                <w:snapToGrid/>
                <w:sz w:val="20"/>
                <w:lang w:val="en-US"/>
              </w:rPr>
              <w:t>Trial</w:t>
            </w:r>
          </w:p>
        </w:tc>
        <w:tc>
          <w:tcPr>
            <w:tcW w:w="463" w:type="pct"/>
            <w:shd w:val="clear" w:color="auto" w:fill="auto"/>
            <w:vAlign w:val="center"/>
          </w:tcPr>
          <w:p w:rsidR="00BA62CA" w:rsidRPr="00F363EE" w:rsidRDefault="00BA62CA" w:rsidP="00E20384">
            <w:pPr>
              <w:keepNext/>
              <w:widowControl/>
              <w:jc w:val="center"/>
              <w:rPr>
                <w:rFonts w:ascii="Arial Narrow" w:hAnsi="Arial Narrow" w:cs="Times New Roman"/>
                <w:b/>
                <w:snapToGrid/>
                <w:sz w:val="20"/>
                <w:lang w:val="en-US"/>
              </w:rPr>
            </w:pPr>
            <w:r w:rsidRPr="00F363EE">
              <w:rPr>
                <w:rFonts w:ascii="Arial Narrow" w:hAnsi="Arial Narrow" w:cs="Times New Roman"/>
                <w:b/>
                <w:snapToGrid/>
                <w:sz w:val="20"/>
                <w:lang w:val="en-US"/>
              </w:rPr>
              <w:t>N</w:t>
            </w:r>
          </w:p>
        </w:tc>
        <w:tc>
          <w:tcPr>
            <w:tcW w:w="779" w:type="pct"/>
            <w:shd w:val="clear" w:color="auto" w:fill="auto"/>
            <w:vAlign w:val="center"/>
          </w:tcPr>
          <w:p w:rsidR="00BA62CA" w:rsidRPr="00F363EE" w:rsidRDefault="00BA62CA" w:rsidP="00E20384">
            <w:pPr>
              <w:keepNext/>
              <w:widowControl/>
              <w:jc w:val="center"/>
              <w:rPr>
                <w:rFonts w:ascii="Arial Narrow" w:hAnsi="Arial Narrow" w:cs="Times New Roman"/>
                <w:b/>
                <w:snapToGrid/>
                <w:sz w:val="20"/>
                <w:lang w:val="en-US"/>
              </w:rPr>
            </w:pPr>
            <w:r w:rsidRPr="00F363EE">
              <w:rPr>
                <w:rFonts w:ascii="Arial Narrow" w:hAnsi="Arial Narrow" w:cs="Times New Roman"/>
                <w:b/>
                <w:snapToGrid/>
                <w:sz w:val="20"/>
                <w:lang w:val="en-US"/>
              </w:rPr>
              <w:t>Design/ duration</w:t>
            </w:r>
          </w:p>
        </w:tc>
        <w:tc>
          <w:tcPr>
            <w:tcW w:w="617" w:type="pct"/>
            <w:shd w:val="clear" w:color="auto" w:fill="auto"/>
            <w:vAlign w:val="center"/>
          </w:tcPr>
          <w:p w:rsidR="00BA62CA" w:rsidRPr="00F363EE" w:rsidRDefault="00BA62CA" w:rsidP="00E20384">
            <w:pPr>
              <w:keepNext/>
              <w:widowControl/>
              <w:jc w:val="center"/>
              <w:rPr>
                <w:rFonts w:ascii="Arial Narrow" w:hAnsi="Arial Narrow" w:cs="Times New Roman"/>
                <w:b/>
                <w:snapToGrid/>
                <w:sz w:val="20"/>
                <w:lang w:val="en-US"/>
              </w:rPr>
            </w:pPr>
            <w:r w:rsidRPr="00F363EE">
              <w:rPr>
                <w:rFonts w:ascii="Arial Narrow" w:hAnsi="Arial Narrow" w:cs="Times New Roman"/>
                <w:b/>
                <w:snapToGrid/>
                <w:sz w:val="20"/>
                <w:lang w:val="en-US"/>
              </w:rPr>
              <w:t>Risk of bias</w:t>
            </w:r>
          </w:p>
        </w:tc>
        <w:tc>
          <w:tcPr>
            <w:tcW w:w="852" w:type="pct"/>
            <w:shd w:val="clear" w:color="auto" w:fill="auto"/>
            <w:vAlign w:val="center"/>
          </w:tcPr>
          <w:p w:rsidR="00BA62CA" w:rsidRPr="00F363EE" w:rsidRDefault="00BA62CA" w:rsidP="00E20384">
            <w:pPr>
              <w:keepNext/>
              <w:widowControl/>
              <w:jc w:val="center"/>
              <w:rPr>
                <w:rFonts w:ascii="Arial Narrow" w:hAnsi="Arial Narrow" w:cs="Times New Roman"/>
                <w:b/>
                <w:snapToGrid/>
                <w:sz w:val="20"/>
                <w:lang w:val="en-US"/>
              </w:rPr>
            </w:pPr>
            <w:r w:rsidRPr="00F363EE">
              <w:rPr>
                <w:rFonts w:ascii="Arial Narrow" w:hAnsi="Arial Narrow" w:cs="Times New Roman"/>
                <w:b/>
                <w:snapToGrid/>
                <w:sz w:val="20"/>
                <w:lang w:val="en-US"/>
              </w:rPr>
              <w:t>Patient population</w:t>
            </w:r>
          </w:p>
        </w:tc>
        <w:tc>
          <w:tcPr>
            <w:tcW w:w="791" w:type="pct"/>
            <w:shd w:val="clear" w:color="auto" w:fill="auto"/>
            <w:vAlign w:val="center"/>
          </w:tcPr>
          <w:p w:rsidR="00BA62CA" w:rsidRPr="00F363EE" w:rsidRDefault="00BA62CA" w:rsidP="00E20384">
            <w:pPr>
              <w:keepNext/>
              <w:widowControl/>
              <w:jc w:val="center"/>
              <w:rPr>
                <w:rFonts w:ascii="Arial Narrow" w:hAnsi="Arial Narrow" w:cs="Times New Roman"/>
                <w:b/>
                <w:snapToGrid/>
                <w:sz w:val="20"/>
                <w:lang w:val="en-US"/>
              </w:rPr>
            </w:pPr>
            <w:r w:rsidRPr="00F363EE">
              <w:rPr>
                <w:rFonts w:ascii="Arial Narrow" w:hAnsi="Arial Narrow" w:cs="Times New Roman"/>
                <w:b/>
                <w:snapToGrid/>
                <w:sz w:val="20"/>
                <w:lang w:val="en-US"/>
              </w:rPr>
              <w:t>Outcome</w:t>
            </w:r>
          </w:p>
        </w:tc>
        <w:tc>
          <w:tcPr>
            <w:tcW w:w="937" w:type="pct"/>
            <w:shd w:val="clear" w:color="auto" w:fill="auto"/>
            <w:vAlign w:val="center"/>
          </w:tcPr>
          <w:p w:rsidR="00BA62CA" w:rsidRPr="00F363EE" w:rsidRDefault="00BA62CA" w:rsidP="00E20384">
            <w:pPr>
              <w:keepNext/>
              <w:widowControl/>
              <w:jc w:val="center"/>
              <w:rPr>
                <w:rFonts w:ascii="Arial Narrow" w:hAnsi="Arial Narrow" w:cs="Times New Roman"/>
                <w:b/>
                <w:snapToGrid/>
                <w:sz w:val="20"/>
                <w:lang w:val="en-US"/>
              </w:rPr>
            </w:pPr>
            <w:r w:rsidRPr="00F363EE">
              <w:rPr>
                <w:rFonts w:ascii="Arial Narrow" w:hAnsi="Arial Narrow" w:cs="Times New Roman"/>
                <w:b/>
                <w:snapToGrid/>
                <w:sz w:val="20"/>
                <w:lang w:val="en-US"/>
              </w:rPr>
              <w:t>Use in modelled evaluation</w:t>
            </w:r>
          </w:p>
        </w:tc>
      </w:tr>
      <w:tr w:rsidR="00BA62CA" w:rsidRPr="00F363EE" w:rsidTr="00C00BBD">
        <w:tc>
          <w:tcPr>
            <w:tcW w:w="5000" w:type="pct"/>
            <w:gridSpan w:val="7"/>
            <w:shd w:val="clear" w:color="auto" w:fill="auto"/>
            <w:vAlign w:val="center"/>
          </w:tcPr>
          <w:p w:rsidR="00BA62CA" w:rsidRPr="00F363EE" w:rsidRDefault="00BA62CA" w:rsidP="007B3E1F">
            <w:pPr>
              <w:widowControl/>
              <w:jc w:val="left"/>
              <w:rPr>
                <w:rFonts w:ascii="Arial Narrow" w:hAnsi="Arial Narrow" w:cs="Times New Roman"/>
                <w:b/>
                <w:snapToGrid/>
                <w:sz w:val="20"/>
                <w:lang w:val="en-US"/>
              </w:rPr>
            </w:pPr>
            <w:r w:rsidRPr="00F363EE">
              <w:rPr>
                <w:rFonts w:ascii="Arial Narrow" w:hAnsi="Arial Narrow" w:cs="Times New Roman"/>
                <w:b/>
                <w:snapToGrid/>
                <w:sz w:val="20"/>
                <w:lang w:val="en-US"/>
              </w:rPr>
              <w:t xml:space="preserve">Ranibizumab vs. </w:t>
            </w:r>
            <w:r>
              <w:rPr>
                <w:rFonts w:ascii="Arial Narrow" w:hAnsi="Arial Narrow" w:cs="Times New Roman"/>
                <w:b/>
                <w:snapToGrid/>
                <w:sz w:val="20"/>
                <w:lang w:val="en-US"/>
              </w:rPr>
              <w:t>sham</w:t>
            </w:r>
          </w:p>
        </w:tc>
      </w:tr>
      <w:tr w:rsidR="00BA62CA" w:rsidRPr="00F363EE" w:rsidTr="00C00BBD">
        <w:tc>
          <w:tcPr>
            <w:tcW w:w="561" w:type="pct"/>
            <w:shd w:val="clear" w:color="auto" w:fill="auto"/>
            <w:vAlign w:val="center"/>
          </w:tcPr>
          <w:p w:rsidR="00BA62CA" w:rsidRPr="00F363EE" w:rsidRDefault="00BA62CA" w:rsidP="007B3E1F">
            <w:pPr>
              <w:widowControl/>
              <w:jc w:val="left"/>
              <w:rPr>
                <w:rFonts w:ascii="Arial Narrow" w:hAnsi="Arial Narrow" w:cs="Times New Roman"/>
                <w:snapToGrid/>
                <w:sz w:val="20"/>
                <w:lang w:val="en-US"/>
              </w:rPr>
            </w:pPr>
            <w:r>
              <w:rPr>
                <w:rFonts w:ascii="Arial Narrow" w:hAnsi="Arial Narrow" w:cs="Times New Roman"/>
                <w:snapToGrid/>
                <w:sz w:val="20"/>
                <w:lang w:val="en-US"/>
              </w:rPr>
              <w:t>MINERVA</w:t>
            </w:r>
          </w:p>
        </w:tc>
        <w:tc>
          <w:tcPr>
            <w:tcW w:w="463" w:type="pct"/>
            <w:shd w:val="clear" w:color="auto" w:fill="auto"/>
            <w:vAlign w:val="center"/>
          </w:tcPr>
          <w:p w:rsidR="00BA62CA" w:rsidRPr="00F363EE" w:rsidRDefault="00BA62CA" w:rsidP="007B3E1F">
            <w:pPr>
              <w:widowControl/>
              <w:jc w:val="center"/>
              <w:rPr>
                <w:rFonts w:ascii="Arial Narrow" w:hAnsi="Arial Narrow" w:cs="Times New Roman"/>
                <w:snapToGrid/>
                <w:sz w:val="20"/>
                <w:lang w:val="en-US"/>
              </w:rPr>
            </w:pPr>
            <w:r>
              <w:rPr>
                <w:rFonts w:ascii="Arial Narrow" w:hAnsi="Arial Narrow" w:cs="Times New Roman"/>
                <w:snapToGrid/>
                <w:sz w:val="20"/>
                <w:lang w:val="en-US"/>
              </w:rPr>
              <w:t>178</w:t>
            </w:r>
          </w:p>
        </w:tc>
        <w:tc>
          <w:tcPr>
            <w:tcW w:w="779" w:type="pct"/>
            <w:shd w:val="clear" w:color="auto" w:fill="auto"/>
            <w:vAlign w:val="center"/>
          </w:tcPr>
          <w:p w:rsidR="00BA62CA" w:rsidRPr="00F363EE" w:rsidRDefault="00BA62CA" w:rsidP="007B3E1F">
            <w:pPr>
              <w:widowControl/>
              <w:jc w:val="center"/>
              <w:rPr>
                <w:rFonts w:ascii="Arial Narrow" w:hAnsi="Arial Narrow" w:cs="Times New Roman"/>
                <w:snapToGrid/>
                <w:sz w:val="20"/>
                <w:lang w:val="en-US"/>
              </w:rPr>
            </w:pPr>
            <w:r w:rsidRPr="00F363EE">
              <w:rPr>
                <w:rFonts w:ascii="Arial Narrow" w:hAnsi="Arial Narrow" w:cs="Times New Roman"/>
                <w:snapToGrid/>
                <w:sz w:val="20"/>
                <w:lang w:val="en-US"/>
              </w:rPr>
              <w:t>R, DB</w:t>
            </w:r>
          </w:p>
          <w:p w:rsidR="00BA62CA" w:rsidRPr="00F363EE" w:rsidRDefault="00BA62CA" w:rsidP="007B3E1F">
            <w:pPr>
              <w:widowControl/>
              <w:jc w:val="center"/>
              <w:rPr>
                <w:rFonts w:ascii="Arial Narrow" w:hAnsi="Arial Narrow" w:cs="Times New Roman"/>
                <w:snapToGrid/>
                <w:sz w:val="20"/>
                <w:lang w:val="en-US"/>
              </w:rPr>
            </w:pPr>
            <w:r>
              <w:rPr>
                <w:rFonts w:ascii="Arial Narrow" w:hAnsi="Arial Narrow" w:cs="Times New Roman"/>
                <w:snapToGrid/>
                <w:sz w:val="20"/>
                <w:lang w:val="en-US"/>
              </w:rPr>
              <w:t>2</w:t>
            </w:r>
            <w:r w:rsidRPr="00F363EE">
              <w:rPr>
                <w:rFonts w:ascii="Arial Narrow" w:hAnsi="Arial Narrow" w:cs="Times New Roman"/>
                <w:snapToGrid/>
                <w:sz w:val="20"/>
                <w:lang w:val="en-US"/>
              </w:rPr>
              <w:t xml:space="preserve"> m</w:t>
            </w:r>
            <w:r w:rsidR="005777DA">
              <w:rPr>
                <w:rFonts w:ascii="Arial Narrow" w:hAnsi="Arial Narrow" w:cs="Times New Roman"/>
                <w:snapToGrid/>
                <w:sz w:val="20"/>
                <w:lang w:val="en-US"/>
              </w:rPr>
              <w:t>on</w:t>
            </w:r>
            <w:r w:rsidRPr="00F363EE">
              <w:rPr>
                <w:rFonts w:ascii="Arial Narrow" w:hAnsi="Arial Narrow" w:cs="Times New Roman"/>
                <w:snapToGrid/>
                <w:sz w:val="20"/>
                <w:lang w:val="en-US"/>
              </w:rPr>
              <w:t>ths</w:t>
            </w:r>
            <w:r w:rsidRPr="00824050">
              <w:rPr>
                <w:rFonts w:ascii="Arial Narrow" w:hAnsi="Arial Narrow" w:cs="Times New Roman"/>
                <w:snapToGrid/>
                <w:sz w:val="20"/>
                <w:vertAlign w:val="superscript"/>
                <w:lang w:val="en-US"/>
              </w:rPr>
              <w:t>a</w:t>
            </w:r>
          </w:p>
        </w:tc>
        <w:tc>
          <w:tcPr>
            <w:tcW w:w="617" w:type="pct"/>
            <w:shd w:val="clear" w:color="auto" w:fill="auto"/>
            <w:vAlign w:val="center"/>
          </w:tcPr>
          <w:p w:rsidR="00BA62CA" w:rsidRPr="00F363EE" w:rsidRDefault="00BA62CA" w:rsidP="007B3E1F">
            <w:pPr>
              <w:widowControl/>
              <w:jc w:val="center"/>
              <w:rPr>
                <w:rFonts w:ascii="Arial Narrow" w:hAnsi="Arial Narrow" w:cs="Times New Roman"/>
                <w:snapToGrid/>
                <w:sz w:val="20"/>
                <w:lang w:val="en-US"/>
              </w:rPr>
            </w:pPr>
            <w:r w:rsidRPr="00F363EE">
              <w:rPr>
                <w:rFonts w:ascii="Arial Narrow" w:hAnsi="Arial Narrow" w:cs="Times New Roman"/>
                <w:snapToGrid/>
                <w:sz w:val="20"/>
                <w:lang w:val="en-US"/>
              </w:rPr>
              <w:t>Low</w:t>
            </w:r>
          </w:p>
        </w:tc>
        <w:tc>
          <w:tcPr>
            <w:tcW w:w="852" w:type="pct"/>
            <w:shd w:val="clear" w:color="auto" w:fill="auto"/>
            <w:vAlign w:val="center"/>
          </w:tcPr>
          <w:p w:rsidR="00BA62CA" w:rsidRPr="00F363EE" w:rsidRDefault="00BA62CA" w:rsidP="007B3E1F">
            <w:pPr>
              <w:widowControl/>
              <w:jc w:val="center"/>
              <w:rPr>
                <w:rFonts w:ascii="Arial Narrow" w:hAnsi="Arial Narrow" w:cs="Times New Roman"/>
                <w:snapToGrid/>
                <w:sz w:val="20"/>
                <w:lang w:val="en-US"/>
              </w:rPr>
            </w:pPr>
            <w:r>
              <w:rPr>
                <w:rFonts w:ascii="Arial Narrow" w:hAnsi="Arial Narrow" w:cs="Times New Roman"/>
                <w:snapToGrid/>
                <w:sz w:val="20"/>
                <w:lang w:val="en-US"/>
              </w:rPr>
              <w:t xml:space="preserve">Rare </w:t>
            </w:r>
            <w:r w:rsidRPr="00F363EE">
              <w:rPr>
                <w:rFonts w:ascii="Arial Narrow" w:hAnsi="Arial Narrow" w:cs="Times New Roman"/>
                <w:snapToGrid/>
                <w:sz w:val="20"/>
                <w:lang w:val="en-US"/>
              </w:rPr>
              <w:t xml:space="preserve">CNV </w:t>
            </w:r>
          </w:p>
        </w:tc>
        <w:tc>
          <w:tcPr>
            <w:tcW w:w="791" w:type="pct"/>
            <w:shd w:val="clear" w:color="auto" w:fill="auto"/>
            <w:vAlign w:val="center"/>
          </w:tcPr>
          <w:p w:rsidR="00BA62CA" w:rsidRPr="00037A0E" w:rsidRDefault="00BA62CA" w:rsidP="00966D45">
            <w:pPr>
              <w:widowControl/>
              <w:jc w:val="center"/>
              <w:rPr>
                <w:rFonts w:ascii="Arial Narrow" w:hAnsi="Arial Narrow" w:cs="Times New Roman"/>
                <w:snapToGrid/>
                <w:sz w:val="20"/>
                <w:vertAlign w:val="superscript"/>
                <w:lang w:val="en-US"/>
              </w:rPr>
            </w:pPr>
            <w:r w:rsidRPr="008E3D3E">
              <w:rPr>
                <w:rFonts w:ascii="Arial Narrow" w:hAnsi="Arial Narrow" w:cs="Times New Roman"/>
                <w:snapToGrid/>
                <w:sz w:val="20"/>
                <w:lang w:val="en-US"/>
              </w:rPr>
              <w:t>Mean BCVA change from baseline to Month 2 of the study eye</w:t>
            </w:r>
            <w:r w:rsidR="00037A0E" w:rsidRPr="008E3D3E">
              <w:rPr>
                <w:rFonts w:ascii="Arial Narrow" w:hAnsi="Arial Narrow" w:cs="Times New Roman"/>
                <w:snapToGrid/>
                <w:sz w:val="20"/>
                <w:vertAlign w:val="superscript"/>
                <w:lang w:val="en-US"/>
              </w:rPr>
              <w:t>b</w:t>
            </w:r>
          </w:p>
        </w:tc>
        <w:tc>
          <w:tcPr>
            <w:tcW w:w="937" w:type="pct"/>
            <w:shd w:val="clear" w:color="auto" w:fill="auto"/>
            <w:vAlign w:val="center"/>
          </w:tcPr>
          <w:p w:rsidR="00BA62CA" w:rsidRPr="00F363EE" w:rsidRDefault="00BA62CA" w:rsidP="007B3E1F">
            <w:pPr>
              <w:widowControl/>
              <w:jc w:val="center"/>
              <w:rPr>
                <w:rFonts w:ascii="Arial Narrow" w:hAnsi="Arial Narrow" w:cs="Times New Roman"/>
                <w:snapToGrid/>
                <w:sz w:val="20"/>
                <w:lang w:val="en-US"/>
              </w:rPr>
            </w:pPr>
            <w:r w:rsidRPr="00FE4461">
              <w:rPr>
                <w:rFonts w:ascii="Arial Narrow" w:hAnsi="Arial Narrow" w:cs="Times New Roman"/>
                <w:snapToGrid/>
                <w:sz w:val="20"/>
                <w:lang w:val="en-US"/>
              </w:rPr>
              <w:t>Used (only data from ranibizumab arm are used)</w:t>
            </w:r>
          </w:p>
        </w:tc>
      </w:tr>
    </w:tbl>
    <w:p w:rsidR="00BA62CA" w:rsidRPr="00F363EE" w:rsidRDefault="00BA62CA" w:rsidP="00BA62CA">
      <w:pPr>
        <w:rPr>
          <w:rFonts w:ascii="Arial Narrow" w:hAnsi="Arial Narrow"/>
          <w:sz w:val="18"/>
        </w:rPr>
      </w:pPr>
      <w:r w:rsidRPr="00F363EE">
        <w:rPr>
          <w:rFonts w:ascii="Arial Narrow" w:hAnsi="Arial Narrow"/>
          <w:sz w:val="18"/>
        </w:rPr>
        <w:t>BCVA = best corrected visual acuity; CNV = choroidal neovascularisation; DB=double blind; R = randomised.</w:t>
      </w:r>
    </w:p>
    <w:p w:rsidR="00BA62CA" w:rsidRDefault="00BA62CA" w:rsidP="00BA62CA">
      <w:pPr>
        <w:rPr>
          <w:rFonts w:ascii="Arial Narrow" w:hAnsi="Arial Narrow"/>
          <w:sz w:val="18"/>
        </w:rPr>
      </w:pPr>
      <w:r w:rsidRPr="00B874FA">
        <w:rPr>
          <w:rFonts w:ascii="Arial Narrow" w:hAnsi="Arial Narrow"/>
          <w:sz w:val="18"/>
          <w:vertAlign w:val="superscript"/>
        </w:rPr>
        <w:t>a</w:t>
      </w:r>
      <w:r>
        <w:rPr>
          <w:rFonts w:ascii="Arial Narrow" w:hAnsi="Arial Narrow"/>
          <w:sz w:val="18"/>
        </w:rPr>
        <w:t xml:space="preserve"> </w:t>
      </w:r>
      <w:r w:rsidR="00C00BBD">
        <w:rPr>
          <w:rFonts w:ascii="Arial Narrow" w:hAnsi="Arial Narrow"/>
          <w:sz w:val="18"/>
        </w:rPr>
        <w:t xml:space="preserve">Comparative data </w:t>
      </w:r>
      <w:r w:rsidR="00E11C8D">
        <w:rPr>
          <w:rFonts w:ascii="Arial Narrow" w:hAnsi="Arial Narrow"/>
          <w:sz w:val="18"/>
        </w:rPr>
        <w:t xml:space="preserve">for ranibizumab versus sham </w:t>
      </w:r>
      <w:r w:rsidR="00C00BBD">
        <w:rPr>
          <w:rFonts w:ascii="Arial Narrow" w:hAnsi="Arial Narrow"/>
          <w:sz w:val="18"/>
        </w:rPr>
        <w:t>were only available for 2 months.</w:t>
      </w:r>
      <w:r w:rsidR="00C00BBD" w:rsidRPr="00B874FA">
        <w:rPr>
          <w:rFonts w:ascii="Arial Narrow" w:hAnsi="Arial Narrow"/>
          <w:sz w:val="18"/>
        </w:rPr>
        <w:t xml:space="preserve"> </w:t>
      </w:r>
      <w:r w:rsidRPr="00B874FA">
        <w:rPr>
          <w:rFonts w:ascii="Arial Narrow" w:hAnsi="Arial Narrow"/>
          <w:sz w:val="18"/>
        </w:rPr>
        <w:t xml:space="preserve">The </w:t>
      </w:r>
      <w:r w:rsidR="00C00BBD">
        <w:rPr>
          <w:rFonts w:ascii="Arial Narrow" w:hAnsi="Arial Narrow"/>
          <w:sz w:val="18"/>
        </w:rPr>
        <w:t>final</w:t>
      </w:r>
      <w:r w:rsidRPr="00B874FA">
        <w:rPr>
          <w:rFonts w:ascii="Arial Narrow" w:hAnsi="Arial Narrow"/>
          <w:sz w:val="18"/>
        </w:rPr>
        <w:t xml:space="preserve"> study assessment was performed at </w:t>
      </w:r>
      <w:r w:rsidR="00B062EA">
        <w:rPr>
          <w:rFonts w:ascii="Arial Narrow" w:hAnsi="Arial Narrow"/>
          <w:sz w:val="18"/>
        </w:rPr>
        <w:t>the end of</w:t>
      </w:r>
      <w:r w:rsidR="00B062EA" w:rsidRPr="00B874FA">
        <w:rPr>
          <w:rFonts w:ascii="Arial Narrow" w:hAnsi="Arial Narrow"/>
          <w:sz w:val="18"/>
        </w:rPr>
        <w:t xml:space="preserve"> </w:t>
      </w:r>
      <w:r w:rsidRPr="00B874FA">
        <w:rPr>
          <w:rFonts w:ascii="Arial Narrow" w:hAnsi="Arial Narrow"/>
          <w:sz w:val="18"/>
        </w:rPr>
        <w:t>12</w:t>
      </w:r>
      <w:r w:rsidR="00B062EA">
        <w:rPr>
          <w:rFonts w:ascii="Arial Narrow" w:hAnsi="Arial Narrow"/>
          <w:sz w:val="18"/>
        </w:rPr>
        <w:t xml:space="preserve"> months</w:t>
      </w:r>
      <w:r w:rsidR="00C00BBD">
        <w:rPr>
          <w:rFonts w:ascii="Arial Narrow" w:hAnsi="Arial Narrow"/>
          <w:sz w:val="18"/>
        </w:rPr>
        <w:t>.</w:t>
      </w:r>
    </w:p>
    <w:p w:rsidR="00037A0E" w:rsidRPr="00037A0E" w:rsidRDefault="00037A0E" w:rsidP="00037A0E">
      <w:pPr>
        <w:ind w:left="142" w:hanging="142"/>
        <w:rPr>
          <w:rFonts w:ascii="Arial Narrow" w:hAnsi="Arial Narrow"/>
          <w:sz w:val="18"/>
        </w:rPr>
      </w:pPr>
      <w:r>
        <w:rPr>
          <w:rFonts w:ascii="Arial Narrow" w:hAnsi="Arial Narrow"/>
          <w:sz w:val="18"/>
          <w:vertAlign w:val="superscript"/>
        </w:rPr>
        <w:t>b</w:t>
      </w:r>
      <w:r>
        <w:rPr>
          <w:rFonts w:ascii="Arial Narrow" w:hAnsi="Arial Narrow"/>
          <w:sz w:val="18"/>
        </w:rPr>
        <w:t xml:space="preserve"> The primary outcome used efficacy assessments collected at baseline, </w:t>
      </w:r>
      <w:r w:rsidR="00B062EA">
        <w:rPr>
          <w:rFonts w:ascii="Arial Narrow" w:hAnsi="Arial Narrow"/>
          <w:sz w:val="18"/>
        </w:rPr>
        <w:t>and the end of m</w:t>
      </w:r>
      <w:r>
        <w:rPr>
          <w:rFonts w:ascii="Arial Narrow" w:hAnsi="Arial Narrow"/>
          <w:sz w:val="18"/>
        </w:rPr>
        <w:t xml:space="preserve">onth 1 and </w:t>
      </w:r>
      <w:r w:rsidR="00B062EA">
        <w:rPr>
          <w:rFonts w:ascii="Arial Narrow" w:hAnsi="Arial Narrow"/>
          <w:sz w:val="18"/>
        </w:rPr>
        <w:t>m</w:t>
      </w:r>
      <w:r>
        <w:rPr>
          <w:rFonts w:ascii="Arial Narrow" w:hAnsi="Arial Narrow"/>
          <w:sz w:val="18"/>
        </w:rPr>
        <w:t>onth 2, and was analysed using a mixed-effect repeated measures model.</w:t>
      </w:r>
    </w:p>
    <w:p w:rsidR="00BA62CA" w:rsidRPr="00F363EE" w:rsidRDefault="00BA62CA" w:rsidP="00AF16CD">
      <w:pPr>
        <w:spacing w:after="160"/>
        <w:rPr>
          <w:rFonts w:ascii="Arial Narrow" w:hAnsi="Arial Narrow"/>
          <w:sz w:val="20"/>
        </w:rPr>
      </w:pPr>
      <w:r w:rsidRPr="00F363EE">
        <w:rPr>
          <w:rFonts w:ascii="Arial Narrow" w:hAnsi="Arial Narrow"/>
          <w:sz w:val="18"/>
        </w:rPr>
        <w:t xml:space="preserve">Source: Sections 2.3 and 2.4, </w:t>
      </w:r>
      <w:r w:rsidRPr="00FD1D86">
        <w:rPr>
          <w:rFonts w:ascii="Arial Narrow" w:hAnsi="Arial Narrow"/>
          <w:sz w:val="18"/>
        </w:rPr>
        <w:t>pp38-52</w:t>
      </w:r>
      <w:r w:rsidRPr="00F363EE">
        <w:rPr>
          <w:rFonts w:ascii="Arial Narrow" w:hAnsi="Arial Narrow"/>
          <w:sz w:val="18"/>
        </w:rPr>
        <w:t xml:space="preserve"> of the submission.</w:t>
      </w:r>
    </w:p>
    <w:p w:rsidR="00EA3B1D" w:rsidRPr="00EB3AF3" w:rsidRDefault="004A4742" w:rsidP="0019229F">
      <w:pPr>
        <w:widowControl/>
        <w:numPr>
          <w:ilvl w:val="1"/>
          <w:numId w:val="2"/>
        </w:numPr>
        <w:spacing w:after="160"/>
      </w:pPr>
      <w:r w:rsidRPr="00EB3AF3">
        <w:t xml:space="preserve">The ESC noted </w:t>
      </w:r>
      <w:r w:rsidR="004B744C" w:rsidRPr="00EB3AF3">
        <w:t>a</w:t>
      </w:r>
      <w:r w:rsidRPr="00EB3AF3">
        <w:t xml:space="preserve"> publication in January 2018 of findings from the PROMETHEUS trial</w:t>
      </w:r>
      <w:r w:rsidR="00232BB4" w:rsidRPr="00EB3AF3">
        <w:rPr>
          <w:rStyle w:val="FootnoteReference"/>
        </w:rPr>
        <w:footnoteReference w:id="2"/>
      </w:r>
      <w:r w:rsidR="00866D0A" w:rsidRPr="00EB3AF3">
        <w:t xml:space="preserve"> (sponsored by Novartis)</w:t>
      </w:r>
      <w:r w:rsidR="00896748">
        <w:t>.</w:t>
      </w:r>
      <w:r w:rsidRPr="00EB3AF3">
        <w:t xml:space="preserve"> The ESC noted that</w:t>
      </w:r>
      <w:r w:rsidR="00A24DED" w:rsidRPr="00EB3AF3">
        <w:t>,</w:t>
      </w:r>
      <w:r w:rsidRPr="00EB3AF3">
        <w:t xml:space="preserve"> while the purpose of the trial was to</w:t>
      </w:r>
      <w:r w:rsidRPr="00EB3AF3">
        <w:rPr>
          <w:i/>
        </w:rPr>
        <w:t xml:space="preserve"> </w:t>
      </w:r>
      <w:r w:rsidRPr="00EB3AF3">
        <w:lastRenderedPageBreak/>
        <w:t xml:space="preserve">evaluate the efficacy and safety of ranibizumab in in adult patients with macular edema (ME) resulting from any cause other than diabetes, retinal vein occlusion, or neovascular age-related macular degeneration, </w:t>
      </w:r>
      <w:r w:rsidR="00E56D8A" w:rsidRPr="00EB3AF3">
        <w:t>the study design for PROMETHEUS including the sample size calculation was very similar to that of the MINERVA trial</w:t>
      </w:r>
      <w:r w:rsidR="00A5577C" w:rsidRPr="00EB3AF3">
        <w:t xml:space="preserve"> and </w:t>
      </w:r>
      <w:r w:rsidR="0019229F" w:rsidRPr="00EB3AF3">
        <w:t xml:space="preserve">the two trials were run concurrently (MINERVA was initiated in September 2013 and completed in November 2015; PROMETHEUS was initiated in October 2013 and completed in September 2015). </w:t>
      </w:r>
      <w:r w:rsidR="004B744C" w:rsidRPr="00EB3AF3">
        <w:t xml:space="preserve">While patients with CNV do not appear to have been specifically excluded from the PROMETHUS trial, Staugrenghi et al, 2018 does not report whether any patients had CNV. </w:t>
      </w:r>
      <w:r w:rsidR="00232BB4" w:rsidRPr="00EB3AF3">
        <w:t xml:space="preserve">The incremental gain at 2 months in mean </w:t>
      </w:r>
      <w:r w:rsidR="00CD3D00" w:rsidRPr="00EB3AF3">
        <w:t>the best corrected visual acuity (</w:t>
      </w:r>
      <w:r w:rsidR="00232BB4" w:rsidRPr="00EB3AF3">
        <w:t>BCVA</w:t>
      </w:r>
      <w:r w:rsidR="00CD3D00" w:rsidRPr="00EB3AF3">
        <w:t>)</w:t>
      </w:r>
      <w:r w:rsidR="00232BB4" w:rsidRPr="00EB3AF3">
        <w:t xml:space="preserve"> for ranibizumab vs sham was considerably less than the incremental gain in the MINERVA trial (2.8 letters in PROMETHEUS vs 9.94 letters in MINERVA). </w:t>
      </w:r>
      <w:r w:rsidR="00991E4C" w:rsidRPr="00EB3AF3">
        <w:t xml:space="preserve">The sponsor </w:t>
      </w:r>
      <w:r w:rsidR="005C12D0">
        <w:t>wa</w:t>
      </w:r>
      <w:r w:rsidR="005C12D0" w:rsidRPr="00EB3AF3">
        <w:t xml:space="preserve">s </w:t>
      </w:r>
      <w:r w:rsidR="00991E4C" w:rsidRPr="00EB3AF3">
        <w:t>therefore</w:t>
      </w:r>
      <w:r w:rsidR="00236D91" w:rsidRPr="00EB3AF3">
        <w:t xml:space="preserve"> requested to confirm the extent of overlap if any between the patient populations in the</w:t>
      </w:r>
      <w:r w:rsidR="00A24DED" w:rsidRPr="00EB3AF3">
        <w:t xml:space="preserve"> MINERVA and PROMETHEUS trials.</w:t>
      </w:r>
      <w:r w:rsidR="005C12D0">
        <w:t xml:space="preserve"> The </w:t>
      </w:r>
      <w:r w:rsidR="000E44A9">
        <w:t>PBAC noted the p</w:t>
      </w:r>
      <w:r w:rsidR="005C12D0">
        <w:t>re-PBAC response</w:t>
      </w:r>
      <w:r w:rsidR="000E44A9">
        <w:t xml:space="preserve"> suggested </w:t>
      </w:r>
      <w:r w:rsidR="001A38E7">
        <w:t xml:space="preserve">that </w:t>
      </w:r>
      <w:r w:rsidR="000E44A9">
        <w:t>there is unlikely to be a large overlap given the vision gains in PROMETHEUS were similar to DMO trials (RESTORE) which excluded CNV due to any cause.</w:t>
      </w:r>
    </w:p>
    <w:p w:rsidR="00C333D1" w:rsidRPr="00EB3AF3" w:rsidRDefault="000E44A9" w:rsidP="001E04C2">
      <w:pPr>
        <w:widowControl/>
        <w:numPr>
          <w:ilvl w:val="1"/>
          <w:numId w:val="2"/>
        </w:numPr>
        <w:spacing w:after="160"/>
      </w:pPr>
      <w:r>
        <w:t>In the Minerva trial, a</w:t>
      </w:r>
      <w:r w:rsidR="00BA62CA" w:rsidRPr="00EB3AF3">
        <w:t>t Month 2</w:t>
      </w:r>
      <w:r w:rsidR="0032189F" w:rsidRPr="00EB3AF3">
        <w:t xml:space="preserve"> </w:t>
      </w:r>
      <w:r w:rsidR="0010543E" w:rsidRPr="00EB3AF3">
        <w:t>(</w:t>
      </w:r>
      <w:r w:rsidR="0054578F" w:rsidRPr="00EB3AF3">
        <w:t>2 months</w:t>
      </w:r>
      <w:r w:rsidR="00EB0C08" w:rsidRPr="00EB3AF3">
        <w:t xml:space="preserve"> </w:t>
      </w:r>
      <w:r w:rsidR="00C24A4A" w:rsidRPr="00EB3AF3">
        <w:t xml:space="preserve">± 7 </w:t>
      </w:r>
      <w:r w:rsidR="0010543E" w:rsidRPr="00EB3AF3">
        <w:t xml:space="preserve">days </w:t>
      </w:r>
      <w:r w:rsidR="0032189F" w:rsidRPr="00EB3AF3">
        <w:t>after the</w:t>
      </w:r>
      <w:r w:rsidR="0010543E" w:rsidRPr="00EB3AF3">
        <w:t xml:space="preserve"> baseline</w:t>
      </w:r>
      <w:r w:rsidR="0032189F" w:rsidRPr="00EB3AF3">
        <w:t xml:space="preserve"> visit</w:t>
      </w:r>
      <w:r w:rsidR="0010543E" w:rsidRPr="00EB3AF3">
        <w:t>)</w:t>
      </w:r>
      <w:r w:rsidR="00BA62CA" w:rsidRPr="00EB3AF3">
        <w:t xml:space="preserve">, all patients randomised to the sham arm were </w:t>
      </w:r>
      <w:r w:rsidR="003F4505" w:rsidRPr="00EB3AF3">
        <w:t xml:space="preserve">permitted to </w:t>
      </w:r>
      <w:r w:rsidR="00BA62CA" w:rsidRPr="00EB3AF3">
        <w:t>switch to open-label treatment with ranibizumab</w:t>
      </w:r>
      <w:r w:rsidR="00127E2B" w:rsidRPr="00EB3AF3">
        <w:t xml:space="preserve">. This treatment switching </w:t>
      </w:r>
      <w:r w:rsidR="003F4505" w:rsidRPr="00EB3AF3">
        <w:t xml:space="preserve">option </w:t>
      </w:r>
      <w:r w:rsidR="00127E2B" w:rsidRPr="00EB3AF3">
        <w:t xml:space="preserve">was pre-specified in the trial protocol. </w:t>
      </w:r>
      <w:r w:rsidR="00BA62CA" w:rsidRPr="00EB3AF3">
        <w:t>From Month 2 to Month 11</w:t>
      </w:r>
      <w:r w:rsidR="00C24A4A" w:rsidRPr="00EB3AF3">
        <w:t xml:space="preserve"> (</w:t>
      </w:r>
      <w:r w:rsidR="0054578F" w:rsidRPr="00EB3AF3">
        <w:t>11 months</w:t>
      </w:r>
      <w:r w:rsidR="00C24A4A" w:rsidRPr="00EB3AF3">
        <w:t xml:space="preserve"> ± 7 days)</w:t>
      </w:r>
      <w:r w:rsidR="00BA62CA" w:rsidRPr="00EB3AF3">
        <w:t>, patients received monthly monitoring and ranibizumab</w:t>
      </w:r>
      <w:r w:rsidR="008E3D3E" w:rsidRPr="00EB3AF3">
        <w:t xml:space="preserve"> injections as </w:t>
      </w:r>
      <w:r w:rsidR="00BA62CA" w:rsidRPr="00EB3AF3">
        <w:t>needed, based on evidence of disease activity (judged clinically or based on morphology/imaging). The last study assessment was performed at Month 12</w:t>
      </w:r>
      <w:r w:rsidR="00B062EA" w:rsidRPr="00EB3AF3">
        <w:t xml:space="preserve"> (</w:t>
      </w:r>
      <w:r w:rsidR="0054578F" w:rsidRPr="00EB3AF3">
        <w:t>12 months</w:t>
      </w:r>
      <w:r w:rsidR="00B062EA" w:rsidRPr="00EB3AF3">
        <w:t xml:space="preserve"> ± 7 days)</w:t>
      </w:r>
      <w:r w:rsidR="00BA62CA" w:rsidRPr="00EB3AF3">
        <w:t xml:space="preserve">. </w:t>
      </w:r>
      <w:r w:rsidR="001E04C2" w:rsidRPr="00EB3AF3">
        <w:t xml:space="preserve">The PSCR argued that allowing the sham injection arm of the trials to access ranibizumab at Month 2 was ethical and logical, reflecting the </w:t>
      </w:r>
      <w:r w:rsidR="00A24DED" w:rsidRPr="00EB3AF3">
        <w:t xml:space="preserve">clinical </w:t>
      </w:r>
      <w:r w:rsidR="001E04C2" w:rsidRPr="00EB3AF3">
        <w:t>value of ranibizumab in these patients.</w:t>
      </w:r>
    </w:p>
    <w:p w:rsidR="00BA62CA" w:rsidRPr="00EB3AF3" w:rsidRDefault="00382FF4" w:rsidP="00FF28DB">
      <w:pPr>
        <w:widowControl/>
        <w:numPr>
          <w:ilvl w:val="1"/>
          <w:numId w:val="2"/>
        </w:numPr>
        <w:spacing w:after="160"/>
      </w:pPr>
      <w:r w:rsidRPr="00EB3AF3">
        <w:t xml:space="preserve">Fifty-two </w:t>
      </w:r>
      <w:r w:rsidR="00BA62CA" w:rsidRPr="00EB3AF3">
        <w:t xml:space="preserve">out of 59 patients randomised to sham arm received at least one ranibizumab injection by Month 12. </w:t>
      </w:r>
      <w:r w:rsidR="007E0B55" w:rsidRPr="00EB3AF3">
        <w:t>The seven patients in the sham injection arm who did not receive any ranibizumab injections were also switched to ranibizumab on an as-needed basis but</w:t>
      </w:r>
      <w:r w:rsidR="0001342B" w:rsidRPr="00EB3AF3">
        <w:t>, at each monthly assessment,</w:t>
      </w:r>
      <w:r w:rsidR="007E0B55" w:rsidRPr="00EB3AF3">
        <w:t xml:space="preserve"> either had no evidence of disease activity (i.e. did not meet the criteria for re-treatment) or had discontinued all study treatment. </w:t>
      </w:r>
      <w:r w:rsidR="000D5B96" w:rsidRPr="00EB3AF3">
        <w:t>Consequently, c</w:t>
      </w:r>
      <w:r w:rsidR="00CE1A31" w:rsidRPr="00EB3AF3">
        <w:t xml:space="preserve">omparative data </w:t>
      </w:r>
      <w:r w:rsidR="00D117A8" w:rsidRPr="00EB3AF3">
        <w:t xml:space="preserve">for ranibizumab versus sham injection </w:t>
      </w:r>
      <w:r w:rsidR="00CE1A31" w:rsidRPr="00EB3AF3">
        <w:t>we</w:t>
      </w:r>
      <w:r w:rsidR="00BA62CA" w:rsidRPr="00EB3AF3">
        <w:t>re only available up to Month 2.</w:t>
      </w:r>
    </w:p>
    <w:p w:rsidR="00BA62CA" w:rsidRPr="00EB3AF3" w:rsidRDefault="00BA62CA" w:rsidP="00FF28DB">
      <w:pPr>
        <w:widowControl/>
        <w:numPr>
          <w:ilvl w:val="1"/>
          <w:numId w:val="2"/>
        </w:numPr>
        <w:spacing w:after="160"/>
      </w:pPr>
      <w:r w:rsidRPr="00EB3AF3">
        <w:t xml:space="preserve">Overall, the risk of bias was low over the 2 month masked, </w:t>
      </w:r>
      <w:r w:rsidR="00E141F2" w:rsidRPr="00EB3AF3">
        <w:t>comparative</w:t>
      </w:r>
      <w:r w:rsidRPr="00EB3AF3">
        <w:t xml:space="preserve"> period of the trial. However, </w:t>
      </w:r>
      <w:r w:rsidR="00CE1A31" w:rsidRPr="00EB3AF3">
        <w:t>although patients and investigators remained masked to original treatment allocation, from Month 2 to Month 12 the trial was open-label and uncontrolled</w:t>
      </w:r>
      <w:r w:rsidR="00966FF2" w:rsidRPr="00EB3AF3">
        <w:t>, with potential for both performance and assessment bias, especially for subjective outcomes.</w:t>
      </w:r>
      <w:r w:rsidR="0073097B" w:rsidRPr="00EB3AF3">
        <w:t xml:space="preserve"> The ESC</w:t>
      </w:r>
      <w:r w:rsidR="00A24DED" w:rsidRPr="00EB3AF3">
        <w:t xml:space="preserve"> acknowledged the contamination of the trial results </w:t>
      </w:r>
      <w:r w:rsidR="000717EB" w:rsidRPr="00EB3AF3">
        <w:t xml:space="preserve">comparing ranibizumab with sham </w:t>
      </w:r>
      <w:r w:rsidR="00A24DED" w:rsidRPr="00EB3AF3">
        <w:t>after Month</w:t>
      </w:r>
      <w:r w:rsidR="000717EB" w:rsidRPr="00EB3AF3">
        <w:t xml:space="preserve"> </w:t>
      </w:r>
      <w:r w:rsidR="00A24DED" w:rsidRPr="00EB3AF3">
        <w:t>2 when the majority of patients randomised to sham were switched to ranibizumab treatment.</w:t>
      </w:r>
    </w:p>
    <w:p w:rsidR="00BA62CA" w:rsidRPr="00EB3AF3" w:rsidRDefault="00BA62CA" w:rsidP="00FF28DB">
      <w:pPr>
        <w:widowControl/>
        <w:numPr>
          <w:ilvl w:val="1"/>
          <w:numId w:val="2"/>
        </w:numPr>
        <w:spacing w:after="160"/>
      </w:pPr>
      <w:r w:rsidRPr="00EB3AF3">
        <w:lastRenderedPageBreak/>
        <w:t>The trial included adult patients with one of the following CNV lesions types in the study eye: subfoveal, juxtafoveal or extrafoveal with involvement of the central</w:t>
      </w:r>
      <w:r w:rsidRPr="00EB3AF3">
        <w:rPr>
          <w:i/>
        </w:rPr>
        <w:t xml:space="preserve"> </w:t>
      </w:r>
      <w:r w:rsidRPr="00EB3AF3">
        <w:t>macular area, or margin of the optic disk with involveme</w:t>
      </w:r>
      <w:r w:rsidR="003F4505" w:rsidRPr="00EB3AF3">
        <w:t>nt of the central macular area.</w:t>
      </w:r>
    </w:p>
    <w:p w:rsidR="00BA62CA" w:rsidRPr="00EB3AF3" w:rsidRDefault="00BA62CA" w:rsidP="00FF28DB">
      <w:pPr>
        <w:widowControl/>
        <w:numPr>
          <w:ilvl w:val="1"/>
          <w:numId w:val="2"/>
        </w:numPr>
        <w:spacing w:after="160"/>
      </w:pPr>
      <w:r w:rsidRPr="00EB3AF3">
        <w:t>One eye was selected as the study eye. If both eyes were eligible, the eye selected as the study eye was the one the investigator deemed to be more appropriate for study treatment and the study, based on the most appropriate active CNV lesion characteristics</w:t>
      </w:r>
      <w:r w:rsidR="006A4BEE" w:rsidRPr="00EB3AF3">
        <w:t>,</w:t>
      </w:r>
      <w:r w:rsidRPr="00EB3AF3">
        <w:t xml:space="preserve"> in addition to visual impairment. </w:t>
      </w:r>
      <w:r w:rsidR="00286097" w:rsidRPr="00EB3AF3">
        <w:t>All visual acuity outcomes in the trial</w:t>
      </w:r>
      <w:r w:rsidRPr="00EB3AF3">
        <w:t xml:space="preserve"> were assessed </w:t>
      </w:r>
      <w:r w:rsidR="00CE1A31" w:rsidRPr="00EB3AF3">
        <w:t>in</w:t>
      </w:r>
      <w:r w:rsidRPr="00EB3AF3">
        <w:t xml:space="preserve"> the study eye.</w:t>
      </w:r>
    </w:p>
    <w:p w:rsidR="00BA62CA" w:rsidRPr="00EB3AF3" w:rsidRDefault="00BA62CA" w:rsidP="00FF28DB">
      <w:pPr>
        <w:widowControl/>
        <w:numPr>
          <w:ilvl w:val="1"/>
          <w:numId w:val="2"/>
        </w:numPr>
        <w:spacing w:after="160"/>
      </w:pPr>
      <w:r w:rsidRPr="00EB3AF3">
        <w:t xml:space="preserve">Randomisation was stratified by type of underlying ocular pathophysiologic mechanism (angioid streaks vs other). The study population in MINERVA included patients with the following underlying aetiologies of CNV: angioid streaks (15.2%), inflammatory retinochoroidopathy (15.7%), CSC (12.9%), idiopathic </w:t>
      </w:r>
      <w:r w:rsidR="00966429" w:rsidRPr="00EB3AF3">
        <w:t>chorioretin</w:t>
      </w:r>
      <w:r w:rsidRPr="00EB3AF3">
        <w:t xml:space="preserve">opathy (35.4%), and miscellaneous (20.8%). </w:t>
      </w:r>
      <w:r w:rsidR="00F26EF1" w:rsidRPr="00EB3AF3">
        <w:t>It was not clear whether the trial population was representative of the target Australian patient population with regard to the relative frequencies of the multiple underlying aetiologies of rare CNV.</w:t>
      </w:r>
      <w:r w:rsidR="00C5248E" w:rsidRPr="00EB3AF3">
        <w:t xml:space="preserve"> The ESC noted that the small number</w:t>
      </w:r>
      <w:r w:rsidR="009464AA" w:rsidRPr="00EB3AF3">
        <w:t xml:space="preserve"> of</w:t>
      </w:r>
      <w:r w:rsidR="00C5248E" w:rsidRPr="00EB3AF3">
        <w:t xml:space="preserve"> patients in the trial</w:t>
      </w:r>
      <w:r w:rsidR="0069167E" w:rsidRPr="00EB3AF3">
        <w:t xml:space="preserve"> limited any comparisons to determine whether the trial population was reflective of the Australian patient population</w:t>
      </w:r>
      <w:r w:rsidR="00001BA5" w:rsidRPr="00EB3AF3">
        <w:t xml:space="preserve"> but</w:t>
      </w:r>
      <w:r w:rsidR="00A24DED" w:rsidRPr="00EB3AF3">
        <w:t>,</w:t>
      </w:r>
      <w:r w:rsidR="00001BA5" w:rsidRPr="00EB3AF3">
        <w:t xml:space="preserve"> given the results </w:t>
      </w:r>
      <w:r w:rsidR="006419D7">
        <w:t>appeared</w:t>
      </w:r>
      <w:r w:rsidR="006419D7" w:rsidRPr="00EB3AF3">
        <w:t xml:space="preserve"> </w:t>
      </w:r>
      <w:r w:rsidR="00A24DED" w:rsidRPr="00EB3AF3">
        <w:t xml:space="preserve">similar across </w:t>
      </w:r>
      <w:r w:rsidR="00CD3D00" w:rsidRPr="00EB3AF3">
        <w:t>the different causes of rare CNV</w:t>
      </w:r>
      <w:r w:rsidR="00A24DED" w:rsidRPr="00EB3AF3">
        <w:t>,</w:t>
      </w:r>
      <w:r w:rsidR="00001BA5" w:rsidRPr="00EB3AF3">
        <w:t xml:space="preserve"> this was not a major concern</w:t>
      </w:r>
      <w:r w:rsidR="00A24DED" w:rsidRPr="00EB3AF3">
        <w:t>.</w:t>
      </w:r>
    </w:p>
    <w:p w:rsidR="00BA62CA" w:rsidRPr="00EB3AF3" w:rsidRDefault="00BA62CA" w:rsidP="00FF28DB">
      <w:pPr>
        <w:widowControl/>
        <w:numPr>
          <w:ilvl w:val="1"/>
          <w:numId w:val="2"/>
        </w:numPr>
        <w:spacing w:after="160"/>
      </w:pPr>
      <w:r w:rsidRPr="00EB3AF3">
        <w:t>The submission proposed a difference of at least 5 letters in the BCVA as the minimal clinic</w:t>
      </w:r>
      <w:r w:rsidR="005039B5" w:rsidRPr="00EB3AF3">
        <w:t>ally important difference</w:t>
      </w:r>
      <w:r w:rsidRPr="00EB3AF3">
        <w:t xml:space="preserve"> between the ranibizu</w:t>
      </w:r>
      <w:r w:rsidR="006A4BEE" w:rsidRPr="00EB3AF3">
        <w:t xml:space="preserve">mab </w:t>
      </w:r>
      <w:r w:rsidRPr="00EB3AF3">
        <w:t>and sham injection</w:t>
      </w:r>
      <w:r w:rsidR="006A4BEE" w:rsidRPr="00EB3AF3">
        <w:t xml:space="preserve"> groups</w:t>
      </w:r>
      <w:r w:rsidRPr="00EB3AF3">
        <w:t xml:space="preserve">. It was claimed that this had been previously accepted by the PBAC to provide an effective improvement in vision-related quality of life. </w:t>
      </w:r>
      <w:r w:rsidR="006E7FB8" w:rsidRPr="00EB3AF3">
        <w:t xml:space="preserve">The PBAC has previously accepted that an improvement in visual acuity of 10 letters represented a </w:t>
      </w:r>
      <w:r w:rsidR="00B9002B" w:rsidRPr="00EB3AF3">
        <w:t>clinically important difference, and</w:t>
      </w:r>
      <w:r w:rsidR="006E7FB8" w:rsidRPr="00EB3AF3">
        <w:t xml:space="preserve"> </w:t>
      </w:r>
      <w:r w:rsidRPr="00EB3AF3">
        <w:t>considered that an increase of 5 letters or more might represent a clinically meaningful difference for some patients in the treatment of DME (Ranibizumab</w:t>
      </w:r>
      <w:r w:rsidR="00314ABA" w:rsidRPr="00EB3AF3">
        <w:t xml:space="preserve"> PSD, March 2013 PBAC Meeting).</w:t>
      </w:r>
      <w:r w:rsidR="00CE5A8A" w:rsidRPr="00EB3AF3">
        <w:t xml:space="preserve"> The PBAC clarified that the overall clinical meaningfulness of an improvement of 5 or more letters in the treated eye will depend on the baseline VA of the patient in both eyes and on the subsequent overall VA during and after treatment. Those </w:t>
      </w:r>
      <w:r w:rsidR="0061157B" w:rsidRPr="00EB3AF3">
        <w:t xml:space="preserve">patients </w:t>
      </w:r>
      <w:r w:rsidR="00CE5A8A" w:rsidRPr="00EB3AF3">
        <w:t>with well-preserved vision at baseline may experience a less clinically meaningful outcome than those patients with poorer vision at baseline (Ranibizumab-DME PSD, November 2013 PBAC Meeting).</w:t>
      </w:r>
      <w:r w:rsidR="00317FB3">
        <w:t xml:space="preserve"> </w:t>
      </w:r>
      <w:r w:rsidR="00F04BC9" w:rsidRPr="00EB3AF3">
        <w:t>T</w:t>
      </w:r>
      <w:r w:rsidR="00CE5A8A" w:rsidRPr="00EB3AF3">
        <w:t>he PBAC subsequently recommended extending the listing of ranibizumab to include treatment of DME on the basis of treatment effects of this magnitude (Ranibizumab-DME PSD, July 2014 PBAC Meeting).</w:t>
      </w:r>
    </w:p>
    <w:p w:rsidR="00BA62CA" w:rsidRPr="008A5F04" w:rsidRDefault="00BA62CA" w:rsidP="00076F67">
      <w:pPr>
        <w:pStyle w:val="Heading2"/>
      </w:pPr>
      <w:bookmarkStart w:id="21" w:name="_Toc500424303"/>
      <w:bookmarkStart w:id="22" w:name="_Toc500757990"/>
      <w:r w:rsidRPr="008A5F04">
        <w:t>Comparative effectiveness</w:t>
      </w:r>
      <w:bookmarkEnd w:id="21"/>
      <w:bookmarkEnd w:id="22"/>
    </w:p>
    <w:p w:rsidR="00BA62CA" w:rsidRPr="00EB3AF3" w:rsidRDefault="00BA62CA" w:rsidP="00FF28DB">
      <w:pPr>
        <w:widowControl/>
        <w:numPr>
          <w:ilvl w:val="1"/>
          <w:numId w:val="2"/>
        </w:numPr>
        <w:spacing w:after="160"/>
      </w:pPr>
      <w:r w:rsidRPr="00EB3AF3">
        <w:t>The results for the primary outcome in MINERVA, the change in BCVA of the study eye from baseline to Month 2</w:t>
      </w:r>
      <w:r w:rsidR="00811496" w:rsidRPr="00EB3AF3">
        <w:t>,</w:t>
      </w:r>
      <w:r w:rsidRPr="00EB3AF3">
        <w:t xml:space="preserve"> are summarised in the table below.</w:t>
      </w:r>
    </w:p>
    <w:p w:rsidR="00BA62CA" w:rsidRPr="00B9002B" w:rsidRDefault="00BA62CA" w:rsidP="004F1B17">
      <w:pPr>
        <w:keepNext/>
        <w:widowControl/>
        <w:ind w:left="822" w:hanging="822"/>
        <w:rPr>
          <w:rFonts w:ascii="Arial Narrow" w:hAnsi="Arial Narrow"/>
          <w:b/>
          <w:sz w:val="20"/>
          <w:szCs w:val="16"/>
          <w:vertAlign w:val="superscript"/>
        </w:rPr>
      </w:pPr>
      <w:r w:rsidRPr="008E3D3E">
        <w:rPr>
          <w:rFonts w:ascii="Arial Narrow" w:hAnsi="Arial Narrow"/>
          <w:b/>
          <w:sz w:val="20"/>
          <w:szCs w:val="16"/>
        </w:rPr>
        <w:lastRenderedPageBreak/>
        <w:t>Table 4:</w:t>
      </w:r>
      <w:r w:rsidRPr="00F363EE">
        <w:rPr>
          <w:rFonts w:ascii="Arial Narrow" w:hAnsi="Arial Narrow"/>
          <w:b/>
          <w:sz w:val="20"/>
          <w:szCs w:val="16"/>
        </w:rPr>
        <w:t xml:space="preserve"> </w:t>
      </w:r>
      <w:r>
        <w:rPr>
          <w:rStyle w:val="CommentReference"/>
        </w:rPr>
        <w:t>Average change in BCVA of the study eye from baseline to Month 2</w:t>
      </w:r>
      <w:r w:rsidR="00B9002B">
        <w:rPr>
          <w:rStyle w:val="CommentReference"/>
        </w:rPr>
        <w:t>, FAS (observed)</w:t>
      </w:r>
      <w:r w:rsidR="00B9002B">
        <w:rPr>
          <w:rStyle w:val="CommentReference"/>
          <w:vertAlign w:val="superscript"/>
        </w:rPr>
        <w:t>a</w:t>
      </w:r>
    </w:p>
    <w:tbl>
      <w:tblPr>
        <w:tblStyle w:val="TableGrid"/>
        <w:tblW w:w="5000" w:type="pct"/>
        <w:tblLook w:val="04A0" w:firstRow="1" w:lastRow="0" w:firstColumn="1" w:lastColumn="0" w:noHBand="0" w:noVBand="1"/>
        <w:tblCaption w:val="Table 4: Average change in BCVA of the study eye from baseline to Month 2, FAS (observed)"/>
      </w:tblPr>
      <w:tblGrid>
        <w:gridCol w:w="4407"/>
        <w:gridCol w:w="2418"/>
        <w:gridCol w:w="2418"/>
      </w:tblGrid>
      <w:tr w:rsidR="00BA62CA" w:rsidTr="00EF1D52">
        <w:trPr>
          <w:tblHeader/>
        </w:trPr>
        <w:tc>
          <w:tcPr>
            <w:tcW w:w="2384" w:type="pct"/>
            <w:tcBorders>
              <w:top w:val="single" w:sz="4" w:space="0" w:color="auto"/>
            </w:tcBorders>
            <w:vAlign w:val="center"/>
          </w:tcPr>
          <w:p w:rsidR="00BA62CA" w:rsidRPr="000C5CBE" w:rsidRDefault="00BA62CA" w:rsidP="004F1B17">
            <w:pPr>
              <w:pStyle w:val="Tabletext"/>
              <w:keepNext/>
              <w:rPr>
                <w:b/>
              </w:rPr>
            </w:pPr>
            <w:r w:rsidRPr="000C5CBE">
              <w:rPr>
                <w:b/>
              </w:rPr>
              <w:t>BCVA (letters)</w:t>
            </w:r>
          </w:p>
        </w:tc>
        <w:tc>
          <w:tcPr>
            <w:tcW w:w="1308" w:type="pct"/>
            <w:tcBorders>
              <w:top w:val="single" w:sz="4" w:space="0" w:color="auto"/>
            </w:tcBorders>
          </w:tcPr>
          <w:p w:rsidR="00BA62CA" w:rsidRDefault="00BA62CA" w:rsidP="004F1B17">
            <w:pPr>
              <w:pStyle w:val="Tabletext"/>
              <w:keepNext/>
              <w:jc w:val="center"/>
              <w:rPr>
                <w:b/>
              </w:rPr>
            </w:pPr>
            <w:r>
              <w:rPr>
                <w:b/>
              </w:rPr>
              <w:t xml:space="preserve">Ranibizumab </w:t>
            </w:r>
          </w:p>
          <w:p w:rsidR="00BA62CA" w:rsidRPr="00EC6F62" w:rsidRDefault="00BA62CA" w:rsidP="004F1B17">
            <w:pPr>
              <w:pStyle w:val="Tabletext"/>
              <w:keepNext/>
              <w:jc w:val="center"/>
              <w:rPr>
                <w:b/>
              </w:rPr>
            </w:pPr>
            <w:r>
              <w:rPr>
                <w:b/>
              </w:rPr>
              <w:t>N=118</w:t>
            </w:r>
          </w:p>
        </w:tc>
        <w:tc>
          <w:tcPr>
            <w:tcW w:w="1308" w:type="pct"/>
            <w:tcBorders>
              <w:top w:val="single" w:sz="4" w:space="0" w:color="auto"/>
            </w:tcBorders>
          </w:tcPr>
          <w:p w:rsidR="00BA62CA" w:rsidRDefault="00BA62CA" w:rsidP="004F1B17">
            <w:pPr>
              <w:pStyle w:val="Tabletext"/>
              <w:keepNext/>
              <w:jc w:val="center"/>
              <w:rPr>
                <w:b/>
              </w:rPr>
            </w:pPr>
            <w:r>
              <w:rPr>
                <w:b/>
              </w:rPr>
              <w:t>Sham injection</w:t>
            </w:r>
          </w:p>
          <w:p w:rsidR="00BA62CA" w:rsidRPr="00633DD3" w:rsidRDefault="00BA62CA" w:rsidP="004F1B17">
            <w:pPr>
              <w:pStyle w:val="Tabletext"/>
              <w:keepNext/>
              <w:jc w:val="center"/>
              <w:rPr>
                <w:b/>
              </w:rPr>
            </w:pPr>
            <w:r>
              <w:rPr>
                <w:b/>
              </w:rPr>
              <w:t>N=57</w:t>
            </w:r>
          </w:p>
        </w:tc>
      </w:tr>
      <w:tr w:rsidR="00BA62CA" w:rsidTr="007B3E1F">
        <w:tc>
          <w:tcPr>
            <w:tcW w:w="5000" w:type="pct"/>
            <w:gridSpan w:val="3"/>
            <w:tcBorders>
              <w:top w:val="single" w:sz="4" w:space="0" w:color="auto"/>
            </w:tcBorders>
            <w:vAlign w:val="center"/>
          </w:tcPr>
          <w:p w:rsidR="00BA62CA" w:rsidRDefault="00BA62CA" w:rsidP="004F1B17">
            <w:pPr>
              <w:pStyle w:val="Tabletext"/>
              <w:keepNext/>
              <w:rPr>
                <w:b/>
              </w:rPr>
            </w:pPr>
            <w:r>
              <w:rPr>
                <w:b/>
              </w:rPr>
              <w:t>Primary analysis, FAS (observed)</w:t>
            </w:r>
          </w:p>
        </w:tc>
      </w:tr>
      <w:tr w:rsidR="00386CF4" w:rsidTr="007B3E1F">
        <w:tc>
          <w:tcPr>
            <w:tcW w:w="2384" w:type="pct"/>
          </w:tcPr>
          <w:p w:rsidR="00386CF4" w:rsidRDefault="00386CF4" w:rsidP="004F1B17">
            <w:pPr>
              <w:pStyle w:val="Tabletext"/>
              <w:keepNext/>
            </w:pPr>
            <w:r>
              <w:t>Baseline, mean (SD)</w:t>
            </w:r>
          </w:p>
        </w:tc>
        <w:tc>
          <w:tcPr>
            <w:tcW w:w="1308" w:type="pct"/>
          </w:tcPr>
          <w:p w:rsidR="00386CF4" w:rsidRDefault="00386CF4" w:rsidP="004F1B17">
            <w:pPr>
              <w:pStyle w:val="Tabletext"/>
              <w:keepNext/>
              <w:jc w:val="center"/>
            </w:pPr>
            <w:r>
              <w:t>62.3 (15.01)</w:t>
            </w:r>
          </w:p>
        </w:tc>
        <w:tc>
          <w:tcPr>
            <w:tcW w:w="1308" w:type="pct"/>
          </w:tcPr>
          <w:p w:rsidR="00386CF4" w:rsidRDefault="00386CF4" w:rsidP="004F1B17">
            <w:pPr>
              <w:pStyle w:val="Tabletext"/>
              <w:keepNext/>
              <w:jc w:val="center"/>
            </w:pPr>
            <w:r>
              <w:t>61.4 (14.20)</w:t>
            </w:r>
          </w:p>
        </w:tc>
      </w:tr>
      <w:tr w:rsidR="00BA62CA" w:rsidTr="007B3E1F">
        <w:tc>
          <w:tcPr>
            <w:tcW w:w="2384" w:type="pct"/>
          </w:tcPr>
          <w:p w:rsidR="00BA62CA" w:rsidRDefault="00BA62CA" w:rsidP="004F1B17">
            <w:pPr>
              <w:pStyle w:val="Tabletext"/>
              <w:keepNext/>
            </w:pPr>
            <w:r>
              <w:t>Average change from baseline, LS mean (95% CI)</w:t>
            </w:r>
          </w:p>
        </w:tc>
        <w:tc>
          <w:tcPr>
            <w:tcW w:w="1308" w:type="pct"/>
          </w:tcPr>
          <w:p w:rsidR="00BA62CA" w:rsidRPr="00EC7BAB" w:rsidRDefault="00BA62CA" w:rsidP="004F1B17">
            <w:pPr>
              <w:pStyle w:val="Tabletext"/>
              <w:keepNext/>
              <w:jc w:val="center"/>
            </w:pPr>
            <w:r>
              <w:t>9.5 (7.6, 11.4)</w:t>
            </w:r>
          </w:p>
        </w:tc>
        <w:tc>
          <w:tcPr>
            <w:tcW w:w="1308" w:type="pct"/>
          </w:tcPr>
          <w:p w:rsidR="00BA62CA" w:rsidRPr="00EC7BAB" w:rsidRDefault="00BA62CA" w:rsidP="004F1B17">
            <w:pPr>
              <w:pStyle w:val="Tabletext"/>
              <w:keepNext/>
              <w:jc w:val="center"/>
            </w:pPr>
            <w:r>
              <w:t>-0.4 (-2.8, 1.9)</w:t>
            </w:r>
          </w:p>
        </w:tc>
      </w:tr>
      <w:tr w:rsidR="00BA62CA" w:rsidTr="007B3E1F">
        <w:tc>
          <w:tcPr>
            <w:tcW w:w="2384" w:type="pct"/>
            <w:tcBorders>
              <w:bottom w:val="nil"/>
            </w:tcBorders>
          </w:tcPr>
          <w:p w:rsidR="00BA62CA" w:rsidRPr="00FF0407" w:rsidRDefault="00BA62CA" w:rsidP="004F1B17">
            <w:pPr>
              <w:pStyle w:val="Tabletext"/>
              <w:keepNext/>
              <w:rPr>
                <w:vertAlign w:val="superscript"/>
              </w:rPr>
            </w:pPr>
            <w:r>
              <w:t>Difference in LS mean, ranibizumab vs sham (95% CI)</w:t>
            </w:r>
          </w:p>
        </w:tc>
        <w:tc>
          <w:tcPr>
            <w:tcW w:w="2616" w:type="pct"/>
            <w:gridSpan w:val="2"/>
            <w:tcBorders>
              <w:bottom w:val="nil"/>
            </w:tcBorders>
          </w:tcPr>
          <w:p w:rsidR="00BA62CA" w:rsidRPr="003063D0" w:rsidRDefault="00BA62CA" w:rsidP="004F1B17">
            <w:pPr>
              <w:pStyle w:val="Tabletext"/>
              <w:keepNext/>
              <w:jc w:val="center"/>
              <w:rPr>
                <w:b/>
              </w:rPr>
            </w:pPr>
            <w:r w:rsidRPr="003063D0">
              <w:rPr>
                <w:b/>
              </w:rPr>
              <w:t>9.94 (6.97, 12.91)</w:t>
            </w:r>
          </w:p>
        </w:tc>
      </w:tr>
      <w:tr w:rsidR="00BA62CA" w:rsidTr="007B3E1F">
        <w:tc>
          <w:tcPr>
            <w:tcW w:w="2384" w:type="pct"/>
            <w:tcBorders>
              <w:top w:val="nil"/>
              <w:bottom w:val="single" w:sz="4" w:space="0" w:color="auto"/>
            </w:tcBorders>
          </w:tcPr>
          <w:p w:rsidR="00BA62CA" w:rsidRPr="00FF0407" w:rsidRDefault="00BA62CA" w:rsidP="004F1B17">
            <w:pPr>
              <w:pStyle w:val="Tabletext"/>
              <w:keepNext/>
              <w:rPr>
                <w:vertAlign w:val="superscript"/>
              </w:rPr>
            </w:pPr>
            <w:r>
              <w:t>p-value</w:t>
            </w:r>
          </w:p>
        </w:tc>
        <w:tc>
          <w:tcPr>
            <w:tcW w:w="2616" w:type="pct"/>
            <w:gridSpan w:val="2"/>
            <w:tcBorders>
              <w:top w:val="nil"/>
              <w:bottom w:val="single" w:sz="4" w:space="0" w:color="auto"/>
            </w:tcBorders>
          </w:tcPr>
          <w:p w:rsidR="00BA62CA" w:rsidRPr="003063D0" w:rsidRDefault="00BA62CA" w:rsidP="004F1B17">
            <w:pPr>
              <w:pStyle w:val="Tabletext"/>
              <w:keepNext/>
              <w:jc w:val="center"/>
              <w:rPr>
                <w:b/>
              </w:rPr>
            </w:pPr>
            <w:r w:rsidRPr="003063D0">
              <w:rPr>
                <w:b/>
              </w:rPr>
              <w:t>&lt;0.001</w:t>
            </w:r>
          </w:p>
        </w:tc>
      </w:tr>
      <w:tr w:rsidR="00BA62CA" w:rsidTr="007B3E1F">
        <w:tc>
          <w:tcPr>
            <w:tcW w:w="5000" w:type="pct"/>
            <w:gridSpan w:val="3"/>
            <w:tcBorders>
              <w:top w:val="single" w:sz="4" w:space="0" w:color="auto"/>
              <w:bottom w:val="single" w:sz="4" w:space="0" w:color="auto"/>
            </w:tcBorders>
          </w:tcPr>
          <w:p w:rsidR="00BA62CA" w:rsidRDefault="00BA62CA" w:rsidP="004F1B17">
            <w:pPr>
              <w:pStyle w:val="Tabletext"/>
              <w:keepNext/>
            </w:pPr>
            <w:r>
              <w:rPr>
                <w:b/>
              </w:rPr>
              <w:t>Sensitivity analyses</w:t>
            </w:r>
          </w:p>
        </w:tc>
      </w:tr>
      <w:tr w:rsidR="00BA62CA" w:rsidTr="007B3E1F">
        <w:tc>
          <w:tcPr>
            <w:tcW w:w="2384" w:type="pct"/>
            <w:tcBorders>
              <w:top w:val="single" w:sz="4" w:space="0" w:color="auto"/>
              <w:bottom w:val="single" w:sz="4" w:space="0" w:color="auto"/>
            </w:tcBorders>
          </w:tcPr>
          <w:p w:rsidR="00BA62CA" w:rsidRDefault="00BA62CA" w:rsidP="004F1B17">
            <w:pPr>
              <w:pStyle w:val="Tabletext"/>
              <w:keepNext/>
            </w:pPr>
            <w:r>
              <w:t>FAS (MV-LOCF), difference in LS mean (95% CI)</w:t>
            </w:r>
          </w:p>
        </w:tc>
        <w:tc>
          <w:tcPr>
            <w:tcW w:w="2616" w:type="pct"/>
            <w:gridSpan w:val="2"/>
            <w:tcBorders>
              <w:top w:val="single" w:sz="4" w:space="0" w:color="auto"/>
              <w:bottom w:val="single" w:sz="4" w:space="0" w:color="auto"/>
            </w:tcBorders>
          </w:tcPr>
          <w:p w:rsidR="00BA62CA" w:rsidRPr="004C5EA1" w:rsidRDefault="004C5EA1" w:rsidP="004F1B17">
            <w:pPr>
              <w:pStyle w:val="Tabletext"/>
              <w:keepNext/>
              <w:jc w:val="center"/>
              <w:rPr>
                <w:highlight w:val="black"/>
              </w:rPr>
            </w:pPr>
            <w:r>
              <w:rPr>
                <w:noProof/>
                <w:color w:val="000000"/>
                <w:highlight w:val="black"/>
              </w:rPr>
              <w:t>'''''''''' '''''''''''' ''''''''''''''</w:t>
            </w:r>
          </w:p>
        </w:tc>
      </w:tr>
      <w:tr w:rsidR="00BA62CA" w:rsidTr="007B3E1F">
        <w:tc>
          <w:tcPr>
            <w:tcW w:w="2384" w:type="pct"/>
            <w:tcBorders>
              <w:top w:val="single" w:sz="4" w:space="0" w:color="auto"/>
              <w:bottom w:val="single" w:sz="4" w:space="0" w:color="auto"/>
            </w:tcBorders>
          </w:tcPr>
          <w:p w:rsidR="00BA62CA" w:rsidRDefault="00BA62CA" w:rsidP="004F1B17">
            <w:pPr>
              <w:pStyle w:val="Tabletext"/>
              <w:keepNext/>
            </w:pPr>
            <w:r>
              <w:t>Per protocol set, difference in LS mean (95% CI)</w:t>
            </w:r>
          </w:p>
        </w:tc>
        <w:tc>
          <w:tcPr>
            <w:tcW w:w="2616" w:type="pct"/>
            <w:gridSpan w:val="2"/>
            <w:tcBorders>
              <w:top w:val="single" w:sz="4" w:space="0" w:color="auto"/>
              <w:bottom w:val="single" w:sz="4" w:space="0" w:color="auto"/>
            </w:tcBorders>
          </w:tcPr>
          <w:p w:rsidR="00BA62CA" w:rsidRPr="004C5EA1" w:rsidRDefault="004C5EA1" w:rsidP="004F1B17">
            <w:pPr>
              <w:pStyle w:val="Tabletext"/>
              <w:keepNext/>
              <w:jc w:val="center"/>
              <w:rPr>
                <w:highlight w:val="black"/>
              </w:rPr>
            </w:pPr>
            <w:r>
              <w:rPr>
                <w:noProof/>
                <w:color w:val="000000"/>
                <w:highlight w:val="black"/>
              </w:rPr>
              <w:t>'''''''''''''' ''''''''''''' ''''''''''''''''</w:t>
            </w:r>
          </w:p>
        </w:tc>
      </w:tr>
    </w:tbl>
    <w:p w:rsidR="00386CF4" w:rsidRDefault="00386CF4" w:rsidP="00386CF4">
      <w:pPr>
        <w:pStyle w:val="TableFooter"/>
      </w:pPr>
      <w:r>
        <w:t>BCVA = best corrected visual acuity; CI = confidence interval; FAS = full analysis set; LS = least squares; MV-LOCF = mean value last observation carried forward; SD = standard deviation.</w:t>
      </w:r>
    </w:p>
    <w:p w:rsidR="00B9002B" w:rsidRPr="00B9002B" w:rsidRDefault="00B9002B" w:rsidP="00BA62CA">
      <w:pPr>
        <w:pStyle w:val="TableFooter"/>
      </w:pPr>
      <w:r>
        <w:rPr>
          <w:vertAlign w:val="superscript"/>
        </w:rPr>
        <w:t>a</w:t>
      </w:r>
      <w:r>
        <w:t xml:space="preserve"> The primary analysis was performed in the FAS (observed). One </w:t>
      </w:r>
      <w:r w:rsidR="00506745">
        <w:t>patient</w:t>
      </w:r>
      <w:r>
        <w:t xml:space="preserve"> in the ranibizumab arm and 2 patients in the sham injection arm were not included in the analysis as they did not have BCVA values recorded at either Month 1 or </w:t>
      </w:r>
      <w:r w:rsidR="0032189F">
        <w:t xml:space="preserve">Month </w:t>
      </w:r>
      <w:r>
        <w:t>2</w:t>
      </w:r>
      <w:r w:rsidR="00C45C20">
        <w:t>.</w:t>
      </w:r>
    </w:p>
    <w:p w:rsidR="00BA62CA" w:rsidRDefault="00BA62CA" w:rsidP="00A24DED">
      <w:pPr>
        <w:pStyle w:val="TableFooter"/>
        <w:spacing w:after="160"/>
      </w:pPr>
      <w:r w:rsidRPr="00386CF4">
        <w:t xml:space="preserve">Source: Table 2.4-3 p46 and Table 2.5-1 p53 of the submission; </w:t>
      </w:r>
      <w:r w:rsidR="00C45C20" w:rsidRPr="00386CF4">
        <w:t xml:space="preserve">Section 11.4.1.1 p106, </w:t>
      </w:r>
      <w:r w:rsidR="00386CF4" w:rsidRPr="00386CF4">
        <w:t xml:space="preserve">Table 14.2-1.6 p243, </w:t>
      </w:r>
      <w:r w:rsidRPr="00386CF4">
        <w:t>Table 14.2-1.2 p236 and Table 14.2-1.3 p237 of the</w:t>
      </w:r>
      <w:r w:rsidR="00C45C20" w:rsidRPr="00386CF4">
        <w:t xml:space="preserve"> Clinical Study Report (CSR)</w:t>
      </w:r>
      <w:r w:rsidRPr="00386CF4">
        <w:t>.</w:t>
      </w:r>
    </w:p>
    <w:p w:rsidR="00BA62CA" w:rsidRPr="00EB3AF3" w:rsidRDefault="00BA62CA" w:rsidP="00FF28DB">
      <w:pPr>
        <w:widowControl/>
        <w:numPr>
          <w:ilvl w:val="1"/>
          <w:numId w:val="2"/>
        </w:numPr>
        <w:spacing w:after="160"/>
      </w:pPr>
      <w:r w:rsidRPr="00EB3AF3">
        <w:t xml:space="preserve">Ranibizumab was statistically superior to sham injection in terms of the average change in BCVA </w:t>
      </w:r>
      <w:r w:rsidR="00B3239B" w:rsidRPr="00EB3AF3">
        <w:t>of</w:t>
      </w:r>
      <w:r w:rsidRPr="00EB3AF3">
        <w:t xml:space="preserve"> the study eye from baseline to Month 2. </w:t>
      </w:r>
      <w:r w:rsidR="00F85B30" w:rsidRPr="00EB3AF3">
        <w:t xml:space="preserve">The results of the sensitivity analyses performed, firstly, with imputation of missing observations and, secondly, based on the per protocol </w:t>
      </w:r>
      <w:r w:rsidR="00324D8C" w:rsidRPr="00EB3AF3">
        <w:t xml:space="preserve">analysis </w:t>
      </w:r>
      <w:r w:rsidR="00F85B30" w:rsidRPr="00EB3AF3">
        <w:t xml:space="preserve">set, were consistent with the primary analysis. </w:t>
      </w:r>
      <w:r w:rsidRPr="00EB3AF3">
        <w:t>The magnitude of the treatment effect over the first 2 months of treatment was likely to be clinically meaningful.</w:t>
      </w:r>
      <w:r w:rsidR="002E5C5E" w:rsidRPr="00EB3AF3">
        <w:t xml:space="preserve"> </w:t>
      </w:r>
      <w:r w:rsidR="00355CAB" w:rsidRPr="00EB3AF3">
        <w:t>The ESC</w:t>
      </w:r>
      <w:r w:rsidR="007A51A7" w:rsidRPr="00EB3AF3">
        <w:t xml:space="preserve"> considered the benefit observed</w:t>
      </w:r>
      <w:r w:rsidR="000E3AFD" w:rsidRPr="00EB3AF3">
        <w:t xml:space="preserve"> in patients in the ranibizumab arm</w:t>
      </w:r>
      <w:r w:rsidR="007A51A7" w:rsidRPr="00EB3AF3">
        <w:t xml:space="preserve"> at Month 2 to be clinically significant </w:t>
      </w:r>
      <w:r w:rsidR="002C720D" w:rsidRPr="00EB3AF3">
        <w:t xml:space="preserve">also </w:t>
      </w:r>
      <w:r w:rsidR="007A51A7" w:rsidRPr="00EB3AF3">
        <w:t>noting</w:t>
      </w:r>
      <w:r w:rsidR="00355CAB" w:rsidRPr="00EB3AF3">
        <w:t xml:space="preserve"> that &gt;</w:t>
      </w:r>
      <w:r w:rsidR="004F3208" w:rsidRPr="00EB3AF3">
        <w:t>4</w:t>
      </w:r>
      <w:r w:rsidR="00355CAB" w:rsidRPr="00EB3AF3">
        <w:t xml:space="preserve">0% of patients in the ranibizumab </w:t>
      </w:r>
      <w:r w:rsidR="007A51A7" w:rsidRPr="00EB3AF3">
        <w:t>treatment arm gained ≥ 10 letters or</w:t>
      </w:r>
      <w:r w:rsidR="00A24DED" w:rsidRPr="00EB3AF3">
        <w:t xml:space="preserve"> reached 84 letters at Month 2.</w:t>
      </w:r>
    </w:p>
    <w:p w:rsidR="00BA62CA" w:rsidRPr="00EB3AF3" w:rsidRDefault="00BA62CA" w:rsidP="00FF28DB">
      <w:pPr>
        <w:widowControl/>
        <w:numPr>
          <w:ilvl w:val="1"/>
          <w:numId w:val="2"/>
        </w:numPr>
        <w:spacing w:after="160"/>
      </w:pPr>
      <w:r w:rsidRPr="00EB3AF3">
        <w:t>Subgroup analyses for the primary endpoint are presented in the figure below.</w:t>
      </w:r>
    </w:p>
    <w:p w:rsidR="00BA62CA" w:rsidRPr="00FE1D76" w:rsidRDefault="00BA62CA" w:rsidP="00BA62CA">
      <w:pPr>
        <w:keepNext/>
        <w:rPr>
          <w:rStyle w:val="CommentReference"/>
        </w:rPr>
      </w:pPr>
      <w:r>
        <w:rPr>
          <w:rStyle w:val="CommentReference"/>
        </w:rPr>
        <w:lastRenderedPageBreak/>
        <w:t>Figure 1: Average change in BCVA from baseline to Month 2 of the study eye – subgroup analyses (FAS, observed)</w:t>
      </w:r>
    </w:p>
    <w:p w:rsidR="00BA62CA" w:rsidRDefault="00BA62CA" w:rsidP="00BA62CA">
      <w:pPr>
        <w:widowControl/>
        <w:spacing w:after="160"/>
      </w:pPr>
      <w:r>
        <w:rPr>
          <w:noProof/>
          <w:lang w:eastAsia="en-AU"/>
        </w:rPr>
        <w:drawing>
          <wp:inline distT="0" distB="0" distL="0" distR="0" wp14:anchorId="502732D4" wp14:editId="0AD5D632">
            <wp:extent cx="5731510" cy="3456305"/>
            <wp:effectExtent l="0" t="0" r="2540" b="0"/>
            <wp:docPr id="2" name="Picture 2" title="Figure 1: Average change in BCVA from baseline to Month 2 of the study eye – subgroup analyses (FAS, observ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pture1.PNG"/>
                    <pic:cNvPicPr/>
                  </pic:nvPicPr>
                  <pic:blipFill>
                    <a:blip r:embed="rId9">
                      <a:extLst>
                        <a:ext uri="{28A0092B-C50C-407E-A947-70E740481C1C}">
                          <a14:useLocalDpi xmlns:a14="http://schemas.microsoft.com/office/drawing/2010/main" val="0"/>
                        </a:ext>
                      </a:extLst>
                    </a:blip>
                    <a:stretch>
                      <a:fillRect/>
                    </a:stretch>
                  </pic:blipFill>
                  <pic:spPr>
                    <a:xfrm>
                      <a:off x="0" y="0"/>
                      <a:ext cx="5731510" cy="3456305"/>
                    </a:xfrm>
                    <a:prstGeom prst="rect">
                      <a:avLst/>
                    </a:prstGeom>
                  </pic:spPr>
                </pic:pic>
              </a:graphicData>
            </a:graphic>
          </wp:inline>
        </w:drawing>
      </w:r>
    </w:p>
    <w:p w:rsidR="00BA62CA" w:rsidRDefault="00BA62CA" w:rsidP="00BA62CA">
      <w:pPr>
        <w:pStyle w:val="TableFooter"/>
      </w:pPr>
      <w:r>
        <w:t>BCVA = best corrected visual acuity; CI = confidence interval; CNV = choroidal neovascularisation; CSC = central serous chorioretinopathy; FAS = full analysis set; TE = treatment effect; VA = visual acuity.</w:t>
      </w:r>
    </w:p>
    <w:p w:rsidR="00BA62CA" w:rsidRDefault="00BA62CA" w:rsidP="00BA62CA">
      <w:pPr>
        <w:pStyle w:val="TableFooter"/>
      </w:pPr>
      <w:r>
        <w:t>Note: the treatment effect is the difference in adjusted least squares mean (letters).</w:t>
      </w:r>
    </w:p>
    <w:p w:rsidR="00BA62CA" w:rsidRDefault="00195DB2" w:rsidP="00BA62CA">
      <w:pPr>
        <w:pStyle w:val="TableFooter"/>
      </w:pPr>
      <w:r>
        <w:t xml:space="preserve">(1) </w:t>
      </w:r>
      <w:r w:rsidR="00BA62CA">
        <w:t>p-value is of the interaction between the subgroup and treatment.</w:t>
      </w:r>
    </w:p>
    <w:p w:rsidR="00BA62CA" w:rsidRDefault="00BA62CA" w:rsidP="00A24DED">
      <w:pPr>
        <w:pStyle w:val="TableFooter"/>
        <w:spacing w:after="160"/>
      </w:pPr>
      <w:r>
        <w:t>Source: Figure 2.5-1, p54 of the submission</w:t>
      </w:r>
      <w:r w:rsidR="00195DB2">
        <w:t>; Figure 11-2 p107 of the CSR</w:t>
      </w:r>
      <w:r>
        <w:t>.</w:t>
      </w:r>
    </w:p>
    <w:p w:rsidR="00BA62CA" w:rsidRPr="00EB3AF3" w:rsidRDefault="00314ABA" w:rsidP="00FF28DB">
      <w:pPr>
        <w:widowControl/>
        <w:numPr>
          <w:ilvl w:val="1"/>
          <w:numId w:val="2"/>
        </w:numPr>
        <w:spacing w:after="160"/>
      </w:pPr>
      <w:r w:rsidRPr="00EB3AF3">
        <w:t>Age is reported to be a statistically significant treatment effect modifier, with p</w:t>
      </w:r>
      <w:r w:rsidR="00BA62CA" w:rsidRPr="00EB3AF3">
        <w:t>atients aged ≤60 years ha</w:t>
      </w:r>
      <w:r w:rsidRPr="00EB3AF3">
        <w:t>ving</w:t>
      </w:r>
      <w:r w:rsidR="00BA62CA" w:rsidRPr="00EB3AF3">
        <w:t xml:space="preserve"> a significantly higher treatment effect with ranibizumab versus sham injection, compared to patients aged &gt;60 years.</w:t>
      </w:r>
    </w:p>
    <w:p w:rsidR="00BA62CA" w:rsidRPr="00EB3AF3" w:rsidRDefault="00BA62CA" w:rsidP="00FF28DB">
      <w:pPr>
        <w:widowControl/>
        <w:numPr>
          <w:ilvl w:val="1"/>
          <w:numId w:val="2"/>
        </w:numPr>
        <w:spacing w:after="160"/>
      </w:pPr>
      <w:r w:rsidRPr="00EB3AF3">
        <w:t xml:space="preserve">The submission stated that, in the CNV baseline aetiology subgroups, the treatment effect </w:t>
      </w:r>
      <w:r w:rsidR="00D95845" w:rsidRPr="00EB3AF3">
        <w:t xml:space="preserve">for ranibizumab compared with sham </w:t>
      </w:r>
      <w:r w:rsidRPr="00EB3AF3">
        <w:t>(difference in adjusted least s</w:t>
      </w:r>
      <w:r w:rsidR="00C06FF1" w:rsidRPr="00EB3AF3">
        <w:t>quares</w:t>
      </w:r>
      <w:r w:rsidRPr="00EB3AF3">
        <w:t xml:space="preserve"> mean</w:t>
      </w:r>
      <w:r w:rsidR="00D95845" w:rsidRPr="00EB3AF3">
        <w:t xml:space="preserve"> between groups) to Month 2 </w:t>
      </w:r>
      <w:r w:rsidRPr="00EB3AF3">
        <w:t xml:space="preserve">ranged from 5.0 letters (95% confidence interval (CI): -3.1, 13.2) to 14.6 letters (95% CI: 6.1, 23.0), p=0.65, demonstrating that the aetiology of the CNV </w:t>
      </w:r>
      <w:r w:rsidR="006419D7">
        <w:t>did not appear contributory</w:t>
      </w:r>
      <w:r w:rsidRPr="00EB3AF3">
        <w:t xml:space="preserve"> to the overall positive result. These subgroup analyses were insufficiently powered to accurately determine the treatment effect for each aetiology, or to reliably detect any true difference in treatment effect between subgroups.</w:t>
      </w:r>
      <w:r w:rsidR="00CD6BA3" w:rsidRPr="00EB3AF3">
        <w:t xml:space="preserve"> However, the ESC noted that the CNV baseline aetiology subgroup analyses </w:t>
      </w:r>
      <w:r w:rsidR="002C720D" w:rsidRPr="00EB3AF3">
        <w:t>were suggestive of</w:t>
      </w:r>
      <w:r w:rsidR="00CD6BA3" w:rsidRPr="00EB3AF3">
        <w:t xml:space="preserve"> a </w:t>
      </w:r>
      <w:r w:rsidR="002C720D" w:rsidRPr="00EB3AF3">
        <w:t xml:space="preserve">treatment </w:t>
      </w:r>
      <w:r w:rsidR="00CD6BA3" w:rsidRPr="00EB3AF3">
        <w:t xml:space="preserve">benefit with ranibizumab </w:t>
      </w:r>
      <w:r w:rsidR="002C720D" w:rsidRPr="00EB3AF3">
        <w:t xml:space="preserve">for all causes of rare CNV </w:t>
      </w:r>
      <w:r w:rsidR="00CD6BA3" w:rsidRPr="00EB3AF3">
        <w:t>though t</w:t>
      </w:r>
      <w:r w:rsidR="00A24DED" w:rsidRPr="00EB3AF3">
        <w:t>he patient numbers were small.</w:t>
      </w:r>
    </w:p>
    <w:p w:rsidR="00BA62CA" w:rsidRPr="00EB3AF3" w:rsidRDefault="00BA62CA" w:rsidP="00FF28DB">
      <w:pPr>
        <w:widowControl/>
        <w:numPr>
          <w:ilvl w:val="1"/>
          <w:numId w:val="2"/>
        </w:numPr>
        <w:spacing w:after="160"/>
      </w:pPr>
      <w:r w:rsidRPr="00EB3AF3">
        <w:t>The mean change from baseline in BCVA of the study eye over time is presented in Figure 2 below.</w:t>
      </w:r>
    </w:p>
    <w:p w:rsidR="00BA62CA" w:rsidRDefault="00B55465" w:rsidP="00BA62CA">
      <w:pPr>
        <w:keepNext/>
        <w:ind w:left="992" w:hanging="992"/>
        <w:rPr>
          <w:rStyle w:val="CommentReference"/>
        </w:rPr>
      </w:pPr>
      <w:r>
        <w:rPr>
          <w:rFonts w:ascii="Arial Narrow" w:hAnsi="Arial Narrow"/>
          <w:b/>
          <w:sz w:val="20"/>
          <w:szCs w:val="16"/>
        </w:rPr>
        <w:lastRenderedPageBreak/>
        <w:t>Figure 2</w:t>
      </w:r>
      <w:r w:rsidR="00BA62CA" w:rsidRPr="00F363EE">
        <w:rPr>
          <w:rFonts w:ascii="Arial Narrow" w:hAnsi="Arial Narrow"/>
          <w:b/>
          <w:sz w:val="20"/>
          <w:szCs w:val="16"/>
        </w:rPr>
        <w:t xml:space="preserve">: </w:t>
      </w:r>
      <w:r w:rsidR="00BA62CA">
        <w:rPr>
          <w:rStyle w:val="CommentReference"/>
        </w:rPr>
        <w:t>Mean change from baseline in BCVA of the study eye over time in MINERVA (FAS, observed)</w:t>
      </w:r>
    </w:p>
    <w:p w:rsidR="00BA62CA" w:rsidRDefault="00BA62CA" w:rsidP="00BA62CA">
      <w:pPr>
        <w:keepNext/>
        <w:ind w:left="992" w:hanging="992"/>
        <w:rPr>
          <w:rStyle w:val="CommentReference"/>
        </w:rPr>
      </w:pPr>
      <w:r>
        <w:rPr>
          <w:noProof/>
          <w:lang w:eastAsia="en-AU"/>
        </w:rPr>
        <w:drawing>
          <wp:inline distT="0" distB="0" distL="0" distR="0" wp14:anchorId="4886F436" wp14:editId="7C53905C">
            <wp:extent cx="5731510" cy="3357880"/>
            <wp:effectExtent l="0" t="0" r="2540" b="0"/>
            <wp:docPr id="6" name="Picture 6" title="Figure 2: Mean change from baseline in BCVA of the study eye over time in MINERVA (FAS, observ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apture2.PNG"/>
                    <pic:cNvPicPr/>
                  </pic:nvPicPr>
                  <pic:blipFill>
                    <a:blip r:embed="rId10">
                      <a:extLst>
                        <a:ext uri="{28A0092B-C50C-407E-A947-70E740481C1C}">
                          <a14:useLocalDpi xmlns:a14="http://schemas.microsoft.com/office/drawing/2010/main" val="0"/>
                        </a:ext>
                      </a:extLst>
                    </a:blip>
                    <a:stretch>
                      <a:fillRect/>
                    </a:stretch>
                  </pic:blipFill>
                  <pic:spPr>
                    <a:xfrm>
                      <a:off x="0" y="0"/>
                      <a:ext cx="5731510" cy="3357880"/>
                    </a:xfrm>
                    <a:prstGeom prst="rect">
                      <a:avLst/>
                    </a:prstGeom>
                  </pic:spPr>
                </pic:pic>
              </a:graphicData>
            </a:graphic>
          </wp:inline>
        </w:drawing>
      </w:r>
    </w:p>
    <w:p w:rsidR="00BA62CA" w:rsidRDefault="00BA62CA" w:rsidP="00BA62CA">
      <w:pPr>
        <w:pStyle w:val="TableFooter"/>
      </w:pPr>
      <w:r>
        <w:t>BCVA = best corrected visual acuity; CI = confidence interval</w:t>
      </w:r>
      <w:r w:rsidR="00D373EF">
        <w:t>; FAS = full analysis set.</w:t>
      </w:r>
    </w:p>
    <w:p w:rsidR="00BA62CA" w:rsidRDefault="00FB3200" w:rsidP="004F1B17">
      <w:pPr>
        <w:pStyle w:val="TableFooter"/>
        <w:spacing w:after="120"/>
      </w:pPr>
      <w:r>
        <w:t>Source: F</w:t>
      </w:r>
      <w:r w:rsidR="00BA62CA">
        <w:t>igure 2.5-2, p55 of the submission.</w:t>
      </w:r>
    </w:p>
    <w:p w:rsidR="00BA62CA" w:rsidRPr="00EB3AF3" w:rsidRDefault="00BA62CA" w:rsidP="00FF28DB">
      <w:pPr>
        <w:widowControl/>
        <w:numPr>
          <w:ilvl w:val="1"/>
          <w:numId w:val="2"/>
        </w:numPr>
        <w:spacing w:after="160"/>
      </w:pPr>
      <w:r w:rsidRPr="00EB3AF3">
        <w:t xml:space="preserve">The submission claimed that a continuous numerical improvement in BCVA of the study eye was observed up to Month 12, and that a steady improvement in BCVA was also observed in the sham injection group following the allowance of open-label ranibizumab as of Month 2 in patients randomised to this arm. </w:t>
      </w:r>
      <w:r w:rsidR="00DF3B94" w:rsidRPr="00EB3AF3">
        <w:t>In both arms</w:t>
      </w:r>
      <w:r w:rsidRPr="00EB3AF3">
        <w:t xml:space="preserve">, the improvement in BCVA of the study eye plateaued </w:t>
      </w:r>
      <w:r w:rsidR="00DF3B94" w:rsidRPr="00EB3AF3">
        <w:t xml:space="preserve">after </w:t>
      </w:r>
      <w:r w:rsidRPr="00EB3AF3">
        <w:t>3-4 months</w:t>
      </w:r>
      <w:r w:rsidR="00DF3B94" w:rsidRPr="00EB3AF3">
        <w:t xml:space="preserve"> of ranibizumab treatment</w:t>
      </w:r>
      <w:r w:rsidRPr="00EB3AF3">
        <w:t xml:space="preserve"> and was maintained to Month 12.</w:t>
      </w:r>
      <w:r w:rsidR="00B56269" w:rsidRPr="00EB3AF3">
        <w:t xml:space="preserve"> The ESC considered that the </w:t>
      </w:r>
      <w:r w:rsidR="006D244D" w:rsidRPr="00EB3AF3">
        <w:t xml:space="preserve">improvement </w:t>
      </w:r>
      <w:r w:rsidR="00B56269" w:rsidRPr="00EB3AF3">
        <w:t>in mean BCVA change in the sham injection arm after month 2</w:t>
      </w:r>
      <w:r w:rsidR="006D244D" w:rsidRPr="00EB3AF3">
        <w:t xml:space="preserve"> was indicative of the </w:t>
      </w:r>
      <w:r w:rsidR="005C6652" w:rsidRPr="00EB3AF3">
        <w:t xml:space="preserve">treatment </w:t>
      </w:r>
      <w:r w:rsidR="006D244D" w:rsidRPr="00EB3AF3">
        <w:t>benefit with ranibizuma</w:t>
      </w:r>
      <w:r w:rsidR="00AC3EFA" w:rsidRPr="00EB3AF3">
        <w:t xml:space="preserve">b. However, </w:t>
      </w:r>
      <w:r w:rsidR="005C6652" w:rsidRPr="00EB3AF3">
        <w:t>it was</w:t>
      </w:r>
      <w:r w:rsidR="00AC3EFA" w:rsidRPr="00EB3AF3">
        <w:t xml:space="preserve"> </w:t>
      </w:r>
      <w:r w:rsidR="005C6652" w:rsidRPr="00EB3AF3">
        <w:t>noted that</w:t>
      </w:r>
      <w:r w:rsidR="008A5F04">
        <w:t>,</w:t>
      </w:r>
      <w:r w:rsidR="005C6652" w:rsidRPr="00EB3AF3">
        <w:t xml:space="preserve"> after cross-over</w:t>
      </w:r>
      <w:r w:rsidR="00A24DED" w:rsidRPr="00EB3AF3">
        <w:t>,</w:t>
      </w:r>
      <w:r w:rsidR="005C6652" w:rsidRPr="00EB3AF3">
        <w:t xml:space="preserve"> the sham arm did not reach the same level of improvement as the ranibizumab arm and it was </w:t>
      </w:r>
      <w:r w:rsidR="00AC3EFA" w:rsidRPr="00EB3AF3">
        <w:t>considered that</w:t>
      </w:r>
      <w:r w:rsidR="009464AA" w:rsidRPr="00EB3AF3">
        <w:t xml:space="preserve"> this may su</w:t>
      </w:r>
      <w:r w:rsidR="00A24DED" w:rsidRPr="00EB3AF3">
        <w:t>ggest</w:t>
      </w:r>
      <w:r w:rsidR="009464AA" w:rsidRPr="00EB3AF3">
        <w:t xml:space="preserve"> that</w:t>
      </w:r>
      <w:r w:rsidR="00AC3EFA" w:rsidRPr="00EB3AF3">
        <w:t xml:space="preserve"> </w:t>
      </w:r>
      <w:r w:rsidR="005C6652" w:rsidRPr="00EB3AF3">
        <w:t xml:space="preserve">earlier </w:t>
      </w:r>
      <w:r w:rsidR="00A24DED" w:rsidRPr="00EB3AF3">
        <w:t xml:space="preserve">onset of </w:t>
      </w:r>
      <w:r w:rsidR="005C6652" w:rsidRPr="00EB3AF3">
        <w:t>treatment was better</w:t>
      </w:r>
      <w:r w:rsidR="00A24DED" w:rsidRPr="00EB3AF3">
        <w:t>.</w:t>
      </w:r>
      <w:r w:rsidR="00737E06">
        <w:t xml:space="preserve"> The PBAC considered the wide confidence intervals </w:t>
      </w:r>
      <w:r w:rsidR="008A5F04">
        <w:t>signalled that</w:t>
      </w:r>
      <w:r w:rsidR="00737E06">
        <w:t xml:space="preserve"> there is insufficient evidence to support this conclusion.</w:t>
      </w:r>
    </w:p>
    <w:p w:rsidR="00BA62CA" w:rsidRPr="00EB3AF3" w:rsidRDefault="00BA62CA" w:rsidP="00FF28DB">
      <w:pPr>
        <w:widowControl/>
        <w:numPr>
          <w:ilvl w:val="1"/>
          <w:numId w:val="2"/>
        </w:numPr>
        <w:spacing w:after="160"/>
      </w:pPr>
      <w:r w:rsidRPr="00EB3AF3">
        <w:rPr>
          <w:rFonts w:cs="Calibri"/>
          <w:snapToGrid/>
          <w:szCs w:val="24"/>
          <w:lang w:val="en-US" w:eastAsia="en-AU"/>
        </w:rPr>
        <w:t xml:space="preserve">The National Eye Institute Visual Function questionnaire 25 (NEI VFQ-25) was used to measure vision-targeted health-related quality of life in the trial. The NEI VFQ-25 consists of 25 items combined into 11 subscales. A 0-100 scale was used, with higher scores indicating better functioning. The results for the composite score are presented in </w:t>
      </w:r>
      <w:r w:rsidR="00B55465" w:rsidRPr="00EB3AF3">
        <w:rPr>
          <w:rFonts w:cs="Calibri"/>
          <w:snapToGrid/>
          <w:szCs w:val="24"/>
          <w:lang w:val="en-US" w:eastAsia="en-AU"/>
        </w:rPr>
        <w:t>Figure 3</w:t>
      </w:r>
      <w:r w:rsidRPr="00EB3AF3">
        <w:rPr>
          <w:rFonts w:cs="Calibri"/>
          <w:snapToGrid/>
          <w:szCs w:val="24"/>
          <w:lang w:val="en-US" w:eastAsia="en-AU"/>
        </w:rPr>
        <w:t>.</w:t>
      </w:r>
    </w:p>
    <w:p w:rsidR="00ED68DA" w:rsidRPr="00DB6755" w:rsidRDefault="00B55465" w:rsidP="00ED68DA">
      <w:pPr>
        <w:keepNext/>
        <w:rPr>
          <w:rStyle w:val="CommentReference"/>
        </w:rPr>
      </w:pPr>
      <w:r>
        <w:rPr>
          <w:rStyle w:val="CommentReference"/>
        </w:rPr>
        <w:lastRenderedPageBreak/>
        <w:t>Figure 3</w:t>
      </w:r>
      <w:r w:rsidR="00ED68DA">
        <w:rPr>
          <w:rStyle w:val="CommentReference"/>
        </w:rPr>
        <w:t xml:space="preserve">: NEI-VFQ-25 composite score: change from baseline </w:t>
      </w:r>
      <w:r w:rsidR="0075549F">
        <w:rPr>
          <w:rStyle w:val="CommentReference"/>
        </w:rPr>
        <w:t>over the duration of the trial</w:t>
      </w:r>
      <w:r w:rsidR="00ED68DA">
        <w:rPr>
          <w:rStyle w:val="CommentReference"/>
        </w:rPr>
        <w:t xml:space="preserve"> (FAS, observed)</w:t>
      </w:r>
    </w:p>
    <w:p w:rsidR="00ED68DA" w:rsidRDefault="00ED68DA" w:rsidP="00ED68DA">
      <w:pPr>
        <w:keepNext/>
      </w:pPr>
      <w:r>
        <w:rPr>
          <w:noProof/>
          <w:lang w:eastAsia="en-AU"/>
        </w:rPr>
        <w:drawing>
          <wp:inline distT="0" distB="0" distL="0" distR="0" wp14:anchorId="2CD603F9" wp14:editId="2963262C">
            <wp:extent cx="5731510" cy="2574290"/>
            <wp:effectExtent l="0" t="0" r="2540" b="0"/>
            <wp:docPr id="7" name="picture" title="Figure 3: NEI-VFQ-25 composite score: change from baseline over the duration of the trial (FAS, observ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1">
                      <a:extLst>
                        <a:ext uri="{28A0092B-C50C-407E-A947-70E740481C1C}">
                          <a14:useLocalDpi xmlns:a14="http://schemas.microsoft.com/office/drawing/2010/main" val="0"/>
                        </a:ext>
                      </a:extLst>
                    </a:blip>
                    <a:stretch>
                      <a:fillRect/>
                    </a:stretch>
                  </pic:blipFill>
                  <pic:spPr>
                    <a:xfrm>
                      <a:off x="0" y="0"/>
                      <a:ext cx="5731510" cy="2574290"/>
                    </a:xfrm>
                    <a:prstGeom prst="rect">
                      <a:avLst/>
                    </a:prstGeom>
                  </pic:spPr>
                </pic:pic>
              </a:graphicData>
            </a:graphic>
          </wp:inline>
        </w:drawing>
      </w:r>
    </w:p>
    <w:p w:rsidR="00ED68DA" w:rsidRDefault="00ED68DA" w:rsidP="00ED68DA">
      <w:pPr>
        <w:pStyle w:val="TableFooter"/>
      </w:pPr>
      <w:r>
        <w:t>CI = confidence interval; FAS = full analysis set; NEI VFQ = National Eye Institute visual function questionnaire.</w:t>
      </w:r>
    </w:p>
    <w:p w:rsidR="00ED68DA" w:rsidRDefault="00ED68DA" w:rsidP="004F1B17">
      <w:pPr>
        <w:pStyle w:val="TableFooter"/>
        <w:spacing w:after="120"/>
      </w:pPr>
      <w:r>
        <w:t>Source: Figure 2.5-3, p59 of the submission.</w:t>
      </w:r>
    </w:p>
    <w:p w:rsidR="00BA62CA" w:rsidRPr="00EB3AF3" w:rsidRDefault="00BA62CA" w:rsidP="00FF28DB">
      <w:pPr>
        <w:widowControl/>
        <w:numPr>
          <w:ilvl w:val="1"/>
          <w:numId w:val="2"/>
        </w:numPr>
        <w:spacing w:after="160"/>
      </w:pPr>
      <w:r w:rsidRPr="00EB3AF3">
        <w:t>The submission stated that</w:t>
      </w:r>
      <w:r w:rsidR="00D95845" w:rsidRPr="00EB3AF3">
        <w:t>,</w:t>
      </w:r>
      <w:r w:rsidRPr="00EB3AF3">
        <w:t xml:space="preserve"> although the difference in NEI VFQ-25 scores between the treatment arms were not statistically significant, there was a trend in favour of ranibizumab treatment. </w:t>
      </w:r>
      <w:r w:rsidR="00A462FF" w:rsidRPr="00EB3AF3">
        <w:t xml:space="preserve">As for the other outcomes, comparative data </w:t>
      </w:r>
      <w:r w:rsidR="00E11C8D" w:rsidRPr="00EB3AF3">
        <w:t xml:space="preserve">for ranibizumab versus sham injection </w:t>
      </w:r>
      <w:r w:rsidR="00A462FF" w:rsidRPr="00EB3AF3">
        <w:t>w</w:t>
      </w:r>
      <w:r w:rsidR="00D95845" w:rsidRPr="00EB3AF3">
        <w:t>ere</w:t>
      </w:r>
      <w:r w:rsidR="00A462FF" w:rsidRPr="00EB3AF3">
        <w:t xml:space="preserve"> only available to Month 2 of the trial. </w:t>
      </w:r>
      <w:r w:rsidRPr="00EB3AF3">
        <w:t xml:space="preserve">The clinical importance of the observed improvements in scores </w:t>
      </w:r>
      <w:r w:rsidR="00A462FF" w:rsidRPr="00EB3AF3">
        <w:t xml:space="preserve">in patients receiving ranibizumab </w:t>
      </w:r>
      <w:r w:rsidRPr="00EB3AF3">
        <w:t xml:space="preserve">was not addressed in the </w:t>
      </w:r>
      <w:r w:rsidR="00314ABA" w:rsidRPr="00EB3AF3">
        <w:t>submission.</w:t>
      </w:r>
    </w:p>
    <w:p w:rsidR="00BA62CA" w:rsidRPr="008A5F04" w:rsidRDefault="00BA62CA" w:rsidP="00076F67">
      <w:pPr>
        <w:pStyle w:val="Heading2"/>
      </w:pPr>
      <w:bookmarkStart w:id="23" w:name="_Toc500424304"/>
      <w:bookmarkStart w:id="24" w:name="_Toc500757991"/>
      <w:r w:rsidRPr="008A5F04">
        <w:t>Comparative harms</w:t>
      </w:r>
      <w:bookmarkEnd w:id="23"/>
      <w:bookmarkEnd w:id="24"/>
    </w:p>
    <w:p w:rsidR="00BA62CA" w:rsidRPr="00EB3AF3" w:rsidRDefault="00BA62CA" w:rsidP="00FF28DB">
      <w:pPr>
        <w:widowControl/>
        <w:numPr>
          <w:ilvl w:val="1"/>
          <w:numId w:val="2"/>
        </w:numPr>
        <w:spacing w:after="160"/>
      </w:pPr>
      <w:r w:rsidRPr="00EB3AF3">
        <w:t xml:space="preserve">Given the short duration of the comparative stage of the trial, and the low number of events </w:t>
      </w:r>
      <w:r w:rsidR="00D20503" w:rsidRPr="00EB3AF3">
        <w:t>in the relatively small trial population</w:t>
      </w:r>
      <w:r w:rsidRPr="00EB3AF3">
        <w:t>, the</w:t>
      </w:r>
      <w:r w:rsidR="009E0873" w:rsidRPr="00EB3AF3">
        <w:t xml:space="preserve"> trial provided </w:t>
      </w:r>
      <w:r w:rsidRPr="00EB3AF3">
        <w:t xml:space="preserve">insufficient </w:t>
      </w:r>
      <w:r w:rsidR="00E03BD7" w:rsidRPr="00EB3AF3">
        <w:t xml:space="preserve">safety </w:t>
      </w:r>
      <w:r w:rsidRPr="00EB3AF3">
        <w:t>data to reliably determine the comparative safety of ranibizumab versus sham injection for the treatment of rare CNV.</w:t>
      </w:r>
    </w:p>
    <w:p w:rsidR="00BA62CA" w:rsidRPr="00EB3AF3" w:rsidRDefault="00BA62CA" w:rsidP="00FF28DB">
      <w:pPr>
        <w:widowControl/>
        <w:numPr>
          <w:ilvl w:val="1"/>
          <w:numId w:val="2"/>
        </w:numPr>
        <w:spacing w:after="160"/>
      </w:pPr>
      <w:r w:rsidRPr="00EB3AF3">
        <w:t>The submission presented 12 month safety results for the subgroups of patients in the sham injection arm who did</w:t>
      </w:r>
      <w:r w:rsidR="00104458" w:rsidRPr="00EB3AF3">
        <w:t>,</w:t>
      </w:r>
      <w:r w:rsidRPr="00EB3AF3">
        <w:t xml:space="preserve"> and did not</w:t>
      </w:r>
      <w:r w:rsidR="00104458" w:rsidRPr="00EB3AF3">
        <w:t>,</w:t>
      </w:r>
      <w:r w:rsidRPr="00EB3AF3">
        <w:t xml:space="preserve"> receive ranibizumab after </w:t>
      </w:r>
      <w:r w:rsidR="008A2D12" w:rsidRPr="00EB3AF3">
        <w:t xml:space="preserve">the end of the comparative period at </w:t>
      </w:r>
      <w:r w:rsidRPr="00EB3AF3">
        <w:t xml:space="preserve">Month 2. </w:t>
      </w:r>
      <w:r w:rsidR="00D20503" w:rsidRPr="00EB3AF3">
        <w:t>S</w:t>
      </w:r>
      <w:r w:rsidRPr="00EB3AF3">
        <w:t xml:space="preserve">ubsequent to Month 2, the subgroup of patients in the sham treatment arm who did not receive ranibizumab were not a valid control group; </w:t>
      </w:r>
      <w:r w:rsidR="0067118F" w:rsidRPr="00EB3AF3">
        <w:t xml:space="preserve">these patients were permitted to switch </w:t>
      </w:r>
      <w:r w:rsidRPr="00EB3AF3">
        <w:t xml:space="preserve">to ranibizumab treatment on an as-needed basis but were </w:t>
      </w:r>
      <w:r w:rsidR="007E0B55" w:rsidRPr="00EB3AF3">
        <w:t xml:space="preserve">either </w:t>
      </w:r>
      <w:r w:rsidRPr="00EB3AF3">
        <w:t>not c</w:t>
      </w:r>
      <w:r w:rsidR="009E0873" w:rsidRPr="00EB3AF3">
        <w:t>onsidered to require treatment</w:t>
      </w:r>
      <w:r w:rsidR="007E0B55" w:rsidRPr="00EB3AF3">
        <w:t xml:space="preserve"> or had discontinued all study treatment</w:t>
      </w:r>
      <w:r w:rsidR="009E0873" w:rsidRPr="00EB3AF3">
        <w:t>.</w:t>
      </w:r>
    </w:p>
    <w:p w:rsidR="00BA62CA" w:rsidRPr="00EB3AF3" w:rsidRDefault="00D20503" w:rsidP="00FF28DB">
      <w:pPr>
        <w:widowControl/>
        <w:numPr>
          <w:ilvl w:val="1"/>
          <w:numId w:val="2"/>
        </w:numPr>
        <w:spacing w:after="160"/>
      </w:pPr>
      <w:r w:rsidRPr="00EB3AF3">
        <w:t>Table 5</w:t>
      </w:r>
      <w:r w:rsidR="00BA62CA" w:rsidRPr="00EB3AF3">
        <w:t xml:space="preserve"> summarises the key adverse events</w:t>
      </w:r>
      <w:r w:rsidR="00FF1AF8" w:rsidRPr="00EB3AF3">
        <w:t xml:space="preserve"> (AEs)</w:t>
      </w:r>
      <w:r w:rsidR="00BA62CA" w:rsidRPr="00EB3AF3">
        <w:t xml:space="preserve"> over the 12 month study period of the trial.</w:t>
      </w:r>
    </w:p>
    <w:p w:rsidR="00BA62CA" w:rsidRPr="00F363EE" w:rsidRDefault="00D20503" w:rsidP="00317FB3">
      <w:pPr>
        <w:keepNext/>
        <w:rPr>
          <w:rFonts w:ascii="Arial Narrow" w:hAnsi="Arial Narrow"/>
          <w:b/>
          <w:sz w:val="20"/>
          <w:szCs w:val="16"/>
        </w:rPr>
      </w:pPr>
      <w:r>
        <w:rPr>
          <w:rFonts w:ascii="Arial Narrow" w:hAnsi="Arial Narrow"/>
          <w:b/>
          <w:sz w:val="20"/>
          <w:szCs w:val="16"/>
        </w:rPr>
        <w:lastRenderedPageBreak/>
        <w:t>Table 5</w:t>
      </w:r>
      <w:r w:rsidR="00BA62CA" w:rsidRPr="00F363EE">
        <w:rPr>
          <w:rFonts w:ascii="Arial Narrow" w:hAnsi="Arial Narrow"/>
          <w:b/>
          <w:sz w:val="20"/>
          <w:szCs w:val="16"/>
        </w:rPr>
        <w:t xml:space="preserve">: </w:t>
      </w:r>
      <w:r w:rsidR="00BA62CA" w:rsidRPr="000768F2">
        <w:rPr>
          <w:rFonts w:ascii="Arial Narrow" w:hAnsi="Arial Narrow"/>
          <w:b/>
          <w:sz w:val="20"/>
          <w:szCs w:val="16"/>
        </w:rPr>
        <w:t>Summary of key adverse events up to Month 12 in MINERVA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2"/>
        <w:gridCol w:w="1998"/>
        <w:gridCol w:w="1998"/>
        <w:gridCol w:w="1995"/>
      </w:tblGrid>
      <w:tr w:rsidR="00BA62CA" w:rsidRPr="00080909" w:rsidTr="007B3E1F">
        <w:trPr>
          <w:tblHeader/>
        </w:trPr>
        <w:tc>
          <w:tcPr>
            <w:tcW w:w="1759" w:type="pct"/>
            <w:vAlign w:val="center"/>
          </w:tcPr>
          <w:p w:rsidR="00BA62CA" w:rsidRPr="00080909" w:rsidRDefault="00BA62CA" w:rsidP="00317FB3">
            <w:pPr>
              <w:pStyle w:val="Tabletext"/>
              <w:keepNext/>
              <w:rPr>
                <w:b/>
              </w:rPr>
            </w:pPr>
          </w:p>
        </w:tc>
        <w:tc>
          <w:tcPr>
            <w:tcW w:w="1081" w:type="pct"/>
            <w:vAlign w:val="center"/>
          </w:tcPr>
          <w:p w:rsidR="00BA62CA" w:rsidRDefault="00BA62CA" w:rsidP="00317FB3">
            <w:pPr>
              <w:pStyle w:val="Tabletext"/>
              <w:keepNext/>
              <w:jc w:val="center"/>
              <w:rPr>
                <w:b/>
              </w:rPr>
            </w:pPr>
            <w:r>
              <w:rPr>
                <w:b/>
              </w:rPr>
              <w:t xml:space="preserve">Ranibizumab </w:t>
            </w:r>
          </w:p>
          <w:p w:rsidR="00BA62CA" w:rsidRPr="00080909" w:rsidRDefault="00BA62CA" w:rsidP="00317FB3">
            <w:pPr>
              <w:pStyle w:val="Tabletext"/>
              <w:keepNext/>
              <w:jc w:val="center"/>
              <w:rPr>
                <w:b/>
              </w:rPr>
            </w:pPr>
            <w:r>
              <w:rPr>
                <w:b/>
              </w:rPr>
              <w:t>N=119</w:t>
            </w:r>
          </w:p>
        </w:tc>
        <w:tc>
          <w:tcPr>
            <w:tcW w:w="1081" w:type="pct"/>
            <w:vAlign w:val="center"/>
          </w:tcPr>
          <w:p w:rsidR="00BA62CA" w:rsidRDefault="00BA62CA" w:rsidP="00317FB3">
            <w:pPr>
              <w:pStyle w:val="Tabletext"/>
              <w:keepNext/>
              <w:jc w:val="center"/>
              <w:rPr>
                <w:b/>
              </w:rPr>
            </w:pPr>
            <w:r>
              <w:rPr>
                <w:b/>
              </w:rPr>
              <w:t>Sham with ranibizumab</w:t>
            </w:r>
          </w:p>
          <w:p w:rsidR="00BA62CA" w:rsidRPr="00080909" w:rsidRDefault="00BA62CA" w:rsidP="00317FB3">
            <w:pPr>
              <w:pStyle w:val="Tabletext"/>
              <w:keepNext/>
              <w:jc w:val="center"/>
              <w:rPr>
                <w:b/>
              </w:rPr>
            </w:pPr>
            <w:r>
              <w:rPr>
                <w:b/>
              </w:rPr>
              <w:t>N=52</w:t>
            </w:r>
          </w:p>
        </w:tc>
        <w:tc>
          <w:tcPr>
            <w:tcW w:w="1079" w:type="pct"/>
            <w:vAlign w:val="center"/>
          </w:tcPr>
          <w:p w:rsidR="00BA62CA" w:rsidRDefault="00BA62CA" w:rsidP="00317FB3">
            <w:pPr>
              <w:pStyle w:val="Tabletext"/>
              <w:keepNext/>
              <w:jc w:val="center"/>
              <w:rPr>
                <w:b/>
              </w:rPr>
            </w:pPr>
            <w:r>
              <w:rPr>
                <w:b/>
              </w:rPr>
              <w:t xml:space="preserve">Sham without ranibizumab </w:t>
            </w:r>
          </w:p>
          <w:p w:rsidR="00BA62CA" w:rsidRPr="00080909" w:rsidRDefault="00BA62CA" w:rsidP="00317FB3">
            <w:pPr>
              <w:pStyle w:val="Tabletext"/>
              <w:keepNext/>
              <w:jc w:val="center"/>
              <w:rPr>
                <w:b/>
              </w:rPr>
            </w:pPr>
            <w:r>
              <w:rPr>
                <w:b/>
              </w:rPr>
              <w:t>N=7</w:t>
            </w:r>
          </w:p>
        </w:tc>
      </w:tr>
      <w:tr w:rsidR="00BA62CA" w:rsidTr="007B3E1F">
        <w:tc>
          <w:tcPr>
            <w:tcW w:w="1759" w:type="pct"/>
            <w:vAlign w:val="center"/>
          </w:tcPr>
          <w:p w:rsidR="00BA62CA" w:rsidRDefault="00BA62CA" w:rsidP="00317FB3">
            <w:pPr>
              <w:pStyle w:val="Tabletext"/>
              <w:keepNext/>
            </w:pPr>
            <w:r>
              <w:t>Any AE</w:t>
            </w:r>
          </w:p>
        </w:tc>
        <w:tc>
          <w:tcPr>
            <w:tcW w:w="1081" w:type="pct"/>
            <w:vAlign w:val="center"/>
          </w:tcPr>
          <w:p w:rsidR="00BA62CA" w:rsidRDefault="00BA62CA" w:rsidP="00317FB3">
            <w:pPr>
              <w:pStyle w:val="Tabletext"/>
              <w:keepNext/>
              <w:jc w:val="center"/>
            </w:pPr>
          </w:p>
        </w:tc>
        <w:tc>
          <w:tcPr>
            <w:tcW w:w="1081" w:type="pct"/>
            <w:vAlign w:val="center"/>
          </w:tcPr>
          <w:p w:rsidR="00BA62CA" w:rsidRDefault="00BA62CA" w:rsidP="00317FB3">
            <w:pPr>
              <w:pStyle w:val="Tabletext"/>
              <w:keepNext/>
              <w:jc w:val="center"/>
            </w:pPr>
          </w:p>
        </w:tc>
        <w:tc>
          <w:tcPr>
            <w:tcW w:w="1079" w:type="pct"/>
            <w:vAlign w:val="center"/>
          </w:tcPr>
          <w:p w:rsidR="00BA62CA" w:rsidRDefault="00BA62CA" w:rsidP="00317FB3">
            <w:pPr>
              <w:pStyle w:val="Tabletext"/>
              <w:keepNext/>
              <w:jc w:val="center"/>
            </w:pPr>
          </w:p>
        </w:tc>
      </w:tr>
      <w:tr w:rsidR="00BA62CA" w:rsidTr="007B3E1F">
        <w:tc>
          <w:tcPr>
            <w:tcW w:w="1759" w:type="pct"/>
            <w:vAlign w:val="center"/>
          </w:tcPr>
          <w:p w:rsidR="00BA62CA" w:rsidRDefault="00BA62CA" w:rsidP="00317FB3">
            <w:pPr>
              <w:pStyle w:val="Tabletext"/>
              <w:keepNext/>
              <w:ind w:left="142"/>
            </w:pPr>
            <w:r>
              <w:t>Ocular (study eye)</w:t>
            </w:r>
          </w:p>
        </w:tc>
        <w:tc>
          <w:tcPr>
            <w:tcW w:w="1081" w:type="pct"/>
            <w:vAlign w:val="center"/>
          </w:tcPr>
          <w:p w:rsidR="00BA62CA" w:rsidRDefault="00BA62CA" w:rsidP="00317FB3">
            <w:pPr>
              <w:pStyle w:val="Tabletext"/>
              <w:keepNext/>
              <w:jc w:val="center"/>
            </w:pPr>
            <w:r>
              <w:t>30 (25.2%)</w:t>
            </w:r>
          </w:p>
        </w:tc>
        <w:tc>
          <w:tcPr>
            <w:tcW w:w="1081" w:type="pct"/>
            <w:vAlign w:val="center"/>
          </w:tcPr>
          <w:p w:rsidR="00BA62CA" w:rsidRDefault="00BA62CA" w:rsidP="00317FB3">
            <w:pPr>
              <w:pStyle w:val="Tabletext"/>
              <w:keepNext/>
              <w:jc w:val="center"/>
            </w:pPr>
            <w:r>
              <w:t>22 (42.3%)</w:t>
            </w:r>
          </w:p>
        </w:tc>
        <w:tc>
          <w:tcPr>
            <w:tcW w:w="1079" w:type="pct"/>
            <w:vAlign w:val="center"/>
          </w:tcPr>
          <w:p w:rsidR="00BA62CA" w:rsidRDefault="00BA62CA" w:rsidP="00317FB3">
            <w:pPr>
              <w:pStyle w:val="Tabletext"/>
              <w:keepNext/>
              <w:jc w:val="center"/>
            </w:pPr>
            <w:r>
              <w:t>3 (42.9%)</w:t>
            </w:r>
          </w:p>
        </w:tc>
      </w:tr>
      <w:tr w:rsidR="00BA62CA" w:rsidTr="007B3E1F">
        <w:tc>
          <w:tcPr>
            <w:tcW w:w="1759" w:type="pct"/>
            <w:vAlign w:val="center"/>
          </w:tcPr>
          <w:p w:rsidR="00BA62CA" w:rsidRDefault="00BA62CA" w:rsidP="00317FB3">
            <w:pPr>
              <w:pStyle w:val="Tabletext"/>
              <w:keepNext/>
              <w:ind w:left="142"/>
            </w:pPr>
            <w:r>
              <w:t>Non-ocular</w:t>
            </w:r>
          </w:p>
        </w:tc>
        <w:tc>
          <w:tcPr>
            <w:tcW w:w="1081" w:type="pct"/>
            <w:vAlign w:val="center"/>
          </w:tcPr>
          <w:p w:rsidR="00BA62CA" w:rsidRDefault="00BA62CA" w:rsidP="00317FB3">
            <w:pPr>
              <w:pStyle w:val="Tabletext"/>
              <w:keepNext/>
              <w:jc w:val="center"/>
            </w:pPr>
            <w:r>
              <w:t>67 (56.3%)</w:t>
            </w:r>
          </w:p>
        </w:tc>
        <w:tc>
          <w:tcPr>
            <w:tcW w:w="1081" w:type="pct"/>
            <w:vAlign w:val="center"/>
          </w:tcPr>
          <w:p w:rsidR="00BA62CA" w:rsidRDefault="00BA62CA" w:rsidP="00317FB3">
            <w:pPr>
              <w:pStyle w:val="Tabletext"/>
              <w:keepNext/>
              <w:jc w:val="center"/>
            </w:pPr>
            <w:r>
              <w:t>25 (48.1%)</w:t>
            </w:r>
          </w:p>
        </w:tc>
        <w:tc>
          <w:tcPr>
            <w:tcW w:w="1079" w:type="pct"/>
            <w:vAlign w:val="center"/>
          </w:tcPr>
          <w:p w:rsidR="00BA62CA" w:rsidRDefault="00BA62CA" w:rsidP="00317FB3">
            <w:pPr>
              <w:pStyle w:val="Tabletext"/>
              <w:keepNext/>
              <w:jc w:val="center"/>
            </w:pPr>
            <w:r>
              <w:t>3 (42.9%)</w:t>
            </w:r>
          </w:p>
        </w:tc>
      </w:tr>
      <w:tr w:rsidR="00BA62CA" w:rsidTr="007B3E1F">
        <w:tc>
          <w:tcPr>
            <w:tcW w:w="1759" w:type="pct"/>
            <w:vAlign w:val="center"/>
          </w:tcPr>
          <w:p w:rsidR="00BA62CA" w:rsidRDefault="00BA62CA" w:rsidP="00317FB3">
            <w:pPr>
              <w:pStyle w:val="Tabletext"/>
              <w:keepNext/>
            </w:pPr>
            <w:r>
              <w:t>Treatment related ocular AE (study eye)</w:t>
            </w:r>
          </w:p>
        </w:tc>
        <w:tc>
          <w:tcPr>
            <w:tcW w:w="1081" w:type="pct"/>
            <w:vAlign w:val="center"/>
          </w:tcPr>
          <w:p w:rsidR="00BA62CA" w:rsidRDefault="00BA62CA" w:rsidP="00317FB3">
            <w:pPr>
              <w:pStyle w:val="Tabletext"/>
              <w:keepNext/>
              <w:jc w:val="center"/>
            </w:pPr>
          </w:p>
        </w:tc>
        <w:tc>
          <w:tcPr>
            <w:tcW w:w="1081" w:type="pct"/>
            <w:vAlign w:val="center"/>
          </w:tcPr>
          <w:p w:rsidR="00BA62CA" w:rsidRDefault="00BA62CA" w:rsidP="00317FB3">
            <w:pPr>
              <w:pStyle w:val="Tabletext"/>
              <w:keepNext/>
              <w:jc w:val="center"/>
            </w:pPr>
          </w:p>
        </w:tc>
        <w:tc>
          <w:tcPr>
            <w:tcW w:w="1079" w:type="pct"/>
            <w:vAlign w:val="center"/>
          </w:tcPr>
          <w:p w:rsidR="00BA62CA" w:rsidRDefault="00BA62CA" w:rsidP="00317FB3">
            <w:pPr>
              <w:pStyle w:val="Tabletext"/>
              <w:keepNext/>
              <w:jc w:val="center"/>
            </w:pPr>
          </w:p>
        </w:tc>
      </w:tr>
      <w:tr w:rsidR="00BA62CA" w:rsidTr="007B3E1F">
        <w:tc>
          <w:tcPr>
            <w:tcW w:w="1759" w:type="pct"/>
            <w:vAlign w:val="center"/>
          </w:tcPr>
          <w:p w:rsidR="00BA62CA" w:rsidRDefault="00BA62CA" w:rsidP="00317FB3">
            <w:pPr>
              <w:pStyle w:val="Tabletext"/>
              <w:keepNext/>
              <w:ind w:left="142"/>
            </w:pPr>
            <w:r>
              <w:t>Related to ocular injection</w:t>
            </w:r>
          </w:p>
        </w:tc>
        <w:tc>
          <w:tcPr>
            <w:tcW w:w="1081" w:type="pct"/>
            <w:vAlign w:val="center"/>
          </w:tcPr>
          <w:p w:rsidR="00BA62CA" w:rsidRDefault="00BA62CA" w:rsidP="00317FB3">
            <w:pPr>
              <w:pStyle w:val="Tabletext"/>
              <w:keepNext/>
              <w:jc w:val="center"/>
            </w:pPr>
            <w:r>
              <w:t>15 (12.6%)</w:t>
            </w:r>
          </w:p>
        </w:tc>
        <w:tc>
          <w:tcPr>
            <w:tcW w:w="1081" w:type="pct"/>
            <w:vAlign w:val="center"/>
          </w:tcPr>
          <w:p w:rsidR="00BA62CA" w:rsidRDefault="00BA62CA" w:rsidP="00317FB3">
            <w:pPr>
              <w:pStyle w:val="Tabletext"/>
              <w:keepNext/>
              <w:jc w:val="center"/>
            </w:pPr>
            <w:r>
              <w:t>12 (23.1%)</w:t>
            </w:r>
          </w:p>
        </w:tc>
        <w:tc>
          <w:tcPr>
            <w:tcW w:w="1079" w:type="pct"/>
            <w:vAlign w:val="center"/>
          </w:tcPr>
          <w:p w:rsidR="00BA62CA" w:rsidRDefault="00BA62CA" w:rsidP="00317FB3">
            <w:pPr>
              <w:pStyle w:val="Tabletext"/>
              <w:keepNext/>
              <w:jc w:val="center"/>
            </w:pPr>
            <w:r>
              <w:t>1 (14.3%)</w:t>
            </w:r>
          </w:p>
        </w:tc>
      </w:tr>
      <w:tr w:rsidR="00BA62CA" w:rsidTr="007B3E1F">
        <w:tc>
          <w:tcPr>
            <w:tcW w:w="1759" w:type="pct"/>
            <w:vAlign w:val="center"/>
          </w:tcPr>
          <w:p w:rsidR="00BA62CA" w:rsidRDefault="00BA62CA" w:rsidP="00317FB3">
            <w:pPr>
              <w:pStyle w:val="Tabletext"/>
              <w:keepNext/>
              <w:ind w:left="142"/>
            </w:pPr>
            <w:r>
              <w:t>Related to study drug</w:t>
            </w:r>
          </w:p>
        </w:tc>
        <w:tc>
          <w:tcPr>
            <w:tcW w:w="1081" w:type="pct"/>
            <w:vAlign w:val="center"/>
          </w:tcPr>
          <w:p w:rsidR="00BA62CA" w:rsidRDefault="00BA62CA" w:rsidP="00317FB3">
            <w:pPr>
              <w:pStyle w:val="Tabletext"/>
              <w:keepNext/>
              <w:jc w:val="center"/>
            </w:pPr>
            <w:r>
              <w:t>2 (1.7%)</w:t>
            </w:r>
          </w:p>
        </w:tc>
        <w:tc>
          <w:tcPr>
            <w:tcW w:w="1081" w:type="pct"/>
            <w:vAlign w:val="center"/>
          </w:tcPr>
          <w:p w:rsidR="00BA62CA" w:rsidRDefault="00BA62CA" w:rsidP="00317FB3">
            <w:pPr>
              <w:pStyle w:val="Tabletext"/>
              <w:keepNext/>
              <w:jc w:val="center"/>
            </w:pPr>
            <w:r>
              <w:t>1 (1.9%)</w:t>
            </w:r>
          </w:p>
        </w:tc>
        <w:tc>
          <w:tcPr>
            <w:tcW w:w="1079" w:type="pct"/>
            <w:vAlign w:val="center"/>
          </w:tcPr>
          <w:p w:rsidR="00BA62CA" w:rsidRDefault="00BA62CA" w:rsidP="00317FB3">
            <w:pPr>
              <w:pStyle w:val="Tabletext"/>
              <w:keepNext/>
              <w:jc w:val="center"/>
            </w:pPr>
            <w:r>
              <w:t>0 (0.0%)</w:t>
            </w:r>
          </w:p>
        </w:tc>
      </w:tr>
      <w:tr w:rsidR="00BA62CA" w:rsidTr="007B3E1F">
        <w:tc>
          <w:tcPr>
            <w:tcW w:w="1759" w:type="pct"/>
            <w:vAlign w:val="center"/>
          </w:tcPr>
          <w:p w:rsidR="00BA62CA" w:rsidRDefault="00BA62CA" w:rsidP="00317FB3">
            <w:pPr>
              <w:pStyle w:val="Tabletext"/>
              <w:keepNext/>
            </w:pPr>
            <w:r>
              <w:t>Treatment related non-ocular AE</w:t>
            </w:r>
          </w:p>
        </w:tc>
        <w:tc>
          <w:tcPr>
            <w:tcW w:w="1081" w:type="pct"/>
            <w:vAlign w:val="center"/>
          </w:tcPr>
          <w:p w:rsidR="00BA62CA" w:rsidRDefault="00BA62CA" w:rsidP="00317FB3">
            <w:pPr>
              <w:pStyle w:val="Tabletext"/>
              <w:keepNext/>
              <w:jc w:val="center"/>
            </w:pPr>
            <w:r>
              <w:t>0</w:t>
            </w:r>
          </w:p>
        </w:tc>
        <w:tc>
          <w:tcPr>
            <w:tcW w:w="1081" w:type="pct"/>
            <w:vAlign w:val="center"/>
          </w:tcPr>
          <w:p w:rsidR="00BA62CA" w:rsidRDefault="00BA62CA" w:rsidP="00317FB3">
            <w:pPr>
              <w:pStyle w:val="Tabletext"/>
              <w:keepNext/>
              <w:jc w:val="center"/>
            </w:pPr>
            <w:r>
              <w:t>0</w:t>
            </w:r>
          </w:p>
        </w:tc>
        <w:tc>
          <w:tcPr>
            <w:tcW w:w="1079" w:type="pct"/>
            <w:vAlign w:val="center"/>
          </w:tcPr>
          <w:p w:rsidR="00BA62CA" w:rsidRDefault="00BA62CA" w:rsidP="00317FB3">
            <w:pPr>
              <w:pStyle w:val="Tabletext"/>
              <w:keepNext/>
              <w:jc w:val="center"/>
            </w:pPr>
            <w:r>
              <w:t>1 (14.3%)</w:t>
            </w:r>
          </w:p>
        </w:tc>
      </w:tr>
      <w:tr w:rsidR="00BA62CA" w:rsidTr="007B3E1F">
        <w:tc>
          <w:tcPr>
            <w:tcW w:w="1759" w:type="pct"/>
            <w:vAlign w:val="center"/>
          </w:tcPr>
          <w:p w:rsidR="00BA62CA" w:rsidRDefault="00BA62CA" w:rsidP="00317FB3">
            <w:pPr>
              <w:pStyle w:val="Tabletext"/>
              <w:keepNext/>
            </w:pPr>
            <w:r>
              <w:t>Serious AEs, n (%)</w:t>
            </w:r>
          </w:p>
        </w:tc>
        <w:tc>
          <w:tcPr>
            <w:tcW w:w="1081" w:type="pct"/>
            <w:vAlign w:val="center"/>
          </w:tcPr>
          <w:p w:rsidR="00BA62CA" w:rsidRDefault="00BA62CA" w:rsidP="00317FB3">
            <w:pPr>
              <w:pStyle w:val="Tabletext"/>
              <w:keepNext/>
              <w:jc w:val="center"/>
            </w:pPr>
            <w:r>
              <w:t>9 (7.6%)</w:t>
            </w:r>
          </w:p>
        </w:tc>
        <w:tc>
          <w:tcPr>
            <w:tcW w:w="1081" w:type="pct"/>
            <w:vAlign w:val="center"/>
          </w:tcPr>
          <w:p w:rsidR="00BA62CA" w:rsidRDefault="00BA62CA" w:rsidP="00317FB3">
            <w:pPr>
              <w:pStyle w:val="Tabletext"/>
              <w:keepNext/>
              <w:jc w:val="center"/>
            </w:pPr>
            <w:r>
              <w:t>4 (7.7%)</w:t>
            </w:r>
          </w:p>
        </w:tc>
        <w:tc>
          <w:tcPr>
            <w:tcW w:w="1079" w:type="pct"/>
            <w:vAlign w:val="center"/>
          </w:tcPr>
          <w:p w:rsidR="00BA62CA" w:rsidRDefault="00BA62CA" w:rsidP="00317FB3">
            <w:pPr>
              <w:pStyle w:val="Tabletext"/>
              <w:keepNext/>
              <w:jc w:val="center"/>
            </w:pPr>
            <w:r>
              <w:t>0</w:t>
            </w:r>
          </w:p>
        </w:tc>
      </w:tr>
      <w:tr w:rsidR="00BA62CA" w:rsidTr="007B3E1F">
        <w:tc>
          <w:tcPr>
            <w:tcW w:w="1759" w:type="pct"/>
            <w:vAlign w:val="center"/>
          </w:tcPr>
          <w:p w:rsidR="00BA62CA" w:rsidRDefault="00BA62CA" w:rsidP="00317FB3">
            <w:pPr>
              <w:pStyle w:val="Tabletext"/>
              <w:keepNext/>
              <w:ind w:left="142"/>
            </w:pPr>
            <w:r>
              <w:t>Study eye</w:t>
            </w:r>
          </w:p>
        </w:tc>
        <w:tc>
          <w:tcPr>
            <w:tcW w:w="1081" w:type="pct"/>
            <w:vAlign w:val="center"/>
          </w:tcPr>
          <w:p w:rsidR="00BA62CA" w:rsidRDefault="00BA62CA" w:rsidP="00317FB3">
            <w:pPr>
              <w:pStyle w:val="Tabletext"/>
              <w:keepNext/>
              <w:jc w:val="center"/>
            </w:pPr>
            <w:r>
              <w:t>0</w:t>
            </w:r>
          </w:p>
        </w:tc>
        <w:tc>
          <w:tcPr>
            <w:tcW w:w="1081" w:type="pct"/>
            <w:vAlign w:val="center"/>
          </w:tcPr>
          <w:p w:rsidR="00BA62CA" w:rsidRDefault="00BA62CA" w:rsidP="00317FB3">
            <w:pPr>
              <w:pStyle w:val="Tabletext"/>
              <w:keepNext/>
              <w:jc w:val="center"/>
            </w:pPr>
            <w:r>
              <w:t>0</w:t>
            </w:r>
          </w:p>
        </w:tc>
        <w:tc>
          <w:tcPr>
            <w:tcW w:w="1079" w:type="pct"/>
            <w:vAlign w:val="center"/>
          </w:tcPr>
          <w:p w:rsidR="00BA62CA" w:rsidRDefault="00BA62CA" w:rsidP="00317FB3">
            <w:pPr>
              <w:pStyle w:val="Tabletext"/>
              <w:keepNext/>
              <w:jc w:val="center"/>
            </w:pPr>
            <w:r>
              <w:t>0</w:t>
            </w:r>
          </w:p>
        </w:tc>
      </w:tr>
      <w:tr w:rsidR="00BA62CA" w:rsidTr="007B3E1F">
        <w:tc>
          <w:tcPr>
            <w:tcW w:w="1759" w:type="pct"/>
            <w:vAlign w:val="center"/>
          </w:tcPr>
          <w:p w:rsidR="00BA62CA" w:rsidRDefault="00BA62CA" w:rsidP="00317FB3">
            <w:pPr>
              <w:pStyle w:val="Tabletext"/>
              <w:keepNext/>
              <w:ind w:left="142"/>
            </w:pPr>
            <w:r>
              <w:t>Fellow treated eye</w:t>
            </w:r>
          </w:p>
        </w:tc>
        <w:tc>
          <w:tcPr>
            <w:tcW w:w="1081" w:type="pct"/>
            <w:vAlign w:val="center"/>
          </w:tcPr>
          <w:p w:rsidR="00BA62CA" w:rsidRDefault="00BA62CA" w:rsidP="00317FB3">
            <w:pPr>
              <w:pStyle w:val="Tabletext"/>
              <w:keepNext/>
              <w:jc w:val="center"/>
            </w:pPr>
            <w:r>
              <w:t>0</w:t>
            </w:r>
          </w:p>
        </w:tc>
        <w:tc>
          <w:tcPr>
            <w:tcW w:w="1081" w:type="pct"/>
            <w:vAlign w:val="center"/>
          </w:tcPr>
          <w:p w:rsidR="00BA62CA" w:rsidRDefault="00BA62CA" w:rsidP="00317FB3">
            <w:pPr>
              <w:pStyle w:val="Tabletext"/>
              <w:keepNext/>
              <w:jc w:val="center"/>
            </w:pPr>
            <w:r>
              <w:t>0</w:t>
            </w:r>
          </w:p>
        </w:tc>
        <w:tc>
          <w:tcPr>
            <w:tcW w:w="1079" w:type="pct"/>
            <w:vAlign w:val="center"/>
          </w:tcPr>
          <w:p w:rsidR="00BA62CA" w:rsidRDefault="00BA62CA" w:rsidP="00317FB3">
            <w:pPr>
              <w:pStyle w:val="Tabletext"/>
              <w:keepNext/>
              <w:jc w:val="center"/>
            </w:pPr>
            <w:r>
              <w:t>0</w:t>
            </w:r>
          </w:p>
        </w:tc>
      </w:tr>
      <w:tr w:rsidR="00BA62CA" w:rsidTr="007B3E1F">
        <w:tc>
          <w:tcPr>
            <w:tcW w:w="1759" w:type="pct"/>
            <w:vAlign w:val="center"/>
          </w:tcPr>
          <w:p w:rsidR="00BA62CA" w:rsidRDefault="00BA62CA" w:rsidP="00317FB3">
            <w:pPr>
              <w:pStyle w:val="Tabletext"/>
              <w:keepNext/>
              <w:ind w:left="142"/>
            </w:pPr>
            <w:r>
              <w:t>Fellow untreated eye</w:t>
            </w:r>
          </w:p>
        </w:tc>
        <w:tc>
          <w:tcPr>
            <w:tcW w:w="1081" w:type="pct"/>
            <w:vAlign w:val="center"/>
          </w:tcPr>
          <w:p w:rsidR="00BA62CA" w:rsidRPr="00B1011F" w:rsidRDefault="00BA62CA" w:rsidP="00317FB3">
            <w:pPr>
              <w:pStyle w:val="Tabletext"/>
              <w:keepNext/>
              <w:jc w:val="center"/>
            </w:pPr>
            <w:r>
              <w:t>1 (0.8%)</w:t>
            </w:r>
          </w:p>
        </w:tc>
        <w:tc>
          <w:tcPr>
            <w:tcW w:w="1081" w:type="pct"/>
            <w:vAlign w:val="center"/>
          </w:tcPr>
          <w:p w:rsidR="00BA62CA" w:rsidRPr="00B1011F" w:rsidRDefault="00BA62CA" w:rsidP="00317FB3">
            <w:pPr>
              <w:pStyle w:val="Tabletext"/>
              <w:keepNext/>
              <w:jc w:val="center"/>
            </w:pPr>
            <w:r>
              <w:t>0</w:t>
            </w:r>
          </w:p>
        </w:tc>
        <w:tc>
          <w:tcPr>
            <w:tcW w:w="1079" w:type="pct"/>
            <w:vAlign w:val="center"/>
          </w:tcPr>
          <w:p w:rsidR="00BA62CA" w:rsidRPr="00B1011F" w:rsidRDefault="00BA62CA" w:rsidP="00317FB3">
            <w:pPr>
              <w:pStyle w:val="Tabletext"/>
              <w:keepNext/>
              <w:jc w:val="center"/>
            </w:pPr>
            <w:r>
              <w:t>0</w:t>
            </w:r>
          </w:p>
        </w:tc>
      </w:tr>
      <w:tr w:rsidR="00BA62CA" w:rsidTr="007B3E1F">
        <w:tc>
          <w:tcPr>
            <w:tcW w:w="1759" w:type="pct"/>
            <w:vAlign w:val="center"/>
          </w:tcPr>
          <w:p w:rsidR="00BA62CA" w:rsidRDefault="00BA62CA" w:rsidP="00317FB3">
            <w:pPr>
              <w:pStyle w:val="Tabletext"/>
              <w:keepNext/>
              <w:ind w:left="142"/>
            </w:pPr>
            <w:r>
              <w:t>Non-ocular</w:t>
            </w:r>
          </w:p>
        </w:tc>
        <w:tc>
          <w:tcPr>
            <w:tcW w:w="1081" w:type="pct"/>
            <w:vAlign w:val="center"/>
          </w:tcPr>
          <w:p w:rsidR="00BA62CA" w:rsidRPr="00B1011F" w:rsidRDefault="00BA62CA" w:rsidP="00317FB3">
            <w:pPr>
              <w:pStyle w:val="Tabletext"/>
              <w:keepNext/>
              <w:jc w:val="center"/>
            </w:pPr>
            <w:r>
              <w:t>8 (6.7%)</w:t>
            </w:r>
          </w:p>
        </w:tc>
        <w:tc>
          <w:tcPr>
            <w:tcW w:w="1081" w:type="pct"/>
            <w:vAlign w:val="center"/>
          </w:tcPr>
          <w:p w:rsidR="00BA62CA" w:rsidRPr="00B1011F" w:rsidRDefault="00BA62CA" w:rsidP="00317FB3">
            <w:pPr>
              <w:pStyle w:val="Tabletext"/>
              <w:keepNext/>
              <w:jc w:val="center"/>
            </w:pPr>
            <w:r>
              <w:t>4 (7.7%)</w:t>
            </w:r>
          </w:p>
        </w:tc>
        <w:tc>
          <w:tcPr>
            <w:tcW w:w="1079" w:type="pct"/>
            <w:vAlign w:val="center"/>
          </w:tcPr>
          <w:p w:rsidR="00BA62CA" w:rsidRPr="00B1011F" w:rsidRDefault="00BA62CA" w:rsidP="00317FB3">
            <w:pPr>
              <w:pStyle w:val="Tabletext"/>
              <w:keepNext/>
              <w:jc w:val="center"/>
            </w:pPr>
            <w:r>
              <w:t>0</w:t>
            </w:r>
          </w:p>
        </w:tc>
      </w:tr>
      <w:tr w:rsidR="00BA62CA" w:rsidTr="007B3E1F">
        <w:tc>
          <w:tcPr>
            <w:tcW w:w="1759" w:type="pct"/>
            <w:vAlign w:val="center"/>
          </w:tcPr>
          <w:p w:rsidR="00BA62CA" w:rsidRDefault="00BA62CA" w:rsidP="00317FB3">
            <w:pPr>
              <w:pStyle w:val="Tabletext"/>
              <w:keepNext/>
            </w:pPr>
            <w:r>
              <w:t>Discontinued study drug due to AE, n (%)</w:t>
            </w:r>
          </w:p>
        </w:tc>
        <w:tc>
          <w:tcPr>
            <w:tcW w:w="1081" w:type="pct"/>
            <w:vAlign w:val="center"/>
          </w:tcPr>
          <w:p w:rsidR="00BA62CA" w:rsidRPr="00B1011F" w:rsidRDefault="00BA62CA" w:rsidP="00317FB3">
            <w:pPr>
              <w:pStyle w:val="Tabletext"/>
              <w:keepNext/>
              <w:jc w:val="center"/>
            </w:pPr>
            <w:r>
              <w:t>2 (1.7%)</w:t>
            </w:r>
          </w:p>
        </w:tc>
        <w:tc>
          <w:tcPr>
            <w:tcW w:w="1081" w:type="pct"/>
            <w:vAlign w:val="center"/>
          </w:tcPr>
          <w:p w:rsidR="00BA62CA" w:rsidRPr="00B1011F" w:rsidRDefault="00BA62CA" w:rsidP="00317FB3">
            <w:pPr>
              <w:pStyle w:val="Tabletext"/>
              <w:keepNext/>
              <w:jc w:val="center"/>
            </w:pPr>
            <w:r>
              <w:t>0</w:t>
            </w:r>
          </w:p>
        </w:tc>
        <w:tc>
          <w:tcPr>
            <w:tcW w:w="1079" w:type="pct"/>
            <w:vAlign w:val="center"/>
          </w:tcPr>
          <w:p w:rsidR="00BA62CA" w:rsidRPr="00B1011F" w:rsidRDefault="00BA62CA" w:rsidP="00317FB3">
            <w:pPr>
              <w:pStyle w:val="Tabletext"/>
              <w:keepNext/>
              <w:jc w:val="center"/>
            </w:pPr>
            <w:r>
              <w:t>1 (14.3%)</w:t>
            </w:r>
          </w:p>
        </w:tc>
      </w:tr>
      <w:tr w:rsidR="00BA62CA" w:rsidTr="007B3E1F">
        <w:trPr>
          <w:trHeight w:val="20"/>
        </w:trPr>
        <w:tc>
          <w:tcPr>
            <w:tcW w:w="1759" w:type="pct"/>
            <w:vAlign w:val="center"/>
          </w:tcPr>
          <w:p w:rsidR="00BA62CA" w:rsidRDefault="00BA62CA" w:rsidP="00317FB3">
            <w:pPr>
              <w:pStyle w:val="Tabletext"/>
              <w:keepNext/>
              <w:ind w:left="142"/>
            </w:pPr>
            <w:r>
              <w:t>Study eye</w:t>
            </w:r>
          </w:p>
        </w:tc>
        <w:tc>
          <w:tcPr>
            <w:tcW w:w="1081" w:type="pct"/>
            <w:vAlign w:val="center"/>
          </w:tcPr>
          <w:p w:rsidR="00BA62CA" w:rsidRPr="00B1011F" w:rsidRDefault="00BA62CA" w:rsidP="00317FB3">
            <w:pPr>
              <w:pStyle w:val="Tabletext"/>
              <w:keepNext/>
              <w:jc w:val="center"/>
            </w:pPr>
            <w:r>
              <w:t>0</w:t>
            </w:r>
          </w:p>
        </w:tc>
        <w:tc>
          <w:tcPr>
            <w:tcW w:w="1081" w:type="pct"/>
            <w:vAlign w:val="center"/>
          </w:tcPr>
          <w:p w:rsidR="00BA62CA" w:rsidRPr="00B1011F" w:rsidRDefault="00BA62CA" w:rsidP="00317FB3">
            <w:pPr>
              <w:pStyle w:val="Tabletext"/>
              <w:keepNext/>
              <w:jc w:val="center"/>
            </w:pPr>
            <w:r>
              <w:t>0</w:t>
            </w:r>
          </w:p>
        </w:tc>
        <w:tc>
          <w:tcPr>
            <w:tcW w:w="1079" w:type="pct"/>
            <w:vAlign w:val="center"/>
          </w:tcPr>
          <w:p w:rsidR="00BA62CA" w:rsidRPr="00B1011F" w:rsidRDefault="00BA62CA" w:rsidP="00317FB3">
            <w:pPr>
              <w:pStyle w:val="Tabletext"/>
              <w:keepNext/>
              <w:jc w:val="center"/>
            </w:pPr>
            <w:r>
              <w:t>1 (14.3%)</w:t>
            </w:r>
          </w:p>
        </w:tc>
      </w:tr>
      <w:tr w:rsidR="00BA62CA" w:rsidTr="007B3E1F">
        <w:tc>
          <w:tcPr>
            <w:tcW w:w="1759" w:type="pct"/>
            <w:vAlign w:val="center"/>
          </w:tcPr>
          <w:p w:rsidR="00BA62CA" w:rsidRDefault="00BA62CA" w:rsidP="00317FB3">
            <w:pPr>
              <w:pStyle w:val="Tabletext"/>
              <w:keepNext/>
              <w:ind w:left="142"/>
            </w:pPr>
            <w:r>
              <w:t>Non-ocular</w:t>
            </w:r>
          </w:p>
        </w:tc>
        <w:tc>
          <w:tcPr>
            <w:tcW w:w="1081" w:type="pct"/>
            <w:vAlign w:val="center"/>
          </w:tcPr>
          <w:p w:rsidR="00BA62CA" w:rsidRPr="00B1011F" w:rsidRDefault="00BA62CA" w:rsidP="00317FB3">
            <w:pPr>
              <w:pStyle w:val="Tabletext"/>
              <w:keepNext/>
              <w:jc w:val="center"/>
            </w:pPr>
            <w:r>
              <w:t>2 (1.7%)</w:t>
            </w:r>
          </w:p>
        </w:tc>
        <w:tc>
          <w:tcPr>
            <w:tcW w:w="1081" w:type="pct"/>
            <w:vAlign w:val="center"/>
          </w:tcPr>
          <w:p w:rsidR="00BA62CA" w:rsidRPr="00B1011F" w:rsidRDefault="00BA62CA" w:rsidP="00317FB3">
            <w:pPr>
              <w:pStyle w:val="Tabletext"/>
              <w:keepNext/>
              <w:jc w:val="center"/>
            </w:pPr>
            <w:r>
              <w:t>0</w:t>
            </w:r>
          </w:p>
        </w:tc>
        <w:tc>
          <w:tcPr>
            <w:tcW w:w="1079" w:type="pct"/>
            <w:vAlign w:val="center"/>
          </w:tcPr>
          <w:p w:rsidR="00BA62CA" w:rsidRPr="00B1011F" w:rsidRDefault="00BA62CA" w:rsidP="00317FB3">
            <w:pPr>
              <w:pStyle w:val="Tabletext"/>
              <w:keepNext/>
              <w:jc w:val="center"/>
            </w:pPr>
            <w:r>
              <w:t>0</w:t>
            </w:r>
          </w:p>
        </w:tc>
      </w:tr>
    </w:tbl>
    <w:p w:rsidR="00BA62CA" w:rsidRPr="000768F2" w:rsidRDefault="00BA62CA" w:rsidP="00BA62CA">
      <w:pPr>
        <w:pStyle w:val="TableFooter"/>
      </w:pPr>
      <w:r w:rsidRPr="000768F2">
        <w:t>AE = adverse event</w:t>
      </w:r>
    </w:p>
    <w:p w:rsidR="00BA62CA" w:rsidRDefault="00BA62CA" w:rsidP="00A24DED">
      <w:pPr>
        <w:pStyle w:val="TableFooter"/>
        <w:spacing w:after="160"/>
      </w:pPr>
      <w:r w:rsidRPr="000768F2">
        <w:t>Source: Table 2.5-6, p61 of the submission; Table 14.3.1-3.6 p1022, Table 14.3.1-3.10 p 1026 and Table 14.3.1-3.13 p1030 of the CSR.</w:t>
      </w:r>
    </w:p>
    <w:p w:rsidR="00BA62CA" w:rsidRPr="00081A92" w:rsidRDefault="00BA62CA" w:rsidP="00FF28DB">
      <w:pPr>
        <w:widowControl/>
        <w:numPr>
          <w:ilvl w:val="1"/>
          <w:numId w:val="2"/>
        </w:numPr>
        <w:spacing w:after="160"/>
      </w:pPr>
      <w:r w:rsidRPr="00081A92">
        <w:t>The submission stated that</w:t>
      </w:r>
      <w:r w:rsidR="00104458" w:rsidRPr="00081A92">
        <w:t>, over the 12 month study period,</w:t>
      </w:r>
      <w:r w:rsidRPr="00081A92">
        <w:t xml:space="preserve"> patients in the ranibizumab group experienced a lower frequency of ocular AEs compared to the sham with ranibizumab group (p=0.03). Given that all patients randomised to sham injection </w:t>
      </w:r>
      <w:r w:rsidR="009E0873" w:rsidRPr="00081A92">
        <w:t xml:space="preserve">were </w:t>
      </w:r>
      <w:r w:rsidR="009E0873" w:rsidRPr="00EB3AF3">
        <w:t xml:space="preserve">permitted to </w:t>
      </w:r>
      <w:r w:rsidR="009B123E" w:rsidRPr="00EB3AF3">
        <w:t>switch</w:t>
      </w:r>
      <w:r w:rsidRPr="00EB3AF3">
        <w:t xml:space="preserve"> to ranibizumab treatment on an as-needed basis from Month 2 to Month 12, </w:t>
      </w:r>
      <w:r w:rsidR="004612FA" w:rsidRPr="00EB3AF3">
        <w:t xml:space="preserve">no </w:t>
      </w:r>
      <w:r w:rsidRPr="00EB3AF3">
        <w:t xml:space="preserve">comparison of the 12 </w:t>
      </w:r>
      <w:r w:rsidR="00966D45" w:rsidRPr="00EB3AF3">
        <w:t xml:space="preserve">month </w:t>
      </w:r>
      <w:r w:rsidRPr="00EB3AF3">
        <w:t xml:space="preserve">safety data between the treatment groups </w:t>
      </w:r>
      <w:r w:rsidR="00A24DED" w:rsidRPr="00EB3AF3">
        <w:t>wa</w:t>
      </w:r>
      <w:r w:rsidRPr="00EB3AF3">
        <w:t xml:space="preserve">s </w:t>
      </w:r>
      <w:r w:rsidR="004612FA" w:rsidRPr="00EB3AF3">
        <w:t>possible</w:t>
      </w:r>
      <w:r w:rsidRPr="00EB3AF3">
        <w:t>.</w:t>
      </w:r>
    </w:p>
    <w:p w:rsidR="00BA62CA" w:rsidRPr="00081A92" w:rsidRDefault="00E015F5" w:rsidP="00FF28DB">
      <w:pPr>
        <w:widowControl/>
        <w:numPr>
          <w:ilvl w:val="1"/>
          <w:numId w:val="2"/>
        </w:numPr>
        <w:spacing w:after="160"/>
      </w:pPr>
      <w:r w:rsidRPr="00081A92">
        <w:t>The TGA clinical evaluator noted that, in spite of data showing minimal systemic absorption, the incidence of systemic ranibizumab-related AEs reported in the trial highlight</w:t>
      </w:r>
      <w:r w:rsidR="00E03BD7" w:rsidRPr="00081A92">
        <w:t>ed</w:t>
      </w:r>
      <w:r w:rsidRPr="00081A92">
        <w:t xml:space="preserve"> </w:t>
      </w:r>
      <w:r w:rsidR="00BA62CA" w:rsidRPr="00081A92">
        <w:t>the requirement for monitoring of vascular events in this patient population.</w:t>
      </w:r>
    </w:p>
    <w:p w:rsidR="00BA62CA" w:rsidRPr="00081A92" w:rsidRDefault="00BA62CA" w:rsidP="00FF28DB">
      <w:pPr>
        <w:widowControl/>
        <w:numPr>
          <w:ilvl w:val="1"/>
          <w:numId w:val="2"/>
        </w:numPr>
        <w:spacing w:after="160"/>
      </w:pPr>
      <w:r w:rsidRPr="00081A92">
        <w:t xml:space="preserve">The TGA </w:t>
      </w:r>
      <w:r w:rsidR="009E0873" w:rsidRPr="00081A92">
        <w:t xml:space="preserve">clinical </w:t>
      </w:r>
      <w:r w:rsidRPr="00081A92">
        <w:t xml:space="preserve">evaluator concluded that the treatment-related risks observed in MINERVA were consistent with the known safety profile of ranibizumab. The potential safety concerns with the use of ranibizumab relate to </w:t>
      </w:r>
      <w:r w:rsidR="004C5EA1">
        <w:rPr>
          <w:noProof/>
          <w:color w:val="000000"/>
          <w:highlight w:val="black"/>
        </w:rPr>
        <w:t xml:space="preserve">''''''''''''''''' ''''''''''''''''' ''''''''''''' ''''''''' '''''''''''''''' ''''''''''''''''''''''''''''' '''''''''''' ''''''''''''''''''''''''''' ''''''''''''' '''''''''''''''''''''' ''''''' '''''''' ''''''''''''' '''''''''''''''' '''''''''''''''' '''''''' ''''''''''''''' ''''''''''''''''''''''' ''''''' '''''''''''' ''''''''''''''''''' '''''''''''''''' </w:t>
      </w:r>
      <w:r w:rsidRPr="0034729E">
        <w:t xml:space="preserve">Further, because of the theoretical risk of arterial thromboembolic events with intravitreal VEGF inhibitors, relevant important potential risks are </w:t>
      </w:r>
      <w:r w:rsidR="004C5EA1">
        <w:rPr>
          <w:noProof/>
          <w:color w:val="000000"/>
          <w:highlight w:val="black"/>
        </w:rPr>
        <w:t>''''''''''''''''''' ''''''''''''''''' '''''''' ''''''''''''''''''''''''''''' ''''''''''''''' ''''''''''''''''''''''''''''''''' ''''''''''''</w:t>
      </w:r>
      <w:r w:rsidRPr="00081A92">
        <w:t>.</w:t>
      </w:r>
    </w:p>
    <w:p w:rsidR="00BA62CA" w:rsidRPr="00EB3AF3" w:rsidRDefault="00BA62CA" w:rsidP="00A24DED">
      <w:pPr>
        <w:widowControl/>
        <w:numPr>
          <w:ilvl w:val="1"/>
          <w:numId w:val="2"/>
        </w:numPr>
        <w:spacing w:after="160"/>
      </w:pPr>
      <w:r w:rsidRPr="00081A92">
        <w:t xml:space="preserve">The safety data were largely non-comparative. </w:t>
      </w:r>
      <w:r w:rsidR="00E015F5" w:rsidRPr="00081A92">
        <w:t>T</w:t>
      </w:r>
      <w:r w:rsidRPr="00081A92">
        <w:t>he short duration of the study and small patient population limit the ability to comment on the long term safety profile of ranibizumab for these conditions, some of which often require long term treatment</w:t>
      </w:r>
      <w:r w:rsidR="009E0873" w:rsidRPr="00081A92">
        <w:t>.</w:t>
      </w:r>
      <w:r w:rsidR="004612FA">
        <w:rPr>
          <w:i/>
        </w:rPr>
        <w:t xml:space="preserve"> </w:t>
      </w:r>
      <w:r w:rsidR="004612FA" w:rsidRPr="00EB3AF3">
        <w:t xml:space="preserve">The ESC noted that the long term safety profile of ranibizumab is known for other indications and considered that the safety profile is unlikely to be significantly different in </w:t>
      </w:r>
      <w:r w:rsidR="00A24DED" w:rsidRPr="00EB3AF3">
        <w:t>this heterogeneous population.</w:t>
      </w:r>
    </w:p>
    <w:p w:rsidR="00BA62CA" w:rsidRPr="008A5F04" w:rsidRDefault="00BA62CA" w:rsidP="00076F67">
      <w:pPr>
        <w:pStyle w:val="Heading2"/>
      </w:pPr>
      <w:bookmarkStart w:id="25" w:name="_Toc500424305"/>
      <w:bookmarkStart w:id="26" w:name="_Toc500757992"/>
      <w:r w:rsidRPr="008A5F04">
        <w:lastRenderedPageBreak/>
        <w:t>Benefits/harms</w:t>
      </w:r>
      <w:bookmarkEnd w:id="25"/>
      <w:bookmarkEnd w:id="26"/>
    </w:p>
    <w:p w:rsidR="00BA62CA" w:rsidRPr="00EB3AF3" w:rsidRDefault="00BA62CA" w:rsidP="00FF28DB">
      <w:pPr>
        <w:widowControl/>
        <w:numPr>
          <w:ilvl w:val="1"/>
          <w:numId w:val="2"/>
        </w:numPr>
        <w:spacing w:after="160"/>
      </w:pPr>
      <w:r w:rsidRPr="00EB3AF3">
        <w:t xml:space="preserve">A summary of the comparative benefits for ranibizumab over sham injection is presented in the table below. </w:t>
      </w:r>
      <w:r w:rsidR="00717F60" w:rsidRPr="00EB3AF3">
        <w:t>Due to the short duration of the comparative stage of the trial, and the low number of events in the relatively small number of patients, t</w:t>
      </w:r>
      <w:r w:rsidRPr="00EB3AF3">
        <w:t>he</w:t>
      </w:r>
      <w:r w:rsidR="009E0873" w:rsidRPr="00EB3AF3">
        <w:t xml:space="preserve"> trial provided</w:t>
      </w:r>
      <w:r w:rsidRPr="00EB3AF3">
        <w:t xml:space="preserve"> insufficient comparative safety data </w:t>
      </w:r>
      <w:r w:rsidR="00E11C8D" w:rsidRPr="00EB3AF3">
        <w:t xml:space="preserve">for ranibizumab versus sham injection </w:t>
      </w:r>
      <w:r w:rsidRPr="00EB3AF3">
        <w:t>to allow</w:t>
      </w:r>
      <w:r w:rsidR="00717F60" w:rsidRPr="00EB3AF3">
        <w:t xml:space="preserve"> a reliable comparison of harms</w:t>
      </w:r>
      <w:r w:rsidR="009E0873" w:rsidRPr="00EB3AF3">
        <w:t>.</w:t>
      </w:r>
    </w:p>
    <w:p w:rsidR="00BA62CA" w:rsidRPr="00F363EE" w:rsidRDefault="00D20503" w:rsidP="00BA62CA">
      <w:pPr>
        <w:rPr>
          <w:rFonts w:ascii="Arial Narrow" w:hAnsi="Arial Narrow"/>
          <w:b/>
          <w:sz w:val="20"/>
          <w:szCs w:val="16"/>
        </w:rPr>
      </w:pPr>
      <w:r>
        <w:rPr>
          <w:rFonts w:ascii="Arial Narrow" w:hAnsi="Arial Narrow"/>
          <w:b/>
          <w:sz w:val="20"/>
          <w:szCs w:val="16"/>
        </w:rPr>
        <w:t>Table 6</w:t>
      </w:r>
      <w:r w:rsidR="00BA62CA" w:rsidRPr="00F363EE">
        <w:rPr>
          <w:rFonts w:ascii="Arial Narrow" w:hAnsi="Arial Narrow"/>
          <w:b/>
          <w:sz w:val="20"/>
          <w:szCs w:val="16"/>
        </w:rPr>
        <w:t xml:space="preserve">: Summary of comparative benefits for ranibizumab and </w:t>
      </w:r>
      <w:r w:rsidR="00BA62CA">
        <w:rPr>
          <w:rFonts w:ascii="Arial Narrow" w:hAnsi="Arial Narrow"/>
          <w:b/>
          <w:sz w:val="20"/>
          <w:szCs w:val="16"/>
        </w:rPr>
        <w:t>sham injection</w:t>
      </w:r>
    </w:p>
    <w:tbl>
      <w:tblPr>
        <w:tblW w:w="5000" w:type="pct"/>
        <w:tblLayout w:type="fixed"/>
        <w:tblCellMar>
          <w:left w:w="28" w:type="dxa"/>
          <w:right w:w="28" w:type="dxa"/>
        </w:tblCellMar>
        <w:tblLook w:val="04A0" w:firstRow="1" w:lastRow="0" w:firstColumn="1" w:lastColumn="0" w:noHBand="0" w:noVBand="1"/>
      </w:tblPr>
      <w:tblGrid>
        <w:gridCol w:w="1153"/>
        <w:gridCol w:w="712"/>
        <w:gridCol w:w="994"/>
        <w:gridCol w:w="1010"/>
        <w:gridCol w:w="845"/>
        <w:gridCol w:w="1001"/>
        <w:gridCol w:w="1003"/>
        <w:gridCol w:w="2365"/>
      </w:tblGrid>
      <w:tr w:rsidR="00BA62CA" w:rsidRPr="00F363EE" w:rsidTr="007B3E1F">
        <w:tc>
          <w:tcPr>
            <w:tcW w:w="5000"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BA62CA" w:rsidRPr="00F363EE" w:rsidRDefault="00BA62CA" w:rsidP="007B3E1F">
            <w:pPr>
              <w:rPr>
                <w:rFonts w:ascii="Arial Narrow" w:hAnsi="Arial Narrow"/>
                <w:b/>
                <w:color w:val="000000"/>
                <w:sz w:val="20"/>
                <w:szCs w:val="18"/>
              </w:rPr>
            </w:pPr>
            <w:r w:rsidRPr="00F363EE">
              <w:rPr>
                <w:rFonts w:ascii="Arial Narrow" w:hAnsi="Arial Narrow"/>
                <w:b/>
                <w:color w:val="000000"/>
                <w:sz w:val="20"/>
                <w:szCs w:val="18"/>
              </w:rPr>
              <w:t>Benefits</w:t>
            </w:r>
          </w:p>
        </w:tc>
      </w:tr>
      <w:tr w:rsidR="00BA62CA" w:rsidRPr="00F363EE" w:rsidTr="007B3E1F">
        <w:tc>
          <w:tcPr>
            <w:tcW w:w="5000"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BA62CA" w:rsidRPr="00F363EE" w:rsidRDefault="00BA62CA" w:rsidP="00966D45">
            <w:pPr>
              <w:rPr>
                <w:rFonts w:ascii="Arial Narrow" w:hAnsi="Arial Narrow"/>
                <w:b/>
                <w:color w:val="000000"/>
                <w:sz w:val="20"/>
                <w:szCs w:val="18"/>
              </w:rPr>
            </w:pPr>
            <w:r w:rsidRPr="00F363EE">
              <w:rPr>
                <w:rFonts w:ascii="Arial Narrow" w:hAnsi="Arial Narrow"/>
                <w:b/>
                <w:color w:val="000000"/>
                <w:sz w:val="20"/>
                <w:szCs w:val="18"/>
              </w:rPr>
              <w:t xml:space="preserve">Average change in BCVA of the study eye from baseline to Month </w:t>
            </w:r>
            <w:r>
              <w:rPr>
                <w:rFonts w:ascii="Arial Narrow" w:hAnsi="Arial Narrow"/>
                <w:b/>
                <w:color w:val="000000"/>
                <w:sz w:val="20"/>
                <w:szCs w:val="18"/>
              </w:rPr>
              <w:t>2</w:t>
            </w:r>
          </w:p>
        </w:tc>
      </w:tr>
      <w:tr w:rsidR="00BA62CA" w:rsidRPr="00F363EE" w:rsidTr="007B3E1F">
        <w:trPr>
          <w:trHeight w:val="225"/>
        </w:trPr>
        <w:tc>
          <w:tcPr>
            <w:tcW w:w="635"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A62CA" w:rsidRPr="00F363EE" w:rsidRDefault="00BA62CA" w:rsidP="007B3E1F">
            <w:pPr>
              <w:rPr>
                <w:rFonts w:ascii="Arial Narrow" w:hAnsi="Arial Narrow"/>
                <w:color w:val="000000"/>
                <w:sz w:val="20"/>
                <w:szCs w:val="18"/>
              </w:rPr>
            </w:pPr>
            <w:r w:rsidRPr="00F363EE">
              <w:rPr>
                <w:rFonts w:ascii="Arial Narrow" w:hAnsi="Arial Narrow"/>
                <w:color w:val="000000"/>
                <w:sz w:val="20"/>
                <w:szCs w:val="18"/>
              </w:rPr>
              <w:t>Trial</w:t>
            </w:r>
          </w:p>
        </w:tc>
        <w:tc>
          <w:tcPr>
            <w:tcW w:w="1495" w:type="pct"/>
            <w:gridSpan w:val="3"/>
            <w:tcBorders>
              <w:top w:val="single" w:sz="4" w:space="0" w:color="auto"/>
              <w:left w:val="single" w:sz="4" w:space="0" w:color="auto"/>
              <w:bottom w:val="single" w:sz="4" w:space="0" w:color="auto"/>
              <w:right w:val="single" w:sz="4" w:space="0" w:color="auto"/>
            </w:tcBorders>
            <w:vAlign w:val="center"/>
          </w:tcPr>
          <w:p w:rsidR="00BA62CA" w:rsidRPr="00F363EE" w:rsidRDefault="00BA62CA" w:rsidP="007B3E1F">
            <w:pPr>
              <w:jc w:val="center"/>
              <w:rPr>
                <w:rFonts w:ascii="Arial Narrow" w:hAnsi="Arial Narrow"/>
                <w:color w:val="000000"/>
                <w:sz w:val="20"/>
                <w:szCs w:val="18"/>
              </w:rPr>
            </w:pPr>
            <w:r w:rsidRPr="00F363EE">
              <w:rPr>
                <w:rFonts w:ascii="Arial Narrow" w:hAnsi="Arial Narrow"/>
                <w:b/>
                <w:color w:val="000000"/>
                <w:sz w:val="20"/>
                <w:szCs w:val="18"/>
              </w:rPr>
              <w:t xml:space="preserve">Ranibizumab </w:t>
            </w:r>
          </w:p>
        </w:tc>
        <w:tc>
          <w:tcPr>
            <w:tcW w:w="1568" w:type="pct"/>
            <w:gridSpan w:val="3"/>
            <w:tcBorders>
              <w:top w:val="single" w:sz="4" w:space="0" w:color="auto"/>
              <w:left w:val="single" w:sz="4" w:space="0" w:color="auto"/>
              <w:bottom w:val="single" w:sz="4" w:space="0" w:color="auto"/>
              <w:right w:val="single" w:sz="4" w:space="0" w:color="auto"/>
            </w:tcBorders>
            <w:vAlign w:val="center"/>
          </w:tcPr>
          <w:p w:rsidR="00BA62CA" w:rsidRPr="00F363EE" w:rsidRDefault="00BA62CA" w:rsidP="007B3E1F">
            <w:pPr>
              <w:jc w:val="center"/>
              <w:rPr>
                <w:rFonts w:ascii="Arial Narrow" w:hAnsi="Arial Narrow"/>
                <w:color w:val="000000"/>
                <w:sz w:val="20"/>
                <w:szCs w:val="18"/>
              </w:rPr>
            </w:pPr>
            <w:r>
              <w:rPr>
                <w:rFonts w:ascii="Arial Narrow" w:hAnsi="Arial Narrow"/>
                <w:b/>
                <w:color w:val="000000"/>
                <w:sz w:val="20"/>
                <w:szCs w:val="18"/>
              </w:rPr>
              <w:t>Sham</w:t>
            </w:r>
          </w:p>
        </w:tc>
        <w:tc>
          <w:tcPr>
            <w:tcW w:w="1302" w:type="pct"/>
            <w:vMerge w:val="restart"/>
            <w:tcBorders>
              <w:top w:val="single" w:sz="4" w:space="0" w:color="auto"/>
              <w:left w:val="single" w:sz="4" w:space="0" w:color="auto"/>
              <w:bottom w:val="single" w:sz="4" w:space="0" w:color="auto"/>
              <w:right w:val="single" w:sz="4" w:space="0" w:color="auto"/>
            </w:tcBorders>
            <w:vAlign w:val="center"/>
          </w:tcPr>
          <w:p w:rsidR="00BA62CA" w:rsidRPr="00F363EE" w:rsidRDefault="00BA62CA" w:rsidP="007B3E1F">
            <w:pPr>
              <w:jc w:val="center"/>
              <w:rPr>
                <w:rFonts w:ascii="Arial Narrow" w:hAnsi="Arial Narrow"/>
                <w:b/>
                <w:sz w:val="20"/>
                <w:szCs w:val="18"/>
              </w:rPr>
            </w:pPr>
            <w:r w:rsidRPr="00F363EE">
              <w:rPr>
                <w:rFonts w:ascii="Arial Narrow" w:hAnsi="Arial Narrow"/>
                <w:b/>
                <w:sz w:val="20"/>
                <w:szCs w:val="18"/>
              </w:rPr>
              <w:t xml:space="preserve">Mean difference: </w:t>
            </w:r>
          </w:p>
          <w:p w:rsidR="00BA62CA" w:rsidRPr="00F363EE" w:rsidRDefault="00BA62CA" w:rsidP="007B3E1F">
            <w:pPr>
              <w:jc w:val="center"/>
              <w:rPr>
                <w:rFonts w:ascii="Arial Narrow" w:hAnsi="Arial Narrow"/>
                <w:b/>
                <w:sz w:val="20"/>
                <w:szCs w:val="18"/>
                <w:vertAlign w:val="superscript"/>
              </w:rPr>
            </w:pPr>
            <w:r w:rsidRPr="00F363EE">
              <w:rPr>
                <w:rFonts w:ascii="Arial Narrow" w:hAnsi="Arial Narrow"/>
                <w:b/>
                <w:sz w:val="20"/>
                <w:szCs w:val="18"/>
              </w:rPr>
              <w:t xml:space="preserve">Ranibizumab vs. </w:t>
            </w:r>
            <w:r>
              <w:rPr>
                <w:rFonts w:ascii="Arial Narrow" w:hAnsi="Arial Narrow"/>
                <w:b/>
                <w:sz w:val="20"/>
                <w:szCs w:val="18"/>
              </w:rPr>
              <w:t>sham</w:t>
            </w:r>
          </w:p>
          <w:p w:rsidR="00BA62CA" w:rsidRPr="00F363EE" w:rsidRDefault="00BA62CA" w:rsidP="007B3E1F">
            <w:pPr>
              <w:jc w:val="center"/>
              <w:rPr>
                <w:rFonts w:ascii="Arial Narrow" w:hAnsi="Arial Narrow"/>
                <w:b/>
                <w:sz w:val="20"/>
                <w:szCs w:val="18"/>
              </w:rPr>
            </w:pPr>
            <w:r w:rsidRPr="00F363EE">
              <w:rPr>
                <w:rFonts w:ascii="Arial Narrow" w:hAnsi="Arial Narrow"/>
                <w:b/>
                <w:sz w:val="20"/>
                <w:szCs w:val="18"/>
              </w:rPr>
              <w:t>(95% CI)</w:t>
            </w:r>
          </w:p>
        </w:tc>
      </w:tr>
      <w:tr w:rsidR="00BA62CA" w:rsidRPr="00F363EE" w:rsidTr="007B3E1F">
        <w:trPr>
          <w:trHeight w:val="225"/>
        </w:trPr>
        <w:tc>
          <w:tcPr>
            <w:tcW w:w="635" w:type="pct"/>
            <w:vMerge/>
            <w:tcBorders>
              <w:top w:val="single" w:sz="4" w:space="0" w:color="auto"/>
              <w:left w:val="single" w:sz="4" w:space="0" w:color="auto"/>
              <w:bottom w:val="single" w:sz="4" w:space="0" w:color="auto"/>
              <w:right w:val="single" w:sz="4" w:space="0" w:color="auto"/>
            </w:tcBorders>
            <w:shd w:val="clear" w:color="auto" w:fill="auto"/>
            <w:vAlign w:val="center"/>
          </w:tcPr>
          <w:p w:rsidR="00BA62CA" w:rsidRPr="00F363EE" w:rsidRDefault="00BA62CA" w:rsidP="007B3E1F">
            <w:pPr>
              <w:rPr>
                <w:rFonts w:ascii="Arial Narrow" w:hAnsi="Arial Narrow"/>
                <w:color w:val="000000"/>
                <w:sz w:val="20"/>
                <w:szCs w:val="18"/>
              </w:rPr>
            </w:pPr>
          </w:p>
        </w:tc>
        <w:tc>
          <w:tcPr>
            <w:tcW w:w="392" w:type="pct"/>
            <w:tcBorders>
              <w:top w:val="single" w:sz="4" w:space="0" w:color="auto"/>
              <w:left w:val="single" w:sz="4" w:space="0" w:color="auto"/>
              <w:bottom w:val="single" w:sz="4" w:space="0" w:color="auto"/>
              <w:right w:val="single" w:sz="4" w:space="0" w:color="auto"/>
            </w:tcBorders>
            <w:vAlign w:val="center"/>
          </w:tcPr>
          <w:p w:rsidR="00BA62CA" w:rsidRPr="00F363EE" w:rsidRDefault="00BA62CA" w:rsidP="007B3E1F">
            <w:pPr>
              <w:jc w:val="center"/>
              <w:rPr>
                <w:rFonts w:ascii="Arial Narrow" w:hAnsi="Arial Narrow"/>
                <w:b/>
                <w:color w:val="000000"/>
                <w:sz w:val="20"/>
                <w:szCs w:val="18"/>
              </w:rPr>
            </w:pPr>
            <w:r w:rsidRPr="00F363EE">
              <w:rPr>
                <w:rFonts w:ascii="Arial Narrow" w:hAnsi="Arial Narrow"/>
                <w:b/>
                <w:color w:val="000000"/>
                <w:sz w:val="20"/>
                <w:szCs w:val="18"/>
              </w:rPr>
              <w:t>N</w:t>
            </w:r>
          </w:p>
        </w:tc>
        <w:tc>
          <w:tcPr>
            <w:tcW w:w="547" w:type="pct"/>
            <w:tcBorders>
              <w:top w:val="single" w:sz="4" w:space="0" w:color="auto"/>
              <w:left w:val="single" w:sz="4" w:space="0" w:color="auto"/>
              <w:bottom w:val="single" w:sz="4" w:space="0" w:color="auto"/>
              <w:right w:val="single" w:sz="4" w:space="0" w:color="auto"/>
            </w:tcBorders>
            <w:vAlign w:val="center"/>
          </w:tcPr>
          <w:p w:rsidR="00BA62CA" w:rsidRPr="00F363EE" w:rsidRDefault="00BA62CA" w:rsidP="007B3E1F">
            <w:pPr>
              <w:jc w:val="center"/>
              <w:rPr>
                <w:rFonts w:ascii="Arial Narrow" w:hAnsi="Arial Narrow"/>
                <w:b/>
                <w:sz w:val="20"/>
                <w:szCs w:val="18"/>
              </w:rPr>
            </w:pPr>
            <w:r>
              <w:rPr>
                <w:rFonts w:ascii="Arial Narrow" w:hAnsi="Arial Narrow"/>
                <w:b/>
                <w:sz w:val="20"/>
                <w:szCs w:val="18"/>
              </w:rPr>
              <w:t xml:space="preserve">LS </w:t>
            </w:r>
            <w:r w:rsidR="00AE7F65">
              <w:rPr>
                <w:rFonts w:ascii="Arial Narrow" w:hAnsi="Arial Narrow"/>
                <w:b/>
                <w:sz w:val="20"/>
                <w:szCs w:val="18"/>
              </w:rPr>
              <w:t>m</w:t>
            </w:r>
            <w:r w:rsidRPr="00F363EE">
              <w:rPr>
                <w:rFonts w:ascii="Arial Narrow" w:hAnsi="Arial Narrow"/>
                <w:b/>
                <w:sz w:val="20"/>
                <w:szCs w:val="18"/>
              </w:rPr>
              <w:t>ean ∆ baseline (letters)</w:t>
            </w:r>
          </w:p>
        </w:tc>
        <w:tc>
          <w:tcPr>
            <w:tcW w:w="556" w:type="pct"/>
            <w:tcBorders>
              <w:top w:val="single" w:sz="4" w:space="0" w:color="auto"/>
              <w:left w:val="single" w:sz="4" w:space="0" w:color="auto"/>
              <w:bottom w:val="single" w:sz="4" w:space="0" w:color="auto"/>
              <w:right w:val="single" w:sz="4" w:space="0" w:color="auto"/>
            </w:tcBorders>
            <w:vAlign w:val="center"/>
          </w:tcPr>
          <w:p w:rsidR="00BA62CA" w:rsidRPr="00F363EE" w:rsidRDefault="00BA62CA" w:rsidP="007B3E1F">
            <w:pPr>
              <w:jc w:val="center"/>
              <w:rPr>
                <w:rFonts w:ascii="Arial Narrow" w:hAnsi="Arial Narrow"/>
                <w:b/>
                <w:sz w:val="20"/>
                <w:szCs w:val="18"/>
              </w:rPr>
            </w:pPr>
            <w:r>
              <w:rPr>
                <w:rFonts w:ascii="Arial Narrow" w:hAnsi="Arial Narrow"/>
                <w:b/>
                <w:sz w:val="20"/>
                <w:szCs w:val="18"/>
              </w:rPr>
              <w:t>95% CI</w:t>
            </w:r>
          </w:p>
        </w:tc>
        <w:tc>
          <w:tcPr>
            <w:tcW w:w="465" w:type="pct"/>
            <w:tcBorders>
              <w:top w:val="single" w:sz="4" w:space="0" w:color="auto"/>
              <w:left w:val="single" w:sz="4" w:space="0" w:color="auto"/>
              <w:bottom w:val="single" w:sz="4" w:space="0" w:color="auto"/>
              <w:right w:val="single" w:sz="4" w:space="0" w:color="auto"/>
            </w:tcBorders>
            <w:vAlign w:val="center"/>
          </w:tcPr>
          <w:p w:rsidR="00BA62CA" w:rsidRPr="00F363EE" w:rsidRDefault="00BA62CA" w:rsidP="007B3E1F">
            <w:pPr>
              <w:jc w:val="center"/>
              <w:rPr>
                <w:rFonts w:ascii="Arial Narrow" w:hAnsi="Arial Narrow"/>
                <w:b/>
                <w:color w:val="000000"/>
                <w:sz w:val="20"/>
                <w:szCs w:val="18"/>
              </w:rPr>
            </w:pPr>
            <w:r w:rsidRPr="00F363EE">
              <w:rPr>
                <w:rFonts w:ascii="Arial Narrow" w:hAnsi="Arial Narrow"/>
                <w:b/>
                <w:color w:val="000000"/>
                <w:sz w:val="20"/>
                <w:szCs w:val="18"/>
              </w:rPr>
              <w:t>N</w:t>
            </w:r>
          </w:p>
        </w:tc>
        <w:tc>
          <w:tcPr>
            <w:tcW w:w="551" w:type="pct"/>
            <w:tcBorders>
              <w:top w:val="single" w:sz="4" w:space="0" w:color="auto"/>
              <w:left w:val="single" w:sz="4" w:space="0" w:color="auto"/>
              <w:bottom w:val="single" w:sz="4" w:space="0" w:color="auto"/>
              <w:right w:val="single" w:sz="4" w:space="0" w:color="auto"/>
            </w:tcBorders>
            <w:vAlign w:val="center"/>
          </w:tcPr>
          <w:p w:rsidR="00BA62CA" w:rsidRPr="00F363EE" w:rsidRDefault="00BA62CA" w:rsidP="007B3E1F">
            <w:pPr>
              <w:jc w:val="center"/>
              <w:rPr>
                <w:rFonts w:ascii="Arial Narrow" w:hAnsi="Arial Narrow"/>
                <w:b/>
                <w:sz w:val="20"/>
                <w:szCs w:val="18"/>
              </w:rPr>
            </w:pPr>
            <w:r>
              <w:rPr>
                <w:rFonts w:ascii="Arial Narrow" w:hAnsi="Arial Narrow"/>
                <w:b/>
                <w:sz w:val="20"/>
                <w:szCs w:val="18"/>
              </w:rPr>
              <w:t xml:space="preserve">LS </w:t>
            </w:r>
            <w:r w:rsidR="00AE7F65">
              <w:rPr>
                <w:rFonts w:ascii="Arial Narrow" w:hAnsi="Arial Narrow"/>
                <w:b/>
                <w:sz w:val="20"/>
                <w:szCs w:val="18"/>
              </w:rPr>
              <w:t>m</w:t>
            </w:r>
            <w:r w:rsidRPr="00F363EE">
              <w:rPr>
                <w:rFonts w:ascii="Arial Narrow" w:hAnsi="Arial Narrow"/>
                <w:b/>
                <w:sz w:val="20"/>
                <w:szCs w:val="18"/>
              </w:rPr>
              <w:t>ean ∆ baseline (letters)</w:t>
            </w:r>
          </w:p>
        </w:tc>
        <w:tc>
          <w:tcPr>
            <w:tcW w:w="552" w:type="pct"/>
            <w:tcBorders>
              <w:top w:val="single" w:sz="4" w:space="0" w:color="auto"/>
              <w:left w:val="single" w:sz="4" w:space="0" w:color="auto"/>
              <w:bottom w:val="single" w:sz="4" w:space="0" w:color="auto"/>
              <w:right w:val="single" w:sz="4" w:space="0" w:color="auto"/>
            </w:tcBorders>
            <w:vAlign w:val="center"/>
          </w:tcPr>
          <w:p w:rsidR="00BA62CA" w:rsidRPr="00F363EE" w:rsidRDefault="00BA62CA" w:rsidP="007B3E1F">
            <w:pPr>
              <w:jc w:val="center"/>
              <w:rPr>
                <w:rFonts w:ascii="Arial Narrow" w:hAnsi="Arial Narrow"/>
                <w:b/>
                <w:sz w:val="20"/>
                <w:szCs w:val="18"/>
              </w:rPr>
            </w:pPr>
            <w:r>
              <w:rPr>
                <w:rFonts w:ascii="Arial Narrow" w:hAnsi="Arial Narrow"/>
                <w:b/>
                <w:sz w:val="20"/>
                <w:szCs w:val="18"/>
              </w:rPr>
              <w:t>95% CI</w:t>
            </w:r>
          </w:p>
        </w:tc>
        <w:tc>
          <w:tcPr>
            <w:tcW w:w="1302" w:type="pct"/>
            <w:vMerge/>
            <w:tcBorders>
              <w:top w:val="single" w:sz="4" w:space="0" w:color="auto"/>
              <w:left w:val="single" w:sz="4" w:space="0" w:color="auto"/>
              <w:bottom w:val="single" w:sz="4" w:space="0" w:color="auto"/>
              <w:right w:val="single" w:sz="4" w:space="0" w:color="auto"/>
            </w:tcBorders>
            <w:vAlign w:val="center"/>
          </w:tcPr>
          <w:p w:rsidR="00BA62CA" w:rsidRPr="00F363EE" w:rsidRDefault="00BA62CA" w:rsidP="007B3E1F">
            <w:pPr>
              <w:jc w:val="center"/>
              <w:rPr>
                <w:rFonts w:ascii="Arial Narrow" w:hAnsi="Arial Narrow"/>
                <w:b/>
                <w:sz w:val="20"/>
                <w:szCs w:val="18"/>
              </w:rPr>
            </w:pPr>
          </w:p>
        </w:tc>
      </w:tr>
      <w:tr w:rsidR="00BA62CA" w:rsidRPr="00F363EE" w:rsidTr="007B3E1F">
        <w:tc>
          <w:tcPr>
            <w:tcW w:w="635" w:type="pct"/>
            <w:tcBorders>
              <w:top w:val="single" w:sz="4" w:space="0" w:color="auto"/>
              <w:left w:val="single" w:sz="4" w:space="0" w:color="auto"/>
              <w:bottom w:val="single" w:sz="4" w:space="0" w:color="auto"/>
              <w:right w:val="single" w:sz="4" w:space="0" w:color="auto"/>
            </w:tcBorders>
            <w:shd w:val="clear" w:color="auto" w:fill="auto"/>
            <w:vAlign w:val="center"/>
          </w:tcPr>
          <w:p w:rsidR="00BA62CA" w:rsidRPr="00F363EE" w:rsidRDefault="00BA62CA" w:rsidP="007B3E1F">
            <w:pPr>
              <w:rPr>
                <w:rFonts w:ascii="Arial Narrow" w:hAnsi="Arial Narrow"/>
                <w:color w:val="000000"/>
                <w:sz w:val="20"/>
                <w:szCs w:val="18"/>
              </w:rPr>
            </w:pPr>
            <w:r>
              <w:rPr>
                <w:rFonts w:ascii="Arial Narrow" w:hAnsi="Arial Narrow"/>
                <w:color w:val="000000"/>
                <w:sz w:val="20"/>
                <w:szCs w:val="18"/>
              </w:rPr>
              <w:t>MINERVA</w:t>
            </w:r>
          </w:p>
        </w:tc>
        <w:tc>
          <w:tcPr>
            <w:tcW w:w="392" w:type="pct"/>
            <w:tcBorders>
              <w:top w:val="single" w:sz="4" w:space="0" w:color="auto"/>
              <w:left w:val="single" w:sz="4" w:space="0" w:color="auto"/>
              <w:bottom w:val="single" w:sz="4" w:space="0" w:color="auto"/>
              <w:right w:val="single" w:sz="4" w:space="0" w:color="auto"/>
            </w:tcBorders>
            <w:vAlign w:val="center"/>
          </w:tcPr>
          <w:p w:rsidR="00BA62CA" w:rsidRPr="00F363EE" w:rsidRDefault="00BA62CA" w:rsidP="007B3E1F">
            <w:pPr>
              <w:jc w:val="center"/>
              <w:rPr>
                <w:rFonts w:ascii="Arial Narrow" w:hAnsi="Arial Narrow"/>
                <w:color w:val="000000"/>
                <w:sz w:val="20"/>
                <w:szCs w:val="18"/>
              </w:rPr>
            </w:pPr>
            <w:r>
              <w:rPr>
                <w:rFonts w:ascii="Arial Narrow" w:hAnsi="Arial Narrow"/>
                <w:color w:val="000000"/>
                <w:sz w:val="20"/>
                <w:szCs w:val="18"/>
              </w:rPr>
              <w:t>118</w:t>
            </w:r>
          </w:p>
        </w:tc>
        <w:tc>
          <w:tcPr>
            <w:tcW w:w="547" w:type="pct"/>
            <w:tcBorders>
              <w:top w:val="single" w:sz="4" w:space="0" w:color="auto"/>
              <w:left w:val="single" w:sz="4" w:space="0" w:color="auto"/>
              <w:bottom w:val="single" w:sz="4" w:space="0" w:color="auto"/>
              <w:right w:val="single" w:sz="4" w:space="0" w:color="auto"/>
            </w:tcBorders>
            <w:vAlign w:val="center"/>
          </w:tcPr>
          <w:p w:rsidR="00BA62CA" w:rsidRPr="00F363EE" w:rsidRDefault="00BA62CA" w:rsidP="007B3E1F">
            <w:pPr>
              <w:jc w:val="center"/>
              <w:rPr>
                <w:rFonts w:ascii="Arial Narrow" w:hAnsi="Arial Narrow"/>
                <w:color w:val="000000"/>
                <w:sz w:val="20"/>
                <w:szCs w:val="18"/>
              </w:rPr>
            </w:pPr>
            <w:r>
              <w:rPr>
                <w:rFonts w:ascii="Arial Narrow" w:hAnsi="Arial Narrow"/>
                <w:color w:val="000000"/>
                <w:sz w:val="20"/>
                <w:szCs w:val="18"/>
              </w:rPr>
              <w:t>9.5</w:t>
            </w:r>
          </w:p>
        </w:tc>
        <w:tc>
          <w:tcPr>
            <w:tcW w:w="556" w:type="pct"/>
            <w:tcBorders>
              <w:top w:val="single" w:sz="4" w:space="0" w:color="auto"/>
              <w:left w:val="single" w:sz="4" w:space="0" w:color="auto"/>
              <w:bottom w:val="single" w:sz="4" w:space="0" w:color="auto"/>
              <w:right w:val="single" w:sz="4" w:space="0" w:color="auto"/>
            </w:tcBorders>
            <w:vAlign w:val="center"/>
          </w:tcPr>
          <w:p w:rsidR="00BA62CA" w:rsidRPr="00F363EE" w:rsidRDefault="00BA62CA" w:rsidP="007B3E1F">
            <w:pPr>
              <w:jc w:val="center"/>
              <w:rPr>
                <w:rFonts w:ascii="Arial Narrow" w:hAnsi="Arial Narrow"/>
                <w:color w:val="000000"/>
                <w:sz w:val="20"/>
                <w:szCs w:val="18"/>
              </w:rPr>
            </w:pPr>
            <w:r>
              <w:rPr>
                <w:rFonts w:ascii="Arial Narrow" w:hAnsi="Arial Narrow"/>
                <w:color w:val="000000"/>
                <w:sz w:val="20"/>
                <w:szCs w:val="18"/>
              </w:rPr>
              <w:t>7.6, 11.4</w:t>
            </w:r>
          </w:p>
        </w:tc>
        <w:tc>
          <w:tcPr>
            <w:tcW w:w="465" w:type="pct"/>
            <w:tcBorders>
              <w:top w:val="single" w:sz="4" w:space="0" w:color="auto"/>
              <w:left w:val="single" w:sz="4" w:space="0" w:color="auto"/>
              <w:bottom w:val="single" w:sz="4" w:space="0" w:color="auto"/>
              <w:right w:val="single" w:sz="4" w:space="0" w:color="auto"/>
            </w:tcBorders>
            <w:vAlign w:val="center"/>
          </w:tcPr>
          <w:p w:rsidR="00BA62CA" w:rsidRPr="00F363EE" w:rsidRDefault="00BA62CA" w:rsidP="007B3E1F">
            <w:pPr>
              <w:jc w:val="center"/>
              <w:rPr>
                <w:rFonts w:ascii="Arial Narrow" w:hAnsi="Arial Narrow"/>
                <w:color w:val="000000"/>
                <w:sz w:val="20"/>
                <w:szCs w:val="18"/>
              </w:rPr>
            </w:pPr>
            <w:r>
              <w:rPr>
                <w:rFonts w:ascii="Arial Narrow" w:hAnsi="Arial Narrow"/>
                <w:color w:val="000000"/>
                <w:sz w:val="20"/>
                <w:szCs w:val="18"/>
              </w:rPr>
              <w:t>57</w:t>
            </w:r>
          </w:p>
        </w:tc>
        <w:tc>
          <w:tcPr>
            <w:tcW w:w="551" w:type="pct"/>
            <w:tcBorders>
              <w:top w:val="single" w:sz="4" w:space="0" w:color="auto"/>
              <w:left w:val="single" w:sz="4" w:space="0" w:color="auto"/>
              <w:bottom w:val="single" w:sz="4" w:space="0" w:color="auto"/>
              <w:right w:val="single" w:sz="4" w:space="0" w:color="auto"/>
            </w:tcBorders>
            <w:vAlign w:val="center"/>
          </w:tcPr>
          <w:p w:rsidR="00BA62CA" w:rsidRPr="00F363EE" w:rsidRDefault="00BA62CA" w:rsidP="007B3E1F">
            <w:pPr>
              <w:jc w:val="center"/>
              <w:rPr>
                <w:rFonts w:ascii="Arial Narrow" w:hAnsi="Arial Narrow"/>
                <w:color w:val="000000"/>
                <w:sz w:val="20"/>
                <w:szCs w:val="18"/>
              </w:rPr>
            </w:pPr>
            <w:r>
              <w:rPr>
                <w:rFonts w:ascii="Arial Narrow" w:hAnsi="Arial Narrow"/>
                <w:color w:val="000000"/>
                <w:sz w:val="20"/>
                <w:szCs w:val="18"/>
              </w:rPr>
              <w:t>-0.4</w:t>
            </w:r>
          </w:p>
        </w:tc>
        <w:tc>
          <w:tcPr>
            <w:tcW w:w="552" w:type="pct"/>
            <w:tcBorders>
              <w:top w:val="single" w:sz="4" w:space="0" w:color="auto"/>
              <w:left w:val="single" w:sz="4" w:space="0" w:color="auto"/>
              <w:bottom w:val="single" w:sz="4" w:space="0" w:color="auto"/>
              <w:right w:val="single" w:sz="4" w:space="0" w:color="auto"/>
            </w:tcBorders>
            <w:vAlign w:val="center"/>
          </w:tcPr>
          <w:p w:rsidR="00BA62CA" w:rsidRPr="00F363EE" w:rsidRDefault="00BA62CA" w:rsidP="007B3E1F">
            <w:pPr>
              <w:jc w:val="center"/>
              <w:rPr>
                <w:rFonts w:ascii="Arial Narrow" w:hAnsi="Arial Narrow"/>
                <w:color w:val="000000"/>
                <w:sz w:val="20"/>
                <w:szCs w:val="18"/>
              </w:rPr>
            </w:pPr>
            <w:r>
              <w:rPr>
                <w:rFonts w:ascii="Arial Narrow" w:hAnsi="Arial Narrow"/>
                <w:color w:val="000000"/>
                <w:sz w:val="20"/>
                <w:szCs w:val="18"/>
              </w:rPr>
              <w:t>-2.8, 1.9</w:t>
            </w:r>
          </w:p>
        </w:tc>
        <w:tc>
          <w:tcPr>
            <w:tcW w:w="1302" w:type="pct"/>
            <w:tcBorders>
              <w:top w:val="single" w:sz="4" w:space="0" w:color="auto"/>
              <w:left w:val="single" w:sz="4" w:space="0" w:color="auto"/>
              <w:bottom w:val="single" w:sz="4" w:space="0" w:color="auto"/>
              <w:right w:val="single" w:sz="4" w:space="0" w:color="auto"/>
            </w:tcBorders>
            <w:vAlign w:val="center"/>
          </w:tcPr>
          <w:p w:rsidR="00BA62CA" w:rsidRPr="00F363EE" w:rsidRDefault="00BA62CA" w:rsidP="007B3E1F">
            <w:pPr>
              <w:jc w:val="center"/>
              <w:rPr>
                <w:rFonts w:ascii="Arial Narrow" w:hAnsi="Arial Narrow"/>
                <w:sz w:val="20"/>
                <w:szCs w:val="18"/>
              </w:rPr>
            </w:pPr>
            <w:r>
              <w:rPr>
                <w:rFonts w:ascii="Arial Narrow" w:hAnsi="Arial Narrow"/>
                <w:sz w:val="20"/>
                <w:szCs w:val="18"/>
              </w:rPr>
              <w:t>9.94 (6.97, 12.91)</w:t>
            </w:r>
          </w:p>
        </w:tc>
      </w:tr>
    </w:tbl>
    <w:p w:rsidR="00BA62CA" w:rsidRPr="00F363EE" w:rsidRDefault="00BA62CA" w:rsidP="00BA62CA">
      <w:pPr>
        <w:rPr>
          <w:rFonts w:ascii="Arial Narrow" w:hAnsi="Arial Narrow"/>
          <w:sz w:val="18"/>
        </w:rPr>
      </w:pPr>
      <w:r w:rsidRPr="00F363EE">
        <w:rPr>
          <w:rFonts w:ascii="Arial Narrow" w:hAnsi="Arial Narrow"/>
          <w:sz w:val="18"/>
        </w:rPr>
        <w:t xml:space="preserve">BCVA = best corrected visual acuity; </w:t>
      </w:r>
      <w:r w:rsidR="006E34E2">
        <w:rPr>
          <w:rFonts w:ascii="Arial Narrow" w:hAnsi="Arial Narrow"/>
          <w:sz w:val="18"/>
        </w:rPr>
        <w:t xml:space="preserve">CI = confidence interval; LS </w:t>
      </w:r>
      <w:r>
        <w:rPr>
          <w:rFonts w:ascii="Arial Narrow" w:hAnsi="Arial Narrow"/>
          <w:sz w:val="18"/>
        </w:rPr>
        <w:t>= least squares</w:t>
      </w:r>
      <w:r w:rsidRPr="006E34E2">
        <w:rPr>
          <w:rStyle w:val="TableFooterChar"/>
        </w:rPr>
        <w:t>;</w:t>
      </w:r>
      <w:r w:rsidR="006E34E2" w:rsidRPr="006E34E2">
        <w:rPr>
          <w:rStyle w:val="TableFooterChar"/>
        </w:rPr>
        <w:t xml:space="preserve"> ∆ = change</w:t>
      </w:r>
      <w:r w:rsidR="006E34E2">
        <w:rPr>
          <w:rStyle w:val="TableFooterChar"/>
        </w:rPr>
        <w:t>.</w:t>
      </w:r>
    </w:p>
    <w:p w:rsidR="00BA62CA" w:rsidRDefault="00BA62CA" w:rsidP="00A24DED">
      <w:pPr>
        <w:spacing w:after="160"/>
        <w:rPr>
          <w:rFonts w:ascii="Arial Narrow" w:hAnsi="Arial Narrow"/>
          <w:sz w:val="18"/>
        </w:rPr>
      </w:pPr>
      <w:r w:rsidRPr="00B717A1">
        <w:rPr>
          <w:rFonts w:ascii="Arial Narrow" w:hAnsi="Arial Narrow"/>
          <w:sz w:val="18"/>
        </w:rPr>
        <w:t>Source: Table 2.4-3 p46 and Table 2.5-1 p53 of the submission; Table 14.2-1.2 p236 and Table 14.2-1.3 p237 of the CSR.</w:t>
      </w:r>
    </w:p>
    <w:p w:rsidR="00DD6218" w:rsidRPr="00EB3AF3" w:rsidRDefault="00DD6218" w:rsidP="00FF28DB">
      <w:pPr>
        <w:widowControl/>
        <w:numPr>
          <w:ilvl w:val="1"/>
          <w:numId w:val="2"/>
        </w:numPr>
        <w:spacing w:after="160"/>
      </w:pPr>
      <w:r w:rsidRPr="00EB3AF3">
        <w:t xml:space="preserve">On the basis of the direct evidence presented by the submission, the comparison of ranibizumab and sham injection resulted in approximately a 10 letter improvement in mean average change in BCVA of the study eye from baseline to Month 2. </w:t>
      </w:r>
      <w:r w:rsidRPr="00EB3AF3">
        <w:rPr>
          <w:rFonts w:cs="Calibri"/>
          <w:snapToGrid/>
          <w:szCs w:val="24"/>
          <w:lang w:val="en-US" w:eastAsia="en-AU"/>
        </w:rPr>
        <w:t xml:space="preserve">This </w:t>
      </w:r>
      <w:r w:rsidR="00717F60" w:rsidRPr="00EB3AF3">
        <w:rPr>
          <w:rFonts w:cs="Calibri"/>
          <w:snapToGrid/>
          <w:szCs w:val="24"/>
          <w:lang w:val="en-US" w:eastAsia="en-AU"/>
        </w:rPr>
        <w:t>improvement</w:t>
      </w:r>
      <w:r w:rsidRPr="00EB3AF3">
        <w:rPr>
          <w:rFonts w:cs="Calibri"/>
          <w:snapToGrid/>
          <w:szCs w:val="24"/>
          <w:lang w:val="en-US" w:eastAsia="en-AU"/>
        </w:rPr>
        <w:t xml:space="preserve"> was likely to be clinically meaningful.</w:t>
      </w:r>
      <w:r w:rsidR="001E04C2" w:rsidRPr="00EB3AF3">
        <w:rPr>
          <w:rFonts w:cs="Calibri"/>
          <w:snapToGrid/>
          <w:szCs w:val="24"/>
          <w:lang w:val="en-US" w:eastAsia="en-AU"/>
        </w:rPr>
        <w:t xml:space="preserve"> The ESC noted that the mean BCVA at baseline was 62 letters in the MINERVA trial, with 70 letters</w:t>
      </w:r>
      <w:r w:rsidR="00A24DED" w:rsidRPr="00EB3AF3">
        <w:rPr>
          <w:rFonts w:cs="Calibri"/>
          <w:snapToGrid/>
          <w:szCs w:val="24"/>
          <w:lang w:val="en-US" w:eastAsia="en-AU"/>
        </w:rPr>
        <w:t xml:space="preserve"> being the legal driving level.</w:t>
      </w:r>
    </w:p>
    <w:p w:rsidR="00BA62CA" w:rsidRPr="008A5F04" w:rsidRDefault="00BA62CA" w:rsidP="00076F67">
      <w:pPr>
        <w:pStyle w:val="Heading2"/>
      </w:pPr>
      <w:bookmarkStart w:id="27" w:name="_Toc500424306"/>
      <w:bookmarkStart w:id="28" w:name="_Toc500757993"/>
      <w:r w:rsidRPr="008A5F04">
        <w:t>Clinical claim</w:t>
      </w:r>
      <w:bookmarkEnd w:id="27"/>
      <w:bookmarkEnd w:id="28"/>
    </w:p>
    <w:p w:rsidR="00BA62CA" w:rsidRPr="00EB3AF3" w:rsidRDefault="00BA62CA" w:rsidP="00FF28DB">
      <w:pPr>
        <w:widowControl/>
        <w:numPr>
          <w:ilvl w:val="1"/>
          <w:numId w:val="2"/>
        </w:numPr>
        <w:spacing w:after="160"/>
        <w:ind w:left="709"/>
      </w:pPr>
      <w:r w:rsidRPr="00EB3AF3">
        <w:t>The submission described ranibizumab as superior in terms of effectiveness and non-inferior in terms of safety compared to sham injection in patients with rare CNV.</w:t>
      </w:r>
    </w:p>
    <w:p w:rsidR="00BA62CA" w:rsidRDefault="00BA62CA" w:rsidP="00FF28DB">
      <w:pPr>
        <w:widowControl/>
        <w:numPr>
          <w:ilvl w:val="1"/>
          <w:numId w:val="2"/>
        </w:numPr>
        <w:spacing w:after="160"/>
        <w:ind w:left="709"/>
      </w:pPr>
      <w:r w:rsidRPr="00EB3AF3">
        <w:t xml:space="preserve">The evidence presented in the submission supported the conclusion that ranibizumab is superior to sham injection in terms of the mean average improvement in BCVA of the study eye from baseline to Month 2. The improvement in BCVA in patients randomised to ranibizumab was maintained over Month 2 through Month 12. However, there were no comparative effectiveness data </w:t>
      </w:r>
      <w:r w:rsidR="00E11C8D" w:rsidRPr="00EB3AF3">
        <w:t xml:space="preserve">for ranibizumab versus sham injection </w:t>
      </w:r>
      <w:r w:rsidRPr="00EB3AF3">
        <w:t>beyond 2 months, and the submission did not present any data on the long-term effectiveness of ranibizumab beyond the 12 month duration of the trial.</w:t>
      </w:r>
      <w:r w:rsidR="00170E6C" w:rsidRPr="00EB3AF3">
        <w:t xml:space="preserve"> The ESC considered </w:t>
      </w:r>
      <w:r w:rsidR="00070AB2" w:rsidRPr="00EB3AF3">
        <w:t xml:space="preserve">that </w:t>
      </w:r>
      <w:r w:rsidR="00170E6C" w:rsidRPr="00EB3AF3">
        <w:t xml:space="preserve">the claim of superior efficacy compared </w:t>
      </w:r>
      <w:r w:rsidR="00070AB2" w:rsidRPr="00EB3AF3">
        <w:t>to sham injection was supported for the</w:t>
      </w:r>
      <w:r w:rsidR="00A24DED" w:rsidRPr="00EB3AF3">
        <w:t xml:space="preserve"> first two months of treatment.</w:t>
      </w:r>
      <w:r w:rsidR="00CA0EFD">
        <w:t xml:space="preserve"> </w:t>
      </w:r>
    </w:p>
    <w:p w:rsidR="00FD1141" w:rsidRPr="00EB3AF3" w:rsidRDefault="00FD1141" w:rsidP="00FF28DB">
      <w:pPr>
        <w:widowControl/>
        <w:numPr>
          <w:ilvl w:val="1"/>
          <w:numId w:val="2"/>
        </w:numPr>
        <w:spacing w:after="160"/>
        <w:ind w:left="709"/>
      </w:pPr>
      <w:r>
        <w:t xml:space="preserve">The pre-PBAC Response </w:t>
      </w:r>
      <w:r w:rsidR="00A7410A">
        <w:t>stated that Mimoun 2017</w:t>
      </w:r>
      <w:r w:rsidR="008618D2">
        <w:rPr>
          <w:rStyle w:val="FootnoteReference"/>
        </w:rPr>
        <w:footnoteReference w:id="3"/>
      </w:r>
      <w:r w:rsidR="00A7410A">
        <w:t xml:space="preserve"> reported that in 72 patients with CNV due to pseudoxanthoma elasticum, the most common cause of </w:t>
      </w:r>
      <w:r w:rsidR="002478F9">
        <w:t>AS</w:t>
      </w:r>
      <w:r w:rsidR="00A7410A">
        <w:t xml:space="preserve">, treated with ranibizumab, BCVA was stable in 52.6% and improved (≥15 letters) in 15.8% of </w:t>
      </w:r>
      <w:r w:rsidR="00A7410A">
        <w:lastRenderedPageBreak/>
        <w:t xml:space="preserve">patients at 2.4 years follow up. </w:t>
      </w:r>
      <w:r w:rsidR="006C78DA">
        <w:t xml:space="preserve">The pre-PBAC Response </w:t>
      </w:r>
      <w:r w:rsidR="00182B3F">
        <w:t>also stated that in another case series (Tilleul et al 2016</w:t>
      </w:r>
      <w:r w:rsidR="00B278E7">
        <w:rPr>
          <w:rStyle w:val="FootnoteReference"/>
        </w:rPr>
        <w:footnoteReference w:id="4"/>
      </w:r>
      <w:r w:rsidR="00182B3F">
        <w:t>)</w:t>
      </w:r>
      <w:r w:rsidR="002478F9">
        <w:t xml:space="preserve"> of 27 patients with AS, at the end of 4-year follow-up, BCVA was stabilised or improved in 62.9% of eyes. </w:t>
      </w:r>
      <w:r w:rsidR="00B45879">
        <w:t>The PBAC noted that</w:t>
      </w:r>
      <w:r w:rsidR="008A5F04">
        <w:t>,</w:t>
      </w:r>
      <w:r w:rsidR="00B45879">
        <w:t xml:space="preserve"> </w:t>
      </w:r>
      <w:r w:rsidR="008A5F04">
        <w:t>al</w:t>
      </w:r>
      <w:r w:rsidR="00B45879">
        <w:t>though these studies are not representative of all aetiologies of rare CNV, the data provided some support of the long term efficacy of ranibizumab.</w:t>
      </w:r>
      <w:r w:rsidR="00EE7F35">
        <w:t xml:space="preserve"> The PBAC considered that the claim of superior efficacy </w:t>
      </w:r>
      <w:r w:rsidR="008A5F04">
        <w:t>over</w:t>
      </w:r>
      <w:r w:rsidR="00EE7F35">
        <w:t xml:space="preserve"> sham injection was reasonable.</w:t>
      </w:r>
    </w:p>
    <w:p w:rsidR="00BA62CA" w:rsidRPr="00EB3AF3" w:rsidRDefault="00BA62CA" w:rsidP="00646E9E">
      <w:pPr>
        <w:widowControl/>
        <w:numPr>
          <w:ilvl w:val="1"/>
          <w:numId w:val="2"/>
        </w:numPr>
        <w:spacing w:after="160"/>
      </w:pPr>
      <w:r w:rsidRPr="00EB3AF3">
        <w:t xml:space="preserve">The claim that ranibizumab is non-inferior to sham injection </w:t>
      </w:r>
      <w:r w:rsidR="008F6A8B" w:rsidRPr="00EB3AF3">
        <w:t xml:space="preserve">in terms of safety </w:t>
      </w:r>
      <w:r w:rsidRPr="00EB3AF3">
        <w:t xml:space="preserve">was not </w:t>
      </w:r>
      <w:r w:rsidR="009E0873" w:rsidRPr="00EB3AF3">
        <w:t>directly supported</w:t>
      </w:r>
      <w:r w:rsidRPr="00EB3AF3">
        <w:t xml:space="preserve">. </w:t>
      </w:r>
      <w:r w:rsidR="00717F60" w:rsidRPr="00EB3AF3">
        <w:t>Due to the short duration of the comparative stage of the trial, and the low number of adverse events over this period, the</w:t>
      </w:r>
      <w:r w:rsidR="009E0873" w:rsidRPr="00EB3AF3">
        <w:t xml:space="preserve"> trial provided</w:t>
      </w:r>
      <w:r w:rsidR="00717F60" w:rsidRPr="00EB3AF3">
        <w:t xml:space="preserve"> insufficient data to reliably determine the comparative safety of ranibizumab versus sham injection for the treatment of rare CNV. </w:t>
      </w:r>
      <w:r w:rsidR="009E0873" w:rsidRPr="00EB3AF3">
        <w:t>However, t</w:t>
      </w:r>
      <w:r w:rsidRPr="00EB3AF3">
        <w:t>he safety profile of intravitreal ranibizumab in patients with rare CNV was consistent with that observed in other indications.</w:t>
      </w:r>
      <w:r w:rsidR="00CD3138" w:rsidRPr="00EB3AF3">
        <w:t xml:space="preserve"> The ESC </w:t>
      </w:r>
      <w:r w:rsidR="00EA4EF8" w:rsidRPr="00EB3AF3">
        <w:t>considered</w:t>
      </w:r>
      <w:r w:rsidR="00CD3138" w:rsidRPr="00EB3AF3">
        <w:t xml:space="preserve"> that</w:t>
      </w:r>
      <w:r w:rsidR="00EA4EF8" w:rsidRPr="00EB3AF3">
        <w:t>,</w:t>
      </w:r>
      <w:r w:rsidR="00CD3138" w:rsidRPr="00EB3AF3">
        <w:t xml:space="preserve"> </w:t>
      </w:r>
      <w:r w:rsidR="00EA4EF8" w:rsidRPr="00EB3AF3">
        <w:t>al</w:t>
      </w:r>
      <w:r w:rsidR="00CD3138" w:rsidRPr="00EB3AF3">
        <w:t xml:space="preserve">though there was insufficient data to support a claim of non-inferior safety, there were no new safety signals with use of ranibizumab in </w:t>
      </w:r>
      <w:r w:rsidR="00AE311A" w:rsidRPr="00EB3AF3">
        <w:t>rare CNV</w:t>
      </w:r>
      <w:r w:rsidR="00A24DED" w:rsidRPr="00EB3AF3">
        <w:t>.</w:t>
      </w:r>
      <w:r w:rsidR="00646E9E" w:rsidRPr="00646E9E">
        <w:t xml:space="preserve"> The </w:t>
      </w:r>
      <w:r w:rsidR="00646E9E">
        <w:t>PBAC considered that</w:t>
      </w:r>
      <w:r w:rsidR="008A5F04">
        <w:t>,</w:t>
      </w:r>
      <w:r w:rsidR="00646E9E">
        <w:t xml:space="preserve"> </w:t>
      </w:r>
      <w:r w:rsidR="00646E9E" w:rsidRPr="00646E9E">
        <w:t xml:space="preserve">based on the available data, it </w:t>
      </w:r>
      <w:r w:rsidR="008A5F04">
        <w:t>was</w:t>
      </w:r>
      <w:r w:rsidR="00646E9E" w:rsidRPr="00646E9E">
        <w:t xml:space="preserve"> reasonable to </w:t>
      </w:r>
      <w:r w:rsidR="008A5F04">
        <w:t>accept</w:t>
      </w:r>
      <w:r w:rsidR="00646E9E" w:rsidRPr="00646E9E">
        <w:t xml:space="preserve"> that the safety profile of ranibizumab </w:t>
      </w:r>
      <w:r w:rsidR="008A5F04">
        <w:t xml:space="preserve">in this indication </w:t>
      </w:r>
      <w:r w:rsidR="00646E9E" w:rsidRPr="00646E9E">
        <w:t xml:space="preserve">is consistent with its safety profile for </w:t>
      </w:r>
      <w:r w:rsidR="008A5F04">
        <w:t>its other</w:t>
      </w:r>
      <w:r w:rsidR="00646E9E" w:rsidRPr="00646E9E">
        <w:t xml:space="preserve"> indications.</w:t>
      </w:r>
    </w:p>
    <w:p w:rsidR="00BA62CA" w:rsidRPr="008A5F04" w:rsidRDefault="00BA62CA" w:rsidP="00076F67">
      <w:pPr>
        <w:pStyle w:val="Heading2"/>
      </w:pPr>
      <w:bookmarkStart w:id="29" w:name="_Toc500757994"/>
      <w:r w:rsidRPr="008A5F04">
        <w:t>Economic analysis</w:t>
      </w:r>
      <w:bookmarkEnd w:id="29"/>
    </w:p>
    <w:p w:rsidR="00CC134B" w:rsidRPr="00EB3AF3" w:rsidRDefault="00CC134B" w:rsidP="00CC134B">
      <w:pPr>
        <w:widowControl/>
        <w:numPr>
          <w:ilvl w:val="1"/>
          <w:numId w:val="2"/>
        </w:numPr>
        <w:spacing w:after="160"/>
      </w:pPr>
      <w:r w:rsidRPr="00EB3AF3">
        <w:t>The submission presented a stepped economic evaluation based on a direct randomised trial (MINERVA), and implementing a modelled evaluation. The type of economic evaluation presented was a cost-utility analysis. The model structure and rationale are summarised below.</w:t>
      </w:r>
    </w:p>
    <w:p w:rsidR="00CC134B" w:rsidRPr="00F363EE" w:rsidRDefault="00CC134B" w:rsidP="00076F67">
      <w:pPr>
        <w:keepNext/>
        <w:rPr>
          <w:rFonts w:ascii="Arial Narrow" w:hAnsi="Arial Narrow"/>
          <w:b/>
          <w:sz w:val="20"/>
          <w:szCs w:val="16"/>
        </w:rPr>
      </w:pPr>
      <w:r>
        <w:rPr>
          <w:rFonts w:ascii="Arial Narrow" w:hAnsi="Arial Narrow"/>
          <w:b/>
          <w:sz w:val="20"/>
          <w:szCs w:val="16"/>
        </w:rPr>
        <w:lastRenderedPageBreak/>
        <w:t>Table 7</w:t>
      </w:r>
      <w:r w:rsidRPr="00F363EE">
        <w:rPr>
          <w:rFonts w:ascii="Arial Narrow" w:hAnsi="Arial Narrow"/>
          <w:b/>
          <w:sz w:val="20"/>
          <w:szCs w:val="16"/>
        </w:rPr>
        <w:t>: Summary of model structure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536"/>
        <w:gridCol w:w="6547"/>
      </w:tblGrid>
      <w:tr w:rsidR="00CC134B" w:rsidRPr="00F363EE" w:rsidTr="00CC134B">
        <w:trPr>
          <w:tblHeader/>
        </w:trPr>
        <w:tc>
          <w:tcPr>
            <w:tcW w:w="1396" w:type="pct"/>
            <w:shd w:val="clear" w:color="auto" w:fill="auto"/>
            <w:vAlign w:val="center"/>
          </w:tcPr>
          <w:p w:rsidR="00CC134B" w:rsidRPr="00F363EE" w:rsidRDefault="00CC134B" w:rsidP="00076F67">
            <w:pPr>
              <w:keepNext/>
              <w:widowControl/>
              <w:jc w:val="left"/>
              <w:rPr>
                <w:rFonts w:ascii="Arial Narrow" w:hAnsi="Arial Narrow" w:cs="Times New Roman"/>
                <w:b/>
                <w:snapToGrid/>
                <w:sz w:val="20"/>
              </w:rPr>
            </w:pPr>
            <w:r w:rsidRPr="00F363EE">
              <w:rPr>
                <w:rFonts w:ascii="Arial Narrow" w:hAnsi="Arial Narrow" w:cs="Times New Roman"/>
                <w:b/>
                <w:snapToGrid/>
                <w:sz w:val="20"/>
              </w:rPr>
              <w:t>Component</w:t>
            </w:r>
          </w:p>
        </w:tc>
        <w:tc>
          <w:tcPr>
            <w:tcW w:w="3604" w:type="pct"/>
            <w:shd w:val="clear" w:color="auto" w:fill="auto"/>
            <w:vAlign w:val="center"/>
          </w:tcPr>
          <w:p w:rsidR="00CC134B" w:rsidRPr="00F363EE" w:rsidRDefault="00CC134B" w:rsidP="00076F67">
            <w:pPr>
              <w:keepNext/>
              <w:widowControl/>
              <w:jc w:val="center"/>
              <w:rPr>
                <w:rFonts w:ascii="Arial Narrow" w:hAnsi="Arial Narrow" w:cs="Times New Roman"/>
                <w:b/>
                <w:snapToGrid/>
                <w:sz w:val="20"/>
              </w:rPr>
            </w:pPr>
            <w:r w:rsidRPr="00F363EE">
              <w:rPr>
                <w:rFonts w:ascii="Arial Narrow" w:hAnsi="Arial Narrow" w:cs="Times New Roman"/>
                <w:b/>
                <w:snapToGrid/>
                <w:sz w:val="20"/>
              </w:rPr>
              <w:t>Summary</w:t>
            </w:r>
          </w:p>
        </w:tc>
      </w:tr>
      <w:tr w:rsidR="00CC134B" w:rsidRPr="00F363EE" w:rsidTr="00CC134B">
        <w:tc>
          <w:tcPr>
            <w:tcW w:w="1396" w:type="pct"/>
            <w:shd w:val="clear" w:color="auto" w:fill="auto"/>
            <w:vAlign w:val="center"/>
          </w:tcPr>
          <w:p w:rsidR="00CC134B" w:rsidRPr="00F363EE" w:rsidRDefault="00CC134B" w:rsidP="00076F67">
            <w:pPr>
              <w:keepNext/>
              <w:widowControl/>
              <w:jc w:val="left"/>
              <w:rPr>
                <w:rFonts w:ascii="Arial Narrow" w:hAnsi="Arial Narrow" w:cs="Times New Roman"/>
                <w:snapToGrid/>
                <w:sz w:val="20"/>
              </w:rPr>
            </w:pPr>
            <w:r w:rsidRPr="00F363EE">
              <w:rPr>
                <w:rFonts w:ascii="Arial Narrow" w:hAnsi="Arial Narrow" w:cs="Times New Roman"/>
                <w:snapToGrid/>
                <w:sz w:val="20"/>
              </w:rPr>
              <w:t>Time horizon</w:t>
            </w:r>
          </w:p>
        </w:tc>
        <w:tc>
          <w:tcPr>
            <w:tcW w:w="3604" w:type="pct"/>
            <w:shd w:val="clear" w:color="auto" w:fill="auto"/>
            <w:vAlign w:val="center"/>
          </w:tcPr>
          <w:p w:rsidR="00CC134B" w:rsidRPr="00F363EE" w:rsidRDefault="00CC134B" w:rsidP="00076F67">
            <w:pPr>
              <w:keepNext/>
              <w:widowControl/>
              <w:jc w:val="left"/>
              <w:rPr>
                <w:rFonts w:ascii="Arial Narrow" w:hAnsi="Arial Narrow" w:cs="Times New Roman"/>
                <w:snapToGrid/>
                <w:sz w:val="20"/>
              </w:rPr>
            </w:pPr>
            <w:r w:rsidRPr="00F363EE">
              <w:rPr>
                <w:rFonts w:ascii="Arial Narrow" w:hAnsi="Arial Narrow" w:cs="Times New Roman"/>
                <w:snapToGrid/>
                <w:sz w:val="20"/>
              </w:rPr>
              <w:t xml:space="preserve">A 10 year time horizon was presented in the base case. </w:t>
            </w:r>
            <w:r w:rsidRPr="00F05687">
              <w:rPr>
                <w:rFonts w:ascii="Arial Narrow" w:hAnsi="Arial Narrow" w:cs="Times New Roman"/>
                <w:snapToGrid/>
                <w:sz w:val="20"/>
              </w:rPr>
              <w:t xml:space="preserve">This is compared with 12 months in the trial, with comparative efficacy data being available for only 2 months. </w:t>
            </w:r>
            <w:r w:rsidRPr="00F363EE">
              <w:rPr>
                <w:rFonts w:ascii="Arial Narrow" w:hAnsi="Arial Narrow" w:cs="Times New Roman"/>
                <w:snapToGrid/>
                <w:sz w:val="20"/>
              </w:rPr>
              <w:t xml:space="preserve">A 5 year time horizon and a lifetime horizon </w:t>
            </w:r>
            <w:r>
              <w:rPr>
                <w:rFonts w:ascii="Arial Narrow" w:hAnsi="Arial Narrow" w:cs="Times New Roman"/>
                <w:snapToGrid/>
                <w:sz w:val="20"/>
              </w:rPr>
              <w:t>were</w:t>
            </w:r>
            <w:r w:rsidRPr="00F363EE">
              <w:rPr>
                <w:rFonts w:ascii="Arial Narrow" w:hAnsi="Arial Narrow" w:cs="Times New Roman"/>
                <w:snapToGrid/>
                <w:sz w:val="20"/>
              </w:rPr>
              <w:t xml:space="preserve"> tested in sensitivity analyse</w:t>
            </w:r>
            <w:r>
              <w:rPr>
                <w:rFonts w:ascii="Arial Narrow" w:hAnsi="Arial Narrow" w:cs="Times New Roman"/>
                <w:snapToGrid/>
                <w:sz w:val="20"/>
              </w:rPr>
              <w:t>s.</w:t>
            </w:r>
          </w:p>
        </w:tc>
      </w:tr>
      <w:tr w:rsidR="00CC134B" w:rsidRPr="00F363EE" w:rsidTr="00CC134B">
        <w:tc>
          <w:tcPr>
            <w:tcW w:w="1396" w:type="pct"/>
            <w:shd w:val="clear" w:color="auto" w:fill="auto"/>
            <w:vAlign w:val="center"/>
          </w:tcPr>
          <w:p w:rsidR="00CC134B" w:rsidRPr="00F363EE" w:rsidRDefault="00CC134B" w:rsidP="00076F67">
            <w:pPr>
              <w:keepNext/>
              <w:widowControl/>
              <w:jc w:val="left"/>
              <w:rPr>
                <w:rFonts w:ascii="Arial Narrow" w:hAnsi="Arial Narrow" w:cs="Times New Roman"/>
                <w:snapToGrid/>
                <w:sz w:val="20"/>
              </w:rPr>
            </w:pPr>
            <w:r w:rsidRPr="00F363EE">
              <w:rPr>
                <w:rFonts w:ascii="Arial Narrow" w:hAnsi="Arial Narrow" w:cs="Times New Roman"/>
                <w:snapToGrid/>
                <w:sz w:val="20"/>
              </w:rPr>
              <w:t>Outcomes</w:t>
            </w:r>
          </w:p>
        </w:tc>
        <w:tc>
          <w:tcPr>
            <w:tcW w:w="3604" w:type="pct"/>
            <w:shd w:val="clear" w:color="auto" w:fill="auto"/>
            <w:vAlign w:val="center"/>
          </w:tcPr>
          <w:p w:rsidR="00CC134B" w:rsidRPr="00F363EE" w:rsidRDefault="00CC134B" w:rsidP="00076F67">
            <w:pPr>
              <w:keepNext/>
              <w:widowControl/>
              <w:jc w:val="left"/>
              <w:rPr>
                <w:rFonts w:ascii="Arial Narrow" w:hAnsi="Arial Narrow" w:cs="Times New Roman"/>
                <w:snapToGrid/>
                <w:sz w:val="20"/>
              </w:rPr>
            </w:pPr>
            <w:r w:rsidRPr="00F363EE">
              <w:rPr>
                <w:rFonts w:ascii="Arial Narrow" w:hAnsi="Arial Narrow" w:cs="Times New Roman"/>
                <w:snapToGrid/>
                <w:sz w:val="20"/>
              </w:rPr>
              <w:t>LYG and QALYs</w:t>
            </w:r>
          </w:p>
        </w:tc>
      </w:tr>
      <w:tr w:rsidR="00CC134B" w:rsidRPr="00F363EE" w:rsidTr="00CC134B">
        <w:tc>
          <w:tcPr>
            <w:tcW w:w="1396" w:type="pct"/>
            <w:shd w:val="clear" w:color="auto" w:fill="auto"/>
            <w:vAlign w:val="center"/>
          </w:tcPr>
          <w:p w:rsidR="00CC134B" w:rsidRPr="00F363EE" w:rsidRDefault="00CC134B" w:rsidP="00076F67">
            <w:pPr>
              <w:keepNext/>
              <w:widowControl/>
              <w:jc w:val="left"/>
              <w:rPr>
                <w:rFonts w:ascii="Arial Narrow" w:hAnsi="Arial Narrow" w:cs="Times New Roman"/>
                <w:snapToGrid/>
                <w:sz w:val="20"/>
              </w:rPr>
            </w:pPr>
            <w:r w:rsidRPr="00F363EE">
              <w:rPr>
                <w:rFonts w:ascii="Arial Narrow" w:hAnsi="Arial Narrow" w:cs="Times New Roman"/>
                <w:snapToGrid/>
                <w:sz w:val="20"/>
              </w:rPr>
              <w:t>Methods used to generate results</w:t>
            </w:r>
          </w:p>
        </w:tc>
        <w:tc>
          <w:tcPr>
            <w:tcW w:w="3604" w:type="pct"/>
            <w:shd w:val="clear" w:color="auto" w:fill="auto"/>
            <w:vAlign w:val="center"/>
          </w:tcPr>
          <w:p w:rsidR="00CC134B" w:rsidRPr="00F363EE" w:rsidRDefault="00CC134B" w:rsidP="00076F67">
            <w:pPr>
              <w:keepNext/>
              <w:widowControl/>
              <w:jc w:val="left"/>
              <w:rPr>
                <w:rFonts w:ascii="Arial Narrow" w:hAnsi="Arial Narrow" w:cs="Times New Roman"/>
                <w:snapToGrid/>
                <w:sz w:val="20"/>
              </w:rPr>
            </w:pPr>
            <w:r>
              <w:rPr>
                <w:rFonts w:ascii="Arial Narrow" w:hAnsi="Arial Narrow" w:cs="Times New Roman"/>
                <w:snapToGrid/>
                <w:sz w:val="20"/>
              </w:rPr>
              <w:t>Markov c</w:t>
            </w:r>
            <w:r w:rsidRPr="00F363EE">
              <w:rPr>
                <w:rFonts w:ascii="Arial Narrow" w:hAnsi="Arial Narrow" w:cs="Times New Roman"/>
                <w:snapToGrid/>
                <w:sz w:val="20"/>
              </w:rPr>
              <w:t>ohort expected value analysis</w:t>
            </w:r>
          </w:p>
        </w:tc>
      </w:tr>
      <w:tr w:rsidR="00CC134B" w:rsidRPr="00F363EE" w:rsidTr="00CC134B">
        <w:tc>
          <w:tcPr>
            <w:tcW w:w="1396" w:type="pct"/>
            <w:shd w:val="clear" w:color="auto" w:fill="auto"/>
            <w:vAlign w:val="center"/>
          </w:tcPr>
          <w:p w:rsidR="00CC134B" w:rsidRPr="00F363EE" w:rsidRDefault="00CC134B" w:rsidP="00076F67">
            <w:pPr>
              <w:keepNext/>
              <w:widowControl/>
              <w:jc w:val="left"/>
              <w:rPr>
                <w:rFonts w:ascii="Arial Narrow" w:hAnsi="Arial Narrow" w:cs="Times New Roman"/>
                <w:snapToGrid/>
                <w:sz w:val="20"/>
              </w:rPr>
            </w:pPr>
            <w:r w:rsidRPr="00F363EE">
              <w:rPr>
                <w:rFonts w:ascii="Arial Narrow" w:hAnsi="Arial Narrow" w:cs="Times New Roman"/>
                <w:snapToGrid/>
                <w:sz w:val="20"/>
              </w:rPr>
              <w:t>Health states</w:t>
            </w:r>
          </w:p>
        </w:tc>
        <w:tc>
          <w:tcPr>
            <w:tcW w:w="3604" w:type="pct"/>
            <w:shd w:val="clear" w:color="auto" w:fill="auto"/>
            <w:vAlign w:val="center"/>
          </w:tcPr>
          <w:p w:rsidR="00CC134B" w:rsidRPr="004C5EA1" w:rsidRDefault="004C5EA1" w:rsidP="00076F67">
            <w:pPr>
              <w:keepNext/>
              <w:widowControl/>
              <w:jc w:val="left"/>
              <w:rPr>
                <w:rFonts w:ascii="Arial Narrow" w:hAnsi="Arial Narrow" w:cs="Times New Roman"/>
                <w:snapToGrid/>
                <w:sz w:val="20"/>
                <w:highlight w:val="black"/>
              </w:rPr>
            </w:pPr>
            <w:r>
              <w:rPr>
                <w:rFonts w:ascii="Arial Narrow" w:hAnsi="Arial Narrow" w:cs="Times New Roman"/>
                <w:noProof/>
                <w:snapToGrid/>
                <w:color w:val="000000"/>
                <w:sz w:val="20"/>
                <w:highlight w:val="black"/>
              </w:rPr>
              <w:t>'''''''''' ''''''''''''''' ''''''''''''' '''''''' '''''''''''''''''''' '''' '''''''' '''''''''''''' ''''''''''''''''''''''''''''''' '''' ''''''''''''''''' '''''''''''''''''''''''' ''''''''''''' '''''''''''''' ''' ''''''''''' '''' ''''''''''''''''' '''''''''''''''' ''''''''''''' ''''''''''''''' ''' ''''''''''''' ''' ''''''''''''' ''''''''''''''''''' '''''''''''''' ''''''''''''''' ''' '''''''''''' '''' ''''''''''''''' '''''''''''''''' '''''''''''' ''''''''''''' '''' ''''''''''''' ''' ''''''''''''' ''''''''''''''''' ''''''''' '''''''''''''</w:t>
            </w:r>
          </w:p>
        </w:tc>
      </w:tr>
      <w:tr w:rsidR="00CC134B" w:rsidRPr="00F363EE" w:rsidTr="00CC134B">
        <w:tc>
          <w:tcPr>
            <w:tcW w:w="1396" w:type="pct"/>
            <w:shd w:val="clear" w:color="auto" w:fill="auto"/>
            <w:vAlign w:val="center"/>
          </w:tcPr>
          <w:p w:rsidR="00CC134B" w:rsidRPr="00F363EE" w:rsidRDefault="00CC134B" w:rsidP="00076F67">
            <w:pPr>
              <w:keepNext/>
              <w:widowControl/>
              <w:jc w:val="left"/>
              <w:rPr>
                <w:rFonts w:ascii="Arial Narrow" w:hAnsi="Arial Narrow" w:cs="Times New Roman"/>
                <w:snapToGrid/>
                <w:sz w:val="20"/>
              </w:rPr>
            </w:pPr>
            <w:r w:rsidRPr="00F363EE">
              <w:rPr>
                <w:rFonts w:ascii="Arial Narrow" w:hAnsi="Arial Narrow" w:cs="Times New Roman"/>
                <w:snapToGrid/>
                <w:sz w:val="20"/>
              </w:rPr>
              <w:t>Cycle length</w:t>
            </w:r>
          </w:p>
        </w:tc>
        <w:tc>
          <w:tcPr>
            <w:tcW w:w="3604" w:type="pct"/>
            <w:shd w:val="clear" w:color="auto" w:fill="auto"/>
            <w:vAlign w:val="center"/>
          </w:tcPr>
          <w:p w:rsidR="00CC134B" w:rsidRPr="00F363EE" w:rsidRDefault="00CC134B" w:rsidP="00076F67">
            <w:pPr>
              <w:keepNext/>
              <w:widowControl/>
              <w:jc w:val="left"/>
              <w:rPr>
                <w:rFonts w:ascii="Arial Narrow" w:hAnsi="Arial Narrow" w:cs="Times New Roman"/>
                <w:snapToGrid/>
                <w:sz w:val="20"/>
              </w:rPr>
            </w:pPr>
            <w:r w:rsidRPr="00F363EE">
              <w:rPr>
                <w:rFonts w:ascii="Arial Narrow" w:hAnsi="Arial Narrow" w:cs="Times New Roman"/>
                <w:snapToGrid/>
                <w:sz w:val="20"/>
              </w:rPr>
              <w:t>1 month</w:t>
            </w:r>
          </w:p>
        </w:tc>
      </w:tr>
      <w:tr w:rsidR="00CC134B" w:rsidRPr="00F363EE" w:rsidTr="00CC134B">
        <w:tc>
          <w:tcPr>
            <w:tcW w:w="1396" w:type="pct"/>
            <w:shd w:val="clear" w:color="auto" w:fill="auto"/>
            <w:vAlign w:val="center"/>
          </w:tcPr>
          <w:p w:rsidR="00CC134B" w:rsidRPr="00F363EE" w:rsidRDefault="00CC134B" w:rsidP="00076F67">
            <w:pPr>
              <w:keepNext/>
              <w:widowControl/>
              <w:jc w:val="left"/>
              <w:rPr>
                <w:rFonts w:ascii="Arial Narrow" w:hAnsi="Arial Narrow" w:cs="Times New Roman"/>
                <w:snapToGrid/>
                <w:sz w:val="20"/>
              </w:rPr>
            </w:pPr>
            <w:r w:rsidRPr="00F363EE">
              <w:rPr>
                <w:rFonts w:ascii="Arial Narrow" w:hAnsi="Arial Narrow" w:cs="Times New Roman"/>
                <w:snapToGrid/>
                <w:sz w:val="20"/>
              </w:rPr>
              <w:t>Transition probabilities</w:t>
            </w:r>
          </w:p>
        </w:tc>
        <w:tc>
          <w:tcPr>
            <w:tcW w:w="3604" w:type="pct"/>
            <w:shd w:val="clear" w:color="auto" w:fill="auto"/>
            <w:vAlign w:val="center"/>
          </w:tcPr>
          <w:p w:rsidR="00CC134B" w:rsidRPr="00F363EE" w:rsidRDefault="00CC134B" w:rsidP="00076F67">
            <w:pPr>
              <w:pStyle w:val="Tabletext"/>
              <w:keepNext/>
            </w:pPr>
            <w:r>
              <w:t>For Year 1, t</w:t>
            </w:r>
            <w:r w:rsidRPr="00F363EE">
              <w:t xml:space="preserve">ransition probabilities </w:t>
            </w:r>
            <w:r>
              <w:t xml:space="preserve">for the ranibizumab arm </w:t>
            </w:r>
            <w:r w:rsidRPr="00F363EE">
              <w:t>were sourced from the key trial (</w:t>
            </w:r>
            <w:r>
              <w:t>MINERVA</w:t>
            </w:r>
            <w:r w:rsidRPr="00F363EE">
              <w:t>)</w:t>
            </w:r>
            <w:r>
              <w:t xml:space="preserve">. In the </w:t>
            </w:r>
            <w:r w:rsidR="009A4928">
              <w:t xml:space="preserve">no active treatment </w:t>
            </w:r>
            <w:r>
              <w:t>arm, it was assumed that patients remain in the same BCVA health state in Year 1. T</w:t>
            </w:r>
            <w:r w:rsidRPr="00F363EE">
              <w:t xml:space="preserve">ransition probabilities for the subsequent years were assumed to be constant over the entire model time horizon. The long term transition probabilities </w:t>
            </w:r>
            <w:r>
              <w:t xml:space="preserve">for the ranibizumab arm </w:t>
            </w:r>
            <w:r w:rsidRPr="00F363EE">
              <w:t xml:space="preserve">were extrapolated </w:t>
            </w:r>
            <w:r>
              <w:t>from</w:t>
            </w:r>
            <w:r w:rsidRPr="00F363EE">
              <w:t xml:space="preserve"> within trial data, assuming the </w:t>
            </w:r>
            <w:r>
              <w:t>probability</w:t>
            </w:r>
            <w:r w:rsidRPr="00F363EE">
              <w:t xml:space="preserve"> of worsening being the average of</w:t>
            </w:r>
            <w:r>
              <w:t xml:space="preserve"> the probability of</w:t>
            </w:r>
            <w:r w:rsidRPr="00F363EE">
              <w:t xml:space="preserve"> worsening in Month 3-12 of the trial; and the </w:t>
            </w:r>
            <w:r>
              <w:t>probability</w:t>
            </w:r>
            <w:r w:rsidRPr="00F363EE">
              <w:t xml:space="preserve"> of improving being 50% of the average</w:t>
            </w:r>
            <w:r w:rsidR="005C51E9">
              <w:t xml:space="preserve">  </w:t>
            </w:r>
            <w:r>
              <w:t xml:space="preserve">probability of </w:t>
            </w:r>
            <w:r w:rsidRPr="00F363EE">
              <w:t xml:space="preserve">improvement in Month 3-12 of the trial. </w:t>
            </w:r>
            <w:r>
              <w:t xml:space="preserve">For the </w:t>
            </w:r>
            <w:r w:rsidR="009A4928">
              <w:t xml:space="preserve">no active treatment </w:t>
            </w:r>
            <w:r>
              <w:t>arm, a constant probability of worsening, consistent with the ranibizumab arm was applied. No improvement of BCVA was assumed for this arm.</w:t>
            </w:r>
          </w:p>
        </w:tc>
      </w:tr>
    </w:tbl>
    <w:p w:rsidR="00CC134B" w:rsidRPr="00F363EE" w:rsidRDefault="00CC134B" w:rsidP="00CC134B">
      <w:pPr>
        <w:rPr>
          <w:rFonts w:ascii="Arial Narrow" w:hAnsi="Arial Narrow"/>
          <w:sz w:val="18"/>
        </w:rPr>
      </w:pPr>
      <w:r w:rsidRPr="00F363EE">
        <w:rPr>
          <w:rFonts w:ascii="Arial Narrow" w:hAnsi="Arial Narrow"/>
          <w:sz w:val="18"/>
        </w:rPr>
        <w:t>LYG = life years gained; QALY = quality-adjusted life years; ETDRS = Early Treatment diabetic Retino</w:t>
      </w:r>
      <w:r>
        <w:rPr>
          <w:rFonts w:ascii="Arial Narrow" w:hAnsi="Arial Narrow"/>
          <w:sz w:val="18"/>
        </w:rPr>
        <w:t>pathy Study; VA = visual acuity; BCVA = best corrected visual acuity.</w:t>
      </w:r>
    </w:p>
    <w:p w:rsidR="00CC134B" w:rsidRPr="00F363EE" w:rsidRDefault="00CC134B" w:rsidP="004F1B17">
      <w:pPr>
        <w:spacing w:after="120"/>
        <w:rPr>
          <w:rFonts w:ascii="Arial Narrow" w:hAnsi="Arial Narrow"/>
          <w:sz w:val="18"/>
        </w:rPr>
      </w:pPr>
      <w:r w:rsidRPr="00F363EE">
        <w:rPr>
          <w:rFonts w:ascii="Arial Narrow" w:hAnsi="Arial Narrow"/>
          <w:sz w:val="18"/>
        </w:rPr>
        <w:t>Source: Table 3.1-1, p81 of the Submission.</w:t>
      </w:r>
    </w:p>
    <w:p w:rsidR="00CC134B" w:rsidRPr="00F363EE" w:rsidRDefault="00CC134B" w:rsidP="00A24DED">
      <w:pPr>
        <w:widowControl/>
        <w:numPr>
          <w:ilvl w:val="1"/>
          <w:numId w:val="2"/>
        </w:numPr>
      </w:pPr>
      <w:r w:rsidRPr="00F363EE">
        <w:t>The submission considered the following scenarios:</w:t>
      </w:r>
    </w:p>
    <w:p w:rsidR="00CC134B" w:rsidRPr="00F363EE" w:rsidRDefault="00CC134B" w:rsidP="00E17131">
      <w:pPr>
        <w:widowControl/>
        <w:numPr>
          <w:ilvl w:val="0"/>
          <w:numId w:val="18"/>
        </w:numPr>
        <w:spacing w:after="160"/>
        <w:ind w:hanging="357"/>
        <w:contextualSpacing/>
      </w:pPr>
      <w:r w:rsidRPr="00F363EE">
        <w:t xml:space="preserve">Patients receiving treatment in the </w:t>
      </w:r>
      <w:r>
        <w:t>better</w:t>
      </w:r>
      <w:r w:rsidRPr="00F363EE">
        <w:t xml:space="preserve"> seeing eye (BSE)</w:t>
      </w:r>
    </w:p>
    <w:p w:rsidR="00CC134B" w:rsidRPr="00F363EE" w:rsidRDefault="00CC134B" w:rsidP="00E17131">
      <w:pPr>
        <w:widowControl/>
        <w:numPr>
          <w:ilvl w:val="0"/>
          <w:numId w:val="18"/>
        </w:numPr>
        <w:spacing w:after="160"/>
        <w:ind w:hanging="357"/>
        <w:contextualSpacing/>
      </w:pPr>
      <w:r w:rsidRPr="00F363EE">
        <w:t>Patients receiving treatment in the worse seeing eye (WSE)</w:t>
      </w:r>
    </w:p>
    <w:p w:rsidR="00CC134B" w:rsidRPr="00F363EE" w:rsidRDefault="00CC134B" w:rsidP="00E17131">
      <w:pPr>
        <w:widowControl/>
        <w:numPr>
          <w:ilvl w:val="1"/>
          <w:numId w:val="18"/>
        </w:numPr>
        <w:spacing w:after="160"/>
        <w:ind w:hanging="357"/>
        <w:contextualSpacing/>
      </w:pPr>
      <w:r w:rsidRPr="00F363EE">
        <w:t>where the treated eye remains the WSE</w:t>
      </w:r>
    </w:p>
    <w:p w:rsidR="00CC134B" w:rsidRPr="00F363EE" w:rsidRDefault="00CC134B" w:rsidP="00E17131">
      <w:pPr>
        <w:widowControl/>
        <w:numPr>
          <w:ilvl w:val="1"/>
          <w:numId w:val="18"/>
        </w:numPr>
        <w:spacing w:after="160"/>
        <w:ind w:hanging="357"/>
        <w:contextualSpacing/>
      </w:pPr>
      <w:r w:rsidRPr="00F363EE">
        <w:t>where the treated eye becomes the BSE</w:t>
      </w:r>
    </w:p>
    <w:p w:rsidR="00CC134B" w:rsidRPr="00F363EE" w:rsidRDefault="00CC134B" w:rsidP="00E17131">
      <w:pPr>
        <w:widowControl/>
        <w:numPr>
          <w:ilvl w:val="0"/>
          <w:numId w:val="18"/>
        </w:numPr>
        <w:spacing w:after="160"/>
        <w:ind w:hanging="357"/>
        <w:contextualSpacing/>
      </w:pPr>
      <w:r w:rsidRPr="00F363EE">
        <w:t>Patients receiving treatment in both eyes</w:t>
      </w:r>
    </w:p>
    <w:p w:rsidR="00CC134B" w:rsidRPr="00F363EE" w:rsidRDefault="00CC134B" w:rsidP="00CC134B">
      <w:pPr>
        <w:widowControl/>
        <w:spacing w:after="160"/>
        <w:ind w:left="720"/>
      </w:pPr>
      <w:r w:rsidRPr="00F363EE">
        <w:t xml:space="preserve">The model presented </w:t>
      </w:r>
      <w:r>
        <w:t>incremental cost effectiveness ratios (</w:t>
      </w:r>
      <w:r w:rsidRPr="00F363EE">
        <w:t>ICERs</w:t>
      </w:r>
      <w:r>
        <w:t>)</w:t>
      </w:r>
      <w:r w:rsidRPr="00F363EE">
        <w:t xml:space="preserve"> for each scena</w:t>
      </w:r>
      <w:r w:rsidR="009E0873">
        <w:t>rio as well as a weighted ICER.</w:t>
      </w:r>
    </w:p>
    <w:p w:rsidR="00CC134B" w:rsidRPr="00EB3AF3" w:rsidRDefault="00CC134B" w:rsidP="00CC134B">
      <w:pPr>
        <w:widowControl/>
        <w:numPr>
          <w:ilvl w:val="1"/>
          <w:numId w:val="2"/>
        </w:numPr>
        <w:spacing w:after="160"/>
      </w:pPr>
      <w:r w:rsidRPr="00EB3AF3">
        <w:t>The model did not include the cost or quality of life impact of treatment-related adverse events. This may not be reasonable, particularly when comparing with no active treatment. There were very limited comparative safety data available from the trial.</w:t>
      </w:r>
    </w:p>
    <w:p w:rsidR="00CC134B" w:rsidRPr="00EB3AF3" w:rsidRDefault="00CC134B" w:rsidP="00CC134B">
      <w:pPr>
        <w:widowControl/>
        <w:numPr>
          <w:ilvl w:val="1"/>
          <w:numId w:val="2"/>
        </w:numPr>
        <w:spacing w:after="160"/>
      </w:pPr>
      <w:r w:rsidRPr="00EB3AF3">
        <w:t xml:space="preserve">The transition probabilities beyond Month 12 between the BCVA health states </w:t>
      </w:r>
      <w:r w:rsidR="009E0873" w:rsidRPr="00EB3AF3">
        <w:t>we</w:t>
      </w:r>
      <w:r w:rsidRPr="00EB3AF3">
        <w:t>re highly uncertain. The submission assumed constant transition probabilities beyond Month 12 for the entire model time horizon. These long-term transition probabilities for the ranibizumab arm were estimated using the short term probabilities observed from MINERVA under two main assumptions:</w:t>
      </w:r>
    </w:p>
    <w:p w:rsidR="00CC134B" w:rsidRPr="00EB3AF3" w:rsidRDefault="00CC134B" w:rsidP="00CC134B">
      <w:pPr>
        <w:pStyle w:val="ListParagraph"/>
        <w:widowControl/>
        <w:numPr>
          <w:ilvl w:val="0"/>
          <w:numId w:val="26"/>
        </w:numPr>
      </w:pPr>
      <w:r w:rsidRPr="00EB3AF3">
        <w:t xml:space="preserve">The probability of moving to a worse BCVA health state beyond Month 12 </w:t>
      </w:r>
      <w:r w:rsidR="009E0873" w:rsidRPr="00EB3AF3">
        <w:t>wa</w:t>
      </w:r>
      <w:r w:rsidRPr="00EB3AF3">
        <w:t>s calculated as being the average probability of deterioration in VA in Month 3-12 of the trial;</w:t>
      </w:r>
    </w:p>
    <w:p w:rsidR="00CC134B" w:rsidRPr="00EB3AF3" w:rsidRDefault="00CC134B" w:rsidP="00CC134B">
      <w:pPr>
        <w:pStyle w:val="ListParagraph"/>
        <w:widowControl/>
        <w:numPr>
          <w:ilvl w:val="0"/>
          <w:numId w:val="26"/>
        </w:numPr>
      </w:pPr>
      <w:r w:rsidRPr="00EB3AF3">
        <w:lastRenderedPageBreak/>
        <w:t xml:space="preserve">The probability moving to an improved BCVA health state beyond Month 12 </w:t>
      </w:r>
      <w:r w:rsidR="009E0873" w:rsidRPr="00EB3AF3">
        <w:t>wa</w:t>
      </w:r>
      <w:r w:rsidRPr="00EB3AF3">
        <w:t>s calculated as being 50% of the average probability of improvement in VA in months 3-12 of the trial.</w:t>
      </w:r>
    </w:p>
    <w:p w:rsidR="00CC134B" w:rsidRPr="00EB3AF3" w:rsidRDefault="00CC134B" w:rsidP="00CC134B">
      <w:pPr>
        <w:widowControl/>
        <w:spacing w:after="160"/>
        <w:ind w:left="720"/>
      </w:pPr>
      <w:r w:rsidRPr="00EB3AF3">
        <w:t>The long term transition probabilities extrapolated from trial data were based on assumptions, for which the submission did not provide adequate justifications.</w:t>
      </w:r>
      <w:r w:rsidR="00CB4DC1" w:rsidRPr="00EB3AF3">
        <w:t xml:space="preserve"> The PSCR argued that some individual studies reported the long-term outcome for small groups of patients with CNV due to miscellaneous aetiologies and overall showed that CNV is associated with an increased risk of blindness and evidence from seven studies showed that 8% to 50% of patients with the condition were legally blind after a mean follow-up ranging from 2.5 to 9 years. The ESC noted</w:t>
      </w:r>
      <w:r w:rsidR="001708BC" w:rsidRPr="00EB3AF3">
        <w:t xml:space="preserve"> these studies reported results for various indications, some of which were not consistent with the proposed PBS population, with varying lengths of follow up and that none of the studies identified related to the larger subgroups in MINERVA (</w:t>
      </w:r>
      <w:r w:rsidR="005777DA" w:rsidRPr="00EB3AF3">
        <w:t>e.g.</w:t>
      </w:r>
      <w:r w:rsidR="001708BC" w:rsidRPr="00EB3AF3">
        <w:t xml:space="preserve"> CNV due to angioid streaks, idiopathic chorioretinopathy) on which the efficacy d</w:t>
      </w:r>
      <w:r w:rsidR="00EA4EF8" w:rsidRPr="00EB3AF3">
        <w:t>ata is based.</w:t>
      </w:r>
    </w:p>
    <w:p w:rsidR="00062975" w:rsidRPr="00EB3AF3" w:rsidRDefault="00062975" w:rsidP="00CC134B">
      <w:pPr>
        <w:widowControl/>
        <w:spacing w:after="160"/>
        <w:ind w:left="720"/>
      </w:pPr>
      <w:r w:rsidRPr="00EB3AF3">
        <w:t>The ESC considered the lack of long-term efficacy data beyond 12 months</w:t>
      </w:r>
      <w:r w:rsidR="004B05A6" w:rsidRPr="00EB3AF3">
        <w:t xml:space="preserve"> (compared with a 10 year time horizon)</w:t>
      </w:r>
      <w:r w:rsidRPr="00EB3AF3">
        <w:t xml:space="preserve">, </w:t>
      </w:r>
      <w:r w:rsidR="00DE2BBB" w:rsidRPr="00EB3AF3">
        <w:t>and utilisation of transition probabilities</w:t>
      </w:r>
      <w:r w:rsidR="00430FF2" w:rsidRPr="00EB3AF3">
        <w:t xml:space="preserve"> based on assumptions</w:t>
      </w:r>
      <w:r w:rsidR="00DE2BBB" w:rsidRPr="00EB3AF3">
        <w:t xml:space="preserve"> (beyond 12 months for the ranibizumab arm and for the entire time horizon for the sham arm) </w:t>
      </w:r>
      <w:r w:rsidR="00D01839" w:rsidRPr="00EB3AF3">
        <w:t>rendered the economic an</w:t>
      </w:r>
      <w:r w:rsidR="00EA4EF8" w:rsidRPr="00EB3AF3">
        <w:t>alysis to be highly uncertain.</w:t>
      </w:r>
      <w:r w:rsidR="00737E06">
        <w:t xml:space="preserve"> The PBAC considered th</w:t>
      </w:r>
      <w:r w:rsidR="008A5F04">
        <w:t>at</w:t>
      </w:r>
      <w:r w:rsidR="00737E06">
        <w:t xml:space="preserve"> </w:t>
      </w:r>
      <w:r w:rsidR="00737E06">
        <w:rPr>
          <w:rFonts w:asciiTheme="minorHAnsi" w:hAnsiTheme="minorHAnsi"/>
          <w:bCs/>
          <w:lang w:val="en-GB"/>
        </w:rPr>
        <w:t xml:space="preserve">the extrapolated transition probabilities </w:t>
      </w:r>
      <w:r w:rsidR="008A5F04">
        <w:rPr>
          <w:rFonts w:asciiTheme="minorHAnsi" w:hAnsiTheme="minorHAnsi"/>
          <w:bCs/>
          <w:lang w:val="en-GB"/>
        </w:rPr>
        <w:t>we</w:t>
      </w:r>
      <w:r w:rsidR="00737E06">
        <w:rPr>
          <w:rFonts w:asciiTheme="minorHAnsi" w:hAnsiTheme="minorHAnsi"/>
          <w:bCs/>
          <w:lang w:val="en-GB"/>
        </w:rPr>
        <w:t xml:space="preserve">re likely to be conservative given the </w:t>
      </w:r>
      <w:r w:rsidR="00407058">
        <w:rPr>
          <w:rFonts w:asciiTheme="minorHAnsi" w:hAnsiTheme="minorHAnsi"/>
          <w:bCs/>
          <w:lang w:val="en-GB"/>
        </w:rPr>
        <w:t xml:space="preserve">net decline </w:t>
      </w:r>
      <w:r w:rsidR="00737E06">
        <w:rPr>
          <w:rFonts w:asciiTheme="minorHAnsi" w:hAnsiTheme="minorHAnsi"/>
          <w:bCs/>
          <w:lang w:val="en-GB"/>
        </w:rPr>
        <w:t>in visual acuity over time</w:t>
      </w:r>
      <w:r w:rsidR="00407058">
        <w:rPr>
          <w:rFonts w:asciiTheme="minorHAnsi" w:hAnsiTheme="minorHAnsi"/>
          <w:bCs/>
          <w:lang w:val="en-GB"/>
        </w:rPr>
        <w:t xml:space="preserve"> in both arms of the model</w:t>
      </w:r>
      <w:r w:rsidR="00737E06">
        <w:rPr>
          <w:rFonts w:asciiTheme="minorHAnsi" w:hAnsiTheme="minorHAnsi"/>
          <w:bCs/>
          <w:lang w:val="en-GB"/>
        </w:rPr>
        <w:t>.</w:t>
      </w:r>
    </w:p>
    <w:p w:rsidR="00CC134B" w:rsidRPr="00EB3AF3" w:rsidRDefault="00CC134B" w:rsidP="00CC134B">
      <w:pPr>
        <w:widowControl/>
        <w:numPr>
          <w:ilvl w:val="1"/>
          <w:numId w:val="2"/>
        </w:numPr>
        <w:spacing w:after="160"/>
      </w:pPr>
      <w:r w:rsidRPr="00EB3AF3">
        <w:t xml:space="preserve">In the </w:t>
      </w:r>
      <w:r w:rsidR="009A4928" w:rsidRPr="00EB3AF3">
        <w:t xml:space="preserve">no active treatment </w:t>
      </w:r>
      <w:r w:rsidRPr="00EB3AF3">
        <w:t>arm, the submission assumed that patients would stay in the same health state as baseline in the first year. From Month 13, it was assumed that patients could transit to a worse VA state with a transition probability being the same as that in the ranibizumab arm, while assuming no improvement in VA health state.</w:t>
      </w:r>
      <w:r w:rsidRPr="00EB3AF3">
        <w:rPr>
          <w:lang w:eastAsia="en-GB"/>
        </w:rPr>
        <w:t xml:space="preserve"> The transition probabilities applied in the </w:t>
      </w:r>
      <w:r w:rsidR="009A4928" w:rsidRPr="00EB3AF3">
        <w:rPr>
          <w:lang w:eastAsia="en-GB"/>
        </w:rPr>
        <w:t xml:space="preserve">no active treatment </w:t>
      </w:r>
      <w:r w:rsidRPr="00EB3AF3">
        <w:rPr>
          <w:lang w:eastAsia="en-GB"/>
        </w:rPr>
        <w:t xml:space="preserve">arm, and consequently the </w:t>
      </w:r>
      <w:r w:rsidR="001A3E21" w:rsidRPr="00EB3AF3">
        <w:rPr>
          <w:lang w:eastAsia="en-GB"/>
        </w:rPr>
        <w:t>incremental</w:t>
      </w:r>
      <w:r w:rsidRPr="00EB3AF3">
        <w:rPr>
          <w:lang w:eastAsia="en-GB"/>
        </w:rPr>
        <w:t xml:space="preserve"> treatment effect of ranibizumab versus </w:t>
      </w:r>
      <w:r w:rsidR="009A4928" w:rsidRPr="00EB3AF3">
        <w:rPr>
          <w:lang w:eastAsia="en-GB"/>
        </w:rPr>
        <w:t>no active treatment</w:t>
      </w:r>
      <w:r w:rsidRPr="00EB3AF3">
        <w:rPr>
          <w:lang w:eastAsia="en-GB"/>
        </w:rPr>
        <w:t xml:space="preserve">, </w:t>
      </w:r>
      <w:r w:rsidR="001A3E21" w:rsidRPr="00EB3AF3">
        <w:rPr>
          <w:lang w:eastAsia="en-GB"/>
        </w:rPr>
        <w:t>we</w:t>
      </w:r>
      <w:r w:rsidRPr="00EB3AF3">
        <w:rPr>
          <w:lang w:eastAsia="en-GB"/>
        </w:rPr>
        <w:t>re not based on evidence of treatment with sham nor the natural history of the disease.</w:t>
      </w:r>
      <w:r w:rsidR="009D3DAA" w:rsidRPr="00EB3AF3">
        <w:rPr>
          <w:lang w:eastAsia="en-GB"/>
        </w:rPr>
        <w:t xml:space="preserve"> Further, the transition probabilities between VA health states were assumed to be the same for patients treated in the BSE or WSE. The ESC considered this was inappropriate and unlikely to reflect the true cost-effectiveness of patients trea</w:t>
      </w:r>
      <w:r w:rsidR="00EA4EF8" w:rsidRPr="00EB3AF3">
        <w:rPr>
          <w:lang w:eastAsia="en-GB"/>
        </w:rPr>
        <w:t>ted in either their BSE or WSE.</w:t>
      </w:r>
    </w:p>
    <w:p w:rsidR="00CC134B" w:rsidRPr="00EB3AF3" w:rsidRDefault="00CC134B" w:rsidP="00CC134B">
      <w:pPr>
        <w:widowControl/>
        <w:numPr>
          <w:ilvl w:val="1"/>
          <w:numId w:val="2"/>
        </w:numPr>
        <w:spacing w:after="160"/>
      </w:pPr>
      <w:r w:rsidRPr="00EB3AF3">
        <w:t xml:space="preserve">In the model, although it </w:t>
      </w:r>
      <w:r w:rsidR="001A3E21" w:rsidRPr="00EB3AF3">
        <w:t>wa</w:t>
      </w:r>
      <w:r w:rsidRPr="00EB3AF3">
        <w:t xml:space="preserve">s assumed that there were no changes in VA health states in the </w:t>
      </w:r>
      <w:r w:rsidR="009A4928" w:rsidRPr="00EB3AF3">
        <w:t xml:space="preserve">no active treatment </w:t>
      </w:r>
      <w:r w:rsidRPr="00EB3AF3">
        <w:t xml:space="preserve">arm in the first 12 months, </w:t>
      </w:r>
      <w:r w:rsidR="004C5EA1">
        <w:rPr>
          <w:noProof/>
          <w:color w:val="000000"/>
          <w:highlight w:val="black"/>
        </w:rPr>
        <w:t>''''''''''</w:t>
      </w:r>
      <w:r w:rsidRPr="00EB3AF3">
        <w:t xml:space="preserve">% of patients treated in the WSE in the </w:t>
      </w:r>
      <w:r w:rsidR="009A4928" w:rsidRPr="00EB3AF3">
        <w:t xml:space="preserve">no active treatment </w:t>
      </w:r>
      <w:r w:rsidRPr="00EB3AF3">
        <w:t xml:space="preserve">arm were assumed to have their treated eyes become </w:t>
      </w:r>
      <w:r w:rsidR="001A3E21" w:rsidRPr="00EB3AF3">
        <w:t xml:space="preserve">the </w:t>
      </w:r>
      <w:r w:rsidRPr="00EB3AF3">
        <w:t>BSE at Month 12. This is not reasonable and bias</w:t>
      </w:r>
      <w:r w:rsidR="00E17131" w:rsidRPr="00EB3AF3">
        <w:t>ed</w:t>
      </w:r>
      <w:r w:rsidRPr="00EB3AF3">
        <w:t xml:space="preserve"> the results of </w:t>
      </w:r>
      <w:r w:rsidR="00E17131" w:rsidRPr="00EB3AF3">
        <w:t xml:space="preserve">the </w:t>
      </w:r>
      <w:r w:rsidRPr="00EB3AF3">
        <w:t xml:space="preserve">economic model in favour of ranibizumab (the ICER increases from the base case of </w:t>
      </w:r>
      <w:r w:rsidR="00461BC4">
        <w:t xml:space="preserve">less than $15,000/QALY to $15,000/QALY </w:t>
      </w:r>
      <w:r w:rsidR="00196DE0">
        <w:t>-</w:t>
      </w:r>
      <w:r w:rsidR="00461BC4">
        <w:t xml:space="preserve"> $45,000/QALY </w:t>
      </w:r>
      <w:r w:rsidR="009E73CE" w:rsidRPr="00EB3AF3">
        <w:t>when this favourable assumption</w:t>
      </w:r>
      <w:r w:rsidR="00893CA8" w:rsidRPr="00EB3AF3">
        <w:t xml:space="preserve"> is removed</w:t>
      </w:r>
      <w:r w:rsidRPr="00EB3AF3">
        <w:t>).</w:t>
      </w:r>
    </w:p>
    <w:p w:rsidR="00CC134B" w:rsidRPr="00EB3AF3" w:rsidRDefault="00CC134B" w:rsidP="008C6567">
      <w:pPr>
        <w:widowControl/>
        <w:numPr>
          <w:ilvl w:val="1"/>
          <w:numId w:val="2"/>
        </w:numPr>
        <w:spacing w:after="160"/>
      </w:pPr>
      <w:r w:rsidRPr="00EB3AF3">
        <w:lastRenderedPageBreak/>
        <w:t xml:space="preserve">The </w:t>
      </w:r>
      <w:r w:rsidR="001A3E21" w:rsidRPr="00EB3AF3">
        <w:t xml:space="preserve">average </w:t>
      </w:r>
      <w:r w:rsidRPr="00EB3AF3">
        <w:t xml:space="preserve">number of </w:t>
      </w:r>
      <w:r w:rsidR="001A3E21" w:rsidRPr="00EB3AF3">
        <w:t xml:space="preserve">injections of </w:t>
      </w:r>
      <w:r w:rsidRPr="00EB3AF3">
        <w:t xml:space="preserve">ranibizumab </w:t>
      </w:r>
      <w:r w:rsidR="001A3E21" w:rsidRPr="00EB3AF3">
        <w:t xml:space="preserve">per </w:t>
      </w:r>
      <w:r w:rsidR="009A4928" w:rsidRPr="00EB3AF3">
        <w:t>treated eye</w:t>
      </w:r>
      <w:r w:rsidR="001A3E21" w:rsidRPr="00EB3AF3">
        <w:t xml:space="preserve"> wa</w:t>
      </w:r>
      <w:r w:rsidRPr="00EB3AF3">
        <w:t>s uncertain given the lack of long term data</w:t>
      </w:r>
      <w:r w:rsidR="008C6567" w:rsidRPr="00EB3AF3">
        <w:t xml:space="preserve"> (beyond the 12 month trial)</w:t>
      </w:r>
      <w:r w:rsidRPr="00EB3AF3">
        <w:t>, the considerable variation in the number of treatments across aetiology subgroups as observed from MINERVA and the lack of data for the distribution of underlying aetiologies among the rare CNV patients in Australian clinical practice.</w:t>
      </w:r>
      <w:r w:rsidR="008C6567" w:rsidRPr="00EB3AF3">
        <w:t xml:space="preserve"> The submission stated that the assumption of one additional injection of ranibizumab in Year 2 was based on expert opinion. The submission did not provide any detail on number and types of experts from which this estimate is derived</w:t>
      </w:r>
      <w:r w:rsidR="00430FF2" w:rsidRPr="00EB3AF3">
        <w:t xml:space="preserve"> or whether they reflected the population of ophthalmologists who would be treating rare CNV</w:t>
      </w:r>
      <w:r w:rsidR="008C6567" w:rsidRPr="00EB3AF3">
        <w:t>.</w:t>
      </w:r>
    </w:p>
    <w:p w:rsidR="00CC134B" w:rsidRPr="00EB3AF3" w:rsidRDefault="00CC134B" w:rsidP="00CC134B">
      <w:pPr>
        <w:widowControl/>
        <w:numPr>
          <w:ilvl w:val="1"/>
          <w:numId w:val="2"/>
        </w:numPr>
        <w:spacing w:after="160"/>
      </w:pPr>
      <w:r w:rsidRPr="00EB3AF3">
        <w:t xml:space="preserve">Each BCVA health state was assigned a utility weight dependent on whether the treated eye was the patient’s BSE or WSE, consistent with the previous ranibizumab submissions. For the bilateral treatment model, utility values for better-seeing eye were applied. The utility weights applied in the model are consistent with the evaluator ‘scenario 1’ utility values from the July 2014 ranibizumab submissions for DME and RVO. PBAC </w:t>
      </w:r>
      <w:r w:rsidR="001A3E21" w:rsidRPr="00EB3AF3">
        <w:t xml:space="preserve">has </w:t>
      </w:r>
      <w:r w:rsidRPr="00EB3AF3">
        <w:t>previously noted the fundamental misalignment between the design of the model based on treated eye VA and overall patient utilities. The PBAC stated that the attempt to adjust for VA across both eyes for the purpose of mapping utilities d</w:t>
      </w:r>
      <w:r w:rsidR="001A3E21" w:rsidRPr="00EB3AF3">
        <w:t>id</w:t>
      </w:r>
      <w:r w:rsidRPr="00EB3AF3">
        <w:t xml:space="preserve"> not address the fundamental misalignment in the model (para</w:t>
      </w:r>
      <w:r w:rsidR="0040590C" w:rsidRPr="00EB3AF3">
        <w:t>graph</w:t>
      </w:r>
      <w:r w:rsidRPr="00EB3AF3">
        <w:t xml:space="preserve"> 3.6, ranibizumab for DME PSD, July 2014 PBAC meeting). PBAC also considered that</w:t>
      </w:r>
      <w:r w:rsidR="001A3E21" w:rsidRPr="00EB3AF3">
        <w:t>,</w:t>
      </w:r>
      <w:r w:rsidRPr="00EB3AF3">
        <w:t xml:space="preserve"> as VA is influenced mostly by the better-seeing eyes, the potential for utility differences to occur is influenced by the proportions of better and</w:t>
      </w:r>
      <w:r w:rsidR="001A3E21" w:rsidRPr="00EB3AF3">
        <w:t xml:space="preserve"> worse seeing eyes are treated.</w:t>
      </w:r>
    </w:p>
    <w:p w:rsidR="00CC134B" w:rsidRPr="00EB3AF3" w:rsidRDefault="00CC134B" w:rsidP="00CC134B">
      <w:pPr>
        <w:widowControl/>
        <w:numPr>
          <w:ilvl w:val="1"/>
          <w:numId w:val="2"/>
        </w:numPr>
        <w:spacing w:after="160"/>
      </w:pPr>
      <w:r w:rsidRPr="00EB3AF3">
        <w:t xml:space="preserve">The model included the cost of falls that was associated with the VA3 and VA4 health states and the cost of blindness that was associated with VA4 health state. These costs </w:t>
      </w:r>
      <w:r w:rsidR="001A3E21" w:rsidRPr="00EB3AF3">
        <w:t>we</w:t>
      </w:r>
      <w:r w:rsidRPr="00EB3AF3">
        <w:t>re consistent with th</w:t>
      </w:r>
      <w:r w:rsidR="001A3E21" w:rsidRPr="00EB3AF3">
        <w:t>ose</w:t>
      </w:r>
      <w:r w:rsidRPr="00EB3AF3">
        <w:t xml:space="preserve"> used in the previous ranibizumab submissions for both DME and RVO. The PBAC </w:t>
      </w:r>
      <w:r w:rsidR="001A3E21" w:rsidRPr="00EB3AF3">
        <w:t xml:space="preserve">has </w:t>
      </w:r>
      <w:r w:rsidRPr="00EB3AF3">
        <w:t>previously considered that, as the costs of blindness included any medical expenditure associated with blindness, it was likely that this approach also included the cost of falls.</w:t>
      </w:r>
      <w:r w:rsidR="00AA53D5" w:rsidRPr="00EB3AF3">
        <w:t xml:space="preserve"> The ESC a</w:t>
      </w:r>
      <w:r w:rsidR="00EA4EF8" w:rsidRPr="00EB3AF3">
        <w:t>dvised</w:t>
      </w:r>
      <w:r w:rsidR="00AA53D5" w:rsidRPr="00EB3AF3">
        <w:t xml:space="preserve"> that including the costs of both falls and blindness would be double counting and the costs of falls should be removed from the economic evaluation.</w:t>
      </w:r>
      <w:r w:rsidRPr="00EB3AF3">
        <w:t xml:space="preserve"> Since the model estimated more blindness in the </w:t>
      </w:r>
      <w:r w:rsidR="009A4928" w:rsidRPr="00EB3AF3">
        <w:t xml:space="preserve">no active treatment </w:t>
      </w:r>
      <w:r w:rsidRPr="00EB3AF3">
        <w:t xml:space="preserve">arm than in the ranibizumab arm, the cost of blindness contributed substantially to the cost-offsets and </w:t>
      </w:r>
      <w:r w:rsidR="00E17131" w:rsidRPr="00EB3AF3">
        <w:t xml:space="preserve">has </w:t>
      </w:r>
      <w:r w:rsidRPr="00EB3AF3">
        <w:t xml:space="preserve">underestimated the incremental cost of ranibizumab compared with </w:t>
      </w:r>
      <w:r w:rsidR="009A4928" w:rsidRPr="00EB3AF3">
        <w:t>no active treatment</w:t>
      </w:r>
      <w:r w:rsidRPr="00EB3AF3">
        <w:t>.</w:t>
      </w:r>
    </w:p>
    <w:p w:rsidR="00CC134B" w:rsidRPr="00F363EE" w:rsidRDefault="00CC134B" w:rsidP="00CC134B">
      <w:pPr>
        <w:widowControl/>
        <w:numPr>
          <w:ilvl w:val="1"/>
          <w:numId w:val="2"/>
        </w:numPr>
        <w:spacing w:after="160"/>
      </w:pPr>
      <w:r w:rsidRPr="00F363EE">
        <w:rPr>
          <w:color w:val="000000" w:themeColor="text1"/>
        </w:rPr>
        <w:t>The key drivers of the model are summarised below.</w:t>
      </w:r>
    </w:p>
    <w:p w:rsidR="00CC134B" w:rsidRPr="00F363EE" w:rsidRDefault="00CC134B" w:rsidP="00CC134B">
      <w:pPr>
        <w:rPr>
          <w:rFonts w:ascii="Arial Narrow" w:hAnsi="Arial Narrow"/>
          <w:b/>
          <w:sz w:val="20"/>
          <w:szCs w:val="16"/>
        </w:rPr>
      </w:pPr>
      <w:r>
        <w:rPr>
          <w:rFonts w:ascii="Arial Narrow" w:hAnsi="Arial Narrow"/>
          <w:b/>
          <w:sz w:val="20"/>
          <w:szCs w:val="16"/>
        </w:rPr>
        <w:t>Table 8</w:t>
      </w:r>
      <w:r w:rsidRPr="00F363EE">
        <w:rPr>
          <w:rFonts w:ascii="Arial Narrow" w:hAnsi="Arial Narrow"/>
          <w:b/>
          <w:sz w:val="20"/>
          <w:szCs w:val="16"/>
        </w:rPr>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872"/>
        <w:gridCol w:w="4819"/>
        <w:gridCol w:w="2392"/>
      </w:tblGrid>
      <w:tr w:rsidR="00CC134B" w:rsidRPr="00F363EE" w:rsidTr="001A3E21">
        <w:trPr>
          <w:tblHeader/>
        </w:trPr>
        <w:tc>
          <w:tcPr>
            <w:tcW w:w="1030" w:type="pct"/>
            <w:shd w:val="clear" w:color="auto" w:fill="auto"/>
            <w:vAlign w:val="center"/>
          </w:tcPr>
          <w:p w:rsidR="00CC134B" w:rsidRPr="00F363EE" w:rsidRDefault="00CC134B" w:rsidP="00CC134B">
            <w:pPr>
              <w:widowControl/>
              <w:jc w:val="left"/>
              <w:rPr>
                <w:rFonts w:ascii="Arial Narrow" w:hAnsi="Arial Narrow" w:cs="Times New Roman"/>
                <w:b/>
                <w:snapToGrid/>
                <w:sz w:val="20"/>
                <w:lang w:val="en-US"/>
              </w:rPr>
            </w:pPr>
            <w:r w:rsidRPr="00F363EE">
              <w:rPr>
                <w:rFonts w:ascii="Arial Narrow" w:hAnsi="Arial Narrow" w:cs="Times New Roman"/>
                <w:b/>
                <w:snapToGrid/>
                <w:sz w:val="20"/>
                <w:lang w:val="en-US"/>
              </w:rPr>
              <w:t>Description</w:t>
            </w:r>
          </w:p>
        </w:tc>
        <w:tc>
          <w:tcPr>
            <w:tcW w:w="2653" w:type="pct"/>
            <w:shd w:val="clear" w:color="auto" w:fill="auto"/>
            <w:vAlign w:val="center"/>
          </w:tcPr>
          <w:p w:rsidR="00CC134B" w:rsidRPr="00F363EE" w:rsidRDefault="00CC134B" w:rsidP="00CC134B">
            <w:pPr>
              <w:widowControl/>
              <w:jc w:val="center"/>
              <w:rPr>
                <w:rFonts w:ascii="Arial Narrow" w:hAnsi="Arial Narrow" w:cs="Times New Roman"/>
                <w:b/>
                <w:snapToGrid/>
                <w:sz w:val="20"/>
                <w:lang w:val="en-US"/>
              </w:rPr>
            </w:pPr>
            <w:r w:rsidRPr="00F363EE">
              <w:rPr>
                <w:rFonts w:ascii="Arial Narrow" w:hAnsi="Arial Narrow" w:cs="Times New Roman"/>
                <w:b/>
                <w:snapToGrid/>
                <w:sz w:val="20"/>
                <w:lang w:val="en-US"/>
              </w:rPr>
              <w:t>Method/Value</w:t>
            </w:r>
          </w:p>
        </w:tc>
        <w:tc>
          <w:tcPr>
            <w:tcW w:w="1317" w:type="pct"/>
            <w:shd w:val="clear" w:color="auto" w:fill="auto"/>
            <w:vAlign w:val="center"/>
          </w:tcPr>
          <w:p w:rsidR="00CC134B" w:rsidRPr="00F363EE" w:rsidRDefault="00CC134B" w:rsidP="00CC134B">
            <w:pPr>
              <w:widowControl/>
              <w:jc w:val="center"/>
              <w:rPr>
                <w:rFonts w:ascii="Arial Narrow" w:hAnsi="Arial Narrow" w:cs="Times New Roman"/>
                <w:b/>
                <w:snapToGrid/>
                <w:sz w:val="20"/>
                <w:lang w:val="en-US"/>
              </w:rPr>
            </w:pPr>
            <w:r w:rsidRPr="00F363EE">
              <w:rPr>
                <w:rFonts w:ascii="Arial Narrow" w:hAnsi="Arial Narrow" w:cs="Times New Roman"/>
                <w:b/>
                <w:snapToGrid/>
                <w:sz w:val="20"/>
                <w:lang w:val="en-US"/>
              </w:rPr>
              <w:t>Impact</w:t>
            </w:r>
          </w:p>
        </w:tc>
      </w:tr>
      <w:tr w:rsidR="00CC134B" w:rsidRPr="00F363EE" w:rsidTr="001A3E21">
        <w:tc>
          <w:tcPr>
            <w:tcW w:w="1030" w:type="pct"/>
            <w:shd w:val="clear" w:color="auto" w:fill="auto"/>
            <w:vAlign w:val="center"/>
          </w:tcPr>
          <w:p w:rsidR="00CC134B" w:rsidRPr="00F363EE" w:rsidRDefault="00CC134B" w:rsidP="00CC134B">
            <w:pPr>
              <w:widowControl/>
              <w:jc w:val="left"/>
              <w:rPr>
                <w:rFonts w:ascii="Arial Narrow" w:hAnsi="Arial Narrow" w:cs="Times New Roman"/>
                <w:snapToGrid/>
                <w:sz w:val="20"/>
                <w:lang w:val="en-US"/>
              </w:rPr>
            </w:pPr>
            <w:r w:rsidRPr="00F363EE">
              <w:rPr>
                <w:rFonts w:ascii="Arial Narrow" w:hAnsi="Arial Narrow" w:cs="Times New Roman"/>
                <w:snapToGrid/>
                <w:sz w:val="20"/>
                <w:lang w:val="en-US"/>
              </w:rPr>
              <w:t>Extrapolation</w:t>
            </w:r>
          </w:p>
        </w:tc>
        <w:tc>
          <w:tcPr>
            <w:tcW w:w="2653" w:type="pct"/>
            <w:shd w:val="clear" w:color="auto" w:fill="auto"/>
            <w:vAlign w:val="center"/>
          </w:tcPr>
          <w:p w:rsidR="00CC134B" w:rsidRPr="00F363EE" w:rsidRDefault="00CC134B" w:rsidP="00CC134B">
            <w:pPr>
              <w:widowControl/>
              <w:jc w:val="left"/>
              <w:rPr>
                <w:rFonts w:ascii="Arial Narrow" w:hAnsi="Arial Narrow" w:cs="Times New Roman"/>
                <w:snapToGrid/>
                <w:sz w:val="20"/>
                <w:lang w:val="en-US"/>
              </w:rPr>
            </w:pPr>
            <w:r>
              <w:rPr>
                <w:rFonts w:ascii="Arial Narrow" w:hAnsi="Arial Narrow" w:cs="Times New Roman"/>
                <w:snapToGrid/>
                <w:sz w:val="20"/>
                <w:lang w:val="en-US"/>
              </w:rPr>
              <w:t>Constant transition probability over the entire model time horizon</w:t>
            </w:r>
          </w:p>
        </w:tc>
        <w:tc>
          <w:tcPr>
            <w:tcW w:w="1317" w:type="pct"/>
            <w:shd w:val="clear" w:color="auto" w:fill="auto"/>
            <w:vAlign w:val="center"/>
          </w:tcPr>
          <w:p w:rsidR="00CC134B" w:rsidRPr="00F363EE" w:rsidRDefault="00CC134B" w:rsidP="00CC134B">
            <w:pPr>
              <w:widowControl/>
              <w:jc w:val="left"/>
              <w:rPr>
                <w:rFonts w:ascii="Arial Narrow" w:hAnsi="Arial Narrow" w:cs="Times New Roman"/>
                <w:snapToGrid/>
                <w:sz w:val="20"/>
                <w:lang w:val="en-US"/>
              </w:rPr>
            </w:pPr>
            <w:r>
              <w:rPr>
                <w:rFonts w:ascii="Arial Narrow" w:hAnsi="Arial Narrow" w:cs="Times New Roman"/>
                <w:snapToGrid/>
                <w:sz w:val="20"/>
                <w:lang w:val="en-US"/>
              </w:rPr>
              <w:t>High, favours ranibizumab</w:t>
            </w:r>
          </w:p>
        </w:tc>
      </w:tr>
      <w:tr w:rsidR="00CC134B" w:rsidRPr="00F363EE" w:rsidTr="001A3E21">
        <w:tc>
          <w:tcPr>
            <w:tcW w:w="1030" w:type="pct"/>
            <w:shd w:val="clear" w:color="auto" w:fill="auto"/>
            <w:vAlign w:val="center"/>
          </w:tcPr>
          <w:p w:rsidR="00CC134B" w:rsidRPr="00F363EE" w:rsidRDefault="00CC134B" w:rsidP="00CC134B">
            <w:pPr>
              <w:widowControl/>
              <w:jc w:val="left"/>
              <w:rPr>
                <w:rFonts w:ascii="Arial Narrow" w:hAnsi="Arial Narrow" w:cs="Times New Roman"/>
                <w:snapToGrid/>
                <w:sz w:val="20"/>
                <w:lang w:val="en-US"/>
              </w:rPr>
            </w:pPr>
            <w:r>
              <w:rPr>
                <w:rFonts w:ascii="Arial Narrow" w:hAnsi="Arial Narrow" w:cs="Times New Roman"/>
                <w:snapToGrid/>
                <w:sz w:val="20"/>
                <w:lang w:val="en-US"/>
              </w:rPr>
              <w:t>Time horizon</w:t>
            </w:r>
          </w:p>
        </w:tc>
        <w:tc>
          <w:tcPr>
            <w:tcW w:w="2653" w:type="pct"/>
            <w:shd w:val="clear" w:color="auto" w:fill="auto"/>
            <w:vAlign w:val="center"/>
          </w:tcPr>
          <w:p w:rsidR="00CC134B" w:rsidRPr="00F363EE" w:rsidRDefault="00CC134B" w:rsidP="00CC134B">
            <w:pPr>
              <w:widowControl/>
              <w:jc w:val="left"/>
              <w:rPr>
                <w:rFonts w:ascii="Arial Narrow" w:hAnsi="Arial Narrow" w:cs="Times New Roman"/>
                <w:snapToGrid/>
                <w:sz w:val="20"/>
                <w:lang w:val="en-US"/>
              </w:rPr>
            </w:pPr>
            <w:r>
              <w:rPr>
                <w:rFonts w:ascii="Arial Narrow" w:hAnsi="Arial Narrow" w:cs="Times New Roman"/>
                <w:snapToGrid/>
                <w:sz w:val="20"/>
                <w:lang w:val="en-US"/>
              </w:rPr>
              <w:t>10 years</w:t>
            </w:r>
          </w:p>
        </w:tc>
        <w:tc>
          <w:tcPr>
            <w:tcW w:w="1317" w:type="pct"/>
            <w:shd w:val="clear" w:color="auto" w:fill="auto"/>
            <w:vAlign w:val="center"/>
          </w:tcPr>
          <w:p w:rsidR="00CC134B" w:rsidRPr="00F363EE" w:rsidRDefault="00CC134B" w:rsidP="00CC134B">
            <w:pPr>
              <w:widowControl/>
              <w:jc w:val="left"/>
              <w:rPr>
                <w:rFonts w:ascii="Arial Narrow" w:hAnsi="Arial Narrow" w:cs="Times New Roman"/>
                <w:snapToGrid/>
                <w:sz w:val="20"/>
                <w:lang w:val="en-US"/>
              </w:rPr>
            </w:pPr>
            <w:r>
              <w:rPr>
                <w:rFonts w:ascii="Arial Narrow" w:hAnsi="Arial Narrow" w:cs="Times New Roman"/>
                <w:snapToGrid/>
                <w:sz w:val="20"/>
                <w:lang w:val="en-US"/>
              </w:rPr>
              <w:t>High, favours ranibizumab</w:t>
            </w:r>
          </w:p>
        </w:tc>
      </w:tr>
      <w:tr w:rsidR="00CC134B" w:rsidRPr="00F363EE" w:rsidTr="001A3E21">
        <w:tc>
          <w:tcPr>
            <w:tcW w:w="1030" w:type="pct"/>
            <w:shd w:val="clear" w:color="auto" w:fill="auto"/>
            <w:vAlign w:val="center"/>
          </w:tcPr>
          <w:p w:rsidR="00CC134B" w:rsidRPr="00F363EE" w:rsidRDefault="00CC134B" w:rsidP="001A3E21">
            <w:pPr>
              <w:widowControl/>
              <w:jc w:val="left"/>
              <w:rPr>
                <w:rFonts w:ascii="Arial Narrow" w:hAnsi="Arial Narrow" w:cs="Times New Roman"/>
                <w:snapToGrid/>
                <w:sz w:val="20"/>
                <w:lang w:val="en-US"/>
              </w:rPr>
            </w:pPr>
            <w:r>
              <w:rPr>
                <w:rFonts w:ascii="Arial Narrow" w:hAnsi="Arial Narrow" w:cs="Times New Roman"/>
                <w:snapToGrid/>
                <w:sz w:val="20"/>
                <w:lang w:val="en-US"/>
              </w:rPr>
              <w:t xml:space="preserve">The </w:t>
            </w:r>
            <w:r w:rsidR="001A3E21">
              <w:rPr>
                <w:rFonts w:ascii="Arial Narrow" w:hAnsi="Arial Narrow" w:cs="Times New Roman"/>
                <w:snapToGrid/>
                <w:sz w:val="20"/>
                <w:lang w:val="en-US"/>
              </w:rPr>
              <w:t xml:space="preserve">average </w:t>
            </w:r>
            <w:r>
              <w:rPr>
                <w:rFonts w:ascii="Arial Narrow" w:hAnsi="Arial Narrow" w:cs="Times New Roman"/>
                <w:snapToGrid/>
                <w:sz w:val="20"/>
                <w:lang w:val="en-US"/>
              </w:rPr>
              <w:t xml:space="preserve">number of ranibizumab </w:t>
            </w:r>
            <w:r w:rsidR="001A3E21">
              <w:rPr>
                <w:rFonts w:ascii="Arial Narrow" w:hAnsi="Arial Narrow" w:cs="Times New Roman"/>
                <w:snapToGrid/>
                <w:sz w:val="20"/>
                <w:lang w:val="en-US"/>
              </w:rPr>
              <w:t>injections</w:t>
            </w:r>
            <w:r w:rsidR="009A4928">
              <w:rPr>
                <w:rFonts w:ascii="Arial Narrow" w:hAnsi="Arial Narrow" w:cs="Times New Roman"/>
                <w:snapToGrid/>
                <w:sz w:val="20"/>
                <w:lang w:val="en-US"/>
              </w:rPr>
              <w:t xml:space="preserve"> per eye</w:t>
            </w:r>
          </w:p>
        </w:tc>
        <w:tc>
          <w:tcPr>
            <w:tcW w:w="2653" w:type="pct"/>
            <w:shd w:val="clear" w:color="auto" w:fill="auto"/>
            <w:vAlign w:val="center"/>
          </w:tcPr>
          <w:p w:rsidR="00CC134B" w:rsidRPr="00F363EE" w:rsidRDefault="00CC134B" w:rsidP="000D2E8E">
            <w:pPr>
              <w:widowControl/>
              <w:jc w:val="left"/>
              <w:rPr>
                <w:rFonts w:ascii="Arial Narrow" w:hAnsi="Arial Narrow" w:cs="Times New Roman"/>
                <w:snapToGrid/>
                <w:sz w:val="20"/>
                <w:lang w:val="en-US"/>
              </w:rPr>
            </w:pPr>
            <w:r>
              <w:rPr>
                <w:rFonts w:ascii="Arial Narrow" w:hAnsi="Arial Narrow" w:cs="Times New Roman"/>
                <w:snapToGrid/>
                <w:sz w:val="20"/>
                <w:lang w:val="en-US"/>
              </w:rPr>
              <w:t>5.8 injections in the first year based on MINERVA, one injection in Year 2 and no more injections thereafter</w:t>
            </w:r>
            <w:r w:rsidR="009A4928">
              <w:rPr>
                <w:rFonts w:ascii="Arial Narrow" w:hAnsi="Arial Narrow" w:cs="Times New Roman"/>
                <w:snapToGrid/>
                <w:sz w:val="20"/>
                <w:lang w:val="en-US"/>
              </w:rPr>
              <w:t xml:space="preserve"> </w:t>
            </w:r>
            <w:r w:rsidR="008C6567">
              <w:rPr>
                <w:rFonts w:ascii="Arial Narrow" w:hAnsi="Arial Narrow" w:cs="Times New Roman"/>
                <w:snapToGrid/>
                <w:sz w:val="20"/>
                <w:lang w:val="en-US"/>
              </w:rPr>
              <w:t>base</w:t>
            </w:r>
            <w:r w:rsidR="009A4928">
              <w:rPr>
                <w:rFonts w:ascii="Arial Narrow" w:hAnsi="Arial Narrow" w:cs="Times New Roman"/>
                <w:snapToGrid/>
                <w:sz w:val="20"/>
                <w:lang w:val="en-US"/>
              </w:rPr>
              <w:t>d</w:t>
            </w:r>
            <w:r w:rsidR="008C6567">
              <w:rPr>
                <w:rFonts w:ascii="Arial Narrow" w:hAnsi="Arial Narrow" w:cs="Times New Roman"/>
                <w:snapToGrid/>
                <w:sz w:val="20"/>
                <w:lang w:val="en-US"/>
              </w:rPr>
              <w:t xml:space="preserve"> on expert opinion</w:t>
            </w:r>
            <w:r>
              <w:rPr>
                <w:rFonts w:ascii="Arial Narrow" w:hAnsi="Arial Narrow" w:cs="Times New Roman"/>
                <w:snapToGrid/>
                <w:sz w:val="20"/>
                <w:lang w:val="en-US"/>
              </w:rPr>
              <w:t>.</w:t>
            </w:r>
          </w:p>
        </w:tc>
        <w:tc>
          <w:tcPr>
            <w:tcW w:w="1317" w:type="pct"/>
            <w:shd w:val="clear" w:color="auto" w:fill="auto"/>
            <w:vAlign w:val="center"/>
          </w:tcPr>
          <w:p w:rsidR="00CC134B" w:rsidRPr="00F363EE" w:rsidRDefault="00CC134B" w:rsidP="00CC134B">
            <w:pPr>
              <w:widowControl/>
              <w:jc w:val="left"/>
              <w:rPr>
                <w:rFonts w:ascii="Arial Narrow" w:hAnsi="Arial Narrow" w:cs="Times New Roman"/>
                <w:snapToGrid/>
                <w:sz w:val="20"/>
                <w:lang w:val="en-US"/>
              </w:rPr>
            </w:pPr>
            <w:r>
              <w:rPr>
                <w:rFonts w:ascii="Arial Narrow" w:hAnsi="Arial Narrow" w:cs="Times New Roman"/>
                <w:snapToGrid/>
                <w:sz w:val="20"/>
                <w:lang w:val="en-US"/>
              </w:rPr>
              <w:t>Moderate, favours ranibizumab</w:t>
            </w:r>
          </w:p>
        </w:tc>
      </w:tr>
      <w:tr w:rsidR="00CC134B" w:rsidRPr="00F363EE" w:rsidTr="001A3E21">
        <w:tc>
          <w:tcPr>
            <w:tcW w:w="1030" w:type="pct"/>
            <w:shd w:val="clear" w:color="auto" w:fill="auto"/>
            <w:vAlign w:val="center"/>
          </w:tcPr>
          <w:p w:rsidR="00CC134B" w:rsidRPr="00F363EE" w:rsidRDefault="00CC134B" w:rsidP="00CC134B">
            <w:pPr>
              <w:widowControl/>
              <w:jc w:val="left"/>
              <w:rPr>
                <w:rFonts w:ascii="Arial Narrow" w:hAnsi="Arial Narrow" w:cs="Times New Roman"/>
                <w:snapToGrid/>
                <w:sz w:val="20"/>
                <w:lang w:val="en-US"/>
              </w:rPr>
            </w:pPr>
            <w:r w:rsidRPr="00F363EE">
              <w:rPr>
                <w:rFonts w:ascii="Arial Narrow" w:hAnsi="Arial Narrow" w:cs="Times New Roman"/>
                <w:snapToGrid/>
                <w:sz w:val="20"/>
                <w:lang w:val="en-US"/>
              </w:rPr>
              <w:t>Cost of blindness</w:t>
            </w:r>
          </w:p>
        </w:tc>
        <w:tc>
          <w:tcPr>
            <w:tcW w:w="2653" w:type="pct"/>
            <w:shd w:val="clear" w:color="auto" w:fill="auto"/>
            <w:vAlign w:val="center"/>
          </w:tcPr>
          <w:p w:rsidR="00CC134B" w:rsidRPr="00F363EE" w:rsidRDefault="00CC134B" w:rsidP="00CC134B">
            <w:pPr>
              <w:widowControl/>
              <w:jc w:val="left"/>
              <w:rPr>
                <w:rFonts w:ascii="Arial Narrow" w:hAnsi="Arial Narrow" w:cs="Times New Roman"/>
                <w:snapToGrid/>
                <w:sz w:val="20"/>
                <w:lang w:val="en-US"/>
              </w:rPr>
            </w:pPr>
            <w:r w:rsidRPr="00F363EE">
              <w:rPr>
                <w:rFonts w:ascii="Arial Narrow" w:hAnsi="Arial Narrow" w:cs="Times New Roman"/>
                <w:snapToGrid/>
                <w:sz w:val="20"/>
                <w:lang w:val="en-US"/>
              </w:rPr>
              <w:t>Cost of blindness associated with VA4 in addition to cost of fall</w:t>
            </w:r>
          </w:p>
        </w:tc>
        <w:tc>
          <w:tcPr>
            <w:tcW w:w="1317" w:type="pct"/>
            <w:shd w:val="clear" w:color="auto" w:fill="auto"/>
            <w:vAlign w:val="center"/>
          </w:tcPr>
          <w:p w:rsidR="00CC134B" w:rsidRPr="00F363EE" w:rsidRDefault="00CC134B" w:rsidP="00CC134B">
            <w:pPr>
              <w:widowControl/>
              <w:jc w:val="left"/>
              <w:rPr>
                <w:rFonts w:ascii="Arial Narrow" w:hAnsi="Arial Narrow" w:cs="Times New Roman"/>
                <w:snapToGrid/>
                <w:sz w:val="20"/>
                <w:lang w:val="en-US"/>
              </w:rPr>
            </w:pPr>
            <w:r w:rsidRPr="00F363EE">
              <w:rPr>
                <w:rFonts w:ascii="Arial Narrow" w:hAnsi="Arial Narrow" w:cs="Times New Roman"/>
                <w:snapToGrid/>
                <w:sz w:val="20"/>
                <w:lang w:val="en-US"/>
              </w:rPr>
              <w:t>Moderate, favours ranibizumab</w:t>
            </w:r>
          </w:p>
        </w:tc>
      </w:tr>
    </w:tbl>
    <w:p w:rsidR="00CC134B" w:rsidRPr="00F363EE" w:rsidRDefault="00CC134B" w:rsidP="00EA4EF8">
      <w:pPr>
        <w:spacing w:after="160"/>
        <w:rPr>
          <w:rFonts w:ascii="Arial Narrow" w:hAnsi="Arial Narrow"/>
          <w:sz w:val="18"/>
        </w:rPr>
      </w:pPr>
      <w:r w:rsidRPr="00F363EE">
        <w:rPr>
          <w:rFonts w:ascii="Arial Narrow" w:hAnsi="Arial Narrow"/>
          <w:sz w:val="18"/>
        </w:rPr>
        <w:t>Source: compiled during the evaluation based on Sections 3.4, 3.6 and 3.9 of the submission.</w:t>
      </w:r>
    </w:p>
    <w:p w:rsidR="00CC134B" w:rsidRPr="00F363EE" w:rsidRDefault="00CC134B" w:rsidP="00CC134B">
      <w:pPr>
        <w:widowControl/>
        <w:numPr>
          <w:ilvl w:val="1"/>
          <w:numId w:val="2"/>
        </w:numPr>
        <w:spacing w:after="160"/>
      </w:pPr>
      <w:r w:rsidRPr="00F363EE">
        <w:lastRenderedPageBreak/>
        <w:t>The results of stepped economic evaluation are presented in the table below.</w:t>
      </w:r>
    </w:p>
    <w:p w:rsidR="00CC134B" w:rsidRDefault="00CC134B" w:rsidP="00CC134B">
      <w:pPr>
        <w:rPr>
          <w:rFonts w:ascii="Arial Narrow" w:hAnsi="Arial Narrow"/>
          <w:b/>
          <w:sz w:val="20"/>
          <w:szCs w:val="16"/>
        </w:rPr>
      </w:pPr>
      <w:r>
        <w:rPr>
          <w:rFonts w:ascii="Arial Narrow" w:hAnsi="Arial Narrow"/>
          <w:b/>
          <w:sz w:val="20"/>
          <w:szCs w:val="16"/>
        </w:rPr>
        <w:t>Table 9</w:t>
      </w:r>
      <w:r w:rsidRPr="00F363EE">
        <w:rPr>
          <w:rFonts w:ascii="Arial Narrow" w:hAnsi="Arial Narrow"/>
          <w:b/>
          <w:sz w:val="20"/>
          <w:szCs w:val="16"/>
        </w:rPr>
        <w:t>: Presentation of the stepped economic evaluation (weighted)</w:t>
      </w:r>
    </w:p>
    <w:tbl>
      <w:tblPr>
        <w:tblStyle w:val="TableGrid"/>
        <w:tblW w:w="0" w:type="auto"/>
        <w:tblInd w:w="255" w:type="dxa"/>
        <w:tblCellMar>
          <w:left w:w="255" w:type="dxa"/>
          <w:right w:w="255" w:type="dxa"/>
        </w:tblCellMar>
        <w:tblLook w:val="04A0" w:firstRow="1" w:lastRow="0" w:firstColumn="1" w:lastColumn="0" w:noHBand="0" w:noVBand="1"/>
        <w:tblCaption w:val="Table 9: Presentation of the stepped economic evaluation (weighted)"/>
      </w:tblPr>
      <w:tblGrid>
        <w:gridCol w:w="3262"/>
        <w:gridCol w:w="1921"/>
        <w:gridCol w:w="1921"/>
        <w:gridCol w:w="1922"/>
      </w:tblGrid>
      <w:tr w:rsidR="00CC134B" w:rsidRPr="00EF517B" w:rsidTr="00EF1D52">
        <w:trPr>
          <w:tblHeader/>
        </w:trPr>
        <w:tc>
          <w:tcPr>
            <w:tcW w:w="3262" w:type="dxa"/>
          </w:tcPr>
          <w:p w:rsidR="00CC134B" w:rsidRPr="00EF517B" w:rsidRDefault="00CC134B" w:rsidP="00CC134B">
            <w:pPr>
              <w:pStyle w:val="Tabletext"/>
            </w:pPr>
          </w:p>
        </w:tc>
        <w:tc>
          <w:tcPr>
            <w:tcW w:w="1921" w:type="dxa"/>
          </w:tcPr>
          <w:p w:rsidR="00CC134B" w:rsidRPr="00EB3F4D" w:rsidRDefault="00CC134B" w:rsidP="00CC134B">
            <w:pPr>
              <w:pStyle w:val="Tabletext"/>
              <w:jc w:val="center"/>
              <w:rPr>
                <w:b/>
              </w:rPr>
            </w:pPr>
            <w:r w:rsidRPr="00EB3F4D">
              <w:rPr>
                <w:b/>
              </w:rPr>
              <w:t>Ranibizumab</w:t>
            </w:r>
          </w:p>
        </w:tc>
        <w:tc>
          <w:tcPr>
            <w:tcW w:w="1921" w:type="dxa"/>
          </w:tcPr>
          <w:p w:rsidR="00CC134B" w:rsidRPr="00EB3F4D" w:rsidRDefault="009A4928" w:rsidP="00CC134B">
            <w:pPr>
              <w:pStyle w:val="Tabletext"/>
              <w:jc w:val="center"/>
              <w:rPr>
                <w:b/>
              </w:rPr>
            </w:pPr>
            <w:r>
              <w:rPr>
                <w:b/>
              </w:rPr>
              <w:t>No active treatment</w:t>
            </w:r>
          </w:p>
        </w:tc>
        <w:tc>
          <w:tcPr>
            <w:tcW w:w="1922" w:type="dxa"/>
          </w:tcPr>
          <w:p w:rsidR="00CC134B" w:rsidRPr="00EB3F4D" w:rsidRDefault="00CC134B" w:rsidP="00CC134B">
            <w:pPr>
              <w:pStyle w:val="Tabletext"/>
              <w:jc w:val="center"/>
              <w:rPr>
                <w:b/>
              </w:rPr>
            </w:pPr>
            <w:r w:rsidRPr="00EB3F4D">
              <w:rPr>
                <w:b/>
              </w:rPr>
              <w:t>Incremental</w:t>
            </w:r>
          </w:p>
        </w:tc>
      </w:tr>
      <w:tr w:rsidR="00CC134B" w:rsidRPr="00EF517B" w:rsidTr="00CC134B">
        <w:tc>
          <w:tcPr>
            <w:tcW w:w="9026" w:type="dxa"/>
            <w:gridSpan w:val="4"/>
          </w:tcPr>
          <w:p w:rsidR="00CC134B" w:rsidRPr="00EF517B" w:rsidRDefault="00CC134B" w:rsidP="00CC134B">
            <w:pPr>
              <w:pStyle w:val="Tabletext"/>
              <w:jc w:val="center"/>
              <w:rPr>
                <w:b/>
              </w:rPr>
            </w:pPr>
            <w:r w:rsidRPr="00EF517B">
              <w:rPr>
                <w:b/>
              </w:rPr>
              <w:t>Step 1 – trial based analysis</w:t>
            </w:r>
          </w:p>
        </w:tc>
      </w:tr>
      <w:tr w:rsidR="00CC134B" w:rsidRPr="00EF517B" w:rsidTr="00CC134B">
        <w:tc>
          <w:tcPr>
            <w:tcW w:w="3262" w:type="dxa"/>
            <w:tcBorders>
              <w:bottom w:val="nil"/>
            </w:tcBorders>
          </w:tcPr>
          <w:p w:rsidR="00CC134B" w:rsidRPr="00EF517B" w:rsidRDefault="00CC134B" w:rsidP="00CC134B">
            <w:pPr>
              <w:pStyle w:val="Tabletext"/>
            </w:pPr>
            <w:r w:rsidRPr="00EF517B">
              <w:t>Cost</w:t>
            </w:r>
          </w:p>
        </w:tc>
        <w:tc>
          <w:tcPr>
            <w:tcW w:w="1921" w:type="dxa"/>
            <w:tcBorders>
              <w:bottom w:val="nil"/>
            </w:tcBorders>
          </w:tcPr>
          <w:p w:rsidR="00CC134B" w:rsidRPr="00EF517B" w:rsidRDefault="00CC134B" w:rsidP="0068227D">
            <w:pPr>
              <w:pStyle w:val="Tabletext"/>
              <w:jc w:val="right"/>
            </w:pPr>
            <w:r w:rsidRPr="00EF517B">
              <w:t>$</w:t>
            </w:r>
            <w:r w:rsidR="004C5EA1">
              <w:rPr>
                <w:noProof/>
                <w:color w:val="000000"/>
                <w:highlight w:val="black"/>
              </w:rPr>
              <w:t>'''''''''''''</w:t>
            </w:r>
          </w:p>
        </w:tc>
        <w:tc>
          <w:tcPr>
            <w:tcW w:w="1921" w:type="dxa"/>
            <w:tcBorders>
              <w:bottom w:val="nil"/>
            </w:tcBorders>
          </w:tcPr>
          <w:p w:rsidR="00CC134B" w:rsidRPr="00EF517B" w:rsidRDefault="00CC134B" w:rsidP="0068227D">
            <w:pPr>
              <w:pStyle w:val="Tabletext"/>
              <w:jc w:val="right"/>
            </w:pPr>
            <w:r w:rsidRPr="00EF517B">
              <w:t>$</w:t>
            </w:r>
            <w:r w:rsidR="004C5EA1">
              <w:rPr>
                <w:noProof/>
                <w:color w:val="000000"/>
                <w:highlight w:val="black"/>
              </w:rPr>
              <w:t>''''</w:t>
            </w:r>
          </w:p>
        </w:tc>
        <w:tc>
          <w:tcPr>
            <w:tcW w:w="1922" w:type="dxa"/>
            <w:tcBorders>
              <w:bottom w:val="nil"/>
            </w:tcBorders>
          </w:tcPr>
          <w:p w:rsidR="00CC134B" w:rsidRPr="00EF517B" w:rsidRDefault="00CC134B" w:rsidP="0068227D">
            <w:pPr>
              <w:pStyle w:val="Tabletext"/>
              <w:jc w:val="right"/>
            </w:pPr>
            <w:r w:rsidRPr="00EF517B">
              <w:t>$</w:t>
            </w:r>
            <w:r w:rsidR="004C5EA1">
              <w:rPr>
                <w:noProof/>
                <w:color w:val="000000"/>
                <w:highlight w:val="black"/>
              </w:rPr>
              <w:t>''''''''''''''</w:t>
            </w:r>
          </w:p>
        </w:tc>
      </w:tr>
      <w:tr w:rsidR="00CC134B" w:rsidRPr="00EF517B" w:rsidTr="00CC134B">
        <w:tc>
          <w:tcPr>
            <w:tcW w:w="3262" w:type="dxa"/>
          </w:tcPr>
          <w:p w:rsidR="00CC134B" w:rsidRPr="00EF517B" w:rsidRDefault="00CC134B" w:rsidP="00CC134B">
            <w:pPr>
              <w:pStyle w:val="Tabletext"/>
            </w:pPr>
            <w:r w:rsidRPr="00EF517B">
              <w:t>Mean change in BCVA at month 12</w:t>
            </w:r>
          </w:p>
        </w:tc>
        <w:tc>
          <w:tcPr>
            <w:tcW w:w="1921" w:type="dxa"/>
          </w:tcPr>
          <w:p w:rsidR="00CC134B" w:rsidRPr="004C5EA1" w:rsidRDefault="004C5EA1" w:rsidP="0068227D">
            <w:pPr>
              <w:pStyle w:val="Tabletext"/>
              <w:jc w:val="right"/>
              <w:rPr>
                <w:highlight w:val="black"/>
              </w:rPr>
            </w:pPr>
            <w:r>
              <w:rPr>
                <w:noProof/>
                <w:color w:val="000000"/>
                <w:highlight w:val="black"/>
              </w:rPr>
              <w:t>'''''''''''</w:t>
            </w:r>
          </w:p>
        </w:tc>
        <w:tc>
          <w:tcPr>
            <w:tcW w:w="1921" w:type="dxa"/>
          </w:tcPr>
          <w:p w:rsidR="00CC134B" w:rsidRPr="004C5EA1" w:rsidRDefault="004C5EA1" w:rsidP="0068227D">
            <w:pPr>
              <w:pStyle w:val="Tabletext"/>
              <w:jc w:val="right"/>
              <w:rPr>
                <w:highlight w:val="black"/>
              </w:rPr>
            </w:pPr>
            <w:r>
              <w:rPr>
                <w:noProof/>
                <w:color w:val="000000"/>
                <w:highlight w:val="black"/>
              </w:rPr>
              <w:t>''''''''''</w:t>
            </w:r>
          </w:p>
        </w:tc>
        <w:tc>
          <w:tcPr>
            <w:tcW w:w="1922" w:type="dxa"/>
          </w:tcPr>
          <w:p w:rsidR="00CC134B" w:rsidRPr="004C5EA1" w:rsidRDefault="004C5EA1" w:rsidP="0068227D">
            <w:pPr>
              <w:pStyle w:val="Tabletext"/>
              <w:jc w:val="right"/>
              <w:rPr>
                <w:highlight w:val="black"/>
              </w:rPr>
            </w:pPr>
            <w:r>
              <w:rPr>
                <w:noProof/>
                <w:color w:val="000000"/>
                <w:highlight w:val="black"/>
              </w:rPr>
              <w:t>''''''''''</w:t>
            </w:r>
          </w:p>
        </w:tc>
      </w:tr>
      <w:tr w:rsidR="00CC134B" w:rsidRPr="00EF517B" w:rsidTr="00CC134B">
        <w:tc>
          <w:tcPr>
            <w:tcW w:w="3262" w:type="dxa"/>
          </w:tcPr>
          <w:p w:rsidR="00CC134B" w:rsidRPr="00EF517B" w:rsidRDefault="00CC134B" w:rsidP="00CC134B">
            <w:pPr>
              <w:pStyle w:val="Tabletext"/>
            </w:pPr>
            <w:r w:rsidRPr="00EF517B">
              <w:t>Cost per additional letter gained</w:t>
            </w:r>
          </w:p>
        </w:tc>
        <w:tc>
          <w:tcPr>
            <w:tcW w:w="1921" w:type="dxa"/>
          </w:tcPr>
          <w:p w:rsidR="00CC134B" w:rsidRPr="00EF517B" w:rsidRDefault="00CC134B" w:rsidP="0068227D">
            <w:pPr>
              <w:pStyle w:val="Tabletext"/>
              <w:jc w:val="right"/>
            </w:pPr>
          </w:p>
        </w:tc>
        <w:tc>
          <w:tcPr>
            <w:tcW w:w="1921" w:type="dxa"/>
          </w:tcPr>
          <w:p w:rsidR="00CC134B" w:rsidRPr="00EF517B" w:rsidRDefault="00CC134B" w:rsidP="0068227D">
            <w:pPr>
              <w:pStyle w:val="Tabletext"/>
              <w:jc w:val="right"/>
            </w:pPr>
          </w:p>
        </w:tc>
        <w:tc>
          <w:tcPr>
            <w:tcW w:w="1922" w:type="dxa"/>
          </w:tcPr>
          <w:p w:rsidR="00CC134B" w:rsidRPr="00EF517B" w:rsidRDefault="00CC134B" w:rsidP="0068227D">
            <w:pPr>
              <w:pStyle w:val="Tabletext"/>
              <w:jc w:val="right"/>
            </w:pPr>
            <w:r w:rsidRPr="00EF517B">
              <w:t>$</w:t>
            </w:r>
            <w:r w:rsidR="004C5EA1">
              <w:rPr>
                <w:noProof/>
                <w:color w:val="000000"/>
                <w:highlight w:val="black"/>
              </w:rPr>
              <w:t>'''''''''</w:t>
            </w:r>
          </w:p>
        </w:tc>
      </w:tr>
      <w:tr w:rsidR="00CC134B" w:rsidRPr="00EF517B" w:rsidTr="00CC134B">
        <w:tc>
          <w:tcPr>
            <w:tcW w:w="9026" w:type="dxa"/>
            <w:gridSpan w:val="4"/>
          </w:tcPr>
          <w:p w:rsidR="00CC134B" w:rsidRPr="00EF517B" w:rsidRDefault="00CC134B" w:rsidP="00CC134B">
            <w:pPr>
              <w:pStyle w:val="Tabletext"/>
              <w:jc w:val="center"/>
              <w:rPr>
                <w:b/>
              </w:rPr>
            </w:pPr>
            <w:r w:rsidRPr="00EF517B">
              <w:rPr>
                <w:b/>
              </w:rPr>
              <w:t>Step 2 – Cost utility analysis at Month 12 including drug cost only</w:t>
            </w:r>
          </w:p>
        </w:tc>
      </w:tr>
      <w:tr w:rsidR="00CC134B" w:rsidRPr="00EF517B" w:rsidTr="00CC134B">
        <w:tc>
          <w:tcPr>
            <w:tcW w:w="3262" w:type="dxa"/>
          </w:tcPr>
          <w:p w:rsidR="00CC134B" w:rsidRPr="00EF517B" w:rsidRDefault="00CC134B" w:rsidP="00CC134B">
            <w:pPr>
              <w:pStyle w:val="Tabletext"/>
            </w:pPr>
            <w:r w:rsidRPr="00EF517B">
              <w:t>Cost</w:t>
            </w:r>
          </w:p>
        </w:tc>
        <w:tc>
          <w:tcPr>
            <w:tcW w:w="1921" w:type="dxa"/>
          </w:tcPr>
          <w:p w:rsidR="00CC134B" w:rsidRPr="00EF517B" w:rsidRDefault="00CC134B" w:rsidP="00CC134B">
            <w:pPr>
              <w:pStyle w:val="Tabletext"/>
              <w:jc w:val="right"/>
            </w:pPr>
            <w:r w:rsidRPr="00EF517B">
              <w:t>$</w:t>
            </w:r>
            <w:r w:rsidR="004C5EA1">
              <w:rPr>
                <w:noProof/>
                <w:color w:val="000000"/>
                <w:highlight w:val="black"/>
              </w:rPr>
              <w:t>'''''''''''''</w:t>
            </w:r>
          </w:p>
        </w:tc>
        <w:tc>
          <w:tcPr>
            <w:tcW w:w="1921" w:type="dxa"/>
          </w:tcPr>
          <w:p w:rsidR="00CC134B" w:rsidRPr="00EF517B" w:rsidRDefault="00CC134B" w:rsidP="00CC134B">
            <w:pPr>
              <w:pStyle w:val="Tabletext"/>
              <w:jc w:val="right"/>
            </w:pPr>
            <w:r w:rsidRPr="00EF517B">
              <w:t>$</w:t>
            </w:r>
            <w:r w:rsidR="004C5EA1">
              <w:rPr>
                <w:noProof/>
                <w:color w:val="000000"/>
                <w:highlight w:val="black"/>
              </w:rPr>
              <w:t>''''</w:t>
            </w:r>
          </w:p>
        </w:tc>
        <w:tc>
          <w:tcPr>
            <w:tcW w:w="1922" w:type="dxa"/>
          </w:tcPr>
          <w:p w:rsidR="00CC134B" w:rsidRPr="00EF517B" w:rsidRDefault="00CC134B" w:rsidP="00CC134B">
            <w:pPr>
              <w:pStyle w:val="Tabletext"/>
              <w:jc w:val="right"/>
            </w:pPr>
            <w:r w:rsidRPr="00EF517B">
              <w:t>$</w:t>
            </w:r>
            <w:r w:rsidR="004C5EA1">
              <w:rPr>
                <w:noProof/>
                <w:color w:val="000000"/>
                <w:highlight w:val="black"/>
              </w:rPr>
              <w:t>''''''''''''</w:t>
            </w:r>
          </w:p>
        </w:tc>
      </w:tr>
      <w:tr w:rsidR="00CC134B" w:rsidRPr="00EF517B" w:rsidTr="00CC134B">
        <w:tc>
          <w:tcPr>
            <w:tcW w:w="3262" w:type="dxa"/>
          </w:tcPr>
          <w:p w:rsidR="00CC134B" w:rsidRPr="00EF517B" w:rsidRDefault="00CC134B" w:rsidP="00CC134B">
            <w:pPr>
              <w:pStyle w:val="Tabletext"/>
            </w:pPr>
            <w:r w:rsidRPr="00EF517B">
              <w:t>QALYs</w:t>
            </w:r>
          </w:p>
        </w:tc>
        <w:tc>
          <w:tcPr>
            <w:tcW w:w="1921" w:type="dxa"/>
          </w:tcPr>
          <w:p w:rsidR="00CC134B" w:rsidRPr="004C5EA1" w:rsidRDefault="004C5EA1" w:rsidP="00F05687">
            <w:pPr>
              <w:pStyle w:val="Tabletext"/>
              <w:jc w:val="right"/>
              <w:rPr>
                <w:highlight w:val="black"/>
              </w:rPr>
            </w:pPr>
            <w:r>
              <w:rPr>
                <w:noProof/>
                <w:color w:val="000000"/>
                <w:highlight w:val="black"/>
              </w:rPr>
              <w:t>''''''''''''</w:t>
            </w:r>
          </w:p>
        </w:tc>
        <w:tc>
          <w:tcPr>
            <w:tcW w:w="1921" w:type="dxa"/>
          </w:tcPr>
          <w:p w:rsidR="00CC134B" w:rsidRPr="004C5EA1" w:rsidRDefault="004C5EA1" w:rsidP="00F05687">
            <w:pPr>
              <w:pStyle w:val="Tabletext"/>
              <w:jc w:val="right"/>
              <w:rPr>
                <w:highlight w:val="black"/>
              </w:rPr>
            </w:pPr>
            <w:r>
              <w:rPr>
                <w:noProof/>
                <w:color w:val="000000"/>
                <w:highlight w:val="black"/>
              </w:rPr>
              <w:t>''''''''''''</w:t>
            </w:r>
          </w:p>
        </w:tc>
        <w:tc>
          <w:tcPr>
            <w:tcW w:w="1922" w:type="dxa"/>
          </w:tcPr>
          <w:p w:rsidR="00CC134B" w:rsidRPr="004C5EA1" w:rsidRDefault="004C5EA1" w:rsidP="00F05687">
            <w:pPr>
              <w:pStyle w:val="Tabletext"/>
              <w:jc w:val="right"/>
              <w:rPr>
                <w:highlight w:val="black"/>
              </w:rPr>
            </w:pPr>
            <w:r>
              <w:rPr>
                <w:noProof/>
                <w:color w:val="000000"/>
                <w:highlight w:val="black"/>
              </w:rPr>
              <w:t>''''''''''</w:t>
            </w:r>
          </w:p>
        </w:tc>
      </w:tr>
      <w:tr w:rsidR="00CC134B" w:rsidRPr="00EF517B" w:rsidTr="00CC134B">
        <w:tc>
          <w:tcPr>
            <w:tcW w:w="3262" w:type="dxa"/>
          </w:tcPr>
          <w:p w:rsidR="00CC134B" w:rsidRPr="00EF517B" w:rsidRDefault="00CC134B" w:rsidP="00CC134B">
            <w:pPr>
              <w:pStyle w:val="Tabletext"/>
            </w:pPr>
            <w:r w:rsidRPr="00EF517B">
              <w:t>Cost per QALY gained</w:t>
            </w:r>
          </w:p>
        </w:tc>
        <w:tc>
          <w:tcPr>
            <w:tcW w:w="1921" w:type="dxa"/>
            <w:vAlign w:val="center"/>
          </w:tcPr>
          <w:p w:rsidR="00CC134B" w:rsidRPr="00EF517B" w:rsidRDefault="00CC134B" w:rsidP="00CC134B">
            <w:pPr>
              <w:pStyle w:val="Tabletext"/>
              <w:jc w:val="right"/>
            </w:pPr>
          </w:p>
        </w:tc>
        <w:tc>
          <w:tcPr>
            <w:tcW w:w="1921" w:type="dxa"/>
            <w:vAlign w:val="center"/>
          </w:tcPr>
          <w:p w:rsidR="00CC134B" w:rsidRPr="00EF517B" w:rsidRDefault="00CC134B" w:rsidP="00CC134B">
            <w:pPr>
              <w:pStyle w:val="Tabletext"/>
              <w:jc w:val="right"/>
            </w:pPr>
          </w:p>
        </w:tc>
        <w:tc>
          <w:tcPr>
            <w:tcW w:w="1922" w:type="dxa"/>
            <w:vAlign w:val="center"/>
          </w:tcPr>
          <w:p w:rsidR="00CC134B" w:rsidRPr="00EF517B" w:rsidRDefault="00CC134B" w:rsidP="00CC134B">
            <w:pPr>
              <w:pStyle w:val="Tabletext"/>
              <w:jc w:val="right"/>
            </w:pPr>
            <w:r w:rsidRPr="00FD3802">
              <w:t>$</w:t>
            </w:r>
            <w:r w:rsidR="004C5EA1">
              <w:rPr>
                <w:noProof/>
                <w:color w:val="000000"/>
                <w:highlight w:val="black"/>
              </w:rPr>
              <w:t>''''''''''''''''''</w:t>
            </w:r>
          </w:p>
        </w:tc>
      </w:tr>
      <w:tr w:rsidR="00CC134B" w:rsidRPr="00EF517B" w:rsidTr="00CC134B">
        <w:tc>
          <w:tcPr>
            <w:tcW w:w="9026" w:type="dxa"/>
            <w:gridSpan w:val="4"/>
          </w:tcPr>
          <w:p w:rsidR="00CC134B" w:rsidRPr="00EF517B" w:rsidRDefault="00CC134B" w:rsidP="00CC134B">
            <w:pPr>
              <w:pStyle w:val="Tabletext"/>
              <w:jc w:val="center"/>
              <w:rPr>
                <w:b/>
              </w:rPr>
            </w:pPr>
            <w:r w:rsidRPr="00EF517B">
              <w:rPr>
                <w:b/>
              </w:rPr>
              <w:t>Step 3 – Cost utility analysis at Year 10 including administration and monitoring costs</w:t>
            </w:r>
          </w:p>
        </w:tc>
      </w:tr>
      <w:tr w:rsidR="00CC134B" w:rsidRPr="00EF517B" w:rsidTr="00CC134B">
        <w:tc>
          <w:tcPr>
            <w:tcW w:w="3262" w:type="dxa"/>
          </w:tcPr>
          <w:p w:rsidR="00CC134B" w:rsidRPr="00EF517B" w:rsidRDefault="00CC134B" w:rsidP="00CC134B">
            <w:pPr>
              <w:pStyle w:val="Tabletext"/>
            </w:pPr>
            <w:r w:rsidRPr="00EF517B">
              <w:t>Cost</w:t>
            </w:r>
          </w:p>
        </w:tc>
        <w:tc>
          <w:tcPr>
            <w:tcW w:w="1921" w:type="dxa"/>
          </w:tcPr>
          <w:p w:rsidR="00CC134B" w:rsidRPr="00EF517B" w:rsidRDefault="00CC134B" w:rsidP="00CC134B">
            <w:pPr>
              <w:pStyle w:val="Tabletext"/>
              <w:jc w:val="right"/>
            </w:pPr>
            <w:r w:rsidRPr="00EF517B">
              <w:t>$</w:t>
            </w:r>
            <w:r w:rsidR="004C5EA1">
              <w:rPr>
                <w:noProof/>
                <w:color w:val="000000"/>
                <w:highlight w:val="black"/>
              </w:rPr>
              <w:t>''''''''''''''</w:t>
            </w:r>
          </w:p>
        </w:tc>
        <w:tc>
          <w:tcPr>
            <w:tcW w:w="1921" w:type="dxa"/>
          </w:tcPr>
          <w:p w:rsidR="00CC134B" w:rsidRPr="00EF517B" w:rsidRDefault="00CC134B" w:rsidP="00CC134B">
            <w:pPr>
              <w:pStyle w:val="Tabletext"/>
              <w:jc w:val="right"/>
            </w:pPr>
            <w:r w:rsidRPr="00EF517B">
              <w:t>$</w:t>
            </w:r>
            <w:r w:rsidR="004C5EA1">
              <w:rPr>
                <w:noProof/>
                <w:color w:val="000000"/>
                <w:highlight w:val="black"/>
              </w:rPr>
              <w:t>''''''''''''''</w:t>
            </w:r>
          </w:p>
        </w:tc>
        <w:tc>
          <w:tcPr>
            <w:tcW w:w="1922" w:type="dxa"/>
          </w:tcPr>
          <w:p w:rsidR="00CC134B" w:rsidRPr="00EF517B" w:rsidRDefault="00CC134B" w:rsidP="00CC134B">
            <w:pPr>
              <w:pStyle w:val="Tabletext"/>
              <w:jc w:val="right"/>
            </w:pPr>
            <w:r w:rsidRPr="00EF517B">
              <w:t>$</w:t>
            </w:r>
            <w:r w:rsidR="004C5EA1">
              <w:rPr>
                <w:noProof/>
                <w:color w:val="000000"/>
                <w:highlight w:val="black"/>
              </w:rPr>
              <w:t>'''''''''''''</w:t>
            </w:r>
          </w:p>
        </w:tc>
      </w:tr>
      <w:tr w:rsidR="00CC134B" w:rsidRPr="00EF517B" w:rsidTr="00CC134B">
        <w:tc>
          <w:tcPr>
            <w:tcW w:w="3262" w:type="dxa"/>
          </w:tcPr>
          <w:p w:rsidR="00CC134B" w:rsidRPr="00EF517B" w:rsidRDefault="00CC134B" w:rsidP="00CC134B">
            <w:pPr>
              <w:pStyle w:val="Tabletext"/>
            </w:pPr>
            <w:r w:rsidRPr="00EF517B">
              <w:t>QALYs</w:t>
            </w:r>
          </w:p>
        </w:tc>
        <w:tc>
          <w:tcPr>
            <w:tcW w:w="1921" w:type="dxa"/>
            <w:vAlign w:val="center"/>
          </w:tcPr>
          <w:p w:rsidR="00CC134B" w:rsidRPr="004C5EA1" w:rsidRDefault="004C5EA1" w:rsidP="00F05687">
            <w:pPr>
              <w:pStyle w:val="Tabletext"/>
              <w:jc w:val="right"/>
              <w:rPr>
                <w:highlight w:val="black"/>
              </w:rPr>
            </w:pPr>
            <w:r>
              <w:rPr>
                <w:noProof/>
                <w:color w:val="000000"/>
                <w:highlight w:val="black"/>
              </w:rPr>
              <w:t>''''''''''</w:t>
            </w:r>
          </w:p>
        </w:tc>
        <w:tc>
          <w:tcPr>
            <w:tcW w:w="1921" w:type="dxa"/>
            <w:vAlign w:val="center"/>
          </w:tcPr>
          <w:p w:rsidR="00CC134B" w:rsidRPr="004C5EA1" w:rsidRDefault="004C5EA1" w:rsidP="00F05687">
            <w:pPr>
              <w:pStyle w:val="Tabletext"/>
              <w:jc w:val="right"/>
              <w:rPr>
                <w:highlight w:val="black"/>
              </w:rPr>
            </w:pPr>
            <w:r>
              <w:rPr>
                <w:noProof/>
                <w:color w:val="000000"/>
                <w:highlight w:val="black"/>
              </w:rPr>
              <w:t>'''''''''''</w:t>
            </w:r>
          </w:p>
        </w:tc>
        <w:tc>
          <w:tcPr>
            <w:tcW w:w="1922" w:type="dxa"/>
            <w:vAlign w:val="center"/>
          </w:tcPr>
          <w:p w:rsidR="00CC134B" w:rsidRPr="004C5EA1" w:rsidRDefault="004C5EA1" w:rsidP="00F05687">
            <w:pPr>
              <w:pStyle w:val="Tabletext"/>
              <w:jc w:val="right"/>
              <w:rPr>
                <w:highlight w:val="black"/>
              </w:rPr>
            </w:pPr>
            <w:r>
              <w:rPr>
                <w:noProof/>
                <w:color w:val="000000"/>
                <w:highlight w:val="black"/>
              </w:rPr>
              <w:t>'''''''''''</w:t>
            </w:r>
          </w:p>
        </w:tc>
      </w:tr>
      <w:tr w:rsidR="00CC134B" w:rsidRPr="00EF517B" w:rsidTr="00CC134B">
        <w:tc>
          <w:tcPr>
            <w:tcW w:w="3262" w:type="dxa"/>
          </w:tcPr>
          <w:p w:rsidR="00CC134B" w:rsidRPr="00EF517B" w:rsidRDefault="00CC134B" w:rsidP="00CC134B">
            <w:pPr>
              <w:pStyle w:val="Tabletext"/>
            </w:pPr>
            <w:r w:rsidRPr="00EF517B">
              <w:t>Cost per QALY gained</w:t>
            </w:r>
          </w:p>
        </w:tc>
        <w:tc>
          <w:tcPr>
            <w:tcW w:w="1921" w:type="dxa"/>
            <w:vAlign w:val="center"/>
          </w:tcPr>
          <w:p w:rsidR="00CC134B" w:rsidRPr="00EF517B" w:rsidRDefault="00CC134B" w:rsidP="00CC134B">
            <w:pPr>
              <w:pStyle w:val="Tabletext"/>
              <w:jc w:val="right"/>
            </w:pPr>
          </w:p>
        </w:tc>
        <w:tc>
          <w:tcPr>
            <w:tcW w:w="1921" w:type="dxa"/>
            <w:vAlign w:val="center"/>
          </w:tcPr>
          <w:p w:rsidR="00CC134B" w:rsidRPr="00EF517B" w:rsidRDefault="00CC134B" w:rsidP="00CC134B">
            <w:pPr>
              <w:pStyle w:val="Tabletext"/>
              <w:jc w:val="right"/>
            </w:pPr>
          </w:p>
        </w:tc>
        <w:tc>
          <w:tcPr>
            <w:tcW w:w="1922" w:type="dxa"/>
            <w:vAlign w:val="center"/>
          </w:tcPr>
          <w:p w:rsidR="00CC134B" w:rsidRPr="00EF517B" w:rsidRDefault="00CC134B" w:rsidP="00CC134B">
            <w:pPr>
              <w:pStyle w:val="Tabletext"/>
              <w:jc w:val="right"/>
            </w:pPr>
            <w:r w:rsidRPr="00FD3802">
              <w:t>$</w:t>
            </w:r>
            <w:r w:rsidR="004C5EA1">
              <w:rPr>
                <w:noProof/>
                <w:color w:val="000000"/>
                <w:highlight w:val="black"/>
              </w:rPr>
              <w:t>'''''''''''''''</w:t>
            </w:r>
          </w:p>
        </w:tc>
      </w:tr>
      <w:tr w:rsidR="00CC134B" w:rsidRPr="00EF517B" w:rsidTr="00CC134B">
        <w:tc>
          <w:tcPr>
            <w:tcW w:w="9026" w:type="dxa"/>
            <w:gridSpan w:val="4"/>
          </w:tcPr>
          <w:p w:rsidR="00CC134B" w:rsidRPr="00EF517B" w:rsidRDefault="00CC134B" w:rsidP="00CC134B">
            <w:pPr>
              <w:pStyle w:val="Tabletext"/>
              <w:jc w:val="center"/>
              <w:rPr>
                <w:b/>
              </w:rPr>
            </w:pPr>
            <w:r w:rsidRPr="00EF517B">
              <w:rPr>
                <w:b/>
              </w:rPr>
              <w:t>Step 4 – Cost utility analysis at Year 10 including all costs</w:t>
            </w:r>
          </w:p>
        </w:tc>
      </w:tr>
      <w:tr w:rsidR="00CC134B" w:rsidRPr="00EF517B" w:rsidTr="00CC134B">
        <w:tc>
          <w:tcPr>
            <w:tcW w:w="3262" w:type="dxa"/>
            <w:tcBorders>
              <w:bottom w:val="nil"/>
            </w:tcBorders>
          </w:tcPr>
          <w:p w:rsidR="00CC134B" w:rsidRPr="00EF517B" w:rsidRDefault="00CC134B" w:rsidP="00CC134B">
            <w:pPr>
              <w:pStyle w:val="Tabletext"/>
            </w:pPr>
            <w:r w:rsidRPr="00EF517B">
              <w:t>Cost</w:t>
            </w:r>
          </w:p>
        </w:tc>
        <w:tc>
          <w:tcPr>
            <w:tcW w:w="1921" w:type="dxa"/>
            <w:tcBorders>
              <w:bottom w:val="nil"/>
            </w:tcBorders>
            <w:vAlign w:val="center"/>
          </w:tcPr>
          <w:p w:rsidR="00CC134B" w:rsidRPr="00EF517B" w:rsidRDefault="00CC134B" w:rsidP="00CC134B">
            <w:pPr>
              <w:pStyle w:val="Tabletext"/>
              <w:jc w:val="right"/>
            </w:pPr>
            <w:r w:rsidRPr="00F34C14">
              <w:rPr>
                <w:i/>
              </w:rPr>
              <w:t>$</w:t>
            </w:r>
            <w:r w:rsidR="004C5EA1">
              <w:rPr>
                <w:i/>
                <w:noProof/>
                <w:color w:val="000000"/>
                <w:highlight w:val="black"/>
              </w:rPr>
              <w:t>''''''''''''''''</w:t>
            </w:r>
          </w:p>
        </w:tc>
        <w:tc>
          <w:tcPr>
            <w:tcW w:w="1921" w:type="dxa"/>
            <w:tcBorders>
              <w:bottom w:val="nil"/>
            </w:tcBorders>
            <w:vAlign w:val="center"/>
          </w:tcPr>
          <w:p w:rsidR="00CC134B" w:rsidRPr="00EF517B" w:rsidRDefault="00CC134B" w:rsidP="00CC134B">
            <w:pPr>
              <w:pStyle w:val="Tabletext"/>
              <w:jc w:val="right"/>
            </w:pPr>
            <w:r w:rsidRPr="00F34C14">
              <w:rPr>
                <w:i/>
              </w:rPr>
              <w:t>$</w:t>
            </w:r>
            <w:r w:rsidR="004C5EA1">
              <w:rPr>
                <w:i/>
                <w:noProof/>
                <w:color w:val="000000"/>
                <w:highlight w:val="black"/>
              </w:rPr>
              <w:t>'''''''''''''</w:t>
            </w:r>
          </w:p>
        </w:tc>
        <w:tc>
          <w:tcPr>
            <w:tcW w:w="1922" w:type="dxa"/>
            <w:tcBorders>
              <w:bottom w:val="nil"/>
            </w:tcBorders>
            <w:vAlign w:val="center"/>
          </w:tcPr>
          <w:p w:rsidR="00CC134B" w:rsidRPr="00F34C14" w:rsidRDefault="00CC134B" w:rsidP="00CC134B">
            <w:pPr>
              <w:pStyle w:val="Tabletext"/>
              <w:jc w:val="right"/>
            </w:pPr>
            <w:r w:rsidRPr="00F34C14">
              <w:rPr>
                <w:i/>
              </w:rPr>
              <w:t>$</w:t>
            </w:r>
            <w:r w:rsidR="004C5EA1">
              <w:rPr>
                <w:i/>
                <w:noProof/>
                <w:color w:val="000000"/>
                <w:highlight w:val="black"/>
              </w:rPr>
              <w:t>''''''''''''</w:t>
            </w:r>
          </w:p>
        </w:tc>
      </w:tr>
      <w:tr w:rsidR="00CC134B" w:rsidRPr="00EF517B" w:rsidTr="00CC134B">
        <w:tc>
          <w:tcPr>
            <w:tcW w:w="3262" w:type="dxa"/>
            <w:tcBorders>
              <w:bottom w:val="single" w:sz="4" w:space="0" w:color="auto"/>
            </w:tcBorders>
          </w:tcPr>
          <w:p w:rsidR="00CC134B" w:rsidRPr="00EF517B" w:rsidRDefault="00CC134B" w:rsidP="00CC134B">
            <w:pPr>
              <w:pStyle w:val="Tabletext"/>
            </w:pPr>
            <w:r w:rsidRPr="00EF517B">
              <w:t>QALYs</w:t>
            </w:r>
          </w:p>
        </w:tc>
        <w:tc>
          <w:tcPr>
            <w:tcW w:w="1921" w:type="dxa"/>
            <w:tcBorders>
              <w:bottom w:val="single" w:sz="4" w:space="0" w:color="auto"/>
            </w:tcBorders>
            <w:vAlign w:val="center"/>
          </w:tcPr>
          <w:p w:rsidR="00CC134B" w:rsidRPr="004C5EA1" w:rsidRDefault="004C5EA1" w:rsidP="00F05687">
            <w:pPr>
              <w:pStyle w:val="Tabletext"/>
              <w:jc w:val="right"/>
              <w:rPr>
                <w:highlight w:val="black"/>
              </w:rPr>
            </w:pPr>
            <w:r>
              <w:rPr>
                <w:i/>
                <w:noProof/>
                <w:color w:val="000000"/>
                <w:highlight w:val="black"/>
              </w:rPr>
              <w:t>''''''''''''</w:t>
            </w:r>
          </w:p>
        </w:tc>
        <w:tc>
          <w:tcPr>
            <w:tcW w:w="1921" w:type="dxa"/>
            <w:tcBorders>
              <w:bottom w:val="single" w:sz="4" w:space="0" w:color="auto"/>
            </w:tcBorders>
            <w:vAlign w:val="center"/>
          </w:tcPr>
          <w:p w:rsidR="00CC134B" w:rsidRPr="004C5EA1" w:rsidRDefault="004C5EA1" w:rsidP="00F05687">
            <w:pPr>
              <w:pStyle w:val="Tabletext"/>
              <w:jc w:val="right"/>
              <w:rPr>
                <w:highlight w:val="black"/>
              </w:rPr>
            </w:pPr>
            <w:r>
              <w:rPr>
                <w:i/>
                <w:noProof/>
                <w:color w:val="000000"/>
                <w:highlight w:val="black"/>
              </w:rPr>
              <w:t>''''''''''</w:t>
            </w:r>
          </w:p>
        </w:tc>
        <w:tc>
          <w:tcPr>
            <w:tcW w:w="1922" w:type="dxa"/>
            <w:tcBorders>
              <w:bottom w:val="single" w:sz="4" w:space="0" w:color="auto"/>
            </w:tcBorders>
            <w:vAlign w:val="center"/>
          </w:tcPr>
          <w:p w:rsidR="00CC134B" w:rsidRPr="004C5EA1" w:rsidRDefault="004C5EA1" w:rsidP="00F05687">
            <w:pPr>
              <w:pStyle w:val="Tabletext"/>
              <w:jc w:val="right"/>
              <w:rPr>
                <w:highlight w:val="black"/>
              </w:rPr>
            </w:pPr>
            <w:r>
              <w:rPr>
                <w:i/>
                <w:noProof/>
                <w:color w:val="000000"/>
                <w:highlight w:val="black"/>
              </w:rPr>
              <w:t>''''''''''</w:t>
            </w:r>
          </w:p>
        </w:tc>
      </w:tr>
      <w:tr w:rsidR="00CC134B" w:rsidRPr="00EF517B" w:rsidTr="00CC134B">
        <w:tc>
          <w:tcPr>
            <w:tcW w:w="3262" w:type="dxa"/>
            <w:tcBorders>
              <w:bottom w:val="single" w:sz="4" w:space="0" w:color="auto"/>
            </w:tcBorders>
          </w:tcPr>
          <w:p w:rsidR="00CC134B" w:rsidRPr="00EF517B" w:rsidRDefault="00CC134B" w:rsidP="00CC134B">
            <w:pPr>
              <w:pStyle w:val="Tabletext"/>
            </w:pPr>
            <w:r w:rsidRPr="00EF517B">
              <w:t>Cost per QALY gained</w:t>
            </w:r>
          </w:p>
        </w:tc>
        <w:tc>
          <w:tcPr>
            <w:tcW w:w="1921" w:type="dxa"/>
            <w:tcBorders>
              <w:bottom w:val="single" w:sz="4" w:space="0" w:color="auto"/>
            </w:tcBorders>
          </w:tcPr>
          <w:p w:rsidR="00CC134B" w:rsidRPr="00EB3F4D" w:rsidRDefault="00CC134B" w:rsidP="00CC134B">
            <w:pPr>
              <w:pStyle w:val="Tabletext"/>
              <w:jc w:val="right"/>
            </w:pPr>
          </w:p>
        </w:tc>
        <w:tc>
          <w:tcPr>
            <w:tcW w:w="1921" w:type="dxa"/>
            <w:tcBorders>
              <w:bottom w:val="single" w:sz="4" w:space="0" w:color="auto"/>
            </w:tcBorders>
          </w:tcPr>
          <w:p w:rsidR="00CC134B" w:rsidRPr="00EB3F4D" w:rsidRDefault="00CC134B" w:rsidP="00CC134B">
            <w:pPr>
              <w:pStyle w:val="Tabletext"/>
              <w:jc w:val="right"/>
            </w:pPr>
          </w:p>
        </w:tc>
        <w:tc>
          <w:tcPr>
            <w:tcW w:w="1922" w:type="dxa"/>
            <w:tcBorders>
              <w:bottom w:val="single" w:sz="4" w:space="0" w:color="auto"/>
            </w:tcBorders>
          </w:tcPr>
          <w:p w:rsidR="00CC134B" w:rsidRPr="00EB3F4D" w:rsidRDefault="00CC134B" w:rsidP="00CC134B">
            <w:pPr>
              <w:pStyle w:val="Tabletext"/>
              <w:jc w:val="right"/>
            </w:pPr>
            <w:r w:rsidRPr="00397CF3">
              <w:rPr>
                <w:i/>
              </w:rPr>
              <w:t>$</w:t>
            </w:r>
            <w:r w:rsidR="004C5EA1">
              <w:rPr>
                <w:i/>
                <w:noProof/>
                <w:color w:val="000000"/>
                <w:highlight w:val="black"/>
              </w:rPr>
              <w:t>'''''''''''''''''</w:t>
            </w:r>
          </w:p>
        </w:tc>
      </w:tr>
    </w:tbl>
    <w:p w:rsidR="00CC134B" w:rsidRPr="00A735DF" w:rsidRDefault="00CC134B" w:rsidP="00CC134B">
      <w:pPr>
        <w:pStyle w:val="TableFooter"/>
        <w:jc w:val="left"/>
      </w:pPr>
      <w:r w:rsidRPr="00A735DF">
        <w:t>BCVA =</w:t>
      </w:r>
      <w:r>
        <w:t xml:space="preserve"> best correct visual acuity</w:t>
      </w:r>
      <w:r w:rsidRPr="00A735DF">
        <w:t xml:space="preserve">; QALY = </w:t>
      </w:r>
      <w:r>
        <w:t>quality-adjusted life year</w:t>
      </w:r>
    </w:p>
    <w:p w:rsidR="00CC134B" w:rsidRDefault="00CC134B" w:rsidP="00CC134B">
      <w:pPr>
        <w:pStyle w:val="TableFooter"/>
        <w:jc w:val="left"/>
        <w:rPr>
          <w:i/>
        </w:rPr>
      </w:pPr>
      <w:r>
        <w:rPr>
          <w:i/>
        </w:rPr>
        <w:t>Note: A</w:t>
      </w:r>
      <w:r w:rsidRPr="00397CF3">
        <w:rPr>
          <w:i/>
        </w:rPr>
        <w:t xml:space="preserve">n error was identified in the model where by the QALY gain for patients treated bilaterally was calculated by adding the QALY gain from the patients treated unilaterally in their WSE to those treated in their BSE. This has been corrected so that only the QALY gain for the BSE has been included. </w:t>
      </w:r>
      <w:r>
        <w:rPr>
          <w:i/>
        </w:rPr>
        <w:t>Results presented in this table in the submission were inconsistent with</w:t>
      </w:r>
      <w:r w:rsidRPr="00F7265C">
        <w:rPr>
          <w:i/>
        </w:rPr>
        <w:t xml:space="preserve"> the results provided in other tables, </w:t>
      </w:r>
      <w:r>
        <w:rPr>
          <w:i/>
        </w:rPr>
        <w:t>and</w:t>
      </w:r>
      <w:r w:rsidRPr="00F7265C">
        <w:rPr>
          <w:i/>
        </w:rPr>
        <w:t xml:space="preserve"> the results provided in E</w:t>
      </w:r>
      <w:r>
        <w:rPr>
          <w:i/>
        </w:rPr>
        <w:t>conomicModel_Ranib</w:t>
      </w:r>
      <w:r w:rsidR="001A3E21">
        <w:rPr>
          <w:i/>
        </w:rPr>
        <w:t>izumab_CNV.xlsx, Results sheet.</w:t>
      </w:r>
    </w:p>
    <w:p w:rsidR="00CC134B" w:rsidRPr="00AC14F0" w:rsidRDefault="00CC134B" w:rsidP="00EA4EF8">
      <w:pPr>
        <w:pStyle w:val="TableFooter"/>
        <w:spacing w:after="160"/>
        <w:jc w:val="left"/>
      </w:pPr>
      <w:r>
        <w:t>Source: Compiled during the evaluation based on analyses presented in Table 3.8-2; p92 Section 3 of the submission, using corrected results from EconomicModel_Ranibizumab_CNV.xlsx.</w:t>
      </w:r>
    </w:p>
    <w:p w:rsidR="00CC134B" w:rsidRPr="00081A92" w:rsidRDefault="00CC134B" w:rsidP="00CC134B">
      <w:pPr>
        <w:widowControl/>
        <w:numPr>
          <w:ilvl w:val="1"/>
          <w:numId w:val="2"/>
        </w:numPr>
        <w:spacing w:after="160"/>
      </w:pPr>
      <w:r w:rsidRPr="00081A92">
        <w:t xml:space="preserve">The results of the economic evaluation indicated that extrapolation from 12 months to 10 years (including drug costs only) reduced the ICER substantially, from </w:t>
      </w:r>
      <w:r w:rsidR="00196DE0">
        <w:t xml:space="preserve">over $200,000/QALY </w:t>
      </w:r>
      <w:r w:rsidRPr="00081A92">
        <w:t>to</w:t>
      </w:r>
      <w:r w:rsidR="00196DE0">
        <w:t xml:space="preserve"> $15,000/QALY - $45,000/QALY</w:t>
      </w:r>
      <w:r w:rsidRPr="00081A92">
        <w:t xml:space="preserve">. As noted above, the long term transition probabilities were highly uncertain given that the assumed constant transition probability over the entire model time horizon have not been adequately justified. Although the submission performed some sensitivity analyses using the long term transition probabilities sourced from literature, these analyses </w:t>
      </w:r>
      <w:r w:rsidR="00196DE0">
        <w:t>were</w:t>
      </w:r>
      <w:r w:rsidR="00196DE0" w:rsidRPr="00081A92">
        <w:t xml:space="preserve"> </w:t>
      </w:r>
      <w:r w:rsidRPr="00081A92">
        <w:t xml:space="preserve">of limited value, given that these transition </w:t>
      </w:r>
      <w:r w:rsidR="009B123E" w:rsidRPr="00081A92">
        <w:t>probabilities</w:t>
      </w:r>
      <w:r w:rsidRPr="00081A92">
        <w:t xml:space="preserve"> were for different clinical indications and the number of ranibizumab inj</w:t>
      </w:r>
      <w:r w:rsidR="001A3E21" w:rsidRPr="00081A92">
        <w:t>ections were not comparable.</w:t>
      </w:r>
    </w:p>
    <w:p w:rsidR="00CC134B" w:rsidRPr="00081A92" w:rsidRDefault="00CC134B" w:rsidP="00CC134B">
      <w:pPr>
        <w:widowControl/>
        <w:numPr>
          <w:ilvl w:val="1"/>
          <w:numId w:val="2"/>
        </w:numPr>
        <w:spacing w:after="160"/>
      </w:pPr>
      <w:r w:rsidRPr="00081A92">
        <w:t>Sensitivity analyses indicated that the model is most sensitive to the time horizon, the number of ranibizumab injections and the cost associated with blindness. The key sensitivity analyses are presented below.</w:t>
      </w:r>
    </w:p>
    <w:p w:rsidR="00CC134B" w:rsidRPr="00B55465" w:rsidRDefault="00CC134B" w:rsidP="00076F67">
      <w:pPr>
        <w:keepNext/>
        <w:widowControl/>
        <w:jc w:val="left"/>
        <w:rPr>
          <w:rStyle w:val="CommentReference"/>
          <w:b w:val="0"/>
        </w:rPr>
      </w:pPr>
      <w:r>
        <w:rPr>
          <w:rStyle w:val="CommentReference"/>
        </w:rPr>
        <w:lastRenderedPageBreak/>
        <w:t>Table 10</w:t>
      </w:r>
      <w:r w:rsidRPr="00B55465">
        <w:rPr>
          <w:rStyle w:val="CommentReference"/>
        </w:rPr>
        <w:t>: Resu</w:t>
      </w:r>
      <w:r w:rsidR="001A3E21">
        <w:rPr>
          <w:rStyle w:val="CommentReference"/>
        </w:rPr>
        <w:t>lts of key sensitivity analyses</w:t>
      </w:r>
    </w:p>
    <w:tbl>
      <w:tblPr>
        <w:tblStyle w:val="TableGrid"/>
        <w:tblW w:w="4970" w:type="pct"/>
        <w:tblLayout w:type="fixed"/>
        <w:tblLook w:val="04A0" w:firstRow="1" w:lastRow="0" w:firstColumn="1" w:lastColumn="0" w:noHBand="0" w:noVBand="1"/>
        <w:tblCaption w:val="Table 10: Results of key sensitivity analyses"/>
      </w:tblPr>
      <w:tblGrid>
        <w:gridCol w:w="1412"/>
        <w:gridCol w:w="1421"/>
        <w:gridCol w:w="1811"/>
        <w:gridCol w:w="1701"/>
        <w:gridCol w:w="993"/>
        <w:gridCol w:w="992"/>
        <w:gridCol w:w="858"/>
      </w:tblGrid>
      <w:tr w:rsidR="00CC134B" w:rsidRPr="00F05687" w:rsidTr="00EF1D52">
        <w:trPr>
          <w:tblHeader/>
        </w:trPr>
        <w:tc>
          <w:tcPr>
            <w:tcW w:w="1412" w:type="dxa"/>
          </w:tcPr>
          <w:p w:rsidR="00CC134B" w:rsidRPr="00F05687" w:rsidRDefault="00CC134B" w:rsidP="00076F67">
            <w:pPr>
              <w:pStyle w:val="Tabletext"/>
              <w:keepNext/>
              <w:rPr>
                <w:b/>
              </w:rPr>
            </w:pPr>
            <w:r w:rsidRPr="00F05687">
              <w:rPr>
                <w:b/>
              </w:rPr>
              <w:t>Parameter</w:t>
            </w:r>
          </w:p>
        </w:tc>
        <w:tc>
          <w:tcPr>
            <w:tcW w:w="1421" w:type="dxa"/>
            <w:hideMark/>
          </w:tcPr>
          <w:p w:rsidR="00CC134B" w:rsidRPr="00F05687" w:rsidRDefault="00CC134B" w:rsidP="00076F67">
            <w:pPr>
              <w:pStyle w:val="Tabletext"/>
              <w:keepNext/>
              <w:rPr>
                <w:b/>
              </w:rPr>
            </w:pPr>
            <w:r w:rsidRPr="00F05687">
              <w:rPr>
                <w:b/>
              </w:rPr>
              <w:t>Result</w:t>
            </w:r>
          </w:p>
        </w:tc>
        <w:tc>
          <w:tcPr>
            <w:tcW w:w="1811" w:type="dxa"/>
            <w:hideMark/>
          </w:tcPr>
          <w:p w:rsidR="00CC134B" w:rsidRPr="00F05687" w:rsidRDefault="00CC134B" w:rsidP="00076F67">
            <w:pPr>
              <w:pStyle w:val="Tabletext"/>
              <w:keepNext/>
              <w:rPr>
                <w:b/>
              </w:rPr>
            </w:pPr>
            <w:r w:rsidRPr="00F05687">
              <w:rPr>
                <w:b/>
              </w:rPr>
              <w:t>Base case value</w:t>
            </w:r>
          </w:p>
        </w:tc>
        <w:tc>
          <w:tcPr>
            <w:tcW w:w="1701" w:type="dxa"/>
            <w:hideMark/>
          </w:tcPr>
          <w:p w:rsidR="00CC134B" w:rsidRPr="00F05687" w:rsidRDefault="00CC134B" w:rsidP="00076F67">
            <w:pPr>
              <w:pStyle w:val="Tabletext"/>
              <w:keepNext/>
              <w:rPr>
                <w:b/>
              </w:rPr>
            </w:pPr>
            <w:r w:rsidRPr="00F05687">
              <w:rPr>
                <w:b/>
              </w:rPr>
              <w:t>Tested value or range</w:t>
            </w:r>
          </w:p>
        </w:tc>
        <w:tc>
          <w:tcPr>
            <w:tcW w:w="993" w:type="dxa"/>
            <w:hideMark/>
          </w:tcPr>
          <w:p w:rsidR="00CC134B" w:rsidRPr="00F05687" w:rsidRDefault="00CC134B" w:rsidP="00076F67">
            <w:pPr>
              <w:pStyle w:val="Tabletext"/>
              <w:keepNext/>
              <w:jc w:val="center"/>
              <w:rPr>
                <w:b/>
              </w:rPr>
            </w:pPr>
            <w:r w:rsidRPr="00F05687">
              <w:rPr>
                <w:b/>
              </w:rPr>
              <w:t>Rani</w:t>
            </w:r>
          </w:p>
        </w:tc>
        <w:tc>
          <w:tcPr>
            <w:tcW w:w="992" w:type="dxa"/>
            <w:hideMark/>
          </w:tcPr>
          <w:p w:rsidR="00CC134B" w:rsidRPr="00F05687" w:rsidRDefault="009A4928" w:rsidP="00076F67">
            <w:pPr>
              <w:pStyle w:val="Tabletext"/>
              <w:keepNext/>
              <w:jc w:val="center"/>
              <w:rPr>
                <w:b/>
              </w:rPr>
            </w:pPr>
            <w:r w:rsidRPr="00F05687">
              <w:rPr>
                <w:b/>
              </w:rPr>
              <w:t>No active treatment</w:t>
            </w:r>
          </w:p>
        </w:tc>
        <w:tc>
          <w:tcPr>
            <w:tcW w:w="858" w:type="dxa"/>
            <w:hideMark/>
          </w:tcPr>
          <w:p w:rsidR="00CC134B" w:rsidRPr="00F05687" w:rsidRDefault="00CC134B" w:rsidP="00076F67">
            <w:pPr>
              <w:pStyle w:val="Tabletext"/>
              <w:keepNext/>
              <w:jc w:val="center"/>
              <w:rPr>
                <w:b/>
              </w:rPr>
            </w:pPr>
            <w:r w:rsidRPr="00F05687">
              <w:rPr>
                <w:b/>
              </w:rPr>
              <w:t>Incr.</w:t>
            </w:r>
          </w:p>
        </w:tc>
      </w:tr>
      <w:tr w:rsidR="00CC134B" w:rsidRPr="00F05687" w:rsidTr="00CC134B">
        <w:tc>
          <w:tcPr>
            <w:tcW w:w="9188" w:type="dxa"/>
            <w:gridSpan w:val="7"/>
          </w:tcPr>
          <w:p w:rsidR="00CC134B" w:rsidRPr="00F05687" w:rsidRDefault="00CC134B" w:rsidP="00076F67">
            <w:pPr>
              <w:pStyle w:val="Tabletext"/>
              <w:keepNext/>
              <w:rPr>
                <w:b/>
              </w:rPr>
            </w:pPr>
            <w:r w:rsidRPr="00F05687">
              <w:rPr>
                <w:b/>
              </w:rPr>
              <w:t>Base case</w:t>
            </w:r>
          </w:p>
        </w:tc>
      </w:tr>
      <w:tr w:rsidR="00CC134B" w:rsidRPr="00F05687" w:rsidTr="009A4928">
        <w:tc>
          <w:tcPr>
            <w:tcW w:w="1412" w:type="dxa"/>
            <w:vMerge w:val="restart"/>
          </w:tcPr>
          <w:p w:rsidR="00CC134B" w:rsidRPr="00F05687" w:rsidRDefault="00CC134B" w:rsidP="00076F67">
            <w:pPr>
              <w:pStyle w:val="Tabletext"/>
              <w:keepNext/>
            </w:pPr>
          </w:p>
        </w:tc>
        <w:tc>
          <w:tcPr>
            <w:tcW w:w="4933" w:type="dxa"/>
            <w:gridSpan w:val="3"/>
            <w:hideMark/>
          </w:tcPr>
          <w:p w:rsidR="00CC134B" w:rsidRPr="00F05687" w:rsidRDefault="00CC134B" w:rsidP="00076F67">
            <w:pPr>
              <w:pStyle w:val="Tabletext"/>
              <w:keepNext/>
            </w:pPr>
            <w:r w:rsidRPr="00F05687">
              <w:t>Costs</w:t>
            </w:r>
          </w:p>
        </w:tc>
        <w:tc>
          <w:tcPr>
            <w:tcW w:w="993" w:type="dxa"/>
          </w:tcPr>
          <w:p w:rsidR="00CC134B" w:rsidRPr="00F05687" w:rsidRDefault="00CC134B" w:rsidP="00076F67">
            <w:pPr>
              <w:pStyle w:val="Tabletext"/>
              <w:keepNext/>
              <w:jc w:val="right"/>
            </w:pPr>
            <w:r w:rsidRPr="00F05687">
              <w:t>$</w:t>
            </w:r>
            <w:r w:rsidR="004C5EA1">
              <w:rPr>
                <w:noProof/>
                <w:color w:val="000000"/>
                <w:highlight w:val="black"/>
              </w:rPr>
              <w:t>''''''''''''''''''</w:t>
            </w:r>
          </w:p>
        </w:tc>
        <w:tc>
          <w:tcPr>
            <w:tcW w:w="992" w:type="dxa"/>
          </w:tcPr>
          <w:p w:rsidR="00CC134B" w:rsidRPr="00F05687" w:rsidRDefault="00CC134B" w:rsidP="00076F67">
            <w:pPr>
              <w:pStyle w:val="Tabletext"/>
              <w:keepNext/>
              <w:jc w:val="right"/>
            </w:pPr>
            <w:r w:rsidRPr="00F05687">
              <w:t>$</w:t>
            </w:r>
            <w:r w:rsidR="004C5EA1">
              <w:rPr>
                <w:noProof/>
                <w:color w:val="000000"/>
                <w:highlight w:val="black"/>
              </w:rPr>
              <w:t>'''''''''''''</w:t>
            </w:r>
          </w:p>
        </w:tc>
        <w:tc>
          <w:tcPr>
            <w:tcW w:w="858" w:type="dxa"/>
          </w:tcPr>
          <w:p w:rsidR="00CC134B" w:rsidRPr="00F05687" w:rsidRDefault="00CC134B" w:rsidP="00076F67">
            <w:pPr>
              <w:pStyle w:val="Tabletext"/>
              <w:keepNext/>
              <w:jc w:val="right"/>
            </w:pPr>
            <w:r w:rsidRPr="00F05687">
              <w:t>$</w:t>
            </w:r>
            <w:r w:rsidR="004C5EA1">
              <w:rPr>
                <w:noProof/>
                <w:color w:val="000000"/>
                <w:highlight w:val="black"/>
              </w:rPr>
              <w:t>'''''''''''''''</w:t>
            </w:r>
          </w:p>
        </w:tc>
      </w:tr>
      <w:tr w:rsidR="00CC134B" w:rsidRPr="00F05687" w:rsidTr="009A4928">
        <w:tc>
          <w:tcPr>
            <w:tcW w:w="1412" w:type="dxa"/>
            <w:vMerge/>
          </w:tcPr>
          <w:p w:rsidR="00CC134B" w:rsidRPr="00F05687" w:rsidRDefault="00CC134B" w:rsidP="00076F67">
            <w:pPr>
              <w:pStyle w:val="Tabletext"/>
              <w:keepNext/>
            </w:pPr>
          </w:p>
        </w:tc>
        <w:tc>
          <w:tcPr>
            <w:tcW w:w="4933" w:type="dxa"/>
            <w:gridSpan w:val="3"/>
            <w:hideMark/>
          </w:tcPr>
          <w:p w:rsidR="00CC134B" w:rsidRPr="00F05687" w:rsidRDefault="00CC134B" w:rsidP="00076F67">
            <w:pPr>
              <w:pStyle w:val="Tabletext"/>
              <w:keepNext/>
            </w:pPr>
            <w:r w:rsidRPr="00F05687">
              <w:t>QALYs</w:t>
            </w:r>
          </w:p>
        </w:tc>
        <w:tc>
          <w:tcPr>
            <w:tcW w:w="993" w:type="dxa"/>
            <w:vAlign w:val="center"/>
          </w:tcPr>
          <w:p w:rsidR="00CC134B" w:rsidRPr="004C5EA1" w:rsidRDefault="004C5EA1" w:rsidP="00076F67">
            <w:pPr>
              <w:pStyle w:val="Tabletext"/>
              <w:keepNext/>
              <w:jc w:val="right"/>
              <w:rPr>
                <w:highlight w:val="black"/>
              </w:rPr>
            </w:pPr>
            <w:r>
              <w:rPr>
                <w:noProof/>
                <w:color w:val="000000"/>
                <w:highlight w:val="black"/>
              </w:rPr>
              <w:t>''''''''''</w:t>
            </w:r>
          </w:p>
        </w:tc>
        <w:tc>
          <w:tcPr>
            <w:tcW w:w="992" w:type="dxa"/>
            <w:vAlign w:val="center"/>
          </w:tcPr>
          <w:p w:rsidR="00CC134B" w:rsidRPr="004C5EA1" w:rsidRDefault="004C5EA1" w:rsidP="00076F67">
            <w:pPr>
              <w:pStyle w:val="Tabletext"/>
              <w:keepNext/>
              <w:jc w:val="right"/>
              <w:rPr>
                <w:highlight w:val="black"/>
              </w:rPr>
            </w:pPr>
            <w:r>
              <w:rPr>
                <w:noProof/>
                <w:color w:val="000000"/>
                <w:highlight w:val="black"/>
              </w:rPr>
              <w:t>'''''''''''</w:t>
            </w:r>
          </w:p>
        </w:tc>
        <w:tc>
          <w:tcPr>
            <w:tcW w:w="858" w:type="dxa"/>
            <w:vAlign w:val="center"/>
          </w:tcPr>
          <w:p w:rsidR="00CC134B" w:rsidRPr="004C5EA1" w:rsidRDefault="004C5EA1" w:rsidP="00076F67">
            <w:pPr>
              <w:pStyle w:val="Tabletext"/>
              <w:keepNext/>
              <w:jc w:val="right"/>
              <w:rPr>
                <w:highlight w:val="black"/>
              </w:rPr>
            </w:pPr>
            <w:r>
              <w:rPr>
                <w:noProof/>
                <w:color w:val="000000"/>
                <w:highlight w:val="black"/>
              </w:rPr>
              <w:t>'''''''''''</w:t>
            </w:r>
          </w:p>
        </w:tc>
      </w:tr>
      <w:tr w:rsidR="00CC134B" w:rsidRPr="00F05687" w:rsidTr="009A4928">
        <w:tc>
          <w:tcPr>
            <w:tcW w:w="1412" w:type="dxa"/>
            <w:vMerge/>
          </w:tcPr>
          <w:p w:rsidR="00CC134B" w:rsidRPr="00F05687" w:rsidRDefault="00CC134B" w:rsidP="00076F67">
            <w:pPr>
              <w:pStyle w:val="Tabletext"/>
              <w:keepNext/>
            </w:pPr>
          </w:p>
        </w:tc>
        <w:tc>
          <w:tcPr>
            <w:tcW w:w="4933" w:type="dxa"/>
            <w:gridSpan w:val="3"/>
            <w:hideMark/>
          </w:tcPr>
          <w:p w:rsidR="00CC134B" w:rsidRPr="00F05687" w:rsidRDefault="00CC134B" w:rsidP="00076F67">
            <w:pPr>
              <w:pStyle w:val="Tabletext"/>
              <w:keepNext/>
            </w:pPr>
            <w:r w:rsidRPr="00F05687">
              <w:t>Cost per QALY</w:t>
            </w:r>
          </w:p>
        </w:tc>
        <w:tc>
          <w:tcPr>
            <w:tcW w:w="993" w:type="dxa"/>
            <w:vAlign w:val="center"/>
          </w:tcPr>
          <w:p w:rsidR="00CC134B" w:rsidRPr="00F05687" w:rsidRDefault="00CC134B" w:rsidP="00076F67">
            <w:pPr>
              <w:pStyle w:val="Tabletext"/>
              <w:keepNext/>
              <w:jc w:val="right"/>
            </w:pPr>
          </w:p>
        </w:tc>
        <w:tc>
          <w:tcPr>
            <w:tcW w:w="992" w:type="dxa"/>
            <w:vAlign w:val="center"/>
          </w:tcPr>
          <w:p w:rsidR="00CC134B" w:rsidRPr="00F05687" w:rsidRDefault="00CC134B" w:rsidP="00076F67">
            <w:pPr>
              <w:pStyle w:val="Tabletext"/>
              <w:keepNext/>
              <w:jc w:val="right"/>
            </w:pPr>
          </w:p>
        </w:tc>
        <w:tc>
          <w:tcPr>
            <w:tcW w:w="858" w:type="dxa"/>
            <w:vAlign w:val="center"/>
          </w:tcPr>
          <w:p w:rsidR="00CC134B" w:rsidRPr="00F05687" w:rsidRDefault="00CC134B" w:rsidP="00076F67">
            <w:pPr>
              <w:pStyle w:val="Tabletext"/>
              <w:keepNext/>
              <w:jc w:val="right"/>
            </w:pPr>
            <w:r w:rsidRPr="00F05687">
              <w:t>$</w:t>
            </w:r>
            <w:r w:rsidR="004C5EA1">
              <w:rPr>
                <w:noProof/>
                <w:color w:val="000000"/>
                <w:highlight w:val="black"/>
              </w:rPr>
              <w:t>'''''''''''''''</w:t>
            </w:r>
          </w:p>
        </w:tc>
      </w:tr>
      <w:tr w:rsidR="00CC134B" w:rsidRPr="00F05687" w:rsidTr="00CC134B">
        <w:tc>
          <w:tcPr>
            <w:tcW w:w="9188" w:type="dxa"/>
            <w:gridSpan w:val="7"/>
          </w:tcPr>
          <w:p w:rsidR="00CC134B" w:rsidRPr="00F05687" w:rsidRDefault="00CC134B" w:rsidP="00076F67">
            <w:pPr>
              <w:pStyle w:val="Tabletext"/>
              <w:keepNext/>
              <w:rPr>
                <w:b/>
              </w:rPr>
            </w:pPr>
            <w:r w:rsidRPr="00F05687">
              <w:rPr>
                <w:b/>
              </w:rPr>
              <w:t>Structural uncertainty</w:t>
            </w:r>
          </w:p>
        </w:tc>
      </w:tr>
      <w:tr w:rsidR="00CC134B" w:rsidRPr="00F05687" w:rsidTr="009A4928">
        <w:tc>
          <w:tcPr>
            <w:tcW w:w="1412" w:type="dxa"/>
            <w:vMerge w:val="restart"/>
          </w:tcPr>
          <w:p w:rsidR="00CC134B" w:rsidRPr="00F05687" w:rsidRDefault="00CC134B" w:rsidP="00076F67">
            <w:pPr>
              <w:pStyle w:val="Tabletext"/>
              <w:keepNext/>
            </w:pPr>
            <w:r w:rsidRPr="00F05687">
              <w:t>Model duration</w:t>
            </w:r>
          </w:p>
        </w:tc>
        <w:tc>
          <w:tcPr>
            <w:tcW w:w="1421" w:type="dxa"/>
          </w:tcPr>
          <w:p w:rsidR="00CC134B" w:rsidRPr="00F05687" w:rsidRDefault="00CC134B" w:rsidP="00076F67">
            <w:pPr>
              <w:pStyle w:val="Tabletext"/>
              <w:keepNext/>
            </w:pPr>
            <w:r w:rsidRPr="00F05687">
              <w:t>Costs</w:t>
            </w:r>
          </w:p>
        </w:tc>
        <w:tc>
          <w:tcPr>
            <w:tcW w:w="1811" w:type="dxa"/>
            <w:vMerge w:val="restart"/>
            <w:hideMark/>
          </w:tcPr>
          <w:p w:rsidR="00CC134B" w:rsidRPr="00F05687" w:rsidRDefault="00CC134B" w:rsidP="00076F67">
            <w:pPr>
              <w:pStyle w:val="Tabletext"/>
              <w:keepNext/>
            </w:pPr>
            <w:r w:rsidRPr="00F05687">
              <w:t>10 years</w:t>
            </w:r>
          </w:p>
        </w:tc>
        <w:tc>
          <w:tcPr>
            <w:tcW w:w="1701" w:type="dxa"/>
            <w:vMerge w:val="restart"/>
            <w:hideMark/>
          </w:tcPr>
          <w:p w:rsidR="00CC134B" w:rsidRPr="00F05687" w:rsidRDefault="00CC134B" w:rsidP="00076F67">
            <w:pPr>
              <w:pStyle w:val="Tabletext"/>
              <w:keepNext/>
            </w:pPr>
            <w:r w:rsidRPr="00F05687">
              <w:t>5 years</w:t>
            </w:r>
          </w:p>
        </w:tc>
        <w:tc>
          <w:tcPr>
            <w:tcW w:w="993" w:type="dxa"/>
            <w:hideMark/>
          </w:tcPr>
          <w:p w:rsidR="00CC134B" w:rsidRPr="00F05687" w:rsidRDefault="00CC134B" w:rsidP="00076F67">
            <w:pPr>
              <w:pStyle w:val="Tabletext"/>
              <w:keepNext/>
              <w:jc w:val="right"/>
            </w:pPr>
            <w:r w:rsidRPr="00F05687">
              <w:t>$</w:t>
            </w:r>
            <w:r w:rsidR="004C5EA1">
              <w:rPr>
                <w:noProof/>
                <w:color w:val="000000"/>
                <w:highlight w:val="black"/>
              </w:rPr>
              <w:t>''''''''''''''''</w:t>
            </w:r>
          </w:p>
        </w:tc>
        <w:tc>
          <w:tcPr>
            <w:tcW w:w="992" w:type="dxa"/>
            <w:hideMark/>
          </w:tcPr>
          <w:p w:rsidR="00CC134B" w:rsidRPr="00F05687" w:rsidRDefault="00CC134B" w:rsidP="00076F67">
            <w:pPr>
              <w:pStyle w:val="Tabletext"/>
              <w:keepNext/>
              <w:jc w:val="right"/>
            </w:pPr>
            <w:r w:rsidRPr="00F05687">
              <w:t>$</w:t>
            </w:r>
            <w:r w:rsidR="004C5EA1">
              <w:rPr>
                <w:noProof/>
                <w:color w:val="000000"/>
                <w:highlight w:val="black"/>
              </w:rPr>
              <w:t>'''''''''''''''</w:t>
            </w:r>
          </w:p>
        </w:tc>
        <w:tc>
          <w:tcPr>
            <w:tcW w:w="858" w:type="dxa"/>
            <w:hideMark/>
          </w:tcPr>
          <w:p w:rsidR="00CC134B" w:rsidRPr="00F05687" w:rsidRDefault="00CC134B" w:rsidP="00076F67">
            <w:pPr>
              <w:pStyle w:val="Tabletext"/>
              <w:keepNext/>
              <w:jc w:val="right"/>
            </w:pPr>
            <w:r w:rsidRPr="00F05687">
              <w:t>$</w:t>
            </w:r>
            <w:r w:rsidR="004C5EA1">
              <w:rPr>
                <w:noProof/>
                <w:color w:val="000000"/>
                <w:highlight w:val="black"/>
              </w:rPr>
              <w:t>'''''''''''''</w:t>
            </w:r>
          </w:p>
        </w:tc>
      </w:tr>
      <w:tr w:rsidR="00CC134B" w:rsidRPr="00F05687" w:rsidTr="009A4928">
        <w:tc>
          <w:tcPr>
            <w:tcW w:w="1412" w:type="dxa"/>
            <w:vMerge/>
          </w:tcPr>
          <w:p w:rsidR="00CC134B" w:rsidRPr="00F05687" w:rsidRDefault="00CC134B" w:rsidP="00076F67">
            <w:pPr>
              <w:pStyle w:val="Tabletext"/>
              <w:keepNext/>
            </w:pPr>
          </w:p>
        </w:tc>
        <w:tc>
          <w:tcPr>
            <w:tcW w:w="1421" w:type="dxa"/>
            <w:hideMark/>
          </w:tcPr>
          <w:p w:rsidR="00CC134B" w:rsidRPr="00F05687" w:rsidRDefault="00CC134B" w:rsidP="00076F67">
            <w:pPr>
              <w:pStyle w:val="Tabletext"/>
              <w:keepNext/>
            </w:pPr>
            <w:r w:rsidRPr="00F05687">
              <w:t>QALYs</w:t>
            </w:r>
          </w:p>
        </w:tc>
        <w:tc>
          <w:tcPr>
            <w:tcW w:w="1811" w:type="dxa"/>
            <w:vMerge/>
            <w:hideMark/>
          </w:tcPr>
          <w:p w:rsidR="00CC134B" w:rsidRPr="00F05687" w:rsidRDefault="00CC134B" w:rsidP="00076F67">
            <w:pPr>
              <w:pStyle w:val="Tabletext"/>
              <w:keepNext/>
            </w:pPr>
          </w:p>
        </w:tc>
        <w:tc>
          <w:tcPr>
            <w:tcW w:w="1701" w:type="dxa"/>
            <w:vMerge/>
            <w:hideMark/>
          </w:tcPr>
          <w:p w:rsidR="00CC134B" w:rsidRPr="00F05687" w:rsidRDefault="00CC134B" w:rsidP="00076F67">
            <w:pPr>
              <w:pStyle w:val="Tabletext"/>
              <w:keepNext/>
            </w:pPr>
          </w:p>
        </w:tc>
        <w:tc>
          <w:tcPr>
            <w:tcW w:w="993" w:type="dxa"/>
          </w:tcPr>
          <w:p w:rsidR="00CC134B" w:rsidRPr="004C5EA1" w:rsidRDefault="004C5EA1" w:rsidP="00076F67">
            <w:pPr>
              <w:pStyle w:val="Tabletext"/>
              <w:keepNext/>
              <w:jc w:val="right"/>
              <w:rPr>
                <w:highlight w:val="black"/>
              </w:rPr>
            </w:pPr>
            <w:r>
              <w:rPr>
                <w:noProof/>
                <w:color w:val="000000"/>
                <w:highlight w:val="black"/>
              </w:rPr>
              <w:t>'''''''''''</w:t>
            </w:r>
          </w:p>
        </w:tc>
        <w:tc>
          <w:tcPr>
            <w:tcW w:w="992" w:type="dxa"/>
          </w:tcPr>
          <w:p w:rsidR="00CC134B" w:rsidRPr="004C5EA1" w:rsidRDefault="004C5EA1" w:rsidP="00076F67">
            <w:pPr>
              <w:pStyle w:val="Tabletext"/>
              <w:keepNext/>
              <w:jc w:val="right"/>
              <w:rPr>
                <w:highlight w:val="black"/>
              </w:rPr>
            </w:pPr>
            <w:r>
              <w:rPr>
                <w:noProof/>
                <w:color w:val="000000"/>
                <w:highlight w:val="black"/>
              </w:rPr>
              <w:t>'''''''''''</w:t>
            </w:r>
          </w:p>
        </w:tc>
        <w:tc>
          <w:tcPr>
            <w:tcW w:w="858" w:type="dxa"/>
          </w:tcPr>
          <w:p w:rsidR="00CC134B" w:rsidRPr="004C5EA1" w:rsidRDefault="004C5EA1" w:rsidP="00076F67">
            <w:pPr>
              <w:pStyle w:val="Tabletext"/>
              <w:keepNext/>
              <w:jc w:val="right"/>
              <w:rPr>
                <w:highlight w:val="black"/>
              </w:rPr>
            </w:pPr>
            <w:r>
              <w:rPr>
                <w:noProof/>
                <w:color w:val="000000"/>
                <w:highlight w:val="black"/>
              </w:rPr>
              <w:t>''''''''''</w:t>
            </w:r>
          </w:p>
        </w:tc>
      </w:tr>
      <w:tr w:rsidR="00CC134B" w:rsidRPr="00F05687" w:rsidTr="009A4928">
        <w:tc>
          <w:tcPr>
            <w:tcW w:w="1412" w:type="dxa"/>
            <w:vMerge/>
          </w:tcPr>
          <w:p w:rsidR="00CC134B" w:rsidRPr="00F05687" w:rsidRDefault="00CC134B" w:rsidP="00076F67">
            <w:pPr>
              <w:pStyle w:val="Tabletext"/>
              <w:keepNext/>
            </w:pPr>
          </w:p>
        </w:tc>
        <w:tc>
          <w:tcPr>
            <w:tcW w:w="1421" w:type="dxa"/>
            <w:hideMark/>
          </w:tcPr>
          <w:p w:rsidR="00CC134B" w:rsidRPr="00F05687" w:rsidRDefault="00CC134B" w:rsidP="00076F67">
            <w:pPr>
              <w:pStyle w:val="Tabletext"/>
              <w:keepNext/>
            </w:pPr>
            <w:r w:rsidRPr="00F05687">
              <w:t>Cost per QALY</w:t>
            </w:r>
          </w:p>
        </w:tc>
        <w:tc>
          <w:tcPr>
            <w:tcW w:w="1811" w:type="dxa"/>
            <w:vMerge/>
            <w:hideMark/>
          </w:tcPr>
          <w:p w:rsidR="00CC134B" w:rsidRPr="00F05687" w:rsidRDefault="00CC134B" w:rsidP="00076F67">
            <w:pPr>
              <w:pStyle w:val="Tabletext"/>
              <w:keepNext/>
            </w:pPr>
          </w:p>
        </w:tc>
        <w:tc>
          <w:tcPr>
            <w:tcW w:w="1701" w:type="dxa"/>
            <w:vMerge/>
            <w:hideMark/>
          </w:tcPr>
          <w:p w:rsidR="00CC134B" w:rsidRPr="00F05687" w:rsidRDefault="00CC134B" w:rsidP="00076F67">
            <w:pPr>
              <w:pStyle w:val="Tabletext"/>
              <w:keepNext/>
            </w:pPr>
          </w:p>
        </w:tc>
        <w:tc>
          <w:tcPr>
            <w:tcW w:w="993" w:type="dxa"/>
          </w:tcPr>
          <w:p w:rsidR="00CC134B" w:rsidRPr="00F05687" w:rsidRDefault="00CC134B" w:rsidP="00076F67">
            <w:pPr>
              <w:pStyle w:val="Tabletext"/>
              <w:keepNext/>
              <w:jc w:val="right"/>
            </w:pPr>
          </w:p>
        </w:tc>
        <w:tc>
          <w:tcPr>
            <w:tcW w:w="992" w:type="dxa"/>
          </w:tcPr>
          <w:p w:rsidR="00CC134B" w:rsidRPr="00F05687" w:rsidRDefault="00CC134B" w:rsidP="00076F67">
            <w:pPr>
              <w:pStyle w:val="Tabletext"/>
              <w:keepNext/>
              <w:jc w:val="right"/>
            </w:pPr>
          </w:p>
        </w:tc>
        <w:tc>
          <w:tcPr>
            <w:tcW w:w="858" w:type="dxa"/>
          </w:tcPr>
          <w:p w:rsidR="00CC134B" w:rsidRPr="00F05687" w:rsidRDefault="00CC134B" w:rsidP="00076F67">
            <w:pPr>
              <w:pStyle w:val="Tabletext"/>
              <w:keepNext/>
              <w:jc w:val="right"/>
            </w:pPr>
            <w:r w:rsidRPr="00F05687">
              <w:t>$</w:t>
            </w:r>
            <w:r w:rsidR="004C5EA1">
              <w:rPr>
                <w:noProof/>
                <w:color w:val="000000"/>
                <w:highlight w:val="black"/>
              </w:rPr>
              <w:t>'''''''''''''''''</w:t>
            </w:r>
          </w:p>
        </w:tc>
      </w:tr>
      <w:tr w:rsidR="00CC134B" w:rsidRPr="00F05687" w:rsidTr="00CC134B">
        <w:tc>
          <w:tcPr>
            <w:tcW w:w="9188" w:type="dxa"/>
            <w:gridSpan w:val="7"/>
          </w:tcPr>
          <w:p w:rsidR="00CC134B" w:rsidRPr="00F05687" w:rsidRDefault="00CC134B" w:rsidP="00076F67">
            <w:pPr>
              <w:pStyle w:val="Tabletext"/>
              <w:keepNext/>
              <w:rPr>
                <w:b/>
              </w:rPr>
            </w:pPr>
            <w:r w:rsidRPr="00F05687">
              <w:rPr>
                <w:b/>
              </w:rPr>
              <w:t>Parameter uncertainty</w:t>
            </w:r>
          </w:p>
        </w:tc>
      </w:tr>
      <w:tr w:rsidR="00CC134B" w:rsidRPr="00F05687" w:rsidTr="009A4928">
        <w:tc>
          <w:tcPr>
            <w:tcW w:w="1412" w:type="dxa"/>
            <w:vMerge w:val="restart"/>
          </w:tcPr>
          <w:p w:rsidR="00CC134B" w:rsidRPr="00F05687" w:rsidRDefault="00CC134B" w:rsidP="00076F67">
            <w:pPr>
              <w:pStyle w:val="Tabletext"/>
              <w:keepNext/>
            </w:pPr>
            <w:r w:rsidRPr="00F05687">
              <w:t>Average number of ranibizumab treatments</w:t>
            </w:r>
          </w:p>
        </w:tc>
        <w:tc>
          <w:tcPr>
            <w:tcW w:w="1421" w:type="dxa"/>
            <w:hideMark/>
          </w:tcPr>
          <w:p w:rsidR="00CC134B" w:rsidRPr="00F05687" w:rsidRDefault="00CC134B" w:rsidP="00076F67">
            <w:pPr>
              <w:pStyle w:val="Tabletext"/>
              <w:keepNext/>
            </w:pPr>
            <w:r w:rsidRPr="00F05687">
              <w:t>Costs</w:t>
            </w:r>
          </w:p>
        </w:tc>
        <w:tc>
          <w:tcPr>
            <w:tcW w:w="1811" w:type="dxa"/>
            <w:vMerge w:val="restart"/>
            <w:hideMark/>
          </w:tcPr>
          <w:p w:rsidR="00CC134B" w:rsidRPr="00F05687" w:rsidRDefault="00CC134B" w:rsidP="00076F67">
            <w:pPr>
              <w:pStyle w:val="Tabletext"/>
              <w:keepNext/>
            </w:pPr>
            <w:r w:rsidRPr="00F05687">
              <w:t>Year 1 – 5.80</w:t>
            </w:r>
            <w:r w:rsidRPr="00F05687">
              <w:br/>
              <w:t>Year 2 – 1.00</w:t>
            </w:r>
          </w:p>
        </w:tc>
        <w:tc>
          <w:tcPr>
            <w:tcW w:w="1701" w:type="dxa"/>
            <w:vMerge w:val="restart"/>
            <w:hideMark/>
          </w:tcPr>
          <w:p w:rsidR="00CC134B" w:rsidRPr="00F05687" w:rsidRDefault="00CC134B" w:rsidP="00076F67">
            <w:pPr>
              <w:pStyle w:val="Tabletext"/>
              <w:keepNext/>
            </w:pPr>
            <w:r w:rsidRPr="00F05687">
              <w:t>Year 1 – 3.57</w:t>
            </w:r>
            <w:r w:rsidRPr="00F05687">
              <w:br/>
              <w:t>Year 2 – 1.00</w:t>
            </w:r>
          </w:p>
        </w:tc>
        <w:tc>
          <w:tcPr>
            <w:tcW w:w="993" w:type="dxa"/>
          </w:tcPr>
          <w:p w:rsidR="00CC134B" w:rsidRPr="00F05687" w:rsidRDefault="00CC134B" w:rsidP="00076F67">
            <w:pPr>
              <w:pStyle w:val="Tabletext"/>
              <w:keepNext/>
              <w:jc w:val="right"/>
            </w:pPr>
            <w:r w:rsidRPr="00F05687">
              <w:t>$</w:t>
            </w:r>
            <w:r w:rsidR="004C5EA1">
              <w:rPr>
                <w:noProof/>
                <w:color w:val="000000"/>
                <w:highlight w:val="black"/>
              </w:rPr>
              <w:t>''''''''''''</w:t>
            </w:r>
          </w:p>
        </w:tc>
        <w:tc>
          <w:tcPr>
            <w:tcW w:w="992" w:type="dxa"/>
          </w:tcPr>
          <w:p w:rsidR="00CC134B" w:rsidRPr="00F05687" w:rsidRDefault="00CC134B" w:rsidP="00076F67">
            <w:pPr>
              <w:pStyle w:val="Tabletext"/>
              <w:keepNext/>
              <w:jc w:val="right"/>
            </w:pPr>
            <w:r w:rsidRPr="00F05687">
              <w:t>$</w:t>
            </w:r>
            <w:r w:rsidR="004C5EA1">
              <w:rPr>
                <w:noProof/>
                <w:color w:val="000000"/>
                <w:highlight w:val="black"/>
              </w:rPr>
              <w:t>'''''''''''''</w:t>
            </w:r>
          </w:p>
        </w:tc>
        <w:tc>
          <w:tcPr>
            <w:tcW w:w="858" w:type="dxa"/>
          </w:tcPr>
          <w:p w:rsidR="00CC134B" w:rsidRPr="00F05687" w:rsidRDefault="00CC134B" w:rsidP="00076F67">
            <w:pPr>
              <w:pStyle w:val="Tabletext"/>
              <w:keepNext/>
              <w:jc w:val="right"/>
            </w:pPr>
            <w:r w:rsidRPr="00F05687">
              <w:t>$</w:t>
            </w:r>
            <w:r w:rsidR="004C5EA1">
              <w:rPr>
                <w:noProof/>
                <w:color w:val="000000"/>
                <w:highlight w:val="black"/>
              </w:rPr>
              <w:t>'''''''''''''</w:t>
            </w:r>
          </w:p>
        </w:tc>
      </w:tr>
      <w:tr w:rsidR="00CC134B" w:rsidRPr="00F05687" w:rsidTr="009A4928">
        <w:tc>
          <w:tcPr>
            <w:tcW w:w="1412" w:type="dxa"/>
            <w:vMerge/>
          </w:tcPr>
          <w:p w:rsidR="00CC134B" w:rsidRPr="00F05687" w:rsidRDefault="00CC134B" w:rsidP="00076F67">
            <w:pPr>
              <w:pStyle w:val="Tabletext"/>
              <w:keepNext/>
            </w:pPr>
          </w:p>
        </w:tc>
        <w:tc>
          <w:tcPr>
            <w:tcW w:w="1421" w:type="dxa"/>
            <w:hideMark/>
          </w:tcPr>
          <w:p w:rsidR="00CC134B" w:rsidRPr="00F05687" w:rsidRDefault="00CC134B" w:rsidP="00076F67">
            <w:pPr>
              <w:pStyle w:val="Tabletext"/>
              <w:keepNext/>
            </w:pPr>
            <w:r w:rsidRPr="00F05687">
              <w:t>QALYs</w:t>
            </w:r>
          </w:p>
        </w:tc>
        <w:tc>
          <w:tcPr>
            <w:tcW w:w="1811" w:type="dxa"/>
            <w:vMerge/>
            <w:hideMark/>
          </w:tcPr>
          <w:p w:rsidR="00CC134B" w:rsidRPr="00F05687" w:rsidRDefault="00CC134B" w:rsidP="00076F67">
            <w:pPr>
              <w:pStyle w:val="Tabletext"/>
              <w:keepNext/>
            </w:pPr>
          </w:p>
        </w:tc>
        <w:tc>
          <w:tcPr>
            <w:tcW w:w="1701" w:type="dxa"/>
            <w:vMerge/>
            <w:hideMark/>
          </w:tcPr>
          <w:p w:rsidR="00CC134B" w:rsidRPr="00F05687" w:rsidRDefault="00CC134B" w:rsidP="00076F67">
            <w:pPr>
              <w:pStyle w:val="Tabletext"/>
              <w:keepNext/>
            </w:pPr>
          </w:p>
        </w:tc>
        <w:tc>
          <w:tcPr>
            <w:tcW w:w="993" w:type="dxa"/>
            <w:vAlign w:val="center"/>
          </w:tcPr>
          <w:p w:rsidR="00CC134B" w:rsidRPr="004C5EA1" w:rsidRDefault="004C5EA1" w:rsidP="00076F67">
            <w:pPr>
              <w:pStyle w:val="Tabletext"/>
              <w:keepNext/>
              <w:jc w:val="right"/>
              <w:rPr>
                <w:highlight w:val="black"/>
              </w:rPr>
            </w:pPr>
            <w:r>
              <w:rPr>
                <w:noProof/>
                <w:color w:val="000000"/>
                <w:highlight w:val="black"/>
              </w:rPr>
              <w:t>''''''''''</w:t>
            </w:r>
          </w:p>
        </w:tc>
        <w:tc>
          <w:tcPr>
            <w:tcW w:w="992" w:type="dxa"/>
            <w:vAlign w:val="center"/>
          </w:tcPr>
          <w:p w:rsidR="00CC134B" w:rsidRPr="004C5EA1" w:rsidRDefault="004C5EA1" w:rsidP="00076F67">
            <w:pPr>
              <w:pStyle w:val="Tabletext"/>
              <w:keepNext/>
              <w:jc w:val="right"/>
              <w:rPr>
                <w:highlight w:val="black"/>
              </w:rPr>
            </w:pPr>
            <w:r>
              <w:rPr>
                <w:noProof/>
                <w:color w:val="000000"/>
                <w:highlight w:val="black"/>
              </w:rPr>
              <w:t>''''''''''</w:t>
            </w:r>
          </w:p>
        </w:tc>
        <w:tc>
          <w:tcPr>
            <w:tcW w:w="858" w:type="dxa"/>
            <w:vAlign w:val="center"/>
          </w:tcPr>
          <w:p w:rsidR="00CC134B" w:rsidRPr="004C5EA1" w:rsidRDefault="004C5EA1" w:rsidP="00076F67">
            <w:pPr>
              <w:pStyle w:val="Tabletext"/>
              <w:keepNext/>
              <w:jc w:val="right"/>
              <w:rPr>
                <w:highlight w:val="black"/>
              </w:rPr>
            </w:pPr>
            <w:r>
              <w:rPr>
                <w:noProof/>
                <w:color w:val="000000"/>
                <w:highlight w:val="black"/>
              </w:rPr>
              <w:t>''''''''''</w:t>
            </w:r>
          </w:p>
        </w:tc>
      </w:tr>
      <w:tr w:rsidR="00CC134B" w:rsidRPr="00F05687" w:rsidTr="009A4928">
        <w:tc>
          <w:tcPr>
            <w:tcW w:w="1412" w:type="dxa"/>
            <w:vMerge/>
          </w:tcPr>
          <w:p w:rsidR="00CC134B" w:rsidRPr="00F05687" w:rsidRDefault="00CC134B" w:rsidP="00076F67">
            <w:pPr>
              <w:pStyle w:val="Tabletext"/>
              <w:keepNext/>
            </w:pPr>
          </w:p>
        </w:tc>
        <w:tc>
          <w:tcPr>
            <w:tcW w:w="1421" w:type="dxa"/>
            <w:hideMark/>
          </w:tcPr>
          <w:p w:rsidR="00CC134B" w:rsidRPr="00F05687" w:rsidRDefault="00CC134B" w:rsidP="00076F67">
            <w:pPr>
              <w:pStyle w:val="Tabletext"/>
              <w:keepNext/>
            </w:pPr>
            <w:r w:rsidRPr="00F05687">
              <w:t>Cost per QALY</w:t>
            </w:r>
          </w:p>
        </w:tc>
        <w:tc>
          <w:tcPr>
            <w:tcW w:w="1811" w:type="dxa"/>
            <w:vMerge/>
            <w:hideMark/>
          </w:tcPr>
          <w:p w:rsidR="00CC134B" w:rsidRPr="00F05687" w:rsidRDefault="00CC134B" w:rsidP="00076F67">
            <w:pPr>
              <w:pStyle w:val="Tabletext"/>
              <w:keepNext/>
            </w:pPr>
          </w:p>
        </w:tc>
        <w:tc>
          <w:tcPr>
            <w:tcW w:w="1701" w:type="dxa"/>
            <w:vMerge/>
            <w:hideMark/>
          </w:tcPr>
          <w:p w:rsidR="00CC134B" w:rsidRPr="00F05687" w:rsidRDefault="00CC134B" w:rsidP="00076F67">
            <w:pPr>
              <w:pStyle w:val="Tabletext"/>
              <w:keepNext/>
            </w:pPr>
          </w:p>
        </w:tc>
        <w:tc>
          <w:tcPr>
            <w:tcW w:w="993" w:type="dxa"/>
            <w:vAlign w:val="center"/>
          </w:tcPr>
          <w:p w:rsidR="00CC134B" w:rsidRPr="00F05687" w:rsidRDefault="00CC134B" w:rsidP="00076F67">
            <w:pPr>
              <w:pStyle w:val="Tabletext"/>
              <w:keepNext/>
              <w:jc w:val="right"/>
            </w:pPr>
          </w:p>
        </w:tc>
        <w:tc>
          <w:tcPr>
            <w:tcW w:w="992" w:type="dxa"/>
            <w:vAlign w:val="center"/>
          </w:tcPr>
          <w:p w:rsidR="00CC134B" w:rsidRPr="00F05687" w:rsidRDefault="00CC134B" w:rsidP="00076F67">
            <w:pPr>
              <w:pStyle w:val="Tabletext"/>
              <w:keepNext/>
              <w:jc w:val="right"/>
            </w:pPr>
          </w:p>
        </w:tc>
        <w:tc>
          <w:tcPr>
            <w:tcW w:w="858" w:type="dxa"/>
            <w:vAlign w:val="center"/>
          </w:tcPr>
          <w:p w:rsidR="00CC134B" w:rsidRPr="00F05687" w:rsidRDefault="00CC134B" w:rsidP="00076F67">
            <w:pPr>
              <w:pStyle w:val="Tabletext"/>
              <w:keepNext/>
              <w:jc w:val="right"/>
            </w:pPr>
            <w:r w:rsidRPr="00F05687">
              <w:t>$</w:t>
            </w:r>
            <w:r w:rsidR="004C5EA1">
              <w:rPr>
                <w:noProof/>
                <w:color w:val="000000"/>
                <w:highlight w:val="black"/>
              </w:rPr>
              <w:t>''''''''''''''</w:t>
            </w:r>
          </w:p>
        </w:tc>
      </w:tr>
      <w:tr w:rsidR="00CC134B" w:rsidRPr="00F05687" w:rsidTr="009A4928">
        <w:tc>
          <w:tcPr>
            <w:tcW w:w="1412" w:type="dxa"/>
            <w:vMerge w:val="restart"/>
          </w:tcPr>
          <w:p w:rsidR="00CC134B" w:rsidRPr="00F05687" w:rsidRDefault="00CC134B" w:rsidP="00076F67">
            <w:pPr>
              <w:pStyle w:val="Tabletext"/>
              <w:keepNext/>
            </w:pPr>
            <w:r w:rsidRPr="00F05687">
              <w:t>Average number of ranibizumab treatments</w:t>
            </w:r>
          </w:p>
        </w:tc>
        <w:tc>
          <w:tcPr>
            <w:tcW w:w="1421" w:type="dxa"/>
          </w:tcPr>
          <w:p w:rsidR="00CC134B" w:rsidRPr="00F05687" w:rsidRDefault="00CC134B" w:rsidP="00076F67">
            <w:pPr>
              <w:pStyle w:val="Tabletext"/>
              <w:keepNext/>
            </w:pPr>
            <w:r w:rsidRPr="00F05687">
              <w:t>Costs</w:t>
            </w:r>
          </w:p>
        </w:tc>
        <w:tc>
          <w:tcPr>
            <w:tcW w:w="1811" w:type="dxa"/>
            <w:vMerge w:val="restart"/>
            <w:hideMark/>
          </w:tcPr>
          <w:p w:rsidR="00CC134B" w:rsidRPr="00F05687" w:rsidRDefault="00CC134B" w:rsidP="00076F67">
            <w:pPr>
              <w:pStyle w:val="Tabletext"/>
              <w:keepNext/>
            </w:pPr>
            <w:r w:rsidRPr="00F05687">
              <w:t>All patients</w:t>
            </w:r>
          </w:p>
          <w:p w:rsidR="00CC134B" w:rsidRPr="00F05687" w:rsidRDefault="00CC134B" w:rsidP="00076F67">
            <w:pPr>
              <w:pStyle w:val="Tabletext"/>
              <w:keepNext/>
            </w:pPr>
            <w:r w:rsidRPr="00F05687">
              <w:t>Year 1 – 5.80</w:t>
            </w:r>
            <w:r w:rsidRPr="00F05687">
              <w:br/>
              <w:t>Year 2 – 1.00</w:t>
            </w:r>
          </w:p>
        </w:tc>
        <w:tc>
          <w:tcPr>
            <w:tcW w:w="1701" w:type="dxa"/>
            <w:vMerge w:val="restart"/>
            <w:hideMark/>
          </w:tcPr>
          <w:p w:rsidR="00CC134B" w:rsidRPr="004C5EA1" w:rsidRDefault="004C5EA1" w:rsidP="00076F67">
            <w:pPr>
              <w:pStyle w:val="Tabletext"/>
              <w:keepNext/>
              <w:rPr>
                <w:highlight w:val="black"/>
                <w:u w:val="single"/>
              </w:rPr>
            </w:pPr>
            <w:r>
              <w:rPr>
                <w:noProof/>
                <w:color w:val="000000"/>
                <w:highlight w:val="black"/>
                <w:u w:val="single"/>
              </w:rPr>
              <w:t>'''''''' ''''''''''''''''''''''''</w:t>
            </w:r>
          </w:p>
          <w:p w:rsidR="00CC134B" w:rsidRPr="004C5EA1" w:rsidRDefault="004C5EA1" w:rsidP="00076F67">
            <w:pPr>
              <w:pStyle w:val="Tabletext"/>
              <w:keepNext/>
              <w:rPr>
                <w:highlight w:val="black"/>
              </w:rPr>
            </w:pPr>
            <w:r>
              <w:rPr>
                <w:noProof/>
                <w:color w:val="000000"/>
                <w:highlight w:val="black"/>
              </w:rPr>
              <w:t>'''''''''' '''' ''' '''''''''''</w:t>
            </w:r>
            <w:r>
              <w:rPr>
                <w:noProof/>
                <w:color w:val="000000"/>
                <w:highlight w:val="black"/>
              </w:rPr>
              <w:br/>
              <w:t>''''''''''' '''' ''' '''''''''''</w:t>
            </w:r>
          </w:p>
          <w:p w:rsidR="00CC134B" w:rsidRPr="004C5EA1" w:rsidRDefault="004C5EA1" w:rsidP="00076F67">
            <w:pPr>
              <w:pStyle w:val="Tabletext"/>
              <w:keepNext/>
              <w:rPr>
                <w:highlight w:val="black"/>
              </w:rPr>
            </w:pPr>
            <w:r>
              <w:rPr>
                <w:noProof/>
                <w:color w:val="000000"/>
                <w:highlight w:val="black"/>
              </w:rPr>
              <w:t>''''''''''' ''' '''' ''''''''''</w:t>
            </w:r>
          </w:p>
          <w:p w:rsidR="00CC134B" w:rsidRPr="004C5EA1" w:rsidRDefault="004C5EA1" w:rsidP="00076F67">
            <w:pPr>
              <w:pStyle w:val="Tabletext"/>
              <w:keepNext/>
              <w:rPr>
                <w:highlight w:val="black"/>
              </w:rPr>
            </w:pPr>
            <w:r>
              <w:rPr>
                <w:noProof/>
                <w:color w:val="000000"/>
                <w:highlight w:val="black"/>
              </w:rPr>
              <w:t>'''''''''' '''' ''' ''''''''''</w:t>
            </w:r>
          </w:p>
          <w:p w:rsidR="00CC134B" w:rsidRPr="004C5EA1" w:rsidRDefault="004C5EA1" w:rsidP="00076F67">
            <w:pPr>
              <w:pStyle w:val="Tabletext"/>
              <w:keepNext/>
              <w:rPr>
                <w:highlight w:val="black"/>
              </w:rPr>
            </w:pPr>
            <w:r>
              <w:rPr>
                <w:noProof/>
                <w:color w:val="000000"/>
                <w:highlight w:val="black"/>
              </w:rPr>
              <w:t>''''''''''' '''' ''' '''''''''''</w:t>
            </w:r>
          </w:p>
          <w:p w:rsidR="00CC134B" w:rsidRPr="004C5EA1" w:rsidRDefault="004C5EA1" w:rsidP="00076F67">
            <w:pPr>
              <w:pStyle w:val="Tabletext"/>
              <w:keepNext/>
              <w:rPr>
                <w:highlight w:val="black"/>
                <w:u w:val="single"/>
              </w:rPr>
            </w:pPr>
            <w:r>
              <w:rPr>
                <w:noProof/>
                <w:color w:val="000000"/>
                <w:highlight w:val="black"/>
                <w:u w:val="single"/>
              </w:rPr>
              <w:t>'''''''''' ''''''' ''''''''''''''''''''''</w:t>
            </w:r>
          </w:p>
          <w:p w:rsidR="00CC134B" w:rsidRPr="004C5EA1" w:rsidRDefault="004C5EA1" w:rsidP="00076F67">
            <w:pPr>
              <w:pStyle w:val="Tabletext"/>
              <w:keepNext/>
              <w:rPr>
                <w:highlight w:val="black"/>
              </w:rPr>
            </w:pPr>
            <w:r>
              <w:rPr>
                <w:noProof/>
                <w:color w:val="000000"/>
                <w:highlight w:val="black"/>
              </w:rPr>
              <w:t>''''''''''''' ''' '''' ''''''''''</w:t>
            </w:r>
            <w:r>
              <w:rPr>
                <w:noProof/>
                <w:color w:val="000000"/>
                <w:highlight w:val="black"/>
              </w:rPr>
              <w:br/>
              <w:t>'''''''''''' ''' ''' '''''''''''</w:t>
            </w:r>
          </w:p>
        </w:tc>
        <w:tc>
          <w:tcPr>
            <w:tcW w:w="993" w:type="dxa"/>
            <w:vAlign w:val="center"/>
          </w:tcPr>
          <w:p w:rsidR="00CC134B" w:rsidRPr="00F05687" w:rsidRDefault="00CC134B" w:rsidP="00076F67">
            <w:pPr>
              <w:pStyle w:val="Tabletext"/>
              <w:keepNext/>
              <w:jc w:val="right"/>
            </w:pPr>
            <w:r w:rsidRPr="00F05687">
              <w:t>$</w:t>
            </w:r>
            <w:r w:rsidR="004C5EA1">
              <w:rPr>
                <w:noProof/>
                <w:color w:val="000000"/>
                <w:highlight w:val="black"/>
              </w:rPr>
              <w:t>'''''''''''''''</w:t>
            </w:r>
          </w:p>
        </w:tc>
        <w:tc>
          <w:tcPr>
            <w:tcW w:w="992" w:type="dxa"/>
            <w:vAlign w:val="center"/>
          </w:tcPr>
          <w:p w:rsidR="00CC134B" w:rsidRPr="00F05687" w:rsidRDefault="00CC134B" w:rsidP="00076F67">
            <w:pPr>
              <w:pStyle w:val="Tabletext"/>
              <w:keepNext/>
              <w:jc w:val="right"/>
            </w:pPr>
            <w:r w:rsidRPr="00F05687">
              <w:t>$</w:t>
            </w:r>
            <w:r w:rsidR="004C5EA1">
              <w:rPr>
                <w:noProof/>
                <w:color w:val="000000"/>
                <w:highlight w:val="black"/>
              </w:rPr>
              <w:t>'''''''''''''</w:t>
            </w:r>
          </w:p>
        </w:tc>
        <w:tc>
          <w:tcPr>
            <w:tcW w:w="858" w:type="dxa"/>
            <w:vAlign w:val="center"/>
          </w:tcPr>
          <w:p w:rsidR="00CC134B" w:rsidRPr="00F05687" w:rsidRDefault="00CC134B" w:rsidP="00076F67">
            <w:pPr>
              <w:pStyle w:val="Tabletext"/>
              <w:keepNext/>
              <w:jc w:val="right"/>
            </w:pPr>
            <w:r w:rsidRPr="00F05687">
              <w:t>$</w:t>
            </w:r>
            <w:r w:rsidR="004C5EA1">
              <w:rPr>
                <w:noProof/>
                <w:color w:val="000000"/>
                <w:highlight w:val="black"/>
              </w:rPr>
              <w:t>'''''''''''''</w:t>
            </w:r>
          </w:p>
        </w:tc>
      </w:tr>
      <w:tr w:rsidR="00CC134B" w:rsidRPr="00F05687" w:rsidTr="009A4928">
        <w:tc>
          <w:tcPr>
            <w:tcW w:w="1412" w:type="dxa"/>
            <w:vMerge/>
          </w:tcPr>
          <w:p w:rsidR="00CC134B" w:rsidRPr="00F05687" w:rsidRDefault="00CC134B" w:rsidP="00076F67">
            <w:pPr>
              <w:pStyle w:val="Tabletext"/>
              <w:keepNext/>
            </w:pPr>
          </w:p>
        </w:tc>
        <w:tc>
          <w:tcPr>
            <w:tcW w:w="1421" w:type="dxa"/>
            <w:hideMark/>
          </w:tcPr>
          <w:p w:rsidR="00CC134B" w:rsidRPr="00F05687" w:rsidRDefault="00CC134B" w:rsidP="00076F67">
            <w:pPr>
              <w:pStyle w:val="Tabletext"/>
              <w:keepNext/>
            </w:pPr>
            <w:r w:rsidRPr="00F05687">
              <w:t>QALYs</w:t>
            </w:r>
          </w:p>
        </w:tc>
        <w:tc>
          <w:tcPr>
            <w:tcW w:w="1811" w:type="dxa"/>
            <w:vMerge/>
            <w:hideMark/>
          </w:tcPr>
          <w:p w:rsidR="00CC134B" w:rsidRPr="00F05687" w:rsidRDefault="00CC134B" w:rsidP="00076F67">
            <w:pPr>
              <w:pStyle w:val="Tabletext"/>
              <w:keepNext/>
            </w:pPr>
          </w:p>
        </w:tc>
        <w:tc>
          <w:tcPr>
            <w:tcW w:w="1701" w:type="dxa"/>
            <w:vMerge/>
            <w:hideMark/>
          </w:tcPr>
          <w:p w:rsidR="00CC134B" w:rsidRPr="00F05687" w:rsidRDefault="00CC134B" w:rsidP="00076F67">
            <w:pPr>
              <w:pStyle w:val="Tabletext"/>
              <w:keepNext/>
            </w:pPr>
          </w:p>
        </w:tc>
        <w:tc>
          <w:tcPr>
            <w:tcW w:w="993" w:type="dxa"/>
            <w:vAlign w:val="center"/>
          </w:tcPr>
          <w:p w:rsidR="00CC134B" w:rsidRPr="004C5EA1" w:rsidRDefault="004C5EA1" w:rsidP="00076F67">
            <w:pPr>
              <w:pStyle w:val="Tabletext"/>
              <w:keepNext/>
              <w:jc w:val="right"/>
              <w:rPr>
                <w:highlight w:val="black"/>
              </w:rPr>
            </w:pPr>
            <w:r>
              <w:rPr>
                <w:noProof/>
                <w:color w:val="000000"/>
                <w:highlight w:val="black"/>
              </w:rPr>
              <w:t>'''''''''''</w:t>
            </w:r>
          </w:p>
        </w:tc>
        <w:tc>
          <w:tcPr>
            <w:tcW w:w="992" w:type="dxa"/>
            <w:vAlign w:val="center"/>
          </w:tcPr>
          <w:p w:rsidR="00CC134B" w:rsidRPr="004C5EA1" w:rsidRDefault="004C5EA1" w:rsidP="00076F67">
            <w:pPr>
              <w:pStyle w:val="Tabletext"/>
              <w:keepNext/>
              <w:jc w:val="right"/>
              <w:rPr>
                <w:highlight w:val="black"/>
              </w:rPr>
            </w:pPr>
            <w:r>
              <w:rPr>
                <w:noProof/>
                <w:color w:val="000000"/>
                <w:highlight w:val="black"/>
              </w:rPr>
              <w:t>''''''''''</w:t>
            </w:r>
          </w:p>
        </w:tc>
        <w:tc>
          <w:tcPr>
            <w:tcW w:w="858" w:type="dxa"/>
            <w:vAlign w:val="center"/>
          </w:tcPr>
          <w:p w:rsidR="00CC134B" w:rsidRPr="004C5EA1" w:rsidRDefault="004C5EA1" w:rsidP="00076F67">
            <w:pPr>
              <w:pStyle w:val="Tabletext"/>
              <w:keepNext/>
              <w:jc w:val="right"/>
              <w:rPr>
                <w:highlight w:val="black"/>
              </w:rPr>
            </w:pPr>
            <w:r>
              <w:rPr>
                <w:noProof/>
                <w:color w:val="000000"/>
                <w:highlight w:val="black"/>
              </w:rPr>
              <w:t>''''''''''</w:t>
            </w:r>
          </w:p>
        </w:tc>
      </w:tr>
      <w:tr w:rsidR="00CC134B" w:rsidRPr="00F05687" w:rsidTr="009A4928">
        <w:tc>
          <w:tcPr>
            <w:tcW w:w="1412" w:type="dxa"/>
            <w:vMerge/>
          </w:tcPr>
          <w:p w:rsidR="00CC134B" w:rsidRPr="00F05687" w:rsidRDefault="00CC134B" w:rsidP="00076F67">
            <w:pPr>
              <w:pStyle w:val="Tabletext"/>
              <w:keepNext/>
            </w:pPr>
          </w:p>
        </w:tc>
        <w:tc>
          <w:tcPr>
            <w:tcW w:w="1421" w:type="dxa"/>
            <w:hideMark/>
          </w:tcPr>
          <w:p w:rsidR="00CC134B" w:rsidRPr="00F05687" w:rsidRDefault="00CC134B" w:rsidP="00076F67">
            <w:pPr>
              <w:pStyle w:val="Tabletext"/>
              <w:keepNext/>
            </w:pPr>
            <w:r w:rsidRPr="00F05687">
              <w:t>Cost per QALY</w:t>
            </w:r>
          </w:p>
        </w:tc>
        <w:tc>
          <w:tcPr>
            <w:tcW w:w="1811" w:type="dxa"/>
            <w:vMerge/>
            <w:hideMark/>
          </w:tcPr>
          <w:p w:rsidR="00CC134B" w:rsidRPr="00F05687" w:rsidRDefault="00CC134B" w:rsidP="00076F67">
            <w:pPr>
              <w:pStyle w:val="Tabletext"/>
              <w:keepNext/>
            </w:pPr>
          </w:p>
        </w:tc>
        <w:tc>
          <w:tcPr>
            <w:tcW w:w="1701" w:type="dxa"/>
            <w:vMerge/>
            <w:hideMark/>
          </w:tcPr>
          <w:p w:rsidR="00CC134B" w:rsidRPr="00F05687" w:rsidRDefault="00CC134B" w:rsidP="00076F67">
            <w:pPr>
              <w:pStyle w:val="Tabletext"/>
              <w:keepNext/>
            </w:pPr>
          </w:p>
        </w:tc>
        <w:tc>
          <w:tcPr>
            <w:tcW w:w="993" w:type="dxa"/>
            <w:vAlign w:val="center"/>
          </w:tcPr>
          <w:p w:rsidR="00CC134B" w:rsidRPr="00F05687" w:rsidRDefault="00CC134B" w:rsidP="00076F67">
            <w:pPr>
              <w:pStyle w:val="Tabletext"/>
              <w:keepNext/>
              <w:jc w:val="right"/>
            </w:pPr>
          </w:p>
        </w:tc>
        <w:tc>
          <w:tcPr>
            <w:tcW w:w="992" w:type="dxa"/>
            <w:vAlign w:val="center"/>
          </w:tcPr>
          <w:p w:rsidR="00CC134B" w:rsidRPr="00F05687" w:rsidRDefault="00CC134B" w:rsidP="00076F67">
            <w:pPr>
              <w:pStyle w:val="Tabletext"/>
              <w:keepNext/>
              <w:jc w:val="right"/>
            </w:pPr>
          </w:p>
        </w:tc>
        <w:tc>
          <w:tcPr>
            <w:tcW w:w="858" w:type="dxa"/>
            <w:vAlign w:val="center"/>
          </w:tcPr>
          <w:p w:rsidR="00CC134B" w:rsidRPr="00F05687" w:rsidRDefault="00CC134B" w:rsidP="00076F67">
            <w:pPr>
              <w:pStyle w:val="Tabletext"/>
              <w:keepNext/>
              <w:jc w:val="right"/>
            </w:pPr>
            <w:r w:rsidRPr="00F05687">
              <w:t>$</w:t>
            </w:r>
            <w:r w:rsidR="004C5EA1">
              <w:rPr>
                <w:noProof/>
                <w:color w:val="000000"/>
                <w:highlight w:val="black"/>
              </w:rPr>
              <w:t>''''''''''''''''</w:t>
            </w:r>
          </w:p>
        </w:tc>
      </w:tr>
      <w:tr w:rsidR="00CC134B" w:rsidRPr="00F05687" w:rsidTr="009A4928">
        <w:tc>
          <w:tcPr>
            <w:tcW w:w="1412" w:type="dxa"/>
            <w:vMerge w:val="restart"/>
          </w:tcPr>
          <w:p w:rsidR="00CC134B" w:rsidRPr="00F05687" w:rsidRDefault="00CC134B" w:rsidP="00076F67">
            <w:pPr>
              <w:pStyle w:val="Tabletext"/>
              <w:keepNext/>
            </w:pPr>
            <w:r w:rsidRPr="00F05687">
              <w:t>Cost of blindness/month</w:t>
            </w:r>
          </w:p>
        </w:tc>
        <w:tc>
          <w:tcPr>
            <w:tcW w:w="1421" w:type="dxa"/>
            <w:hideMark/>
          </w:tcPr>
          <w:p w:rsidR="00CC134B" w:rsidRPr="00F05687" w:rsidRDefault="00CC134B" w:rsidP="00076F67">
            <w:pPr>
              <w:pStyle w:val="Tabletext"/>
              <w:keepNext/>
            </w:pPr>
            <w:r w:rsidRPr="00F05687">
              <w:t>Costs</w:t>
            </w:r>
          </w:p>
        </w:tc>
        <w:tc>
          <w:tcPr>
            <w:tcW w:w="1811" w:type="dxa"/>
            <w:vMerge w:val="restart"/>
            <w:hideMark/>
          </w:tcPr>
          <w:p w:rsidR="00CC134B" w:rsidRPr="00F05687" w:rsidRDefault="00CC134B" w:rsidP="00076F67">
            <w:pPr>
              <w:pStyle w:val="Tabletext"/>
              <w:keepNext/>
            </w:pPr>
            <w:r w:rsidRPr="00F05687">
              <w:t xml:space="preserve">Year 1 - </w:t>
            </w:r>
            <w:r w:rsidR="004C5EA1">
              <w:rPr>
                <w:noProof/>
                <w:color w:val="000000"/>
                <w:highlight w:val="black"/>
              </w:rPr>
              <w:t>'''''''''''''''''''''''''</w:t>
            </w:r>
            <w:r w:rsidR="004C5EA1">
              <w:rPr>
                <w:noProof/>
                <w:color w:val="000000"/>
                <w:highlight w:val="black"/>
              </w:rPr>
              <w:br/>
            </w:r>
            <w:r w:rsidRPr="0034729E">
              <w:t xml:space="preserve">Subsequent years - </w:t>
            </w:r>
            <w:r w:rsidR="004C5EA1">
              <w:rPr>
                <w:noProof/>
                <w:color w:val="000000"/>
                <w:highlight w:val="black"/>
              </w:rPr>
              <w:t>'''''''''''''''''</w:t>
            </w:r>
          </w:p>
        </w:tc>
        <w:tc>
          <w:tcPr>
            <w:tcW w:w="1701" w:type="dxa"/>
            <w:vMerge w:val="restart"/>
            <w:hideMark/>
          </w:tcPr>
          <w:p w:rsidR="00CC134B" w:rsidRPr="00F05687" w:rsidRDefault="00CC134B" w:rsidP="00076F67">
            <w:pPr>
              <w:pStyle w:val="Tabletext"/>
              <w:keepNext/>
            </w:pPr>
            <w:r w:rsidRPr="00F05687">
              <w:t>$0.00</w:t>
            </w:r>
          </w:p>
        </w:tc>
        <w:tc>
          <w:tcPr>
            <w:tcW w:w="993" w:type="dxa"/>
          </w:tcPr>
          <w:p w:rsidR="00CC134B" w:rsidRPr="00F05687" w:rsidRDefault="00CC134B" w:rsidP="00076F67">
            <w:pPr>
              <w:pStyle w:val="Tabletext"/>
              <w:keepNext/>
              <w:jc w:val="right"/>
            </w:pPr>
            <w:r w:rsidRPr="00F05687">
              <w:t>$</w:t>
            </w:r>
            <w:r w:rsidR="004C5EA1">
              <w:rPr>
                <w:noProof/>
                <w:color w:val="000000"/>
                <w:highlight w:val="black"/>
              </w:rPr>
              <w:t>''''''''''''''''</w:t>
            </w:r>
          </w:p>
        </w:tc>
        <w:tc>
          <w:tcPr>
            <w:tcW w:w="992" w:type="dxa"/>
          </w:tcPr>
          <w:p w:rsidR="00CC134B" w:rsidRPr="00F05687" w:rsidRDefault="00CC134B" w:rsidP="00076F67">
            <w:pPr>
              <w:pStyle w:val="Tabletext"/>
              <w:keepNext/>
              <w:jc w:val="right"/>
            </w:pPr>
            <w:r w:rsidRPr="00F05687">
              <w:t>$</w:t>
            </w:r>
            <w:r w:rsidR="004C5EA1">
              <w:rPr>
                <w:noProof/>
                <w:color w:val="000000"/>
                <w:highlight w:val="black"/>
              </w:rPr>
              <w:t>''''''''''''''</w:t>
            </w:r>
          </w:p>
        </w:tc>
        <w:tc>
          <w:tcPr>
            <w:tcW w:w="858" w:type="dxa"/>
          </w:tcPr>
          <w:p w:rsidR="00CC134B" w:rsidRPr="00F05687" w:rsidRDefault="00CC134B" w:rsidP="00076F67">
            <w:pPr>
              <w:pStyle w:val="Tabletext"/>
              <w:keepNext/>
              <w:jc w:val="right"/>
            </w:pPr>
            <w:r w:rsidRPr="00F05687">
              <w:t>$</w:t>
            </w:r>
            <w:r w:rsidR="004C5EA1">
              <w:rPr>
                <w:noProof/>
                <w:color w:val="000000"/>
                <w:highlight w:val="black"/>
              </w:rPr>
              <w:t>''''''''''''''</w:t>
            </w:r>
          </w:p>
        </w:tc>
      </w:tr>
      <w:tr w:rsidR="00CC134B" w:rsidRPr="00F05687" w:rsidTr="009A4928">
        <w:tc>
          <w:tcPr>
            <w:tcW w:w="1412" w:type="dxa"/>
            <w:vMerge/>
          </w:tcPr>
          <w:p w:rsidR="00CC134B" w:rsidRPr="00F05687" w:rsidRDefault="00CC134B" w:rsidP="00076F67">
            <w:pPr>
              <w:pStyle w:val="Tabletext"/>
              <w:keepNext/>
            </w:pPr>
          </w:p>
        </w:tc>
        <w:tc>
          <w:tcPr>
            <w:tcW w:w="1421" w:type="dxa"/>
            <w:hideMark/>
          </w:tcPr>
          <w:p w:rsidR="00CC134B" w:rsidRPr="00F05687" w:rsidRDefault="00CC134B" w:rsidP="00076F67">
            <w:pPr>
              <w:pStyle w:val="Tabletext"/>
              <w:keepNext/>
            </w:pPr>
            <w:r w:rsidRPr="00F05687">
              <w:t>QALYs</w:t>
            </w:r>
          </w:p>
        </w:tc>
        <w:tc>
          <w:tcPr>
            <w:tcW w:w="1811" w:type="dxa"/>
            <w:vMerge/>
            <w:hideMark/>
          </w:tcPr>
          <w:p w:rsidR="00CC134B" w:rsidRPr="00F05687" w:rsidRDefault="00CC134B" w:rsidP="00076F67">
            <w:pPr>
              <w:pStyle w:val="Tabletext"/>
              <w:keepNext/>
            </w:pPr>
          </w:p>
        </w:tc>
        <w:tc>
          <w:tcPr>
            <w:tcW w:w="1701" w:type="dxa"/>
            <w:vMerge/>
            <w:hideMark/>
          </w:tcPr>
          <w:p w:rsidR="00CC134B" w:rsidRPr="00F05687" w:rsidRDefault="00CC134B" w:rsidP="00076F67">
            <w:pPr>
              <w:pStyle w:val="Tabletext"/>
              <w:keepNext/>
            </w:pPr>
          </w:p>
        </w:tc>
        <w:tc>
          <w:tcPr>
            <w:tcW w:w="993" w:type="dxa"/>
            <w:vAlign w:val="center"/>
          </w:tcPr>
          <w:p w:rsidR="00CC134B" w:rsidRPr="004C5EA1" w:rsidRDefault="004C5EA1" w:rsidP="00076F67">
            <w:pPr>
              <w:pStyle w:val="Tabletext"/>
              <w:keepNext/>
              <w:jc w:val="right"/>
              <w:rPr>
                <w:highlight w:val="black"/>
              </w:rPr>
            </w:pPr>
            <w:r>
              <w:rPr>
                <w:noProof/>
                <w:color w:val="000000"/>
                <w:highlight w:val="black"/>
              </w:rPr>
              <w:t>''''''''''''</w:t>
            </w:r>
          </w:p>
        </w:tc>
        <w:tc>
          <w:tcPr>
            <w:tcW w:w="992" w:type="dxa"/>
            <w:vAlign w:val="center"/>
          </w:tcPr>
          <w:p w:rsidR="00CC134B" w:rsidRPr="004C5EA1" w:rsidRDefault="004C5EA1" w:rsidP="00076F67">
            <w:pPr>
              <w:pStyle w:val="Tabletext"/>
              <w:keepNext/>
              <w:jc w:val="right"/>
              <w:rPr>
                <w:highlight w:val="black"/>
              </w:rPr>
            </w:pPr>
            <w:r>
              <w:rPr>
                <w:noProof/>
                <w:color w:val="000000"/>
                <w:highlight w:val="black"/>
              </w:rPr>
              <w:t>''''''''''</w:t>
            </w:r>
          </w:p>
        </w:tc>
        <w:tc>
          <w:tcPr>
            <w:tcW w:w="858" w:type="dxa"/>
            <w:vAlign w:val="center"/>
          </w:tcPr>
          <w:p w:rsidR="00CC134B" w:rsidRPr="004C5EA1" w:rsidRDefault="004C5EA1" w:rsidP="00076F67">
            <w:pPr>
              <w:pStyle w:val="Tabletext"/>
              <w:keepNext/>
              <w:jc w:val="right"/>
              <w:rPr>
                <w:highlight w:val="black"/>
              </w:rPr>
            </w:pPr>
            <w:r>
              <w:rPr>
                <w:noProof/>
                <w:color w:val="000000"/>
                <w:highlight w:val="black"/>
              </w:rPr>
              <w:t>'''''''''''</w:t>
            </w:r>
          </w:p>
        </w:tc>
      </w:tr>
      <w:tr w:rsidR="00CC134B" w:rsidRPr="00F05687" w:rsidTr="009A4928">
        <w:tc>
          <w:tcPr>
            <w:tcW w:w="1412" w:type="dxa"/>
            <w:vMerge/>
          </w:tcPr>
          <w:p w:rsidR="00CC134B" w:rsidRPr="00F05687" w:rsidRDefault="00CC134B" w:rsidP="00076F67">
            <w:pPr>
              <w:pStyle w:val="Tabletext"/>
              <w:keepNext/>
            </w:pPr>
          </w:p>
        </w:tc>
        <w:tc>
          <w:tcPr>
            <w:tcW w:w="1421" w:type="dxa"/>
            <w:hideMark/>
          </w:tcPr>
          <w:p w:rsidR="00CC134B" w:rsidRPr="00F05687" w:rsidRDefault="00CC134B" w:rsidP="00076F67">
            <w:pPr>
              <w:pStyle w:val="Tabletext"/>
              <w:keepNext/>
            </w:pPr>
            <w:r w:rsidRPr="00F05687">
              <w:t>Cost per QALY</w:t>
            </w:r>
          </w:p>
        </w:tc>
        <w:tc>
          <w:tcPr>
            <w:tcW w:w="1811" w:type="dxa"/>
            <w:vMerge/>
            <w:hideMark/>
          </w:tcPr>
          <w:p w:rsidR="00CC134B" w:rsidRPr="00F05687" w:rsidRDefault="00CC134B" w:rsidP="00076F67">
            <w:pPr>
              <w:pStyle w:val="Tabletext"/>
              <w:keepNext/>
            </w:pPr>
          </w:p>
        </w:tc>
        <w:tc>
          <w:tcPr>
            <w:tcW w:w="1701" w:type="dxa"/>
            <w:vMerge/>
            <w:hideMark/>
          </w:tcPr>
          <w:p w:rsidR="00CC134B" w:rsidRPr="00F05687" w:rsidRDefault="00CC134B" w:rsidP="00076F67">
            <w:pPr>
              <w:pStyle w:val="Tabletext"/>
              <w:keepNext/>
            </w:pPr>
          </w:p>
        </w:tc>
        <w:tc>
          <w:tcPr>
            <w:tcW w:w="993" w:type="dxa"/>
            <w:vAlign w:val="center"/>
          </w:tcPr>
          <w:p w:rsidR="00CC134B" w:rsidRPr="00F05687" w:rsidRDefault="00CC134B" w:rsidP="00076F67">
            <w:pPr>
              <w:pStyle w:val="Tabletext"/>
              <w:keepNext/>
              <w:jc w:val="right"/>
            </w:pPr>
          </w:p>
        </w:tc>
        <w:tc>
          <w:tcPr>
            <w:tcW w:w="992" w:type="dxa"/>
            <w:vAlign w:val="center"/>
          </w:tcPr>
          <w:p w:rsidR="00CC134B" w:rsidRPr="00F05687" w:rsidRDefault="00CC134B" w:rsidP="00076F67">
            <w:pPr>
              <w:pStyle w:val="Tabletext"/>
              <w:keepNext/>
              <w:jc w:val="right"/>
            </w:pPr>
          </w:p>
        </w:tc>
        <w:tc>
          <w:tcPr>
            <w:tcW w:w="858" w:type="dxa"/>
            <w:vAlign w:val="center"/>
          </w:tcPr>
          <w:p w:rsidR="00CC134B" w:rsidRPr="00F05687" w:rsidRDefault="00CC134B" w:rsidP="00076F67">
            <w:pPr>
              <w:pStyle w:val="Tabletext"/>
              <w:keepNext/>
              <w:jc w:val="right"/>
            </w:pPr>
            <w:r w:rsidRPr="00F05687">
              <w:t>$</w:t>
            </w:r>
            <w:r w:rsidR="004C5EA1">
              <w:rPr>
                <w:noProof/>
                <w:color w:val="000000"/>
                <w:highlight w:val="black"/>
              </w:rPr>
              <w:t>''''''''''''''''</w:t>
            </w:r>
          </w:p>
        </w:tc>
      </w:tr>
    </w:tbl>
    <w:p w:rsidR="00CC134B" w:rsidRPr="00F05687" w:rsidRDefault="00CC134B" w:rsidP="00CC134B">
      <w:pPr>
        <w:pStyle w:val="TableFooter"/>
        <w:rPr>
          <w:rStyle w:val="CommentReference"/>
          <w:b w:val="0"/>
          <w:sz w:val="18"/>
          <w:szCs w:val="22"/>
        </w:rPr>
      </w:pPr>
      <w:r w:rsidRPr="00F05687">
        <w:rPr>
          <w:rStyle w:val="CommentReference"/>
          <w:b w:val="0"/>
          <w:sz w:val="18"/>
          <w:szCs w:val="22"/>
        </w:rPr>
        <w:t>Rani = ranibizumab; Incr = incremental; AS = angioid streaks; QALYs = quality-adjust</w:t>
      </w:r>
      <w:r w:rsidR="006653A2">
        <w:rPr>
          <w:rStyle w:val="CommentReference"/>
          <w:b w:val="0"/>
          <w:sz w:val="18"/>
          <w:szCs w:val="22"/>
        </w:rPr>
        <w:t>ed life years.</w:t>
      </w:r>
    </w:p>
    <w:p w:rsidR="00CC134B" w:rsidRPr="00F05687" w:rsidRDefault="00CC134B" w:rsidP="00CC134B">
      <w:pPr>
        <w:pStyle w:val="TableFooter"/>
        <w:jc w:val="left"/>
        <w:rPr>
          <w:rStyle w:val="CommentReference"/>
          <w:b w:val="0"/>
          <w:sz w:val="18"/>
          <w:szCs w:val="22"/>
        </w:rPr>
      </w:pPr>
      <w:r w:rsidRPr="00F05687">
        <w:rPr>
          <w:rStyle w:val="CommentReference"/>
          <w:b w:val="0"/>
          <w:sz w:val="18"/>
          <w:szCs w:val="22"/>
        </w:rPr>
        <w:t xml:space="preserve">Note: </w:t>
      </w:r>
      <w:r w:rsidRPr="00F05687">
        <w:t>An error was identified in the model where by the QALY gain for patients treated bilaterally was calculated by adding the QALY gain from the patients treated unilaterally in their WSE to those treated in their BSE. This has been corrected so that only the QALY gain for the BSE has been included.</w:t>
      </w:r>
    </w:p>
    <w:p w:rsidR="00CC134B" w:rsidRDefault="00CC134B" w:rsidP="00EA4EF8">
      <w:pPr>
        <w:pStyle w:val="TableFooter"/>
        <w:spacing w:after="160"/>
        <w:jc w:val="left"/>
      </w:pPr>
      <w:r w:rsidRPr="00433C50">
        <w:rPr>
          <w:rStyle w:val="CommentReference"/>
          <w:b w:val="0"/>
          <w:sz w:val="18"/>
          <w:szCs w:val="22"/>
        </w:rPr>
        <w:t xml:space="preserve">Source: </w:t>
      </w:r>
      <w:r>
        <w:rPr>
          <w:rStyle w:val="CommentReference"/>
          <w:b w:val="0"/>
          <w:sz w:val="18"/>
          <w:szCs w:val="22"/>
        </w:rPr>
        <w:t xml:space="preserve">sensitivity analyses conducted during the evaluation, based on those presented in </w:t>
      </w:r>
      <w:r w:rsidRPr="00433C50">
        <w:rPr>
          <w:rStyle w:val="CommentReference"/>
          <w:b w:val="0"/>
          <w:sz w:val="18"/>
          <w:szCs w:val="22"/>
        </w:rPr>
        <w:t>Table 3.9-1, p96, Section 3 of the submission</w:t>
      </w:r>
      <w:r>
        <w:rPr>
          <w:rStyle w:val="CommentReference"/>
          <w:b w:val="0"/>
          <w:sz w:val="18"/>
          <w:szCs w:val="22"/>
        </w:rPr>
        <w:t xml:space="preserve">, correcting for the error identified above and using </w:t>
      </w:r>
      <w:r>
        <w:t>EconomicModel_Ranibizumab_CNV.xlsx</w:t>
      </w:r>
    </w:p>
    <w:p w:rsidR="00196DE0" w:rsidRPr="00196DE0" w:rsidRDefault="00196DE0" w:rsidP="004F1B17">
      <w:pPr>
        <w:pStyle w:val="TableFooter"/>
        <w:spacing w:before="120" w:after="160"/>
        <w:jc w:val="left"/>
        <w:rPr>
          <w:rStyle w:val="CommentReference"/>
          <w:rFonts w:asciiTheme="minorHAnsi" w:hAnsiTheme="minorHAnsi"/>
          <w:b w:val="0"/>
          <w:sz w:val="24"/>
          <w:szCs w:val="24"/>
        </w:rPr>
      </w:pPr>
      <w:r>
        <w:rPr>
          <w:rFonts w:asciiTheme="minorHAnsi" w:hAnsiTheme="minorHAnsi"/>
          <w:sz w:val="24"/>
          <w:szCs w:val="24"/>
        </w:rPr>
        <w:t>The redacted table shows ICERs in the range of less than $15,000/QALY to $75,000/QALY.</w:t>
      </w:r>
    </w:p>
    <w:p w:rsidR="007E7F98" w:rsidRPr="00EB3AF3" w:rsidRDefault="005377E5" w:rsidP="007E7F98">
      <w:pPr>
        <w:pStyle w:val="ListParagraph"/>
        <w:numPr>
          <w:ilvl w:val="1"/>
          <w:numId w:val="2"/>
        </w:numPr>
      </w:pPr>
      <w:r w:rsidRPr="00EB3AF3">
        <w:t xml:space="preserve">The ESC also considered the frequency </w:t>
      </w:r>
      <w:r w:rsidR="00497D95" w:rsidRPr="00EB3AF3">
        <w:t xml:space="preserve">of injections </w:t>
      </w:r>
      <w:r w:rsidRPr="00EB3AF3">
        <w:t>and duration</w:t>
      </w:r>
      <w:r w:rsidR="00DB4E74">
        <w:t xml:space="preserve"> of</w:t>
      </w:r>
      <w:r w:rsidRPr="00EB3AF3">
        <w:t xml:space="preserve"> </w:t>
      </w:r>
      <w:r w:rsidR="008F3BED" w:rsidRPr="00EB3AF3">
        <w:t xml:space="preserve">therapy </w:t>
      </w:r>
      <w:r w:rsidR="002542CB" w:rsidRPr="00EB3AF3">
        <w:t>with ranibizumab</w:t>
      </w:r>
      <w:r w:rsidRPr="00EB3AF3">
        <w:t xml:space="preserve"> to be highly uncertain</w:t>
      </w:r>
      <w:r w:rsidR="00BA697A" w:rsidRPr="00EB3AF3">
        <w:t>, with the number of injections varying</w:t>
      </w:r>
      <w:r w:rsidR="00FF4824" w:rsidRPr="00EB3AF3">
        <w:t xml:space="preserve"> between the different aetiology subgroups</w:t>
      </w:r>
      <w:r w:rsidR="007E7F98" w:rsidRPr="00EB3AF3">
        <w:t>. The ESC noted that the PBAC recommendation for ranibizumab in AMD was based on a monthly dosing schedule and up to 15 injections per patient. The June 2015 DUSC utilisation review of AMD</w:t>
      </w:r>
      <w:r w:rsidR="00A7235F" w:rsidRPr="00EB3AF3">
        <w:rPr>
          <w:rStyle w:val="FootnoteReference"/>
          <w:rFonts w:eastAsia="MS Gothic" w:cs="Times New Roman"/>
          <w:szCs w:val="24"/>
        </w:rPr>
        <w:footnoteReference w:id="5"/>
      </w:r>
      <w:r w:rsidR="00A7235F" w:rsidRPr="00EB3AF3">
        <w:t xml:space="preserve"> </w:t>
      </w:r>
      <w:r w:rsidR="007E7F98" w:rsidRPr="00EB3AF3">
        <w:t>revealed that experience with ra</w:t>
      </w:r>
      <w:r w:rsidR="00EA4EF8" w:rsidRPr="00EB3AF3">
        <w:t xml:space="preserve">nibizumab in treating AMD </w:t>
      </w:r>
      <w:r w:rsidR="007E7F98" w:rsidRPr="00EB3AF3">
        <w:t xml:space="preserve">in clinical practice </w:t>
      </w:r>
      <w:r w:rsidR="00EA4EF8" w:rsidRPr="00EB3AF3">
        <w:t xml:space="preserve">showed </w:t>
      </w:r>
      <w:r w:rsidR="007E7F98" w:rsidRPr="00EB3AF3">
        <w:t xml:space="preserve">the number of injections </w:t>
      </w:r>
      <w:r w:rsidR="00EA4EF8" w:rsidRPr="00EB3AF3">
        <w:t xml:space="preserve">per patient </w:t>
      </w:r>
      <w:r w:rsidR="007E7F98" w:rsidRPr="00EB3AF3">
        <w:t xml:space="preserve">may be greater than anticipated. The review found from 2011 onwards the number of injections per patient appeared to have stabilised, with new patients receiving an average of 8.4 injections in their first year of treatment, and continuing patients receiving an average of 7.1 injections per year. The majority of patients remained on treatment for many years. Approximately half of patients </w:t>
      </w:r>
      <w:r w:rsidR="007E7F98" w:rsidRPr="00EB3AF3">
        <w:lastRenderedPageBreak/>
        <w:t xml:space="preserve">are treated for at least 4 years, with 40% of patients still treated 6-7 years after initiation. Therefore, the ESC provided a number of </w:t>
      </w:r>
      <w:r w:rsidR="006653A2">
        <w:t xml:space="preserve">further </w:t>
      </w:r>
      <w:r w:rsidR="007E7F98" w:rsidRPr="00EB3AF3">
        <w:t xml:space="preserve">sensitivity analyses to test how much changing the </w:t>
      </w:r>
      <w:r w:rsidR="00AF16CD" w:rsidRPr="00EB3AF3">
        <w:t>average number of injections per patient</w:t>
      </w:r>
      <w:r w:rsidR="007E7F98" w:rsidRPr="00EB3AF3">
        <w:t xml:space="preserve"> was driving the overall cost-effectiveness (see Table 11 below). It should be noted that only the impact on costs has been assessed in </w:t>
      </w:r>
      <w:r w:rsidR="00AF16CD" w:rsidRPr="00EB3AF3">
        <w:t>the sensitivity analyses below.</w:t>
      </w:r>
    </w:p>
    <w:p w:rsidR="007E7F98" w:rsidRPr="006653A2" w:rsidRDefault="007E7F98" w:rsidP="007E7F98">
      <w:pPr>
        <w:rPr>
          <w:rFonts w:ascii="Arial Narrow" w:hAnsi="Arial Narrow"/>
          <w:b/>
          <w:sz w:val="20"/>
          <w:szCs w:val="16"/>
        </w:rPr>
      </w:pPr>
      <w:r w:rsidRPr="006653A2">
        <w:rPr>
          <w:rStyle w:val="CommentReference"/>
        </w:rPr>
        <w:t xml:space="preserve">Table 11: Results of additional univariate and multivariate sensitivity analyses </w:t>
      </w:r>
      <w:r w:rsidR="006653A2" w:rsidRPr="006653A2">
        <w:rPr>
          <w:rStyle w:val="CommentReference"/>
        </w:rPr>
        <w:t xml:space="preserve">provided by </w:t>
      </w:r>
      <w:r w:rsidRPr="006653A2">
        <w:rPr>
          <w:rStyle w:val="CommentReference"/>
        </w:rPr>
        <w:t xml:space="preserve">the </w:t>
      </w:r>
      <w:r w:rsidR="006653A2" w:rsidRPr="006653A2">
        <w:rPr>
          <w:rStyle w:val="CommentReference"/>
        </w:rPr>
        <w:t>ESC</w:t>
      </w:r>
    </w:p>
    <w:tbl>
      <w:tblPr>
        <w:tblStyle w:val="newstyle1"/>
        <w:tblW w:w="5000" w:type="pct"/>
        <w:tblCellMar>
          <w:left w:w="57" w:type="dxa"/>
          <w:right w:w="57" w:type="dxa"/>
        </w:tblCellMar>
        <w:tblLook w:val="04A0" w:firstRow="1" w:lastRow="0" w:firstColumn="1" w:lastColumn="0" w:noHBand="0" w:noVBand="1"/>
        <w:tblCaption w:val="Table 11: Results of additional univariate and multivariate sensitivity analyses provided by the ESC"/>
      </w:tblPr>
      <w:tblGrid>
        <w:gridCol w:w="405"/>
        <w:gridCol w:w="1345"/>
        <w:gridCol w:w="1627"/>
        <w:gridCol w:w="1958"/>
        <w:gridCol w:w="1009"/>
        <w:gridCol w:w="874"/>
        <w:gridCol w:w="874"/>
        <w:gridCol w:w="1049"/>
      </w:tblGrid>
      <w:tr w:rsidR="007E7F98" w:rsidRPr="006653A2" w:rsidTr="00EF1D52">
        <w:trPr>
          <w:tblHeader/>
        </w:trPr>
        <w:tc>
          <w:tcPr>
            <w:tcW w:w="222" w:type="pct"/>
          </w:tcPr>
          <w:p w:rsidR="007E7F98" w:rsidRPr="006653A2" w:rsidRDefault="007E7F98" w:rsidP="00A44234">
            <w:pPr>
              <w:keepLines/>
              <w:widowControl/>
              <w:jc w:val="left"/>
              <w:rPr>
                <w:rFonts w:ascii="Arial Narrow" w:hAnsi="Arial Narrow" w:cs="Times New Roman"/>
                <w:b/>
                <w:sz w:val="20"/>
                <w:szCs w:val="20"/>
                <w:lang w:eastAsia="en-AU"/>
              </w:rPr>
            </w:pPr>
            <w:r w:rsidRPr="006653A2">
              <w:rPr>
                <w:rFonts w:ascii="Arial Narrow" w:hAnsi="Arial Narrow" w:cs="Times New Roman"/>
                <w:b/>
                <w:sz w:val="20"/>
                <w:szCs w:val="20"/>
                <w:lang w:eastAsia="en-AU"/>
              </w:rPr>
              <w:t>#</w:t>
            </w:r>
          </w:p>
        </w:tc>
        <w:tc>
          <w:tcPr>
            <w:tcW w:w="736" w:type="pct"/>
          </w:tcPr>
          <w:p w:rsidR="007E7F98" w:rsidRPr="006653A2" w:rsidRDefault="007E7F98" w:rsidP="00A44234">
            <w:pPr>
              <w:keepLines/>
              <w:widowControl/>
              <w:jc w:val="left"/>
              <w:rPr>
                <w:rFonts w:ascii="Arial Narrow" w:hAnsi="Arial Narrow" w:cs="Times New Roman"/>
                <w:b/>
                <w:sz w:val="20"/>
                <w:szCs w:val="20"/>
                <w:lang w:eastAsia="en-AU"/>
              </w:rPr>
            </w:pPr>
            <w:r w:rsidRPr="006653A2">
              <w:rPr>
                <w:rFonts w:ascii="Arial Narrow" w:hAnsi="Arial Narrow" w:cs="Times New Roman"/>
                <w:b/>
                <w:sz w:val="20"/>
                <w:szCs w:val="20"/>
                <w:lang w:eastAsia="en-AU"/>
              </w:rPr>
              <w:t>Aspect</w:t>
            </w:r>
          </w:p>
        </w:tc>
        <w:tc>
          <w:tcPr>
            <w:tcW w:w="890" w:type="pct"/>
            <w:hideMark/>
          </w:tcPr>
          <w:p w:rsidR="007E7F98" w:rsidRPr="006653A2" w:rsidRDefault="007E7F98" w:rsidP="00A44234">
            <w:pPr>
              <w:keepLines/>
              <w:widowControl/>
              <w:jc w:val="left"/>
              <w:rPr>
                <w:rFonts w:ascii="Arial Narrow" w:hAnsi="Arial Narrow" w:cs="Times New Roman"/>
                <w:b/>
                <w:sz w:val="20"/>
                <w:szCs w:val="20"/>
                <w:lang w:eastAsia="en-AU"/>
              </w:rPr>
            </w:pPr>
            <w:r w:rsidRPr="006653A2">
              <w:rPr>
                <w:rFonts w:ascii="Arial Narrow" w:hAnsi="Arial Narrow" w:cs="Times New Roman"/>
                <w:b/>
                <w:sz w:val="20"/>
                <w:szCs w:val="20"/>
                <w:lang w:eastAsia="en-AU"/>
              </w:rPr>
              <w:t> Base case value</w:t>
            </w:r>
          </w:p>
        </w:tc>
        <w:tc>
          <w:tcPr>
            <w:tcW w:w="1071" w:type="pct"/>
            <w:hideMark/>
          </w:tcPr>
          <w:p w:rsidR="007E7F98" w:rsidRPr="006653A2" w:rsidRDefault="007E7F98" w:rsidP="00A44234">
            <w:pPr>
              <w:keepLines/>
              <w:widowControl/>
              <w:jc w:val="left"/>
              <w:rPr>
                <w:rFonts w:ascii="Arial Narrow" w:hAnsi="Arial Narrow" w:cs="Times New Roman"/>
                <w:b/>
                <w:sz w:val="20"/>
                <w:szCs w:val="20"/>
                <w:lang w:eastAsia="en-AU"/>
              </w:rPr>
            </w:pPr>
            <w:r w:rsidRPr="006653A2">
              <w:rPr>
                <w:rFonts w:ascii="Arial Narrow" w:hAnsi="Arial Narrow" w:cs="Times New Roman"/>
                <w:b/>
                <w:sz w:val="20"/>
                <w:szCs w:val="20"/>
                <w:lang w:eastAsia="en-AU"/>
              </w:rPr>
              <w:t>Tested value or range</w:t>
            </w:r>
          </w:p>
        </w:tc>
        <w:tc>
          <w:tcPr>
            <w:tcW w:w="552" w:type="pct"/>
          </w:tcPr>
          <w:p w:rsidR="007E7F98" w:rsidRPr="006653A2" w:rsidRDefault="007E7F98" w:rsidP="00A44234">
            <w:pPr>
              <w:keepLines/>
              <w:widowControl/>
              <w:jc w:val="left"/>
              <w:rPr>
                <w:rFonts w:ascii="Arial Narrow" w:hAnsi="Arial Narrow" w:cs="Times New Roman"/>
                <w:b/>
                <w:sz w:val="20"/>
                <w:szCs w:val="20"/>
                <w:lang w:eastAsia="en-AU"/>
              </w:rPr>
            </w:pPr>
          </w:p>
        </w:tc>
        <w:tc>
          <w:tcPr>
            <w:tcW w:w="477" w:type="pct"/>
            <w:hideMark/>
          </w:tcPr>
          <w:p w:rsidR="007E7F98" w:rsidRPr="006653A2" w:rsidRDefault="007E7F98" w:rsidP="00A44234">
            <w:pPr>
              <w:keepLines/>
              <w:widowControl/>
              <w:jc w:val="center"/>
              <w:rPr>
                <w:rFonts w:ascii="Arial Narrow" w:hAnsi="Arial Narrow" w:cs="Times New Roman"/>
                <w:b/>
                <w:sz w:val="20"/>
                <w:szCs w:val="20"/>
                <w:lang w:eastAsia="en-AU"/>
              </w:rPr>
            </w:pPr>
            <w:r w:rsidRPr="006653A2">
              <w:rPr>
                <w:rFonts w:ascii="Arial Narrow" w:hAnsi="Arial Narrow" w:cs="Times New Roman"/>
                <w:b/>
                <w:sz w:val="20"/>
                <w:szCs w:val="20"/>
                <w:lang w:eastAsia="en-AU"/>
              </w:rPr>
              <w:t>Rani</w:t>
            </w:r>
          </w:p>
        </w:tc>
        <w:tc>
          <w:tcPr>
            <w:tcW w:w="478" w:type="pct"/>
            <w:hideMark/>
          </w:tcPr>
          <w:p w:rsidR="007E7F98" w:rsidRPr="006653A2" w:rsidRDefault="007E7F98" w:rsidP="00A44234">
            <w:pPr>
              <w:keepLines/>
              <w:widowControl/>
              <w:jc w:val="center"/>
              <w:rPr>
                <w:rFonts w:ascii="Arial Narrow" w:hAnsi="Arial Narrow" w:cs="Times New Roman"/>
                <w:b/>
                <w:sz w:val="20"/>
                <w:szCs w:val="20"/>
                <w:lang w:eastAsia="en-AU"/>
              </w:rPr>
            </w:pPr>
            <w:r w:rsidRPr="006653A2">
              <w:rPr>
                <w:rFonts w:ascii="Arial Narrow" w:hAnsi="Arial Narrow" w:cs="Times New Roman"/>
                <w:b/>
                <w:sz w:val="20"/>
                <w:szCs w:val="20"/>
                <w:lang w:eastAsia="en-AU"/>
              </w:rPr>
              <w:t>No active treatment</w:t>
            </w:r>
          </w:p>
        </w:tc>
        <w:tc>
          <w:tcPr>
            <w:tcW w:w="574" w:type="pct"/>
            <w:hideMark/>
          </w:tcPr>
          <w:p w:rsidR="007E7F98" w:rsidRPr="006653A2" w:rsidRDefault="007E7F98" w:rsidP="00A44234">
            <w:pPr>
              <w:keepLines/>
              <w:widowControl/>
              <w:jc w:val="center"/>
              <w:rPr>
                <w:rFonts w:ascii="Arial Narrow" w:hAnsi="Arial Narrow" w:cs="Times New Roman"/>
                <w:b/>
                <w:sz w:val="20"/>
                <w:szCs w:val="20"/>
                <w:lang w:eastAsia="en-AU"/>
              </w:rPr>
            </w:pPr>
            <w:r w:rsidRPr="006653A2">
              <w:rPr>
                <w:rFonts w:ascii="Arial Narrow" w:hAnsi="Arial Narrow" w:cs="Times New Roman"/>
                <w:b/>
                <w:sz w:val="20"/>
                <w:szCs w:val="20"/>
                <w:lang w:eastAsia="en-AU"/>
              </w:rPr>
              <w:t>Incremental</w:t>
            </w:r>
          </w:p>
        </w:tc>
      </w:tr>
      <w:tr w:rsidR="007E7F98" w:rsidRPr="006653A2" w:rsidTr="003B4B48">
        <w:tc>
          <w:tcPr>
            <w:tcW w:w="222" w:type="pct"/>
            <w:vMerge w:val="restart"/>
          </w:tcPr>
          <w:p w:rsidR="007E7F98" w:rsidRPr="006653A2" w:rsidRDefault="007E7F98" w:rsidP="00A44234">
            <w:pPr>
              <w:keepLines/>
              <w:widowControl/>
              <w:jc w:val="left"/>
              <w:rPr>
                <w:rFonts w:ascii="Arial Narrow" w:hAnsi="Arial Narrow" w:cs="Times New Roman"/>
                <w:b/>
                <w:bCs/>
                <w:sz w:val="20"/>
                <w:szCs w:val="20"/>
                <w:lang w:eastAsia="en-AU"/>
              </w:rPr>
            </w:pPr>
          </w:p>
        </w:tc>
        <w:tc>
          <w:tcPr>
            <w:tcW w:w="736" w:type="pct"/>
            <w:vMerge w:val="restart"/>
          </w:tcPr>
          <w:p w:rsidR="007E7F98" w:rsidRPr="006653A2" w:rsidRDefault="007E7F98" w:rsidP="00A44234">
            <w:pPr>
              <w:keepLines/>
              <w:widowControl/>
              <w:jc w:val="left"/>
              <w:rPr>
                <w:rFonts w:ascii="Arial Narrow" w:hAnsi="Arial Narrow" w:cs="Times New Roman"/>
                <w:bCs/>
                <w:sz w:val="20"/>
                <w:szCs w:val="20"/>
                <w:lang w:eastAsia="en-AU"/>
              </w:rPr>
            </w:pPr>
            <w:r w:rsidRPr="006653A2">
              <w:rPr>
                <w:rFonts w:ascii="Arial Narrow" w:hAnsi="Arial Narrow" w:cs="Times New Roman"/>
                <w:bCs/>
                <w:sz w:val="20"/>
                <w:szCs w:val="20"/>
                <w:lang w:eastAsia="en-AU"/>
              </w:rPr>
              <w:t>Base case</w:t>
            </w:r>
          </w:p>
          <w:p w:rsidR="007E7F98" w:rsidRPr="006653A2" w:rsidRDefault="007E7F98" w:rsidP="00A44234">
            <w:pPr>
              <w:keepLines/>
              <w:widowControl/>
              <w:jc w:val="left"/>
              <w:rPr>
                <w:rFonts w:ascii="Arial Narrow" w:hAnsi="Arial Narrow" w:cs="Times New Roman"/>
                <w:sz w:val="20"/>
                <w:szCs w:val="20"/>
                <w:lang w:eastAsia="en-AU"/>
              </w:rPr>
            </w:pPr>
            <w:r w:rsidRPr="006653A2">
              <w:rPr>
                <w:rFonts w:ascii="Arial Narrow" w:hAnsi="Arial Narrow" w:cs="Times New Roman"/>
                <w:bCs/>
                <w:sz w:val="20"/>
                <w:szCs w:val="20"/>
                <w:lang w:eastAsia="en-AU"/>
              </w:rPr>
              <w:t>(as per submission)</w:t>
            </w:r>
          </w:p>
        </w:tc>
        <w:tc>
          <w:tcPr>
            <w:tcW w:w="2513" w:type="pct"/>
            <w:gridSpan w:val="3"/>
            <w:hideMark/>
          </w:tcPr>
          <w:p w:rsidR="007E7F98" w:rsidRPr="006653A2" w:rsidRDefault="007E7F98" w:rsidP="00A44234">
            <w:pPr>
              <w:keepLines/>
              <w:widowControl/>
              <w:jc w:val="left"/>
              <w:rPr>
                <w:rFonts w:ascii="Arial Narrow" w:hAnsi="Arial Narrow" w:cs="Times New Roman"/>
                <w:sz w:val="20"/>
                <w:szCs w:val="20"/>
                <w:lang w:eastAsia="en-AU"/>
              </w:rPr>
            </w:pPr>
            <w:r w:rsidRPr="006653A2">
              <w:rPr>
                <w:rFonts w:ascii="Arial Narrow" w:hAnsi="Arial Narrow" w:cs="Times New Roman"/>
                <w:sz w:val="20"/>
                <w:szCs w:val="20"/>
                <w:lang w:eastAsia="en-AU"/>
              </w:rPr>
              <w:t>Costs</w:t>
            </w:r>
          </w:p>
        </w:tc>
        <w:tc>
          <w:tcPr>
            <w:tcW w:w="477" w:type="pct"/>
          </w:tcPr>
          <w:p w:rsidR="007E7F98" w:rsidRPr="006653A2" w:rsidRDefault="007E7F98" w:rsidP="0068227D">
            <w:pPr>
              <w:keepLines/>
              <w:widowControl/>
              <w:jc w:val="right"/>
              <w:rPr>
                <w:rFonts w:ascii="Arial Narrow" w:hAnsi="Arial Narrow" w:cs="Times New Roman"/>
                <w:sz w:val="20"/>
                <w:szCs w:val="20"/>
                <w:lang w:eastAsia="en-AU"/>
              </w:rPr>
            </w:pPr>
            <w:r w:rsidRPr="006653A2">
              <w:rPr>
                <w:rFonts w:ascii="Arial Narrow" w:hAnsi="Arial Narrow" w:cs="Times New Roman"/>
                <w:iCs/>
                <w:sz w:val="20"/>
                <w:szCs w:val="20"/>
                <w:lang w:eastAsia="en-AU"/>
              </w:rPr>
              <w:t>$</w:t>
            </w:r>
            <w:r w:rsidR="004C5EA1">
              <w:rPr>
                <w:rFonts w:ascii="Arial Narrow" w:hAnsi="Arial Narrow" w:cs="Times New Roman"/>
                <w:iCs/>
                <w:noProof/>
                <w:color w:val="000000"/>
                <w:sz w:val="20"/>
                <w:szCs w:val="20"/>
                <w:highlight w:val="black"/>
                <w:lang w:eastAsia="en-AU"/>
              </w:rPr>
              <w:t>''''''''''''''''''</w:t>
            </w:r>
          </w:p>
        </w:tc>
        <w:tc>
          <w:tcPr>
            <w:tcW w:w="478" w:type="pct"/>
          </w:tcPr>
          <w:p w:rsidR="007E7F98" w:rsidRPr="006653A2" w:rsidRDefault="007E7F98" w:rsidP="0068227D">
            <w:pPr>
              <w:keepLines/>
              <w:widowControl/>
              <w:jc w:val="right"/>
              <w:rPr>
                <w:rFonts w:ascii="Arial Narrow" w:hAnsi="Arial Narrow" w:cs="Times New Roman"/>
                <w:sz w:val="20"/>
                <w:szCs w:val="20"/>
                <w:lang w:eastAsia="en-AU"/>
              </w:rPr>
            </w:pPr>
            <w:r w:rsidRPr="006653A2">
              <w:rPr>
                <w:rFonts w:ascii="Arial Narrow" w:hAnsi="Arial Narrow" w:cs="Times New Roman"/>
                <w:iCs/>
                <w:sz w:val="20"/>
                <w:szCs w:val="20"/>
                <w:lang w:eastAsia="en-AU"/>
              </w:rPr>
              <w:t>$</w:t>
            </w:r>
            <w:r w:rsidR="004C5EA1">
              <w:rPr>
                <w:rFonts w:ascii="Arial Narrow" w:hAnsi="Arial Narrow" w:cs="Times New Roman"/>
                <w:iCs/>
                <w:noProof/>
                <w:color w:val="000000"/>
                <w:sz w:val="20"/>
                <w:szCs w:val="20"/>
                <w:highlight w:val="black"/>
                <w:lang w:eastAsia="en-AU"/>
              </w:rPr>
              <w:t>''''''''''''''</w:t>
            </w:r>
          </w:p>
        </w:tc>
        <w:tc>
          <w:tcPr>
            <w:tcW w:w="574" w:type="pct"/>
          </w:tcPr>
          <w:p w:rsidR="007E7F98" w:rsidRPr="006653A2" w:rsidRDefault="007E7F98" w:rsidP="0068227D">
            <w:pPr>
              <w:keepLines/>
              <w:widowControl/>
              <w:jc w:val="right"/>
              <w:rPr>
                <w:rFonts w:ascii="Arial Narrow" w:hAnsi="Arial Narrow" w:cs="Times New Roman"/>
                <w:sz w:val="20"/>
                <w:szCs w:val="20"/>
                <w:lang w:eastAsia="en-AU"/>
              </w:rPr>
            </w:pPr>
            <w:r w:rsidRPr="006653A2">
              <w:rPr>
                <w:rFonts w:ascii="Arial Narrow" w:hAnsi="Arial Narrow" w:cs="Times New Roman"/>
                <w:iCs/>
                <w:sz w:val="20"/>
                <w:szCs w:val="20"/>
                <w:lang w:eastAsia="en-AU"/>
              </w:rPr>
              <w:t>$</w:t>
            </w:r>
            <w:r w:rsidR="004C5EA1">
              <w:rPr>
                <w:rFonts w:ascii="Arial Narrow" w:hAnsi="Arial Narrow" w:cs="Times New Roman"/>
                <w:iCs/>
                <w:noProof/>
                <w:color w:val="000000"/>
                <w:sz w:val="20"/>
                <w:szCs w:val="20"/>
                <w:highlight w:val="black"/>
                <w:lang w:eastAsia="en-AU"/>
              </w:rPr>
              <w:t>''''''''''''''</w:t>
            </w:r>
          </w:p>
        </w:tc>
      </w:tr>
      <w:tr w:rsidR="007E7F98" w:rsidRPr="006653A2" w:rsidTr="003B4B48">
        <w:tc>
          <w:tcPr>
            <w:tcW w:w="222" w:type="pct"/>
            <w:vMerge/>
          </w:tcPr>
          <w:p w:rsidR="007E7F98" w:rsidRPr="006653A2" w:rsidRDefault="007E7F98" w:rsidP="00A44234">
            <w:pPr>
              <w:keepLines/>
              <w:widowControl/>
              <w:jc w:val="left"/>
              <w:rPr>
                <w:rFonts w:ascii="Arial Narrow" w:hAnsi="Arial Narrow" w:cs="Times New Roman"/>
                <w:sz w:val="20"/>
                <w:szCs w:val="20"/>
                <w:lang w:eastAsia="en-AU"/>
              </w:rPr>
            </w:pPr>
          </w:p>
        </w:tc>
        <w:tc>
          <w:tcPr>
            <w:tcW w:w="736" w:type="pct"/>
            <w:vMerge/>
          </w:tcPr>
          <w:p w:rsidR="007E7F98" w:rsidRPr="006653A2" w:rsidRDefault="007E7F98" w:rsidP="00A44234">
            <w:pPr>
              <w:keepLines/>
              <w:widowControl/>
              <w:jc w:val="left"/>
              <w:rPr>
                <w:rFonts w:ascii="Arial Narrow" w:hAnsi="Arial Narrow" w:cs="Times New Roman"/>
                <w:sz w:val="20"/>
                <w:szCs w:val="20"/>
                <w:lang w:eastAsia="en-AU"/>
              </w:rPr>
            </w:pPr>
          </w:p>
        </w:tc>
        <w:tc>
          <w:tcPr>
            <w:tcW w:w="2513" w:type="pct"/>
            <w:gridSpan w:val="3"/>
            <w:hideMark/>
          </w:tcPr>
          <w:p w:rsidR="007E7F98" w:rsidRPr="006653A2" w:rsidRDefault="007E7F98" w:rsidP="00A44234">
            <w:pPr>
              <w:keepLines/>
              <w:widowControl/>
              <w:jc w:val="left"/>
              <w:rPr>
                <w:rFonts w:ascii="Arial Narrow" w:hAnsi="Arial Narrow" w:cs="Times New Roman"/>
                <w:sz w:val="20"/>
                <w:szCs w:val="20"/>
                <w:lang w:eastAsia="en-AU"/>
              </w:rPr>
            </w:pPr>
            <w:r w:rsidRPr="006653A2">
              <w:rPr>
                <w:rFonts w:ascii="Arial Narrow" w:hAnsi="Arial Narrow" w:cs="Times New Roman"/>
                <w:sz w:val="20"/>
                <w:szCs w:val="20"/>
                <w:lang w:eastAsia="en-AU"/>
              </w:rPr>
              <w:t>QALYs</w:t>
            </w:r>
          </w:p>
        </w:tc>
        <w:tc>
          <w:tcPr>
            <w:tcW w:w="477" w:type="pct"/>
          </w:tcPr>
          <w:p w:rsidR="007E7F98" w:rsidRPr="004C5EA1" w:rsidRDefault="004C5EA1" w:rsidP="0068227D">
            <w:pPr>
              <w:keepLines/>
              <w:widowControl/>
              <w:jc w:val="right"/>
              <w:rPr>
                <w:rFonts w:ascii="Arial Narrow" w:hAnsi="Arial Narrow" w:cs="Times New Roman"/>
                <w:sz w:val="20"/>
                <w:szCs w:val="20"/>
                <w:highlight w:val="black"/>
                <w:lang w:eastAsia="en-AU"/>
              </w:rPr>
            </w:pPr>
            <w:r>
              <w:rPr>
                <w:rFonts w:ascii="Arial Narrow" w:hAnsi="Arial Narrow" w:cs="Times New Roman"/>
                <w:iCs/>
                <w:noProof/>
                <w:color w:val="000000"/>
                <w:sz w:val="20"/>
                <w:szCs w:val="20"/>
                <w:highlight w:val="black"/>
                <w:lang w:eastAsia="en-AU"/>
              </w:rPr>
              <w:t>'''''''''''</w:t>
            </w:r>
          </w:p>
        </w:tc>
        <w:tc>
          <w:tcPr>
            <w:tcW w:w="478" w:type="pct"/>
          </w:tcPr>
          <w:p w:rsidR="007E7F98" w:rsidRPr="004C5EA1" w:rsidRDefault="004C5EA1" w:rsidP="0068227D">
            <w:pPr>
              <w:keepLines/>
              <w:widowControl/>
              <w:jc w:val="right"/>
              <w:rPr>
                <w:rFonts w:ascii="Arial Narrow" w:hAnsi="Arial Narrow" w:cs="Times New Roman"/>
                <w:sz w:val="20"/>
                <w:szCs w:val="20"/>
                <w:highlight w:val="black"/>
                <w:lang w:eastAsia="en-AU"/>
              </w:rPr>
            </w:pPr>
            <w:r>
              <w:rPr>
                <w:rFonts w:ascii="Arial Narrow" w:hAnsi="Arial Narrow" w:cs="Times New Roman"/>
                <w:iCs/>
                <w:noProof/>
                <w:color w:val="000000"/>
                <w:sz w:val="20"/>
                <w:szCs w:val="20"/>
                <w:highlight w:val="black"/>
                <w:lang w:eastAsia="en-AU"/>
              </w:rPr>
              <w:t>''''''''''</w:t>
            </w:r>
          </w:p>
        </w:tc>
        <w:tc>
          <w:tcPr>
            <w:tcW w:w="574" w:type="pct"/>
          </w:tcPr>
          <w:p w:rsidR="007E7F98" w:rsidRPr="004C5EA1" w:rsidRDefault="004C5EA1" w:rsidP="0068227D">
            <w:pPr>
              <w:keepLines/>
              <w:widowControl/>
              <w:jc w:val="right"/>
              <w:rPr>
                <w:rFonts w:ascii="Arial Narrow" w:hAnsi="Arial Narrow" w:cs="Times New Roman"/>
                <w:sz w:val="20"/>
                <w:szCs w:val="20"/>
                <w:highlight w:val="black"/>
                <w:lang w:eastAsia="en-AU"/>
              </w:rPr>
            </w:pPr>
            <w:r>
              <w:rPr>
                <w:rFonts w:ascii="Arial Narrow" w:hAnsi="Arial Narrow" w:cs="Times New Roman"/>
                <w:iCs/>
                <w:noProof/>
                <w:color w:val="000000"/>
                <w:sz w:val="20"/>
                <w:szCs w:val="20"/>
                <w:highlight w:val="black"/>
                <w:lang w:eastAsia="en-AU"/>
              </w:rPr>
              <w:t>''''''''''</w:t>
            </w:r>
          </w:p>
        </w:tc>
      </w:tr>
      <w:tr w:rsidR="004F68E6" w:rsidRPr="006653A2" w:rsidTr="004F68E6">
        <w:tc>
          <w:tcPr>
            <w:tcW w:w="222" w:type="pct"/>
            <w:vMerge/>
          </w:tcPr>
          <w:p w:rsidR="004F68E6" w:rsidRPr="006653A2" w:rsidRDefault="004F68E6" w:rsidP="00A44234">
            <w:pPr>
              <w:keepLines/>
              <w:widowControl/>
              <w:jc w:val="left"/>
              <w:rPr>
                <w:rFonts w:ascii="Arial Narrow" w:hAnsi="Arial Narrow" w:cs="Times New Roman"/>
                <w:sz w:val="20"/>
                <w:szCs w:val="20"/>
                <w:lang w:eastAsia="en-AU"/>
              </w:rPr>
            </w:pPr>
          </w:p>
        </w:tc>
        <w:tc>
          <w:tcPr>
            <w:tcW w:w="736" w:type="pct"/>
            <w:vMerge/>
          </w:tcPr>
          <w:p w:rsidR="004F68E6" w:rsidRPr="006653A2" w:rsidRDefault="004F68E6" w:rsidP="00A44234">
            <w:pPr>
              <w:keepLines/>
              <w:widowControl/>
              <w:jc w:val="left"/>
              <w:rPr>
                <w:rFonts w:ascii="Arial Narrow" w:hAnsi="Arial Narrow" w:cs="Times New Roman"/>
                <w:sz w:val="20"/>
                <w:szCs w:val="20"/>
                <w:lang w:eastAsia="en-AU"/>
              </w:rPr>
            </w:pPr>
          </w:p>
        </w:tc>
        <w:tc>
          <w:tcPr>
            <w:tcW w:w="2513" w:type="pct"/>
            <w:gridSpan w:val="3"/>
            <w:hideMark/>
          </w:tcPr>
          <w:p w:rsidR="004F68E6" w:rsidRPr="006653A2" w:rsidRDefault="004F68E6" w:rsidP="00A44234">
            <w:pPr>
              <w:keepLines/>
              <w:widowControl/>
              <w:jc w:val="left"/>
              <w:rPr>
                <w:rFonts w:ascii="Arial Narrow" w:hAnsi="Arial Narrow" w:cs="Times New Roman"/>
                <w:sz w:val="20"/>
                <w:szCs w:val="20"/>
                <w:lang w:eastAsia="en-AU"/>
              </w:rPr>
            </w:pPr>
            <w:r w:rsidRPr="006653A2">
              <w:rPr>
                <w:rFonts w:ascii="Arial Narrow" w:hAnsi="Arial Narrow" w:cs="Times New Roman"/>
                <w:sz w:val="20"/>
                <w:szCs w:val="20"/>
                <w:lang w:eastAsia="en-AU"/>
              </w:rPr>
              <w:t>Cost per QALY</w:t>
            </w:r>
          </w:p>
        </w:tc>
        <w:tc>
          <w:tcPr>
            <w:tcW w:w="1529" w:type="pct"/>
            <w:gridSpan w:val="3"/>
          </w:tcPr>
          <w:p w:rsidR="004F68E6" w:rsidRPr="006653A2" w:rsidRDefault="004F68E6" w:rsidP="00A44234">
            <w:pPr>
              <w:keepLines/>
              <w:widowControl/>
              <w:jc w:val="right"/>
              <w:rPr>
                <w:rFonts w:ascii="Arial Narrow" w:hAnsi="Arial Narrow" w:cs="Times New Roman"/>
                <w:b/>
                <w:bCs/>
                <w:sz w:val="20"/>
                <w:szCs w:val="20"/>
                <w:lang w:eastAsia="en-AU"/>
              </w:rPr>
            </w:pPr>
            <w:r w:rsidRPr="006653A2">
              <w:rPr>
                <w:rFonts w:ascii="Arial Narrow" w:hAnsi="Arial Narrow" w:cs="Times New Roman"/>
                <w:iCs/>
                <w:sz w:val="20"/>
                <w:szCs w:val="20"/>
                <w:lang w:eastAsia="en-AU"/>
              </w:rPr>
              <w:t>$</w:t>
            </w:r>
            <w:r w:rsidR="004C5EA1">
              <w:rPr>
                <w:rFonts w:ascii="Arial Narrow" w:hAnsi="Arial Narrow" w:cs="Times New Roman"/>
                <w:iCs/>
                <w:noProof/>
                <w:color w:val="000000"/>
                <w:sz w:val="20"/>
                <w:szCs w:val="20"/>
                <w:highlight w:val="black"/>
                <w:lang w:eastAsia="en-AU"/>
              </w:rPr>
              <w:t>'''''''''''''''</w:t>
            </w:r>
          </w:p>
        </w:tc>
      </w:tr>
      <w:tr w:rsidR="007E7F98" w:rsidRPr="006653A2" w:rsidTr="003B4B48">
        <w:tc>
          <w:tcPr>
            <w:tcW w:w="5000" w:type="pct"/>
            <w:gridSpan w:val="8"/>
          </w:tcPr>
          <w:p w:rsidR="007E7F98" w:rsidRPr="006653A2" w:rsidRDefault="007E7F98" w:rsidP="00A44234">
            <w:pPr>
              <w:keepLines/>
              <w:widowControl/>
              <w:jc w:val="center"/>
              <w:rPr>
                <w:rFonts w:ascii="Arial Narrow" w:hAnsi="Arial Narrow" w:cs="Times New Roman"/>
                <w:b/>
                <w:bCs/>
                <w:sz w:val="20"/>
                <w:szCs w:val="20"/>
                <w:lang w:eastAsia="en-AU"/>
              </w:rPr>
            </w:pPr>
            <w:r w:rsidRPr="006653A2">
              <w:rPr>
                <w:rFonts w:ascii="Arial Narrow" w:hAnsi="Arial Narrow" w:cs="Times New Roman"/>
                <w:b/>
                <w:bCs/>
                <w:sz w:val="20"/>
                <w:szCs w:val="20"/>
                <w:lang w:eastAsia="en-AU"/>
              </w:rPr>
              <w:t>Exploratory analyses</w:t>
            </w:r>
          </w:p>
        </w:tc>
      </w:tr>
      <w:tr w:rsidR="007E7F98" w:rsidRPr="006653A2" w:rsidTr="003B4B48">
        <w:tc>
          <w:tcPr>
            <w:tcW w:w="222" w:type="pct"/>
          </w:tcPr>
          <w:p w:rsidR="007E7F98" w:rsidRPr="006653A2" w:rsidRDefault="007E7F98" w:rsidP="00A44234">
            <w:pPr>
              <w:keepLines/>
              <w:widowControl/>
              <w:jc w:val="left"/>
              <w:rPr>
                <w:rFonts w:ascii="Arial Narrow" w:hAnsi="Arial Narrow" w:cs="Times New Roman"/>
                <w:sz w:val="20"/>
                <w:szCs w:val="20"/>
                <w:lang w:eastAsia="en-AU"/>
              </w:rPr>
            </w:pPr>
            <w:r w:rsidRPr="006653A2">
              <w:rPr>
                <w:rFonts w:ascii="Arial Narrow" w:hAnsi="Arial Narrow" w:cs="Times New Roman"/>
                <w:b/>
                <w:sz w:val="20"/>
                <w:szCs w:val="20"/>
                <w:lang w:eastAsia="en-AU"/>
              </w:rPr>
              <w:t>#</w:t>
            </w:r>
          </w:p>
        </w:tc>
        <w:tc>
          <w:tcPr>
            <w:tcW w:w="736" w:type="pct"/>
          </w:tcPr>
          <w:p w:rsidR="007E7F98" w:rsidRPr="006653A2" w:rsidRDefault="007E7F98" w:rsidP="00A44234">
            <w:pPr>
              <w:keepLines/>
              <w:widowControl/>
              <w:jc w:val="left"/>
              <w:rPr>
                <w:rFonts w:ascii="Arial Narrow" w:hAnsi="Arial Narrow" w:cs="Times New Roman"/>
                <w:sz w:val="20"/>
                <w:szCs w:val="20"/>
                <w:lang w:eastAsia="en-AU"/>
              </w:rPr>
            </w:pPr>
            <w:r w:rsidRPr="006653A2">
              <w:rPr>
                <w:rFonts w:ascii="Arial Narrow" w:hAnsi="Arial Narrow" w:cs="Times New Roman"/>
                <w:b/>
                <w:sz w:val="20"/>
                <w:szCs w:val="20"/>
                <w:lang w:eastAsia="en-AU"/>
              </w:rPr>
              <w:t>Aspect</w:t>
            </w:r>
          </w:p>
        </w:tc>
        <w:tc>
          <w:tcPr>
            <w:tcW w:w="890" w:type="pct"/>
          </w:tcPr>
          <w:p w:rsidR="007E7F98" w:rsidRPr="006653A2" w:rsidRDefault="007E7F98" w:rsidP="00A44234">
            <w:pPr>
              <w:keepLines/>
              <w:widowControl/>
              <w:jc w:val="left"/>
              <w:rPr>
                <w:rFonts w:ascii="Arial Narrow" w:hAnsi="Arial Narrow" w:cs="Times New Roman"/>
                <w:sz w:val="20"/>
                <w:szCs w:val="20"/>
                <w:lang w:eastAsia="en-AU"/>
              </w:rPr>
            </w:pPr>
            <w:r w:rsidRPr="006653A2">
              <w:rPr>
                <w:rFonts w:ascii="Arial Narrow" w:hAnsi="Arial Narrow" w:cs="Times New Roman"/>
                <w:b/>
                <w:sz w:val="20"/>
                <w:szCs w:val="20"/>
                <w:lang w:eastAsia="en-AU"/>
              </w:rPr>
              <w:t> Base case value</w:t>
            </w:r>
          </w:p>
        </w:tc>
        <w:tc>
          <w:tcPr>
            <w:tcW w:w="1071" w:type="pct"/>
          </w:tcPr>
          <w:p w:rsidR="007E7F98" w:rsidRPr="006653A2" w:rsidRDefault="007E7F98" w:rsidP="00A44234">
            <w:pPr>
              <w:keepLines/>
              <w:widowControl/>
              <w:jc w:val="left"/>
              <w:rPr>
                <w:rFonts w:ascii="Arial Narrow" w:hAnsi="Arial Narrow" w:cs="Times New Roman"/>
                <w:sz w:val="20"/>
                <w:szCs w:val="20"/>
                <w:lang w:eastAsia="en-AU"/>
              </w:rPr>
            </w:pPr>
            <w:r w:rsidRPr="006653A2">
              <w:rPr>
                <w:rFonts w:ascii="Arial Narrow" w:hAnsi="Arial Narrow" w:cs="Times New Roman"/>
                <w:b/>
                <w:sz w:val="20"/>
                <w:szCs w:val="20"/>
                <w:lang w:eastAsia="en-AU"/>
              </w:rPr>
              <w:t>Tested value or range</w:t>
            </w:r>
          </w:p>
        </w:tc>
        <w:tc>
          <w:tcPr>
            <w:tcW w:w="552" w:type="pct"/>
          </w:tcPr>
          <w:p w:rsidR="007E7F98" w:rsidRPr="006653A2" w:rsidRDefault="007E7F98" w:rsidP="00A44234">
            <w:pPr>
              <w:keepLines/>
              <w:widowControl/>
              <w:jc w:val="left"/>
              <w:rPr>
                <w:rFonts w:ascii="Arial Narrow" w:hAnsi="Arial Narrow" w:cs="Times New Roman"/>
                <w:sz w:val="20"/>
                <w:szCs w:val="20"/>
                <w:lang w:eastAsia="en-AU"/>
              </w:rPr>
            </w:pPr>
          </w:p>
        </w:tc>
        <w:tc>
          <w:tcPr>
            <w:tcW w:w="477" w:type="pct"/>
          </w:tcPr>
          <w:p w:rsidR="007E7F98" w:rsidRPr="006653A2" w:rsidRDefault="007E7F98" w:rsidP="00A44234">
            <w:pPr>
              <w:keepLines/>
              <w:widowControl/>
              <w:jc w:val="center"/>
              <w:rPr>
                <w:rFonts w:ascii="Arial Narrow" w:hAnsi="Arial Narrow" w:cs="Times New Roman"/>
                <w:sz w:val="20"/>
                <w:szCs w:val="20"/>
                <w:lang w:eastAsia="en-AU"/>
              </w:rPr>
            </w:pPr>
            <w:r w:rsidRPr="006653A2">
              <w:rPr>
                <w:rFonts w:ascii="Arial Narrow" w:hAnsi="Arial Narrow" w:cs="Times New Roman"/>
                <w:b/>
                <w:sz w:val="20"/>
                <w:szCs w:val="20"/>
                <w:lang w:eastAsia="en-AU"/>
              </w:rPr>
              <w:t>Rani</w:t>
            </w:r>
          </w:p>
        </w:tc>
        <w:tc>
          <w:tcPr>
            <w:tcW w:w="478" w:type="pct"/>
          </w:tcPr>
          <w:p w:rsidR="007E7F98" w:rsidRPr="006653A2" w:rsidRDefault="007E7F98" w:rsidP="00A44234">
            <w:pPr>
              <w:keepLines/>
              <w:widowControl/>
              <w:jc w:val="center"/>
              <w:rPr>
                <w:rFonts w:ascii="Arial Narrow" w:hAnsi="Arial Narrow" w:cs="Times New Roman"/>
                <w:sz w:val="20"/>
                <w:szCs w:val="20"/>
                <w:lang w:eastAsia="en-AU"/>
              </w:rPr>
            </w:pPr>
            <w:r w:rsidRPr="006653A2">
              <w:rPr>
                <w:rFonts w:ascii="Arial Narrow" w:hAnsi="Arial Narrow" w:cs="Times New Roman"/>
                <w:b/>
                <w:sz w:val="20"/>
                <w:szCs w:val="20"/>
                <w:lang w:eastAsia="en-AU"/>
              </w:rPr>
              <w:t xml:space="preserve">No active treatment </w:t>
            </w:r>
          </w:p>
        </w:tc>
        <w:tc>
          <w:tcPr>
            <w:tcW w:w="574" w:type="pct"/>
          </w:tcPr>
          <w:p w:rsidR="007E7F98" w:rsidRPr="006653A2" w:rsidRDefault="007E7F98" w:rsidP="00A44234">
            <w:pPr>
              <w:keepLines/>
              <w:widowControl/>
              <w:jc w:val="center"/>
              <w:rPr>
                <w:rFonts w:ascii="Arial Narrow" w:hAnsi="Arial Narrow" w:cs="Times New Roman"/>
                <w:sz w:val="20"/>
                <w:szCs w:val="20"/>
                <w:lang w:eastAsia="en-AU"/>
              </w:rPr>
            </w:pPr>
            <w:r w:rsidRPr="006653A2">
              <w:rPr>
                <w:rFonts w:ascii="Arial Narrow" w:hAnsi="Arial Narrow" w:cs="Times New Roman"/>
                <w:b/>
                <w:sz w:val="20"/>
                <w:szCs w:val="20"/>
                <w:lang w:eastAsia="en-AU"/>
              </w:rPr>
              <w:t>Incremental</w:t>
            </w:r>
          </w:p>
        </w:tc>
      </w:tr>
      <w:tr w:rsidR="007E7F98" w:rsidRPr="006653A2" w:rsidTr="003B4B48">
        <w:tc>
          <w:tcPr>
            <w:tcW w:w="222" w:type="pct"/>
            <w:vMerge w:val="restart"/>
          </w:tcPr>
          <w:p w:rsidR="007E7F98" w:rsidRPr="006653A2" w:rsidRDefault="007E7F98" w:rsidP="00A44234">
            <w:pPr>
              <w:keepLines/>
              <w:widowControl/>
              <w:jc w:val="left"/>
              <w:rPr>
                <w:rFonts w:ascii="Arial Narrow" w:hAnsi="Arial Narrow" w:cs="Times New Roman"/>
                <w:sz w:val="20"/>
                <w:szCs w:val="20"/>
                <w:lang w:eastAsia="en-AU"/>
              </w:rPr>
            </w:pPr>
            <w:r w:rsidRPr="006653A2">
              <w:rPr>
                <w:rFonts w:ascii="Arial Narrow" w:hAnsi="Arial Narrow" w:cs="Times New Roman"/>
                <w:sz w:val="20"/>
                <w:szCs w:val="20"/>
                <w:lang w:eastAsia="en-AU"/>
              </w:rPr>
              <w:t>1</w:t>
            </w:r>
          </w:p>
        </w:tc>
        <w:tc>
          <w:tcPr>
            <w:tcW w:w="736" w:type="pct"/>
            <w:vMerge w:val="restart"/>
          </w:tcPr>
          <w:p w:rsidR="007E7F98" w:rsidRPr="006653A2" w:rsidRDefault="007E7F98" w:rsidP="00A44234">
            <w:pPr>
              <w:keepLines/>
              <w:widowControl/>
              <w:jc w:val="left"/>
              <w:rPr>
                <w:rFonts w:ascii="Arial Narrow" w:hAnsi="Arial Narrow" w:cs="Times New Roman"/>
                <w:sz w:val="20"/>
                <w:szCs w:val="20"/>
                <w:lang w:eastAsia="en-AU"/>
              </w:rPr>
            </w:pPr>
            <w:r w:rsidRPr="006653A2">
              <w:rPr>
                <w:rFonts w:ascii="Arial Narrow" w:hAnsi="Arial Narrow" w:cs="Times New Roman"/>
                <w:sz w:val="20"/>
                <w:szCs w:val="20"/>
                <w:lang w:eastAsia="en-AU"/>
              </w:rPr>
              <w:t>Relative risk of falls (consistent with PBAC base case in July 2014 ranibizumab submissions)</w:t>
            </w:r>
          </w:p>
        </w:tc>
        <w:tc>
          <w:tcPr>
            <w:tcW w:w="890" w:type="pct"/>
            <w:vMerge w:val="restart"/>
          </w:tcPr>
          <w:p w:rsidR="007E7F98" w:rsidRPr="006653A2" w:rsidRDefault="007E7F98" w:rsidP="00A44234">
            <w:pPr>
              <w:keepLines/>
              <w:widowControl/>
              <w:jc w:val="left"/>
              <w:rPr>
                <w:rFonts w:ascii="Arial Narrow" w:hAnsi="Arial Narrow" w:cs="Times New Roman"/>
                <w:sz w:val="20"/>
                <w:szCs w:val="20"/>
                <w:lang w:eastAsia="en-AU"/>
              </w:rPr>
            </w:pPr>
            <w:r w:rsidRPr="006653A2">
              <w:rPr>
                <w:rFonts w:ascii="Arial Narrow" w:hAnsi="Arial Narrow" w:cs="Times New Roman"/>
                <w:sz w:val="20"/>
                <w:szCs w:val="20"/>
                <w:lang w:eastAsia="en-AU"/>
              </w:rPr>
              <w:t>RR VA1 = 1</w:t>
            </w:r>
            <w:r w:rsidRPr="006653A2">
              <w:rPr>
                <w:rFonts w:ascii="Arial Narrow" w:hAnsi="Arial Narrow" w:cs="Times New Roman"/>
                <w:sz w:val="20"/>
                <w:szCs w:val="20"/>
                <w:lang w:eastAsia="en-AU"/>
              </w:rPr>
              <w:br/>
              <w:t>RR VA2 = 1</w:t>
            </w:r>
            <w:r w:rsidRPr="006653A2">
              <w:rPr>
                <w:rFonts w:ascii="Arial Narrow" w:hAnsi="Arial Narrow" w:cs="Times New Roman"/>
                <w:sz w:val="20"/>
                <w:szCs w:val="20"/>
                <w:lang w:eastAsia="en-AU"/>
              </w:rPr>
              <w:br/>
              <w:t>RR VA3 BSE = 1.55</w:t>
            </w:r>
            <w:r w:rsidRPr="006653A2">
              <w:rPr>
                <w:rFonts w:ascii="Arial Narrow" w:hAnsi="Arial Narrow" w:cs="Times New Roman"/>
                <w:sz w:val="20"/>
                <w:szCs w:val="20"/>
                <w:lang w:eastAsia="en-AU"/>
              </w:rPr>
              <w:br/>
              <w:t>RR VA3 WSE = 1</w:t>
            </w:r>
            <w:r w:rsidRPr="006653A2">
              <w:rPr>
                <w:rFonts w:ascii="Arial Narrow" w:hAnsi="Arial Narrow" w:cs="Times New Roman"/>
                <w:sz w:val="20"/>
                <w:szCs w:val="20"/>
                <w:lang w:eastAsia="en-AU"/>
              </w:rPr>
              <w:br/>
              <w:t>RR VA4 BSE = 1.55</w:t>
            </w:r>
            <w:r w:rsidRPr="006653A2">
              <w:rPr>
                <w:rFonts w:ascii="Arial Narrow" w:hAnsi="Arial Narrow" w:cs="Times New Roman"/>
                <w:sz w:val="20"/>
                <w:szCs w:val="20"/>
                <w:lang w:eastAsia="en-AU"/>
              </w:rPr>
              <w:br/>
              <w:t xml:space="preserve">RR VA4 WSE = 1 </w:t>
            </w:r>
          </w:p>
        </w:tc>
        <w:tc>
          <w:tcPr>
            <w:tcW w:w="1071" w:type="pct"/>
            <w:vMerge w:val="restart"/>
          </w:tcPr>
          <w:p w:rsidR="007E7F98" w:rsidRPr="006653A2" w:rsidRDefault="007E7F98" w:rsidP="00A44234">
            <w:pPr>
              <w:keepLines/>
              <w:widowControl/>
              <w:jc w:val="left"/>
              <w:rPr>
                <w:rFonts w:ascii="Arial Narrow" w:hAnsi="Arial Narrow" w:cs="Times New Roman"/>
                <w:sz w:val="20"/>
                <w:szCs w:val="20"/>
                <w:lang w:eastAsia="en-AU"/>
              </w:rPr>
            </w:pPr>
            <w:r w:rsidRPr="006653A2">
              <w:rPr>
                <w:rFonts w:ascii="Arial Narrow" w:hAnsi="Arial Narrow" w:cs="Times New Roman"/>
                <w:sz w:val="20"/>
                <w:szCs w:val="20"/>
                <w:lang w:eastAsia="en-AU"/>
              </w:rPr>
              <w:t xml:space="preserve">RR = 1 </w:t>
            </w:r>
          </w:p>
        </w:tc>
        <w:tc>
          <w:tcPr>
            <w:tcW w:w="552" w:type="pct"/>
          </w:tcPr>
          <w:p w:rsidR="007E7F98" w:rsidRPr="006653A2" w:rsidRDefault="007E7F98" w:rsidP="00A44234">
            <w:pPr>
              <w:keepLines/>
              <w:widowControl/>
              <w:jc w:val="left"/>
              <w:rPr>
                <w:rFonts w:ascii="Arial Narrow" w:hAnsi="Arial Narrow" w:cs="Times New Roman"/>
                <w:sz w:val="20"/>
                <w:szCs w:val="20"/>
                <w:lang w:eastAsia="en-AU"/>
              </w:rPr>
            </w:pPr>
            <w:r w:rsidRPr="006653A2">
              <w:rPr>
                <w:rFonts w:ascii="Arial Narrow" w:hAnsi="Arial Narrow" w:cs="Times New Roman"/>
                <w:sz w:val="20"/>
                <w:szCs w:val="20"/>
                <w:lang w:eastAsia="en-AU"/>
              </w:rPr>
              <w:t>Costs</w:t>
            </w:r>
          </w:p>
        </w:tc>
        <w:tc>
          <w:tcPr>
            <w:tcW w:w="477" w:type="pct"/>
          </w:tcPr>
          <w:p w:rsidR="007E7F98" w:rsidRPr="006653A2" w:rsidRDefault="007E7F98" w:rsidP="00A44234">
            <w:pPr>
              <w:keepLines/>
              <w:widowControl/>
              <w:jc w:val="right"/>
              <w:rPr>
                <w:rFonts w:ascii="Arial Narrow" w:hAnsi="Arial Narrow" w:cs="Times New Roman"/>
                <w:sz w:val="20"/>
                <w:szCs w:val="20"/>
                <w:lang w:eastAsia="en-AU"/>
              </w:rPr>
            </w:pPr>
            <w:r w:rsidRPr="006653A2">
              <w:rPr>
                <w:rFonts w:ascii="Arial Narrow" w:hAnsi="Arial Narrow" w:cs="Times New Roman"/>
                <w:sz w:val="20"/>
                <w:szCs w:val="20"/>
                <w:lang w:eastAsia="en-AU"/>
              </w:rPr>
              <w:t>$</w:t>
            </w:r>
            <w:r w:rsidR="004C5EA1">
              <w:rPr>
                <w:rFonts w:ascii="Arial Narrow" w:hAnsi="Arial Narrow" w:cs="Times New Roman"/>
                <w:noProof/>
                <w:color w:val="000000"/>
                <w:sz w:val="20"/>
                <w:szCs w:val="20"/>
                <w:highlight w:val="black"/>
                <w:lang w:eastAsia="en-AU"/>
              </w:rPr>
              <w:t>''''''''''''''''</w:t>
            </w:r>
          </w:p>
        </w:tc>
        <w:tc>
          <w:tcPr>
            <w:tcW w:w="478" w:type="pct"/>
          </w:tcPr>
          <w:p w:rsidR="007E7F98" w:rsidRPr="006653A2" w:rsidRDefault="007E7F98" w:rsidP="00A44234">
            <w:pPr>
              <w:keepLines/>
              <w:widowControl/>
              <w:jc w:val="right"/>
              <w:rPr>
                <w:rFonts w:ascii="Arial Narrow" w:hAnsi="Arial Narrow" w:cs="Times New Roman"/>
                <w:sz w:val="20"/>
                <w:szCs w:val="20"/>
                <w:lang w:eastAsia="en-AU"/>
              </w:rPr>
            </w:pPr>
            <w:r w:rsidRPr="006653A2">
              <w:rPr>
                <w:rFonts w:ascii="Arial Narrow" w:hAnsi="Arial Narrow" w:cs="Times New Roman"/>
                <w:sz w:val="20"/>
                <w:szCs w:val="20"/>
                <w:lang w:eastAsia="en-AU"/>
              </w:rPr>
              <w:t>$</w:t>
            </w:r>
            <w:r w:rsidR="004C5EA1">
              <w:rPr>
                <w:rFonts w:ascii="Arial Narrow" w:hAnsi="Arial Narrow" w:cs="Times New Roman"/>
                <w:noProof/>
                <w:color w:val="000000"/>
                <w:sz w:val="20"/>
                <w:szCs w:val="20"/>
                <w:highlight w:val="black"/>
                <w:lang w:eastAsia="en-AU"/>
              </w:rPr>
              <w:t>''''''''''''''</w:t>
            </w:r>
          </w:p>
        </w:tc>
        <w:tc>
          <w:tcPr>
            <w:tcW w:w="574" w:type="pct"/>
          </w:tcPr>
          <w:p w:rsidR="007E7F98" w:rsidRPr="006653A2" w:rsidRDefault="007E7F98" w:rsidP="00A44234">
            <w:pPr>
              <w:keepLines/>
              <w:widowControl/>
              <w:jc w:val="right"/>
              <w:rPr>
                <w:rFonts w:ascii="Arial Narrow" w:hAnsi="Arial Narrow" w:cs="Times New Roman"/>
                <w:sz w:val="20"/>
                <w:szCs w:val="20"/>
                <w:lang w:eastAsia="en-AU"/>
              </w:rPr>
            </w:pPr>
            <w:r w:rsidRPr="006653A2">
              <w:rPr>
                <w:rFonts w:ascii="Arial Narrow" w:hAnsi="Arial Narrow" w:cs="Times New Roman"/>
                <w:sz w:val="20"/>
                <w:szCs w:val="20"/>
                <w:lang w:eastAsia="en-AU"/>
              </w:rPr>
              <w:t>$</w:t>
            </w:r>
            <w:r w:rsidR="004C5EA1">
              <w:rPr>
                <w:rFonts w:ascii="Arial Narrow" w:hAnsi="Arial Narrow" w:cs="Times New Roman"/>
                <w:noProof/>
                <w:color w:val="000000"/>
                <w:sz w:val="20"/>
                <w:szCs w:val="20"/>
                <w:highlight w:val="black"/>
                <w:lang w:eastAsia="en-AU"/>
              </w:rPr>
              <w:t>''''''''''''''</w:t>
            </w:r>
          </w:p>
        </w:tc>
      </w:tr>
      <w:tr w:rsidR="007E7F98" w:rsidRPr="00A87448" w:rsidTr="003B4B48">
        <w:tc>
          <w:tcPr>
            <w:tcW w:w="222" w:type="pct"/>
            <w:vMerge/>
          </w:tcPr>
          <w:p w:rsidR="007E7F98" w:rsidRPr="006653A2" w:rsidRDefault="007E7F98" w:rsidP="00A44234">
            <w:pPr>
              <w:keepLines/>
              <w:widowControl/>
              <w:jc w:val="left"/>
              <w:rPr>
                <w:rFonts w:ascii="Arial Narrow" w:hAnsi="Arial Narrow" w:cs="Times New Roman"/>
                <w:sz w:val="20"/>
                <w:szCs w:val="20"/>
                <w:lang w:eastAsia="en-AU"/>
              </w:rPr>
            </w:pPr>
          </w:p>
        </w:tc>
        <w:tc>
          <w:tcPr>
            <w:tcW w:w="736" w:type="pct"/>
            <w:vMerge/>
          </w:tcPr>
          <w:p w:rsidR="007E7F98" w:rsidRPr="006653A2" w:rsidRDefault="007E7F98" w:rsidP="00A44234">
            <w:pPr>
              <w:keepLines/>
              <w:widowControl/>
              <w:jc w:val="left"/>
              <w:rPr>
                <w:rFonts w:ascii="Arial Narrow" w:hAnsi="Arial Narrow" w:cs="Times New Roman"/>
                <w:sz w:val="20"/>
                <w:szCs w:val="20"/>
                <w:lang w:eastAsia="en-AU"/>
              </w:rPr>
            </w:pPr>
          </w:p>
        </w:tc>
        <w:tc>
          <w:tcPr>
            <w:tcW w:w="890" w:type="pct"/>
            <w:vMerge/>
          </w:tcPr>
          <w:p w:rsidR="007E7F98" w:rsidRPr="006653A2" w:rsidRDefault="007E7F98" w:rsidP="00A44234">
            <w:pPr>
              <w:keepLines/>
              <w:widowControl/>
              <w:jc w:val="left"/>
              <w:rPr>
                <w:rFonts w:ascii="Arial Narrow" w:hAnsi="Arial Narrow" w:cs="Times New Roman"/>
                <w:sz w:val="20"/>
                <w:szCs w:val="20"/>
                <w:lang w:eastAsia="en-AU"/>
              </w:rPr>
            </w:pPr>
          </w:p>
        </w:tc>
        <w:tc>
          <w:tcPr>
            <w:tcW w:w="1071" w:type="pct"/>
            <w:vMerge/>
          </w:tcPr>
          <w:p w:rsidR="007E7F98" w:rsidRPr="006653A2" w:rsidRDefault="007E7F98" w:rsidP="00A44234">
            <w:pPr>
              <w:keepLines/>
              <w:widowControl/>
              <w:jc w:val="left"/>
              <w:rPr>
                <w:rFonts w:ascii="Arial Narrow" w:hAnsi="Arial Narrow" w:cs="Times New Roman"/>
                <w:sz w:val="20"/>
                <w:szCs w:val="20"/>
                <w:lang w:eastAsia="en-AU"/>
              </w:rPr>
            </w:pPr>
          </w:p>
        </w:tc>
        <w:tc>
          <w:tcPr>
            <w:tcW w:w="552" w:type="pct"/>
          </w:tcPr>
          <w:p w:rsidR="007E7F98" w:rsidRPr="006653A2" w:rsidRDefault="007E7F98" w:rsidP="00A44234">
            <w:pPr>
              <w:keepLines/>
              <w:widowControl/>
              <w:jc w:val="left"/>
              <w:rPr>
                <w:rFonts w:ascii="Arial Narrow" w:hAnsi="Arial Narrow" w:cs="Times New Roman"/>
                <w:sz w:val="20"/>
                <w:szCs w:val="20"/>
                <w:lang w:eastAsia="en-AU"/>
              </w:rPr>
            </w:pPr>
            <w:r w:rsidRPr="006653A2">
              <w:rPr>
                <w:rFonts w:ascii="Arial Narrow" w:hAnsi="Arial Narrow" w:cs="Times New Roman"/>
                <w:sz w:val="20"/>
                <w:szCs w:val="20"/>
                <w:lang w:eastAsia="en-AU"/>
              </w:rPr>
              <w:t>QALYs</w:t>
            </w:r>
          </w:p>
        </w:tc>
        <w:tc>
          <w:tcPr>
            <w:tcW w:w="477" w:type="pct"/>
          </w:tcPr>
          <w:p w:rsidR="007E7F98" w:rsidRPr="004C5EA1" w:rsidRDefault="004C5EA1" w:rsidP="00A44234">
            <w:pPr>
              <w:keepLines/>
              <w:widowControl/>
              <w:jc w:val="right"/>
              <w:rPr>
                <w:rFonts w:ascii="Arial Narrow" w:hAnsi="Arial Narrow" w:cs="Times New Roman"/>
                <w:sz w:val="20"/>
                <w:szCs w:val="20"/>
                <w:highlight w:val="black"/>
                <w:lang w:eastAsia="en-AU"/>
              </w:rPr>
            </w:pPr>
            <w:r>
              <w:rPr>
                <w:rFonts w:ascii="Arial Narrow" w:hAnsi="Arial Narrow" w:cs="Times New Roman"/>
                <w:noProof/>
                <w:color w:val="000000"/>
                <w:sz w:val="20"/>
                <w:szCs w:val="20"/>
                <w:highlight w:val="black"/>
                <w:lang w:eastAsia="en-AU"/>
              </w:rPr>
              <w:t>'''''''''''</w:t>
            </w:r>
          </w:p>
        </w:tc>
        <w:tc>
          <w:tcPr>
            <w:tcW w:w="478" w:type="pct"/>
          </w:tcPr>
          <w:p w:rsidR="007E7F98" w:rsidRPr="004C5EA1" w:rsidRDefault="004C5EA1" w:rsidP="00A44234">
            <w:pPr>
              <w:keepLines/>
              <w:widowControl/>
              <w:jc w:val="right"/>
              <w:rPr>
                <w:rFonts w:ascii="Arial Narrow" w:hAnsi="Arial Narrow" w:cs="Times New Roman"/>
                <w:sz w:val="20"/>
                <w:szCs w:val="20"/>
                <w:highlight w:val="black"/>
                <w:lang w:eastAsia="en-AU"/>
              </w:rPr>
            </w:pPr>
            <w:r>
              <w:rPr>
                <w:rFonts w:ascii="Arial Narrow" w:hAnsi="Arial Narrow" w:cs="Times New Roman"/>
                <w:noProof/>
                <w:color w:val="000000"/>
                <w:sz w:val="20"/>
                <w:szCs w:val="20"/>
                <w:highlight w:val="black"/>
                <w:lang w:eastAsia="en-AU"/>
              </w:rPr>
              <w:t>''''''''''''</w:t>
            </w:r>
          </w:p>
        </w:tc>
        <w:tc>
          <w:tcPr>
            <w:tcW w:w="574" w:type="pct"/>
          </w:tcPr>
          <w:p w:rsidR="007E7F98" w:rsidRPr="004C5EA1" w:rsidRDefault="004C5EA1" w:rsidP="00A44234">
            <w:pPr>
              <w:keepLines/>
              <w:widowControl/>
              <w:jc w:val="right"/>
              <w:rPr>
                <w:rFonts w:ascii="Arial Narrow" w:hAnsi="Arial Narrow" w:cs="Times New Roman"/>
                <w:sz w:val="20"/>
                <w:szCs w:val="20"/>
                <w:highlight w:val="black"/>
                <w:lang w:eastAsia="en-AU"/>
              </w:rPr>
            </w:pPr>
            <w:r>
              <w:rPr>
                <w:rFonts w:ascii="Arial Narrow" w:hAnsi="Arial Narrow" w:cs="Times New Roman"/>
                <w:noProof/>
                <w:color w:val="000000"/>
                <w:sz w:val="20"/>
                <w:szCs w:val="20"/>
                <w:highlight w:val="black"/>
                <w:lang w:eastAsia="en-AU"/>
              </w:rPr>
              <w:t>'''''''''''</w:t>
            </w:r>
          </w:p>
        </w:tc>
      </w:tr>
      <w:tr w:rsidR="004F68E6" w:rsidRPr="006653A2" w:rsidTr="004F68E6">
        <w:tc>
          <w:tcPr>
            <w:tcW w:w="222" w:type="pct"/>
            <w:vMerge/>
          </w:tcPr>
          <w:p w:rsidR="004F68E6" w:rsidRPr="006653A2" w:rsidRDefault="004F68E6" w:rsidP="00A44234">
            <w:pPr>
              <w:keepLines/>
              <w:widowControl/>
              <w:jc w:val="left"/>
              <w:rPr>
                <w:rFonts w:ascii="Arial Narrow" w:hAnsi="Arial Narrow" w:cs="Times New Roman"/>
                <w:sz w:val="20"/>
                <w:szCs w:val="20"/>
                <w:lang w:eastAsia="en-AU"/>
              </w:rPr>
            </w:pPr>
          </w:p>
        </w:tc>
        <w:tc>
          <w:tcPr>
            <w:tcW w:w="736" w:type="pct"/>
            <w:vMerge/>
          </w:tcPr>
          <w:p w:rsidR="004F68E6" w:rsidRPr="006653A2" w:rsidRDefault="004F68E6" w:rsidP="00A44234">
            <w:pPr>
              <w:keepLines/>
              <w:widowControl/>
              <w:jc w:val="left"/>
              <w:rPr>
                <w:rFonts w:ascii="Arial Narrow" w:hAnsi="Arial Narrow" w:cs="Times New Roman"/>
                <w:sz w:val="20"/>
                <w:szCs w:val="20"/>
                <w:lang w:eastAsia="en-AU"/>
              </w:rPr>
            </w:pPr>
          </w:p>
        </w:tc>
        <w:tc>
          <w:tcPr>
            <w:tcW w:w="890" w:type="pct"/>
            <w:vMerge/>
          </w:tcPr>
          <w:p w:rsidR="004F68E6" w:rsidRPr="006653A2" w:rsidRDefault="004F68E6" w:rsidP="00A44234">
            <w:pPr>
              <w:keepLines/>
              <w:widowControl/>
              <w:jc w:val="left"/>
              <w:rPr>
                <w:rFonts w:ascii="Arial Narrow" w:hAnsi="Arial Narrow" w:cs="Times New Roman"/>
                <w:sz w:val="20"/>
                <w:szCs w:val="20"/>
                <w:lang w:eastAsia="en-AU"/>
              </w:rPr>
            </w:pPr>
          </w:p>
        </w:tc>
        <w:tc>
          <w:tcPr>
            <w:tcW w:w="1071" w:type="pct"/>
            <w:vMerge/>
          </w:tcPr>
          <w:p w:rsidR="004F68E6" w:rsidRPr="006653A2" w:rsidRDefault="004F68E6" w:rsidP="00A44234">
            <w:pPr>
              <w:keepLines/>
              <w:widowControl/>
              <w:jc w:val="left"/>
              <w:rPr>
                <w:rFonts w:ascii="Arial Narrow" w:hAnsi="Arial Narrow" w:cs="Times New Roman"/>
                <w:sz w:val="20"/>
                <w:szCs w:val="20"/>
                <w:lang w:eastAsia="en-AU"/>
              </w:rPr>
            </w:pPr>
          </w:p>
        </w:tc>
        <w:tc>
          <w:tcPr>
            <w:tcW w:w="552" w:type="pct"/>
          </w:tcPr>
          <w:p w:rsidR="004F68E6" w:rsidRPr="006653A2" w:rsidRDefault="004F68E6" w:rsidP="00A44234">
            <w:pPr>
              <w:keepLines/>
              <w:widowControl/>
              <w:jc w:val="left"/>
              <w:rPr>
                <w:rFonts w:ascii="Arial Narrow" w:hAnsi="Arial Narrow" w:cs="Times New Roman"/>
                <w:sz w:val="20"/>
                <w:szCs w:val="20"/>
                <w:lang w:eastAsia="en-AU"/>
              </w:rPr>
            </w:pPr>
            <w:r w:rsidRPr="006653A2">
              <w:rPr>
                <w:rFonts w:ascii="Arial Narrow" w:hAnsi="Arial Narrow" w:cs="Times New Roman"/>
                <w:sz w:val="20"/>
                <w:szCs w:val="20"/>
                <w:lang w:eastAsia="en-AU"/>
              </w:rPr>
              <w:t>Cost per QALY</w:t>
            </w:r>
          </w:p>
        </w:tc>
        <w:tc>
          <w:tcPr>
            <w:tcW w:w="1529" w:type="pct"/>
            <w:gridSpan w:val="3"/>
          </w:tcPr>
          <w:p w:rsidR="004F68E6" w:rsidRPr="006653A2" w:rsidRDefault="004F68E6" w:rsidP="00A44234">
            <w:pPr>
              <w:keepLines/>
              <w:widowControl/>
              <w:jc w:val="right"/>
              <w:rPr>
                <w:rFonts w:ascii="Arial Narrow" w:hAnsi="Arial Narrow" w:cs="Times New Roman"/>
                <w:sz w:val="20"/>
                <w:szCs w:val="20"/>
                <w:lang w:eastAsia="en-AU"/>
              </w:rPr>
            </w:pPr>
            <w:r w:rsidRPr="006653A2">
              <w:rPr>
                <w:rFonts w:ascii="Arial Narrow" w:hAnsi="Arial Narrow" w:cs="Times New Roman"/>
                <w:sz w:val="20"/>
                <w:szCs w:val="20"/>
                <w:lang w:eastAsia="en-AU"/>
              </w:rPr>
              <w:t>$</w:t>
            </w:r>
            <w:r w:rsidR="004C5EA1">
              <w:rPr>
                <w:rFonts w:ascii="Arial Narrow" w:hAnsi="Arial Narrow" w:cs="Times New Roman"/>
                <w:noProof/>
                <w:color w:val="000000"/>
                <w:sz w:val="20"/>
                <w:szCs w:val="20"/>
                <w:highlight w:val="black"/>
                <w:lang w:eastAsia="en-AU"/>
              </w:rPr>
              <w:t>'''''''''''''''''</w:t>
            </w:r>
          </w:p>
        </w:tc>
      </w:tr>
      <w:tr w:rsidR="007E7F98" w:rsidRPr="006653A2" w:rsidTr="003B4B48">
        <w:tc>
          <w:tcPr>
            <w:tcW w:w="222" w:type="pct"/>
            <w:vMerge w:val="restart"/>
          </w:tcPr>
          <w:p w:rsidR="007E7F98" w:rsidRPr="006653A2" w:rsidRDefault="007E7F98" w:rsidP="00A44234">
            <w:pPr>
              <w:keepLines/>
              <w:widowControl/>
              <w:jc w:val="left"/>
              <w:rPr>
                <w:rFonts w:ascii="Arial Narrow" w:hAnsi="Arial Narrow" w:cs="Times New Roman"/>
                <w:sz w:val="20"/>
                <w:szCs w:val="20"/>
                <w:lang w:eastAsia="en-AU"/>
              </w:rPr>
            </w:pPr>
            <w:r w:rsidRPr="006653A2">
              <w:rPr>
                <w:rFonts w:ascii="Arial Narrow" w:hAnsi="Arial Narrow" w:cs="Times New Roman"/>
                <w:sz w:val="20"/>
                <w:szCs w:val="20"/>
                <w:lang w:eastAsia="en-AU"/>
              </w:rPr>
              <w:t>2</w:t>
            </w:r>
          </w:p>
        </w:tc>
        <w:tc>
          <w:tcPr>
            <w:tcW w:w="736" w:type="pct"/>
            <w:vMerge w:val="restart"/>
          </w:tcPr>
          <w:p w:rsidR="007E7F98" w:rsidRPr="006653A2" w:rsidRDefault="007E7F98" w:rsidP="00A44234">
            <w:pPr>
              <w:keepLines/>
              <w:widowControl/>
              <w:jc w:val="left"/>
              <w:rPr>
                <w:rFonts w:ascii="Arial Narrow" w:hAnsi="Arial Narrow" w:cs="Times New Roman"/>
                <w:sz w:val="20"/>
                <w:szCs w:val="20"/>
                <w:lang w:eastAsia="en-AU"/>
              </w:rPr>
            </w:pPr>
            <w:r w:rsidRPr="006653A2">
              <w:rPr>
                <w:rFonts w:ascii="Arial Narrow" w:hAnsi="Arial Narrow" w:cs="Times New Roman"/>
                <w:sz w:val="20"/>
                <w:szCs w:val="20"/>
                <w:lang w:eastAsia="en-AU"/>
              </w:rPr>
              <w:t>Monitoring Costs</w:t>
            </w:r>
          </w:p>
        </w:tc>
        <w:tc>
          <w:tcPr>
            <w:tcW w:w="890" w:type="pct"/>
            <w:vMerge w:val="restart"/>
          </w:tcPr>
          <w:p w:rsidR="007E7F98" w:rsidRPr="006653A2" w:rsidRDefault="007E7F98" w:rsidP="00A44234">
            <w:pPr>
              <w:keepLines/>
              <w:widowControl/>
              <w:jc w:val="left"/>
              <w:rPr>
                <w:rFonts w:ascii="Arial Narrow" w:hAnsi="Arial Narrow" w:cs="Times New Roman"/>
                <w:sz w:val="20"/>
                <w:szCs w:val="20"/>
                <w:lang w:eastAsia="en-AU"/>
              </w:rPr>
            </w:pPr>
            <w:r w:rsidRPr="006653A2">
              <w:rPr>
                <w:rFonts w:ascii="Arial Narrow" w:hAnsi="Arial Narrow" w:cs="Times New Roman"/>
                <w:sz w:val="20"/>
                <w:szCs w:val="20"/>
                <w:lang w:eastAsia="en-AU"/>
              </w:rPr>
              <w:t>Ranibizumab: 6, 4, and 1 visits in years 1, 2 and 3 respectively</w:t>
            </w:r>
          </w:p>
          <w:p w:rsidR="007E7F98" w:rsidRPr="006653A2" w:rsidRDefault="007E7F98" w:rsidP="00A44234">
            <w:pPr>
              <w:keepLines/>
              <w:widowControl/>
              <w:jc w:val="left"/>
              <w:rPr>
                <w:rFonts w:ascii="Arial Narrow" w:hAnsi="Arial Narrow" w:cs="Times New Roman"/>
                <w:sz w:val="20"/>
                <w:szCs w:val="20"/>
                <w:lang w:eastAsia="en-AU"/>
              </w:rPr>
            </w:pPr>
            <w:r w:rsidRPr="006653A2">
              <w:rPr>
                <w:rFonts w:ascii="Arial Narrow" w:hAnsi="Arial Narrow" w:cs="Times New Roman"/>
                <w:sz w:val="20"/>
                <w:szCs w:val="20"/>
                <w:lang w:eastAsia="en-AU"/>
              </w:rPr>
              <w:t>No active treatment: 8, 4, and 1 visits in years 1, 2 and 3 respectively</w:t>
            </w:r>
          </w:p>
        </w:tc>
        <w:tc>
          <w:tcPr>
            <w:tcW w:w="1071" w:type="pct"/>
            <w:vMerge w:val="restart"/>
          </w:tcPr>
          <w:p w:rsidR="007E7F98" w:rsidRPr="006653A2" w:rsidRDefault="007E7F98" w:rsidP="00A44234">
            <w:pPr>
              <w:keepLines/>
              <w:widowControl/>
              <w:jc w:val="left"/>
              <w:rPr>
                <w:rFonts w:ascii="Arial Narrow" w:hAnsi="Arial Narrow" w:cs="Times New Roman"/>
                <w:sz w:val="20"/>
                <w:szCs w:val="20"/>
                <w:lang w:eastAsia="en-AU"/>
              </w:rPr>
            </w:pPr>
            <w:r w:rsidRPr="006653A2">
              <w:rPr>
                <w:rFonts w:ascii="Arial Narrow" w:hAnsi="Arial Narrow" w:cs="Times New Roman"/>
                <w:sz w:val="20"/>
                <w:szCs w:val="20"/>
                <w:lang w:eastAsia="en-AU"/>
              </w:rPr>
              <w:t>Set the number of monitoring costs to 1</w:t>
            </w:r>
          </w:p>
        </w:tc>
        <w:tc>
          <w:tcPr>
            <w:tcW w:w="552" w:type="pct"/>
          </w:tcPr>
          <w:p w:rsidR="007E7F98" w:rsidRPr="006653A2" w:rsidRDefault="007E7F98" w:rsidP="00A44234">
            <w:pPr>
              <w:keepLines/>
              <w:widowControl/>
              <w:jc w:val="left"/>
              <w:rPr>
                <w:rFonts w:ascii="Arial Narrow" w:hAnsi="Arial Narrow" w:cs="Times New Roman"/>
                <w:sz w:val="20"/>
                <w:szCs w:val="20"/>
                <w:lang w:eastAsia="en-AU"/>
              </w:rPr>
            </w:pPr>
            <w:r w:rsidRPr="006653A2">
              <w:rPr>
                <w:rFonts w:ascii="Arial Narrow" w:hAnsi="Arial Narrow" w:cs="Times New Roman"/>
                <w:sz w:val="20"/>
                <w:szCs w:val="20"/>
                <w:lang w:eastAsia="en-AU"/>
              </w:rPr>
              <w:t>Costs</w:t>
            </w:r>
          </w:p>
        </w:tc>
        <w:tc>
          <w:tcPr>
            <w:tcW w:w="477" w:type="pct"/>
          </w:tcPr>
          <w:p w:rsidR="007E7F98" w:rsidRPr="006653A2" w:rsidRDefault="007E7F98" w:rsidP="00A44234">
            <w:pPr>
              <w:keepLines/>
              <w:widowControl/>
              <w:jc w:val="right"/>
              <w:rPr>
                <w:rFonts w:ascii="Arial Narrow" w:hAnsi="Arial Narrow" w:cs="Times New Roman"/>
                <w:sz w:val="20"/>
                <w:szCs w:val="20"/>
                <w:lang w:eastAsia="en-AU"/>
              </w:rPr>
            </w:pPr>
            <w:r w:rsidRPr="006653A2">
              <w:rPr>
                <w:rFonts w:ascii="Arial Narrow" w:hAnsi="Arial Narrow" w:cs="Times New Roman"/>
                <w:sz w:val="20"/>
                <w:szCs w:val="20"/>
                <w:lang w:eastAsia="en-AU"/>
              </w:rPr>
              <w:t>$</w:t>
            </w:r>
            <w:r w:rsidR="004C5EA1">
              <w:rPr>
                <w:rFonts w:ascii="Arial Narrow" w:hAnsi="Arial Narrow" w:cs="Times New Roman"/>
                <w:noProof/>
                <w:color w:val="000000"/>
                <w:sz w:val="20"/>
                <w:szCs w:val="20"/>
                <w:highlight w:val="black"/>
                <w:lang w:eastAsia="en-AU"/>
              </w:rPr>
              <w:t>''''''''''''</w:t>
            </w:r>
          </w:p>
        </w:tc>
        <w:tc>
          <w:tcPr>
            <w:tcW w:w="478" w:type="pct"/>
          </w:tcPr>
          <w:p w:rsidR="007E7F98" w:rsidRPr="006653A2" w:rsidRDefault="007E7F98" w:rsidP="00A44234">
            <w:pPr>
              <w:keepLines/>
              <w:widowControl/>
              <w:jc w:val="right"/>
              <w:rPr>
                <w:rFonts w:ascii="Arial Narrow" w:hAnsi="Arial Narrow" w:cs="Times New Roman"/>
                <w:sz w:val="20"/>
                <w:szCs w:val="20"/>
                <w:lang w:eastAsia="en-AU"/>
              </w:rPr>
            </w:pPr>
            <w:r w:rsidRPr="006653A2">
              <w:rPr>
                <w:rFonts w:ascii="Arial Narrow" w:hAnsi="Arial Narrow" w:cs="Times New Roman"/>
                <w:sz w:val="20"/>
                <w:szCs w:val="20"/>
                <w:lang w:eastAsia="en-AU"/>
              </w:rPr>
              <w:t>$</w:t>
            </w:r>
            <w:r w:rsidR="004C5EA1">
              <w:rPr>
                <w:rFonts w:ascii="Arial Narrow" w:hAnsi="Arial Narrow" w:cs="Times New Roman"/>
                <w:noProof/>
                <w:color w:val="000000"/>
                <w:sz w:val="20"/>
                <w:szCs w:val="20"/>
                <w:highlight w:val="black"/>
                <w:lang w:eastAsia="en-AU"/>
              </w:rPr>
              <w:t>''''''''''''</w:t>
            </w:r>
          </w:p>
        </w:tc>
        <w:tc>
          <w:tcPr>
            <w:tcW w:w="574" w:type="pct"/>
          </w:tcPr>
          <w:p w:rsidR="007E7F98" w:rsidRPr="006653A2" w:rsidRDefault="007E7F98" w:rsidP="00A44234">
            <w:pPr>
              <w:keepLines/>
              <w:widowControl/>
              <w:jc w:val="right"/>
              <w:rPr>
                <w:rFonts w:ascii="Arial Narrow" w:hAnsi="Arial Narrow" w:cs="Times New Roman"/>
                <w:sz w:val="20"/>
                <w:szCs w:val="20"/>
                <w:lang w:eastAsia="en-AU"/>
              </w:rPr>
            </w:pPr>
            <w:r w:rsidRPr="006653A2">
              <w:rPr>
                <w:rFonts w:ascii="Arial Narrow" w:hAnsi="Arial Narrow" w:cs="Times New Roman"/>
                <w:sz w:val="20"/>
                <w:szCs w:val="20"/>
                <w:lang w:eastAsia="en-AU"/>
              </w:rPr>
              <w:t>$</w:t>
            </w:r>
            <w:r w:rsidR="004C5EA1">
              <w:rPr>
                <w:rFonts w:ascii="Arial Narrow" w:hAnsi="Arial Narrow" w:cs="Times New Roman"/>
                <w:noProof/>
                <w:color w:val="000000"/>
                <w:sz w:val="20"/>
                <w:szCs w:val="20"/>
                <w:highlight w:val="black"/>
                <w:lang w:eastAsia="en-AU"/>
              </w:rPr>
              <w:t>'''''''''''''''</w:t>
            </w:r>
          </w:p>
        </w:tc>
      </w:tr>
      <w:tr w:rsidR="007E7F98" w:rsidRPr="006653A2" w:rsidTr="003B4B48">
        <w:tc>
          <w:tcPr>
            <w:tcW w:w="222" w:type="pct"/>
            <w:vMerge/>
          </w:tcPr>
          <w:p w:rsidR="007E7F98" w:rsidRPr="006653A2" w:rsidRDefault="007E7F98" w:rsidP="00A44234">
            <w:pPr>
              <w:keepLines/>
              <w:widowControl/>
              <w:jc w:val="left"/>
              <w:rPr>
                <w:rFonts w:ascii="Arial Narrow" w:hAnsi="Arial Narrow" w:cs="Times New Roman"/>
                <w:sz w:val="20"/>
                <w:szCs w:val="20"/>
                <w:lang w:eastAsia="en-AU"/>
              </w:rPr>
            </w:pPr>
          </w:p>
        </w:tc>
        <w:tc>
          <w:tcPr>
            <w:tcW w:w="736" w:type="pct"/>
            <w:vMerge/>
          </w:tcPr>
          <w:p w:rsidR="007E7F98" w:rsidRPr="006653A2" w:rsidRDefault="007E7F98" w:rsidP="00A44234">
            <w:pPr>
              <w:keepLines/>
              <w:widowControl/>
              <w:jc w:val="left"/>
              <w:rPr>
                <w:rFonts w:ascii="Arial Narrow" w:hAnsi="Arial Narrow" w:cs="Times New Roman"/>
                <w:sz w:val="20"/>
                <w:szCs w:val="20"/>
                <w:lang w:eastAsia="en-AU"/>
              </w:rPr>
            </w:pPr>
          </w:p>
        </w:tc>
        <w:tc>
          <w:tcPr>
            <w:tcW w:w="890" w:type="pct"/>
            <w:vMerge/>
          </w:tcPr>
          <w:p w:rsidR="007E7F98" w:rsidRPr="006653A2" w:rsidRDefault="007E7F98" w:rsidP="00A44234">
            <w:pPr>
              <w:keepLines/>
              <w:widowControl/>
              <w:jc w:val="left"/>
              <w:rPr>
                <w:rFonts w:ascii="Arial Narrow" w:hAnsi="Arial Narrow" w:cs="Times New Roman"/>
                <w:sz w:val="20"/>
                <w:szCs w:val="20"/>
                <w:lang w:eastAsia="en-AU"/>
              </w:rPr>
            </w:pPr>
          </w:p>
        </w:tc>
        <w:tc>
          <w:tcPr>
            <w:tcW w:w="1071" w:type="pct"/>
            <w:vMerge/>
          </w:tcPr>
          <w:p w:rsidR="007E7F98" w:rsidRPr="006653A2" w:rsidRDefault="007E7F98" w:rsidP="00A44234">
            <w:pPr>
              <w:keepLines/>
              <w:widowControl/>
              <w:jc w:val="left"/>
              <w:rPr>
                <w:rFonts w:ascii="Arial Narrow" w:hAnsi="Arial Narrow" w:cs="Times New Roman"/>
                <w:sz w:val="20"/>
                <w:szCs w:val="20"/>
                <w:lang w:eastAsia="en-AU"/>
              </w:rPr>
            </w:pPr>
          </w:p>
        </w:tc>
        <w:tc>
          <w:tcPr>
            <w:tcW w:w="552" w:type="pct"/>
          </w:tcPr>
          <w:p w:rsidR="007E7F98" w:rsidRPr="006653A2" w:rsidRDefault="007E7F98" w:rsidP="00A44234">
            <w:pPr>
              <w:keepLines/>
              <w:widowControl/>
              <w:jc w:val="left"/>
              <w:rPr>
                <w:rFonts w:ascii="Arial Narrow" w:hAnsi="Arial Narrow" w:cs="Times New Roman"/>
                <w:sz w:val="20"/>
                <w:szCs w:val="20"/>
                <w:lang w:eastAsia="en-AU"/>
              </w:rPr>
            </w:pPr>
            <w:r w:rsidRPr="006653A2">
              <w:rPr>
                <w:rFonts w:ascii="Arial Narrow" w:hAnsi="Arial Narrow" w:cs="Times New Roman"/>
                <w:sz w:val="20"/>
                <w:szCs w:val="20"/>
                <w:lang w:eastAsia="en-AU"/>
              </w:rPr>
              <w:t>QALYs</w:t>
            </w:r>
          </w:p>
        </w:tc>
        <w:tc>
          <w:tcPr>
            <w:tcW w:w="477" w:type="pct"/>
          </w:tcPr>
          <w:p w:rsidR="007E7F98" w:rsidRPr="004C5EA1" w:rsidRDefault="004C5EA1" w:rsidP="00A44234">
            <w:pPr>
              <w:keepLines/>
              <w:widowControl/>
              <w:jc w:val="right"/>
              <w:rPr>
                <w:rFonts w:ascii="Arial Narrow" w:hAnsi="Arial Narrow" w:cs="Times New Roman"/>
                <w:sz w:val="20"/>
                <w:szCs w:val="20"/>
                <w:highlight w:val="black"/>
                <w:lang w:eastAsia="en-AU"/>
              </w:rPr>
            </w:pPr>
            <w:r>
              <w:rPr>
                <w:rFonts w:ascii="Arial Narrow" w:hAnsi="Arial Narrow" w:cs="Times New Roman"/>
                <w:noProof/>
                <w:color w:val="000000"/>
                <w:sz w:val="20"/>
                <w:szCs w:val="20"/>
                <w:highlight w:val="black"/>
                <w:lang w:eastAsia="en-AU"/>
              </w:rPr>
              <w:t>'''''''''''</w:t>
            </w:r>
          </w:p>
        </w:tc>
        <w:tc>
          <w:tcPr>
            <w:tcW w:w="478" w:type="pct"/>
          </w:tcPr>
          <w:p w:rsidR="007E7F98" w:rsidRPr="004C5EA1" w:rsidRDefault="004C5EA1" w:rsidP="00A44234">
            <w:pPr>
              <w:keepLines/>
              <w:widowControl/>
              <w:jc w:val="right"/>
              <w:rPr>
                <w:rFonts w:ascii="Arial Narrow" w:hAnsi="Arial Narrow" w:cs="Times New Roman"/>
                <w:sz w:val="20"/>
                <w:szCs w:val="20"/>
                <w:highlight w:val="black"/>
                <w:lang w:eastAsia="en-AU"/>
              </w:rPr>
            </w:pPr>
            <w:r>
              <w:rPr>
                <w:rFonts w:ascii="Arial Narrow" w:hAnsi="Arial Narrow" w:cs="Times New Roman"/>
                <w:noProof/>
                <w:color w:val="000000"/>
                <w:sz w:val="20"/>
                <w:szCs w:val="20"/>
                <w:highlight w:val="black"/>
                <w:lang w:eastAsia="en-AU"/>
              </w:rPr>
              <w:t>'''''''''''</w:t>
            </w:r>
          </w:p>
        </w:tc>
        <w:tc>
          <w:tcPr>
            <w:tcW w:w="574" w:type="pct"/>
          </w:tcPr>
          <w:p w:rsidR="007E7F98" w:rsidRPr="004C5EA1" w:rsidRDefault="004C5EA1" w:rsidP="00A44234">
            <w:pPr>
              <w:keepLines/>
              <w:widowControl/>
              <w:jc w:val="right"/>
              <w:rPr>
                <w:rFonts w:ascii="Arial Narrow" w:hAnsi="Arial Narrow" w:cs="Times New Roman"/>
                <w:sz w:val="20"/>
                <w:szCs w:val="20"/>
                <w:highlight w:val="black"/>
                <w:lang w:eastAsia="en-AU"/>
              </w:rPr>
            </w:pPr>
            <w:r>
              <w:rPr>
                <w:rFonts w:ascii="Arial Narrow" w:hAnsi="Arial Narrow" w:cs="Times New Roman"/>
                <w:noProof/>
                <w:color w:val="000000"/>
                <w:sz w:val="20"/>
                <w:szCs w:val="20"/>
                <w:highlight w:val="black"/>
                <w:lang w:eastAsia="en-AU"/>
              </w:rPr>
              <w:t>'''''''''''</w:t>
            </w:r>
          </w:p>
        </w:tc>
      </w:tr>
      <w:tr w:rsidR="004F68E6" w:rsidRPr="006653A2" w:rsidTr="004F68E6">
        <w:tc>
          <w:tcPr>
            <w:tcW w:w="222" w:type="pct"/>
            <w:vMerge/>
          </w:tcPr>
          <w:p w:rsidR="004F68E6" w:rsidRPr="006653A2" w:rsidRDefault="004F68E6" w:rsidP="00A44234">
            <w:pPr>
              <w:keepLines/>
              <w:widowControl/>
              <w:jc w:val="left"/>
              <w:rPr>
                <w:rFonts w:ascii="Arial Narrow" w:hAnsi="Arial Narrow" w:cs="Times New Roman"/>
                <w:sz w:val="20"/>
                <w:szCs w:val="20"/>
                <w:lang w:eastAsia="en-AU"/>
              </w:rPr>
            </w:pPr>
          </w:p>
        </w:tc>
        <w:tc>
          <w:tcPr>
            <w:tcW w:w="736" w:type="pct"/>
            <w:vMerge/>
          </w:tcPr>
          <w:p w:rsidR="004F68E6" w:rsidRPr="006653A2" w:rsidRDefault="004F68E6" w:rsidP="00A44234">
            <w:pPr>
              <w:keepLines/>
              <w:widowControl/>
              <w:jc w:val="left"/>
              <w:rPr>
                <w:rFonts w:ascii="Arial Narrow" w:hAnsi="Arial Narrow" w:cs="Times New Roman"/>
                <w:sz w:val="20"/>
                <w:szCs w:val="20"/>
                <w:lang w:eastAsia="en-AU"/>
              </w:rPr>
            </w:pPr>
          </w:p>
        </w:tc>
        <w:tc>
          <w:tcPr>
            <w:tcW w:w="890" w:type="pct"/>
            <w:vMerge/>
          </w:tcPr>
          <w:p w:rsidR="004F68E6" w:rsidRPr="006653A2" w:rsidRDefault="004F68E6" w:rsidP="00A44234">
            <w:pPr>
              <w:keepLines/>
              <w:widowControl/>
              <w:jc w:val="left"/>
              <w:rPr>
                <w:rFonts w:ascii="Arial Narrow" w:hAnsi="Arial Narrow" w:cs="Times New Roman"/>
                <w:sz w:val="20"/>
                <w:szCs w:val="20"/>
                <w:lang w:eastAsia="en-AU"/>
              </w:rPr>
            </w:pPr>
          </w:p>
        </w:tc>
        <w:tc>
          <w:tcPr>
            <w:tcW w:w="1071" w:type="pct"/>
            <w:vMerge/>
          </w:tcPr>
          <w:p w:rsidR="004F68E6" w:rsidRPr="006653A2" w:rsidRDefault="004F68E6" w:rsidP="00A44234">
            <w:pPr>
              <w:keepLines/>
              <w:widowControl/>
              <w:jc w:val="left"/>
              <w:rPr>
                <w:rFonts w:ascii="Arial Narrow" w:hAnsi="Arial Narrow" w:cs="Times New Roman"/>
                <w:sz w:val="20"/>
                <w:szCs w:val="20"/>
                <w:lang w:eastAsia="en-AU"/>
              </w:rPr>
            </w:pPr>
          </w:p>
        </w:tc>
        <w:tc>
          <w:tcPr>
            <w:tcW w:w="552" w:type="pct"/>
          </w:tcPr>
          <w:p w:rsidR="004F68E6" w:rsidRPr="006653A2" w:rsidRDefault="004F68E6" w:rsidP="00A44234">
            <w:pPr>
              <w:keepLines/>
              <w:widowControl/>
              <w:jc w:val="left"/>
              <w:rPr>
                <w:rFonts w:ascii="Arial Narrow" w:hAnsi="Arial Narrow" w:cs="Times New Roman"/>
                <w:sz w:val="20"/>
                <w:szCs w:val="20"/>
                <w:lang w:eastAsia="en-AU"/>
              </w:rPr>
            </w:pPr>
            <w:r w:rsidRPr="006653A2">
              <w:rPr>
                <w:rFonts w:ascii="Arial Narrow" w:hAnsi="Arial Narrow" w:cs="Times New Roman"/>
                <w:sz w:val="20"/>
                <w:szCs w:val="20"/>
                <w:lang w:eastAsia="en-AU"/>
              </w:rPr>
              <w:t>Cost per QALY</w:t>
            </w:r>
          </w:p>
        </w:tc>
        <w:tc>
          <w:tcPr>
            <w:tcW w:w="1529" w:type="pct"/>
            <w:gridSpan w:val="3"/>
          </w:tcPr>
          <w:p w:rsidR="004F68E6" w:rsidRPr="006653A2" w:rsidRDefault="004F68E6" w:rsidP="00A44234">
            <w:pPr>
              <w:keepLines/>
              <w:widowControl/>
              <w:jc w:val="right"/>
              <w:rPr>
                <w:rFonts w:ascii="Arial Narrow" w:hAnsi="Arial Narrow" w:cs="Times New Roman"/>
                <w:sz w:val="20"/>
                <w:szCs w:val="20"/>
                <w:lang w:eastAsia="en-AU"/>
              </w:rPr>
            </w:pPr>
            <w:r w:rsidRPr="006653A2">
              <w:rPr>
                <w:rFonts w:ascii="Arial Narrow" w:hAnsi="Arial Narrow" w:cs="Times New Roman"/>
                <w:bCs/>
                <w:sz w:val="20"/>
                <w:szCs w:val="20"/>
                <w:lang w:eastAsia="en-AU"/>
              </w:rPr>
              <w:t>$</w:t>
            </w:r>
            <w:r w:rsidR="004C5EA1">
              <w:rPr>
                <w:rFonts w:ascii="Arial Narrow" w:hAnsi="Arial Narrow" w:cs="Times New Roman"/>
                <w:bCs/>
                <w:noProof/>
                <w:color w:val="000000"/>
                <w:sz w:val="20"/>
                <w:szCs w:val="20"/>
                <w:highlight w:val="black"/>
                <w:lang w:eastAsia="en-AU"/>
              </w:rPr>
              <w:t>'''''''''''''''''</w:t>
            </w:r>
          </w:p>
        </w:tc>
      </w:tr>
      <w:tr w:rsidR="007E7F98" w:rsidRPr="006653A2" w:rsidTr="003B4B48">
        <w:tc>
          <w:tcPr>
            <w:tcW w:w="222" w:type="pct"/>
            <w:vMerge w:val="restart"/>
          </w:tcPr>
          <w:p w:rsidR="007E7F98" w:rsidRPr="006653A2" w:rsidRDefault="007E7F98" w:rsidP="00A44234">
            <w:pPr>
              <w:keepLines/>
              <w:widowControl/>
              <w:jc w:val="left"/>
              <w:rPr>
                <w:rFonts w:ascii="Arial Narrow" w:hAnsi="Arial Narrow" w:cs="Times New Roman"/>
                <w:sz w:val="20"/>
                <w:szCs w:val="20"/>
                <w:lang w:eastAsia="en-AU"/>
              </w:rPr>
            </w:pPr>
            <w:r w:rsidRPr="006653A2">
              <w:rPr>
                <w:rFonts w:ascii="Arial Narrow" w:hAnsi="Arial Narrow" w:cs="Times New Roman"/>
                <w:sz w:val="20"/>
                <w:szCs w:val="20"/>
                <w:lang w:eastAsia="en-AU"/>
              </w:rPr>
              <w:t>3</w:t>
            </w:r>
          </w:p>
        </w:tc>
        <w:tc>
          <w:tcPr>
            <w:tcW w:w="736" w:type="pct"/>
            <w:vMerge w:val="restart"/>
          </w:tcPr>
          <w:p w:rsidR="007E7F98" w:rsidRPr="006653A2" w:rsidRDefault="007E7F98" w:rsidP="00A44234">
            <w:pPr>
              <w:keepLines/>
              <w:widowControl/>
              <w:jc w:val="left"/>
              <w:rPr>
                <w:rFonts w:ascii="Arial Narrow" w:hAnsi="Arial Narrow" w:cs="Times New Roman"/>
                <w:sz w:val="20"/>
                <w:szCs w:val="20"/>
                <w:lang w:eastAsia="en-AU"/>
              </w:rPr>
            </w:pPr>
            <w:r w:rsidRPr="006653A2">
              <w:rPr>
                <w:rFonts w:ascii="Arial Narrow" w:hAnsi="Arial Narrow" w:cs="Times New Roman"/>
                <w:sz w:val="20"/>
                <w:szCs w:val="20"/>
                <w:lang w:eastAsia="en-AU"/>
              </w:rPr>
              <w:t>Number of ranibizumab administrations</w:t>
            </w:r>
          </w:p>
        </w:tc>
        <w:tc>
          <w:tcPr>
            <w:tcW w:w="890" w:type="pct"/>
            <w:vMerge w:val="restart"/>
          </w:tcPr>
          <w:p w:rsidR="007E7F98" w:rsidRPr="006653A2" w:rsidRDefault="007E7F98" w:rsidP="00A44234">
            <w:pPr>
              <w:keepLines/>
              <w:widowControl/>
              <w:jc w:val="left"/>
              <w:rPr>
                <w:rFonts w:ascii="Arial Narrow" w:hAnsi="Arial Narrow" w:cs="Times New Roman"/>
                <w:sz w:val="20"/>
                <w:szCs w:val="20"/>
                <w:lang w:eastAsia="en-AU"/>
              </w:rPr>
            </w:pPr>
            <w:r w:rsidRPr="006653A2">
              <w:rPr>
                <w:rFonts w:ascii="Arial Narrow" w:hAnsi="Arial Narrow" w:cs="Times New Roman"/>
                <w:sz w:val="20"/>
                <w:szCs w:val="20"/>
                <w:lang w:eastAsia="en-AU"/>
              </w:rPr>
              <w:t>Year 1 – 5.80</w:t>
            </w:r>
            <w:r w:rsidRPr="006653A2">
              <w:rPr>
                <w:rFonts w:ascii="Arial Narrow" w:hAnsi="Arial Narrow" w:cs="Times New Roman"/>
                <w:sz w:val="20"/>
                <w:szCs w:val="20"/>
                <w:lang w:eastAsia="en-AU"/>
              </w:rPr>
              <w:br/>
              <w:t>Year 2 – 1.00</w:t>
            </w:r>
          </w:p>
          <w:p w:rsidR="007E7F98" w:rsidRPr="006653A2" w:rsidRDefault="007E7F98" w:rsidP="00A44234">
            <w:pPr>
              <w:keepLines/>
              <w:widowControl/>
              <w:jc w:val="left"/>
              <w:rPr>
                <w:rFonts w:ascii="Arial Narrow" w:hAnsi="Arial Narrow" w:cs="Times New Roman"/>
                <w:sz w:val="20"/>
                <w:szCs w:val="20"/>
                <w:lang w:eastAsia="en-AU"/>
              </w:rPr>
            </w:pPr>
          </w:p>
        </w:tc>
        <w:tc>
          <w:tcPr>
            <w:tcW w:w="1071" w:type="pct"/>
            <w:vMerge w:val="restart"/>
          </w:tcPr>
          <w:p w:rsidR="007E7F98" w:rsidRPr="006653A2" w:rsidRDefault="007E7F98" w:rsidP="00A44234">
            <w:pPr>
              <w:keepLines/>
              <w:widowControl/>
              <w:jc w:val="left"/>
              <w:rPr>
                <w:rFonts w:ascii="Arial Narrow" w:hAnsi="Arial Narrow" w:cs="Times New Roman"/>
                <w:sz w:val="20"/>
                <w:szCs w:val="20"/>
                <w:lang w:eastAsia="en-AU"/>
              </w:rPr>
            </w:pPr>
            <w:r w:rsidRPr="006653A2">
              <w:rPr>
                <w:rFonts w:ascii="Arial Narrow" w:hAnsi="Arial Narrow" w:cs="Times New Roman"/>
                <w:sz w:val="20"/>
                <w:szCs w:val="20"/>
                <w:lang w:eastAsia="en-AU"/>
              </w:rPr>
              <w:t>5.8 injections per year for the duration of the time horizon</w:t>
            </w:r>
          </w:p>
        </w:tc>
        <w:tc>
          <w:tcPr>
            <w:tcW w:w="552" w:type="pct"/>
          </w:tcPr>
          <w:p w:rsidR="007E7F98" w:rsidRPr="006653A2" w:rsidRDefault="007E7F98" w:rsidP="00A44234">
            <w:pPr>
              <w:keepLines/>
              <w:widowControl/>
              <w:jc w:val="left"/>
              <w:rPr>
                <w:rFonts w:ascii="Arial Narrow" w:hAnsi="Arial Narrow" w:cs="Times New Roman"/>
                <w:sz w:val="20"/>
                <w:szCs w:val="20"/>
                <w:lang w:eastAsia="en-AU"/>
              </w:rPr>
            </w:pPr>
            <w:r w:rsidRPr="006653A2">
              <w:rPr>
                <w:rFonts w:ascii="Arial Narrow" w:hAnsi="Arial Narrow" w:cs="Times New Roman"/>
                <w:sz w:val="20"/>
                <w:szCs w:val="20"/>
                <w:lang w:eastAsia="en-AU"/>
              </w:rPr>
              <w:t>Costs</w:t>
            </w:r>
          </w:p>
        </w:tc>
        <w:tc>
          <w:tcPr>
            <w:tcW w:w="477" w:type="pct"/>
          </w:tcPr>
          <w:p w:rsidR="007E7F98" w:rsidRPr="006653A2" w:rsidRDefault="007E7F98" w:rsidP="00A44234">
            <w:pPr>
              <w:keepLines/>
              <w:widowControl/>
              <w:jc w:val="right"/>
              <w:rPr>
                <w:rFonts w:ascii="Arial Narrow" w:hAnsi="Arial Narrow" w:cs="Times New Roman"/>
                <w:sz w:val="20"/>
                <w:szCs w:val="20"/>
                <w:lang w:eastAsia="en-AU"/>
              </w:rPr>
            </w:pPr>
            <w:r w:rsidRPr="006653A2">
              <w:rPr>
                <w:rFonts w:ascii="Arial Narrow" w:hAnsi="Arial Narrow" w:cs="Times New Roman"/>
                <w:sz w:val="20"/>
                <w:szCs w:val="20"/>
                <w:lang w:eastAsia="en-AU"/>
              </w:rPr>
              <w:t>$</w:t>
            </w:r>
            <w:r w:rsidR="004C5EA1">
              <w:rPr>
                <w:rFonts w:ascii="Arial Narrow" w:hAnsi="Arial Narrow" w:cs="Times New Roman"/>
                <w:noProof/>
                <w:color w:val="000000"/>
                <w:sz w:val="20"/>
                <w:szCs w:val="20"/>
                <w:highlight w:val="black"/>
                <w:lang w:eastAsia="en-AU"/>
              </w:rPr>
              <w:t>''''''''''''''''</w:t>
            </w:r>
          </w:p>
        </w:tc>
        <w:tc>
          <w:tcPr>
            <w:tcW w:w="478" w:type="pct"/>
          </w:tcPr>
          <w:p w:rsidR="007E7F98" w:rsidRPr="006653A2" w:rsidRDefault="007E7F98" w:rsidP="00A44234">
            <w:pPr>
              <w:keepLines/>
              <w:widowControl/>
              <w:jc w:val="right"/>
              <w:rPr>
                <w:rFonts w:ascii="Arial Narrow" w:hAnsi="Arial Narrow" w:cs="Times New Roman"/>
                <w:sz w:val="20"/>
                <w:szCs w:val="20"/>
                <w:lang w:eastAsia="en-AU"/>
              </w:rPr>
            </w:pPr>
            <w:r w:rsidRPr="006653A2">
              <w:rPr>
                <w:rFonts w:ascii="Arial Narrow" w:hAnsi="Arial Narrow" w:cs="Times New Roman"/>
                <w:sz w:val="20"/>
                <w:szCs w:val="20"/>
                <w:lang w:eastAsia="en-AU"/>
              </w:rPr>
              <w:t>$</w:t>
            </w:r>
            <w:r w:rsidR="004C5EA1">
              <w:rPr>
                <w:rFonts w:ascii="Arial Narrow" w:hAnsi="Arial Narrow" w:cs="Times New Roman"/>
                <w:noProof/>
                <w:color w:val="000000"/>
                <w:sz w:val="20"/>
                <w:szCs w:val="20"/>
                <w:highlight w:val="black"/>
                <w:lang w:eastAsia="en-AU"/>
              </w:rPr>
              <w:t>'''''''''''''</w:t>
            </w:r>
          </w:p>
        </w:tc>
        <w:tc>
          <w:tcPr>
            <w:tcW w:w="574" w:type="pct"/>
          </w:tcPr>
          <w:p w:rsidR="007E7F98" w:rsidRPr="006653A2" w:rsidRDefault="007E7F98" w:rsidP="00A44234">
            <w:pPr>
              <w:keepLines/>
              <w:widowControl/>
              <w:jc w:val="right"/>
              <w:rPr>
                <w:rFonts w:ascii="Arial Narrow" w:hAnsi="Arial Narrow" w:cs="Times New Roman"/>
                <w:sz w:val="20"/>
                <w:szCs w:val="20"/>
                <w:lang w:eastAsia="en-AU"/>
              </w:rPr>
            </w:pPr>
            <w:r w:rsidRPr="006653A2">
              <w:rPr>
                <w:rFonts w:ascii="Arial Narrow" w:hAnsi="Arial Narrow" w:cs="Times New Roman"/>
                <w:sz w:val="20"/>
                <w:szCs w:val="20"/>
                <w:lang w:eastAsia="en-AU"/>
              </w:rPr>
              <w:t>$</w:t>
            </w:r>
            <w:r w:rsidR="004C5EA1">
              <w:rPr>
                <w:rFonts w:ascii="Arial Narrow" w:hAnsi="Arial Narrow" w:cs="Times New Roman"/>
                <w:noProof/>
                <w:color w:val="000000"/>
                <w:sz w:val="20"/>
                <w:szCs w:val="20"/>
                <w:highlight w:val="black"/>
                <w:lang w:eastAsia="en-AU"/>
              </w:rPr>
              <w:t>'''''''''''''''</w:t>
            </w:r>
          </w:p>
        </w:tc>
      </w:tr>
      <w:tr w:rsidR="007E7F98" w:rsidRPr="00A87448" w:rsidTr="003B4B48">
        <w:tc>
          <w:tcPr>
            <w:tcW w:w="222" w:type="pct"/>
            <w:vMerge/>
          </w:tcPr>
          <w:p w:rsidR="007E7F98" w:rsidRPr="006653A2" w:rsidRDefault="007E7F98" w:rsidP="00A44234">
            <w:pPr>
              <w:keepLines/>
              <w:widowControl/>
              <w:jc w:val="left"/>
              <w:rPr>
                <w:rFonts w:ascii="Arial Narrow" w:hAnsi="Arial Narrow" w:cs="Times New Roman"/>
                <w:sz w:val="20"/>
                <w:szCs w:val="20"/>
                <w:lang w:eastAsia="en-AU"/>
              </w:rPr>
            </w:pPr>
          </w:p>
        </w:tc>
        <w:tc>
          <w:tcPr>
            <w:tcW w:w="736" w:type="pct"/>
            <w:vMerge/>
          </w:tcPr>
          <w:p w:rsidR="007E7F98" w:rsidRPr="006653A2" w:rsidRDefault="007E7F98" w:rsidP="00A44234">
            <w:pPr>
              <w:keepLines/>
              <w:widowControl/>
              <w:jc w:val="left"/>
              <w:rPr>
                <w:rFonts w:ascii="Arial Narrow" w:hAnsi="Arial Narrow" w:cs="Times New Roman"/>
                <w:sz w:val="20"/>
                <w:szCs w:val="20"/>
                <w:lang w:eastAsia="en-AU"/>
              </w:rPr>
            </w:pPr>
          </w:p>
        </w:tc>
        <w:tc>
          <w:tcPr>
            <w:tcW w:w="890" w:type="pct"/>
            <w:vMerge/>
          </w:tcPr>
          <w:p w:rsidR="007E7F98" w:rsidRPr="006653A2" w:rsidRDefault="007E7F98" w:rsidP="00A44234">
            <w:pPr>
              <w:keepLines/>
              <w:widowControl/>
              <w:jc w:val="left"/>
              <w:rPr>
                <w:rFonts w:ascii="Arial Narrow" w:hAnsi="Arial Narrow" w:cs="Times New Roman"/>
                <w:sz w:val="20"/>
                <w:szCs w:val="20"/>
                <w:lang w:eastAsia="en-AU"/>
              </w:rPr>
            </w:pPr>
          </w:p>
        </w:tc>
        <w:tc>
          <w:tcPr>
            <w:tcW w:w="1071" w:type="pct"/>
            <w:vMerge/>
          </w:tcPr>
          <w:p w:rsidR="007E7F98" w:rsidRPr="006653A2" w:rsidRDefault="007E7F98" w:rsidP="00A44234">
            <w:pPr>
              <w:keepLines/>
              <w:widowControl/>
              <w:jc w:val="left"/>
              <w:rPr>
                <w:rFonts w:ascii="Arial Narrow" w:hAnsi="Arial Narrow" w:cs="Times New Roman"/>
                <w:sz w:val="20"/>
                <w:szCs w:val="20"/>
                <w:lang w:eastAsia="en-AU"/>
              </w:rPr>
            </w:pPr>
          </w:p>
        </w:tc>
        <w:tc>
          <w:tcPr>
            <w:tcW w:w="552" w:type="pct"/>
          </w:tcPr>
          <w:p w:rsidR="007E7F98" w:rsidRPr="006653A2" w:rsidRDefault="007E7F98" w:rsidP="00A44234">
            <w:pPr>
              <w:keepLines/>
              <w:widowControl/>
              <w:jc w:val="left"/>
              <w:rPr>
                <w:rFonts w:ascii="Arial Narrow" w:hAnsi="Arial Narrow" w:cs="Times New Roman"/>
                <w:sz w:val="20"/>
                <w:szCs w:val="20"/>
                <w:lang w:eastAsia="en-AU"/>
              </w:rPr>
            </w:pPr>
            <w:r w:rsidRPr="006653A2">
              <w:rPr>
                <w:rFonts w:ascii="Arial Narrow" w:hAnsi="Arial Narrow" w:cs="Times New Roman"/>
                <w:sz w:val="20"/>
                <w:szCs w:val="20"/>
                <w:lang w:eastAsia="en-AU"/>
              </w:rPr>
              <w:t>QALYs</w:t>
            </w:r>
          </w:p>
        </w:tc>
        <w:tc>
          <w:tcPr>
            <w:tcW w:w="477" w:type="pct"/>
          </w:tcPr>
          <w:p w:rsidR="007E7F98" w:rsidRPr="004C5EA1" w:rsidRDefault="004C5EA1" w:rsidP="00A44234">
            <w:pPr>
              <w:keepLines/>
              <w:widowControl/>
              <w:jc w:val="right"/>
              <w:rPr>
                <w:rFonts w:ascii="Arial Narrow" w:hAnsi="Arial Narrow" w:cs="Times New Roman"/>
                <w:sz w:val="20"/>
                <w:szCs w:val="20"/>
                <w:highlight w:val="black"/>
                <w:lang w:eastAsia="en-AU"/>
              </w:rPr>
            </w:pPr>
            <w:r>
              <w:rPr>
                <w:rFonts w:ascii="Arial Narrow" w:hAnsi="Arial Narrow" w:cs="Times New Roman"/>
                <w:noProof/>
                <w:color w:val="000000"/>
                <w:sz w:val="20"/>
                <w:szCs w:val="20"/>
                <w:highlight w:val="black"/>
                <w:lang w:eastAsia="en-AU"/>
              </w:rPr>
              <w:t>''''''''''</w:t>
            </w:r>
          </w:p>
        </w:tc>
        <w:tc>
          <w:tcPr>
            <w:tcW w:w="478" w:type="pct"/>
          </w:tcPr>
          <w:p w:rsidR="007E7F98" w:rsidRPr="004C5EA1" w:rsidRDefault="004C5EA1" w:rsidP="00A44234">
            <w:pPr>
              <w:keepLines/>
              <w:widowControl/>
              <w:jc w:val="right"/>
              <w:rPr>
                <w:rFonts w:ascii="Arial Narrow" w:hAnsi="Arial Narrow" w:cs="Times New Roman"/>
                <w:sz w:val="20"/>
                <w:szCs w:val="20"/>
                <w:highlight w:val="black"/>
                <w:lang w:eastAsia="en-AU"/>
              </w:rPr>
            </w:pPr>
            <w:r>
              <w:rPr>
                <w:rFonts w:ascii="Arial Narrow" w:hAnsi="Arial Narrow" w:cs="Times New Roman"/>
                <w:noProof/>
                <w:color w:val="000000"/>
                <w:sz w:val="20"/>
                <w:szCs w:val="20"/>
                <w:highlight w:val="black"/>
                <w:lang w:eastAsia="en-AU"/>
              </w:rPr>
              <w:t>''''''''''</w:t>
            </w:r>
          </w:p>
        </w:tc>
        <w:tc>
          <w:tcPr>
            <w:tcW w:w="574" w:type="pct"/>
          </w:tcPr>
          <w:p w:rsidR="007E7F98" w:rsidRPr="004C5EA1" w:rsidRDefault="004C5EA1" w:rsidP="00A44234">
            <w:pPr>
              <w:keepLines/>
              <w:widowControl/>
              <w:jc w:val="right"/>
              <w:rPr>
                <w:rFonts w:ascii="Arial Narrow" w:hAnsi="Arial Narrow" w:cs="Times New Roman"/>
                <w:sz w:val="20"/>
                <w:szCs w:val="20"/>
                <w:highlight w:val="black"/>
                <w:lang w:eastAsia="en-AU"/>
              </w:rPr>
            </w:pPr>
            <w:r>
              <w:rPr>
                <w:rFonts w:ascii="Arial Narrow" w:hAnsi="Arial Narrow" w:cs="Times New Roman"/>
                <w:noProof/>
                <w:color w:val="000000"/>
                <w:sz w:val="20"/>
                <w:szCs w:val="20"/>
                <w:highlight w:val="black"/>
                <w:lang w:eastAsia="en-AU"/>
              </w:rPr>
              <w:t>''''''''''</w:t>
            </w:r>
          </w:p>
        </w:tc>
      </w:tr>
      <w:tr w:rsidR="00C81ADC" w:rsidRPr="006653A2" w:rsidTr="00C81ADC">
        <w:tc>
          <w:tcPr>
            <w:tcW w:w="222" w:type="pct"/>
            <w:vMerge/>
          </w:tcPr>
          <w:p w:rsidR="00C81ADC" w:rsidRPr="006653A2" w:rsidRDefault="00C81ADC" w:rsidP="00A44234">
            <w:pPr>
              <w:keepLines/>
              <w:widowControl/>
              <w:jc w:val="left"/>
              <w:rPr>
                <w:rFonts w:ascii="Arial Narrow" w:hAnsi="Arial Narrow" w:cs="Times New Roman"/>
                <w:sz w:val="20"/>
                <w:szCs w:val="20"/>
                <w:lang w:eastAsia="en-AU"/>
              </w:rPr>
            </w:pPr>
          </w:p>
        </w:tc>
        <w:tc>
          <w:tcPr>
            <w:tcW w:w="736" w:type="pct"/>
            <w:vMerge/>
          </w:tcPr>
          <w:p w:rsidR="00C81ADC" w:rsidRPr="006653A2" w:rsidRDefault="00C81ADC" w:rsidP="00A44234">
            <w:pPr>
              <w:keepLines/>
              <w:widowControl/>
              <w:jc w:val="left"/>
              <w:rPr>
                <w:rFonts w:ascii="Arial Narrow" w:hAnsi="Arial Narrow" w:cs="Times New Roman"/>
                <w:sz w:val="20"/>
                <w:szCs w:val="20"/>
                <w:lang w:eastAsia="en-AU"/>
              </w:rPr>
            </w:pPr>
          </w:p>
        </w:tc>
        <w:tc>
          <w:tcPr>
            <w:tcW w:w="890" w:type="pct"/>
            <w:vMerge/>
          </w:tcPr>
          <w:p w:rsidR="00C81ADC" w:rsidRPr="006653A2" w:rsidRDefault="00C81ADC" w:rsidP="00A44234">
            <w:pPr>
              <w:keepLines/>
              <w:widowControl/>
              <w:jc w:val="left"/>
              <w:rPr>
                <w:rFonts w:ascii="Arial Narrow" w:hAnsi="Arial Narrow" w:cs="Times New Roman"/>
                <w:sz w:val="20"/>
                <w:szCs w:val="20"/>
                <w:lang w:eastAsia="en-AU"/>
              </w:rPr>
            </w:pPr>
          </w:p>
        </w:tc>
        <w:tc>
          <w:tcPr>
            <w:tcW w:w="1071" w:type="pct"/>
            <w:vMerge/>
          </w:tcPr>
          <w:p w:rsidR="00C81ADC" w:rsidRPr="006653A2" w:rsidRDefault="00C81ADC" w:rsidP="00A44234">
            <w:pPr>
              <w:keepLines/>
              <w:widowControl/>
              <w:jc w:val="left"/>
              <w:rPr>
                <w:rFonts w:ascii="Arial Narrow" w:hAnsi="Arial Narrow" w:cs="Times New Roman"/>
                <w:sz w:val="20"/>
                <w:szCs w:val="20"/>
                <w:lang w:eastAsia="en-AU"/>
              </w:rPr>
            </w:pPr>
          </w:p>
        </w:tc>
        <w:tc>
          <w:tcPr>
            <w:tcW w:w="552" w:type="pct"/>
          </w:tcPr>
          <w:p w:rsidR="00C81ADC" w:rsidRPr="006653A2" w:rsidRDefault="00C81ADC" w:rsidP="00A44234">
            <w:pPr>
              <w:keepLines/>
              <w:widowControl/>
              <w:jc w:val="left"/>
              <w:rPr>
                <w:rFonts w:ascii="Arial Narrow" w:hAnsi="Arial Narrow" w:cs="Times New Roman"/>
                <w:sz w:val="20"/>
                <w:szCs w:val="20"/>
                <w:lang w:eastAsia="en-AU"/>
              </w:rPr>
            </w:pPr>
            <w:r w:rsidRPr="006653A2">
              <w:rPr>
                <w:rFonts w:ascii="Arial Narrow" w:hAnsi="Arial Narrow" w:cs="Times New Roman"/>
                <w:sz w:val="20"/>
                <w:szCs w:val="20"/>
                <w:lang w:eastAsia="en-AU"/>
              </w:rPr>
              <w:t>Cost per QALY</w:t>
            </w:r>
          </w:p>
        </w:tc>
        <w:tc>
          <w:tcPr>
            <w:tcW w:w="1529" w:type="pct"/>
            <w:gridSpan w:val="3"/>
          </w:tcPr>
          <w:p w:rsidR="00C81ADC" w:rsidRPr="006653A2" w:rsidRDefault="00C81ADC" w:rsidP="00A44234">
            <w:pPr>
              <w:keepLines/>
              <w:widowControl/>
              <w:jc w:val="right"/>
              <w:rPr>
                <w:rFonts w:ascii="Arial Narrow" w:hAnsi="Arial Narrow" w:cs="Times New Roman"/>
                <w:sz w:val="20"/>
                <w:szCs w:val="20"/>
                <w:lang w:eastAsia="en-AU"/>
              </w:rPr>
            </w:pPr>
            <w:r w:rsidRPr="006653A2">
              <w:rPr>
                <w:rFonts w:ascii="Arial Narrow" w:hAnsi="Arial Narrow" w:cs="Times New Roman"/>
                <w:bCs/>
                <w:sz w:val="20"/>
                <w:szCs w:val="20"/>
                <w:lang w:eastAsia="en-AU"/>
              </w:rPr>
              <w:t>$</w:t>
            </w:r>
            <w:r w:rsidR="004C5EA1">
              <w:rPr>
                <w:rFonts w:ascii="Arial Narrow" w:hAnsi="Arial Narrow" w:cs="Times New Roman"/>
                <w:bCs/>
                <w:noProof/>
                <w:color w:val="000000"/>
                <w:sz w:val="20"/>
                <w:szCs w:val="20"/>
                <w:highlight w:val="black"/>
                <w:lang w:eastAsia="en-AU"/>
              </w:rPr>
              <w:t>''''''''''''''''''</w:t>
            </w:r>
          </w:p>
        </w:tc>
      </w:tr>
      <w:tr w:rsidR="007E7F98" w:rsidRPr="006653A2" w:rsidTr="003B4B48">
        <w:tc>
          <w:tcPr>
            <w:tcW w:w="222" w:type="pct"/>
            <w:vMerge w:val="restart"/>
          </w:tcPr>
          <w:p w:rsidR="007E7F98" w:rsidRPr="006653A2" w:rsidRDefault="007E7F98" w:rsidP="00A44234">
            <w:pPr>
              <w:keepLines/>
              <w:widowControl/>
              <w:jc w:val="left"/>
              <w:rPr>
                <w:rFonts w:ascii="Arial Narrow" w:hAnsi="Arial Narrow" w:cs="Times New Roman"/>
                <w:sz w:val="20"/>
                <w:szCs w:val="20"/>
                <w:lang w:eastAsia="en-AU"/>
              </w:rPr>
            </w:pPr>
            <w:r w:rsidRPr="006653A2">
              <w:rPr>
                <w:rFonts w:ascii="Arial Narrow" w:hAnsi="Arial Narrow" w:cs="Times New Roman"/>
                <w:sz w:val="20"/>
                <w:szCs w:val="20"/>
                <w:lang w:eastAsia="en-AU"/>
              </w:rPr>
              <w:t>4</w:t>
            </w:r>
          </w:p>
        </w:tc>
        <w:tc>
          <w:tcPr>
            <w:tcW w:w="736" w:type="pct"/>
            <w:vMerge w:val="restart"/>
          </w:tcPr>
          <w:p w:rsidR="007E7F98" w:rsidRPr="006653A2" w:rsidRDefault="007E7F98" w:rsidP="00A44234">
            <w:pPr>
              <w:keepLines/>
              <w:widowControl/>
              <w:jc w:val="left"/>
              <w:rPr>
                <w:rFonts w:ascii="Arial Narrow" w:hAnsi="Arial Narrow" w:cs="Times New Roman"/>
                <w:sz w:val="20"/>
                <w:szCs w:val="20"/>
                <w:lang w:eastAsia="en-AU"/>
              </w:rPr>
            </w:pPr>
            <w:r w:rsidRPr="006653A2">
              <w:rPr>
                <w:rFonts w:ascii="Arial Narrow" w:hAnsi="Arial Narrow" w:cs="Times New Roman"/>
                <w:sz w:val="20"/>
                <w:szCs w:val="20"/>
                <w:lang w:eastAsia="en-AU"/>
              </w:rPr>
              <w:t>#1 AND #3</w:t>
            </w:r>
          </w:p>
        </w:tc>
        <w:tc>
          <w:tcPr>
            <w:tcW w:w="890" w:type="pct"/>
            <w:vMerge w:val="restart"/>
          </w:tcPr>
          <w:p w:rsidR="007E7F98" w:rsidRPr="006653A2" w:rsidRDefault="007E7F98" w:rsidP="00A44234">
            <w:pPr>
              <w:keepLines/>
              <w:widowControl/>
              <w:jc w:val="left"/>
              <w:rPr>
                <w:rFonts w:ascii="Arial Narrow" w:hAnsi="Arial Narrow" w:cs="Times New Roman"/>
                <w:sz w:val="20"/>
                <w:szCs w:val="20"/>
                <w:lang w:eastAsia="en-AU"/>
              </w:rPr>
            </w:pPr>
            <w:r w:rsidRPr="006653A2">
              <w:rPr>
                <w:rFonts w:ascii="Arial Narrow" w:hAnsi="Arial Narrow" w:cs="Times New Roman"/>
                <w:sz w:val="20"/>
                <w:szCs w:val="20"/>
                <w:lang w:eastAsia="en-AU"/>
              </w:rPr>
              <w:t>As above</w:t>
            </w:r>
          </w:p>
          <w:p w:rsidR="007E7F98" w:rsidRPr="006653A2" w:rsidRDefault="007E7F98" w:rsidP="00A44234">
            <w:pPr>
              <w:keepLines/>
              <w:widowControl/>
              <w:jc w:val="left"/>
              <w:rPr>
                <w:rFonts w:ascii="Arial Narrow" w:hAnsi="Arial Narrow" w:cs="Times New Roman"/>
                <w:sz w:val="20"/>
                <w:szCs w:val="20"/>
                <w:lang w:eastAsia="en-AU"/>
              </w:rPr>
            </w:pPr>
          </w:p>
        </w:tc>
        <w:tc>
          <w:tcPr>
            <w:tcW w:w="1071" w:type="pct"/>
            <w:vMerge w:val="restart"/>
          </w:tcPr>
          <w:p w:rsidR="007E7F98" w:rsidRPr="006653A2" w:rsidRDefault="007E7F98" w:rsidP="00A44234">
            <w:pPr>
              <w:keepLines/>
              <w:widowControl/>
              <w:jc w:val="left"/>
              <w:rPr>
                <w:szCs w:val="20"/>
                <w:lang w:eastAsia="en-AU"/>
              </w:rPr>
            </w:pPr>
            <w:r w:rsidRPr="006653A2">
              <w:rPr>
                <w:rFonts w:ascii="Arial Narrow" w:hAnsi="Arial Narrow" w:cs="Times New Roman"/>
                <w:sz w:val="20"/>
                <w:szCs w:val="20"/>
                <w:lang w:eastAsia="en-AU"/>
              </w:rPr>
              <w:t>As above</w:t>
            </w:r>
          </w:p>
          <w:p w:rsidR="007E7F98" w:rsidRPr="006653A2" w:rsidRDefault="007E7F98" w:rsidP="00A44234">
            <w:pPr>
              <w:keepLines/>
              <w:widowControl/>
              <w:jc w:val="left"/>
              <w:rPr>
                <w:szCs w:val="20"/>
                <w:lang w:eastAsia="en-AU"/>
              </w:rPr>
            </w:pPr>
          </w:p>
        </w:tc>
        <w:tc>
          <w:tcPr>
            <w:tcW w:w="552" w:type="pct"/>
          </w:tcPr>
          <w:p w:rsidR="007E7F98" w:rsidRPr="006653A2" w:rsidRDefault="007E7F98" w:rsidP="00A44234">
            <w:pPr>
              <w:keepLines/>
              <w:widowControl/>
              <w:jc w:val="left"/>
              <w:rPr>
                <w:rFonts w:ascii="Arial Narrow" w:hAnsi="Arial Narrow" w:cs="Times New Roman"/>
                <w:sz w:val="20"/>
                <w:szCs w:val="20"/>
                <w:lang w:eastAsia="en-AU"/>
              </w:rPr>
            </w:pPr>
            <w:r w:rsidRPr="006653A2">
              <w:rPr>
                <w:rFonts w:ascii="Arial Narrow" w:hAnsi="Arial Narrow" w:cs="Times New Roman"/>
                <w:sz w:val="20"/>
                <w:szCs w:val="20"/>
                <w:lang w:eastAsia="en-AU"/>
              </w:rPr>
              <w:t>Costs</w:t>
            </w:r>
          </w:p>
        </w:tc>
        <w:tc>
          <w:tcPr>
            <w:tcW w:w="477" w:type="pct"/>
          </w:tcPr>
          <w:p w:rsidR="007E7F98" w:rsidRPr="006653A2" w:rsidRDefault="007E7F98" w:rsidP="00A44234">
            <w:pPr>
              <w:keepLines/>
              <w:widowControl/>
              <w:jc w:val="right"/>
              <w:rPr>
                <w:rFonts w:ascii="Arial Narrow" w:hAnsi="Arial Narrow" w:cs="Times New Roman"/>
                <w:sz w:val="20"/>
                <w:szCs w:val="20"/>
                <w:lang w:eastAsia="en-AU"/>
              </w:rPr>
            </w:pPr>
            <w:r w:rsidRPr="006653A2">
              <w:rPr>
                <w:rFonts w:ascii="Arial Narrow" w:hAnsi="Arial Narrow" w:cs="Times New Roman"/>
                <w:sz w:val="20"/>
                <w:szCs w:val="20"/>
                <w:lang w:eastAsia="en-AU"/>
              </w:rPr>
              <w:t>$</w:t>
            </w:r>
            <w:r w:rsidR="004C5EA1">
              <w:rPr>
                <w:rFonts w:ascii="Arial Narrow" w:hAnsi="Arial Narrow" w:cs="Times New Roman"/>
                <w:noProof/>
                <w:color w:val="000000"/>
                <w:sz w:val="20"/>
                <w:szCs w:val="20"/>
                <w:highlight w:val="black"/>
                <w:lang w:eastAsia="en-AU"/>
              </w:rPr>
              <w:t>''''''''''''''''</w:t>
            </w:r>
          </w:p>
        </w:tc>
        <w:tc>
          <w:tcPr>
            <w:tcW w:w="478" w:type="pct"/>
          </w:tcPr>
          <w:p w:rsidR="007E7F98" w:rsidRPr="006653A2" w:rsidRDefault="007E7F98" w:rsidP="00A44234">
            <w:pPr>
              <w:keepLines/>
              <w:widowControl/>
              <w:jc w:val="right"/>
              <w:rPr>
                <w:rFonts w:ascii="Arial Narrow" w:hAnsi="Arial Narrow" w:cs="Times New Roman"/>
                <w:sz w:val="20"/>
                <w:szCs w:val="20"/>
                <w:lang w:eastAsia="en-AU"/>
              </w:rPr>
            </w:pPr>
            <w:r w:rsidRPr="006653A2">
              <w:rPr>
                <w:rFonts w:ascii="Arial Narrow" w:hAnsi="Arial Narrow" w:cs="Times New Roman"/>
                <w:sz w:val="20"/>
                <w:szCs w:val="20"/>
                <w:lang w:eastAsia="en-AU"/>
              </w:rPr>
              <w:t>$</w:t>
            </w:r>
            <w:r w:rsidR="004C5EA1">
              <w:rPr>
                <w:rFonts w:ascii="Arial Narrow" w:hAnsi="Arial Narrow" w:cs="Times New Roman"/>
                <w:noProof/>
                <w:color w:val="000000"/>
                <w:sz w:val="20"/>
                <w:szCs w:val="20"/>
                <w:highlight w:val="black"/>
                <w:lang w:eastAsia="en-AU"/>
              </w:rPr>
              <w:t>'''''''''''''</w:t>
            </w:r>
          </w:p>
        </w:tc>
        <w:tc>
          <w:tcPr>
            <w:tcW w:w="574" w:type="pct"/>
          </w:tcPr>
          <w:p w:rsidR="007E7F98" w:rsidRPr="006653A2" w:rsidRDefault="007E7F98" w:rsidP="00A44234">
            <w:pPr>
              <w:keepLines/>
              <w:widowControl/>
              <w:jc w:val="right"/>
              <w:rPr>
                <w:rFonts w:ascii="Arial Narrow" w:hAnsi="Arial Narrow" w:cs="Times New Roman"/>
                <w:sz w:val="20"/>
                <w:szCs w:val="20"/>
                <w:lang w:eastAsia="en-AU"/>
              </w:rPr>
            </w:pPr>
            <w:r w:rsidRPr="006653A2">
              <w:rPr>
                <w:rFonts w:ascii="Arial Narrow" w:hAnsi="Arial Narrow" w:cs="Times New Roman"/>
                <w:sz w:val="20"/>
                <w:szCs w:val="20"/>
                <w:lang w:eastAsia="en-AU"/>
              </w:rPr>
              <w:t>$</w:t>
            </w:r>
            <w:r w:rsidR="004C5EA1">
              <w:rPr>
                <w:rFonts w:ascii="Arial Narrow" w:hAnsi="Arial Narrow" w:cs="Times New Roman"/>
                <w:noProof/>
                <w:color w:val="000000"/>
                <w:sz w:val="20"/>
                <w:szCs w:val="20"/>
                <w:highlight w:val="black"/>
                <w:lang w:eastAsia="en-AU"/>
              </w:rPr>
              <w:t>'''''''''''''''</w:t>
            </w:r>
          </w:p>
        </w:tc>
      </w:tr>
      <w:tr w:rsidR="007E7F98" w:rsidRPr="006653A2" w:rsidTr="003B4B48">
        <w:tc>
          <w:tcPr>
            <w:tcW w:w="222" w:type="pct"/>
            <w:vMerge/>
          </w:tcPr>
          <w:p w:rsidR="007E7F98" w:rsidRPr="006653A2" w:rsidRDefault="007E7F98" w:rsidP="00A44234">
            <w:pPr>
              <w:keepLines/>
              <w:widowControl/>
              <w:jc w:val="left"/>
              <w:rPr>
                <w:rFonts w:ascii="Arial Narrow" w:hAnsi="Arial Narrow" w:cs="Times New Roman"/>
                <w:sz w:val="20"/>
                <w:szCs w:val="20"/>
                <w:lang w:eastAsia="en-AU"/>
              </w:rPr>
            </w:pPr>
          </w:p>
        </w:tc>
        <w:tc>
          <w:tcPr>
            <w:tcW w:w="736" w:type="pct"/>
            <w:vMerge/>
          </w:tcPr>
          <w:p w:rsidR="007E7F98" w:rsidRPr="006653A2" w:rsidRDefault="007E7F98" w:rsidP="00A44234">
            <w:pPr>
              <w:keepLines/>
              <w:widowControl/>
              <w:jc w:val="left"/>
              <w:rPr>
                <w:rFonts w:ascii="Arial Narrow" w:hAnsi="Arial Narrow" w:cs="Times New Roman"/>
                <w:sz w:val="20"/>
                <w:szCs w:val="20"/>
                <w:lang w:eastAsia="en-AU"/>
              </w:rPr>
            </w:pPr>
          </w:p>
        </w:tc>
        <w:tc>
          <w:tcPr>
            <w:tcW w:w="890" w:type="pct"/>
            <w:vMerge/>
          </w:tcPr>
          <w:p w:rsidR="007E7F98" w:rsidRPr="006653A2" w:rsidRDefault="007E7F98" w:rsidP="00A44234">
            <w:pPr>
              <w:keepLines/>
              <w:widowControl/>
              <w:jc w:val="left"/>
              <w:rPr>
                <w:rFonts w:ascii="Arial Narrow" w:hAnsi="Arial Narrow" w:cs="Times New Roman"/>
                <w:sz w:val="20"/>
                <w:szCs w:val="20"/>
                <w:lang w:eastAsia="en-AU"/>
              </w:rPr>
            </w:pPr>
          </w:p>
        </w:tc>
        <w:tc>
          <w:tcPr>
            <w:tcW w:w="1071" w:type="pct"/>
            <w:vMerge/>
          </w:tcPr>
          <w:p w:rsidR="007E7F98" w:rsidRPr="006653A2" w:rsidRDefault="007E7F98" w:rsidP="00A44234">
            <w:pPr>
              <w:keepLines/>
              <w:widowControl/>
              <w:jc w:val="left"/>
              <w:rPr>
                <w:rFonts w:ascii="Arial Narrow" w:hAnsi="Arial Narrow" w:cs="Times New Roman"/>
                <w:sz w:val="20"/>
                <w:szCs w:val="20"/>
                <w:lang w:eastAsia="en-AU"/>
              </w:rPr>
            </w:pPr>
          </w:p>
        </w:tc>
        <w:tc>
          <w:tcPr>
            <w:tcW w:w="552" w:type="pct"/>
          </w:tcPr>
          <w:p w:rsidR="007E7F98" w:rsidRPr="006653A2" w:rsidRDefault="007E7F98" w:rsidP="00A44234">
            <w:pPr>
              <w:keepLines/>
              <w:widowControl/>
              <w:jc w:val="left"/>
              <w:rPr>
                <w:rFonts w:ascii="Arial Narrow" w:hAnsi="Arial Narrow" w:cs="Times New Roman"/>
                <w:sz w:val="20"/>
                <w:szCs w:val="20"/>
                <w:lang w:eastAsia="en-AU"/>
              </w:rPr>
            </w:pPr>
            <w:r w:rsidRPr="006653A2">
              <w:rPr>
                <w:rFonts w:ascii="Arial Narrow" w:hAnsi="Arial Narrow" w:cs="Times New Roman"/>
                <w:sz w:val="20"/>
                <w:szCs w:val="20"/>
                <w:lang w:eastAsia="en-AU"/>
              </w:rPr>
              <w:t>QALYs</w:t>
            </w:r>
          </w:p>
        </w:tc>
        <w:tc>
          <w:tcPr>
            <w:tcW w:w="477" w:type="pct"/>
          </w:tcPr>
          <w:p w:rsidR="007E7F98" w:rsidRPr="004C5EA1" w:rsidRDefault="004C5EA1" w:rsidP="00A44234">
            <w:pPr>
              <w:keepLines/>
              <w:widowControl/>
              <w:jc w:val="right"/>
              <w:rPr>
                <w:rFonts w:ascii="Arial Narrow" w:hAnsi="Arial Narrow" w:cs="Times New Roman"/>
                <w:sz w:val="20"/>
                <w:szCs w:val="20"/>
                <w:highlight w:val="black"/>
                <w:lang w:eastAsia="en-AU"/>
              </w:rPr>
            </w:pPr>
            <w:r>
              <w:rPr>
                <w:rFonts w:ascii="Arial Narrow" w:hAnsi="Arial Narrow" w:cs="Times New Roman"/>
                <w:noProof/>
                <w:color w:val="000000"/>
                <w:sz w:val="20"/>
                <w:szCs w:val="20"/>
                <w:highlight w:val="black"/>
                <w:lang w:eastAsia="en-AU"/>
              </w:rPr>
              <w:t>''''''''''''</w:t>
            </w:r>
          </w:p>
        </w:tc>
        <w:tc>
          <w:tcPr>
            <w:tcW w:w="478" w:type="pct"/>
          </w:tcPr>
          <w:p w:rsidR="007E7F98" w:rsidRPr="004C5EA1" w:rsidRDefault="004C5EA1" w:rsidP="00A44234">
            <w:pPr>
              <w:keepLines/>
              <w:widowControl/>
              <w:jc w:val="right"/>
              <w:rPr>
                <w:rFonts w:ascii="Arial Narrow" w:hAnsi="Arial Narrow" w:cs="Times New Roman"/>
                <w:sz w:val="20"/>
                <w:szCs w:val="20"/>
                <w:highlight w:val="black"/>
                <w:lang w:eastAsia="en-AU"/>
              </w:rPr>
            </w:pPr>
            <w:r>
              <w:rPr>
                <w:rFonts w:ascii="Arial Narrow" w:hAnsi="Arial Narrow" w:cs="Times New Roman"/>
                <w:noProof/>
                <w:color w:val="000000"/>
                <w:sz w:val="20"/>
                <w:szCs w:val="20"/>
                <w:highlight w:val="black"/>
                <w:lang w:eastAsia="en-AU"/>
              </w:rPr>
              <w:t>''''''''''</w:t>
            </w:r>
          </w:p>
        </w:tc>
        <w:tc>
          <w:tcPr>
            <w:tcW w:w="574" w:type="pct"/>
          </w:tcPr>
          <w:p w:rsidR="007E7F98" w:rsidRPr="004C5EA1" w:rsidRDefault="004C5EA1" w:rsidP="00A44234">
            <w:pPr>
              <w:keepLines/>
              <w:widowControl/>
              <w:jc w:val="right"/>
              <w:rPr>
                <w:rFonts w:ascii="Arial Narrow" w:hAnsi="Arial Narrow" w:cs="Times New Roman"/>
                <w:sz w:val="20"/>
                <w:szCs w:val="20"/>
                <w:highlight w:val="black"/>
                <w:lang w:eastAsia="en-AU"/>
              </w:rPr>
            </w:pPr>
            <w:r>
              <w:rPr>
                <w:rFonts w:ascii="Arial Narrow" w:hAnsi="Arial Narrow" w:cs="Times New Roman"/>
                <w:noProof/>
                <w:color w:val="000000"/>
                <w:sz w:val="20"/>
                <w:szCs w:val="20"/>
                <w:highlight w:val="black"/>
                <w:lang w:eastAsia="en-AU"/>
              </w:rPr>
              <w:t>''''''''''</w:t>
            </w:r>
          </w:p>
        </w:tc>
      </w:tr>
      <w:tr w:rsidR="00E40504" w:rsidRPr="006653A2" w:rsidTr="00E40504">
        <w:tc>
          <w:tcPr>
            <w:tcW w:w="222" w:type="pct"/>
            <w:vMerge/>
          </w:tcPr>
          <w:p w:rsidR="00E40504" w:rsidRPr="006653A2" w:rsidRDefault="00E40504" w:rsidP="00A44234">
            <w:pPr>
              <w:keepLines/>
              <w:widowControl/>
              <w:jc w:val="left"/>
              <w:rPr>
                <w:rFonts w:ascii="Arial Narrow" w:hAnsi="Arial Narrow" w:cs="Times New Roman"/>
                <w:sz w:val="20"/>
                <w:szCs w:val="20"/>
                <w:lang w:eastAsia="en-AU"/>
              </w:rPr>
            </w:pPr>
          </w:p>
        </w:tc>
        <w:tc>
          <w:tcPr>
            <w:tcW w:w="736" w:type="pct"/>
            <w:vMerge/>
          </w:tcPr>
          <w:p w:rsidR="00E40504" w:rsidRPr="006653A2" w:rsidRDefault="00E40504" w:rsidP="00A44234">
            <w:pPr>
              <w:keepLines/>
              <w:widowControl/>
              <w:jc w:val="left"/>
              <w:rPr>
                <w:rFonts w:ascii="Arial Narrow" w:hAnsi="Arial Narrow" w:cs="Times New Roman"/>
                <w:sz w:val="20"/>
                <w:szCs w:val="20"/>
                <w:lang w:eastAsia="en-AU"/>
              </w:rPr>
            </w:pPr>
          </w:p>
        </w:tc>
        <w:tc>
          <w:tcPr>
            <w:tcW w:w="890" w:type="pct"/>
            <w:vMerge/>
          </w:tcPr>
          <w:p w:rsidR="00E40504" w:rsidRPr="006653A2" w:rsidRDefault="00E40504" w:rsidP="00A44234">
            <w:pPr>
              <w:keepLines/>
              <w:widowControl/>
              <w:jc w:val="left"/>
              <w:rPr>
                <w:rFonts w:ascii="Arial Narrow" w:hAnsi="Arial Narrow" w:cs="Times New Roman"/>
                <w:sz w:val="20"/>
                <w:szCs w:val="20"/>
                <w:lang w:eastAsia="en-AU"/>
              </w:rPr>
            </w:pPr>
          </w:p>
        </w:tc>
        <w:tc>
          <w:tcPr>
            <w:tcW w:w="1071" w:type="pct"/>
            <w:vMerge/>
          </w:tcPr>
          <w:p w:rsidR="00E40504" w:rsidRPr="006653A2" w:rsidRDefault="00E40504" w:rsidP="00A44234">
            <w:pPr>
              <w:keepLines/>
              <w:widowControl/>
              <w:jc w:val="left"/>
              <w:rPr>
                <w:rFonts w:ascii="Arial Narrow" w:hAnsi="Arial Narrow" w:cs="Times New Roman"/>
                <w:sz w:val="20"/>
                <w:szCs w:val="20"/>
                <w:lang w:eastAsia="en-AU"/>
              </w:rPr>
            </w:pPr>
          </w:p>
        </w:tc>
        <w:tc>
          <w:tcPr>
            <w:tcW w:w="552" w:type="pct"/>
          </w:tcPr>
          <w:p w:rsidR="00E40504" w:rsidRPr="006653A2" w:rsidRDefault="00E40504" w:rsidP="00A44234">
            <w:pPr>
              <w:keepLines/>
              <w:widowControl/>
              <w:jc w:val="left"/>
              <w:rPr>
                <w:rFonts w:ascii="Arial Narrow" w:hAnsi="Arial Narrow" w:cs="Times New Roman"/>
                <w:sz w:val="20"/>
                <w:szCs w:val="20"/>
                <w:lang w:eastAsia="en-AU"/>
              </w:rPr>
            </w:pPr>
            <w:r w:rsidRPr="006653A2">
              <w:rPr>
                <w:rFonts w:ascii="Arial Narrow" w:hAnsi="Arial Narrow" w:cs="Times New Roman"/>
                <w:sz w:val="20"/>
                <w:szCs w:val="20"/>
                <w:lang w:eastAsia="en-AU"/>
              </w:rPr>
              <w:t>Cost per QALY</w:t>
            </w:r>
          </w:p>
        </w:tc>
        <w:tc>
          <w:tcPr>
            <w:tcW w:w="1529" w:type="pct"/>
            <w:gridSpan w:val="3"/>
          </w:tcPr>
          <w:p w:rsidR="00E40504" w:rsidRPr="006653A2" w:rsidRDefault="00E40504" w:rsidP="00A44234">
            <w:pPr>
              <w:keepLines/>
              <w:widowControl/>
              <w:jc w:val="right"/>
              <w:rPr>
                <w:rFonts w:ascii="Arial Narrow" w:hAnsi="Arial Narrow" w:cs="Times New Roman"/>
                <w:sz w:val="20"/>
                <w:szCs w:val="20"/>
                <w:lang w:eastAsia="en-AU"/>
              </w:rPr>
            </w:pPr>
            <w:r w:rsidRPr="006653A2">
              <w:rPr>
                <w:rFonts w:ascii="Arial Narrow" w:hAnsi="Arial Narrow" w:cs="Times New Roman"/>
                <w:bCs/>
                <w:sz w:val="20"/>
                <w:szCs w:val="20"/>
                <w:lang w:eastAsia="en-AU"/>
              </w:rPr>
              <w:t>$</w:t>
            </w:r>
            <w:r w:rsidR="004C5EA1">
              <w:rPr>
                <w:rFonts w:ascii="Arial Narrow" w:hAnsi="Arial Narrow" w:cs="Times New Roman"/>
                <w:bCs/>
                <w:noProof/>
                <w:color w:val="000000"/>
                <w:sz w:val="20"/>
                <w:szCs w:val="20"/>
                <w:highlight w:val="black"/>
                <w:lang w:eastAsia="en-AU"/>
              </w:rPr>
              <w:t>'''''''''''''''''''''</w:t>
            </w:r>
          </w:p>
        </w:tc>
      </w:tr>
      <w:tr w:rsidR="007E7F98" w:rsidRPr="006653A2" w:rsidTr="003B4B48">
        <w:tc>
          <w:tcPr>
            <w:tcW w:w="222" w:type="pct"/>
            <w:vMerge w:val="restart"/>
          </w:tcPr>
          <w:p w:rsidR="007E7F98" w:rsidRPr="006653A2" w:rsidRDefault="007E7F98" w:rsidP="00A44234">
            <w:pPr>
              <w:keepLines/>
              <w:widowControl/>
              <w:jc w:val="left"/>
              <w:rPr>
                <w:rFonts w:ascii="Arial Narrow" w:hAnsi="Arial Narrow" w:cs="Times New Roman"/>
                <w:sz w:val="20"/>
                <w:szCs w:val="20"/>
                <w:lang w:eastAsia="en-AU"/>
              </w:rPr>
            </w:pPr>
            <w:r w:rsidRPr="006653A2">
              <w:rPr>
                <w:rFonts w:ascii="Arial Narrow" w:hAnsi="Arial Narrow" w:cs="Times New Roman"/>
                <w:sz w:val="20"/>
                <w:szCs w:val="20"/>
                <w:lang w:eastAsia="en-AU"/>
              </w:rPr>
              <w:t>5</w:t>
            </w:r>
          </w:p>
        </w:tc>
        <w:tc>
          <w:tcPr>
            <w:tcW w:w="736" w:type="pct"/>
            <w:vMerge w:val="restart"/>
          </w:tcPr>
          <w:p w:rsidR="007E7F98" w:rsidRPr="006653A2" w:rsidRDefault="007E7F98" w:rsidP="00A44234">
            <w:pPr>
              <w:keepLines/>
              <w:widowControl/>
              <w:jc w:val="left"/>
              <w:rPr>
                <w:rFonts w:ascii="Arial Narrow" w:hAnsi="Arial Narrow" w:cs="Times New Roman"/>
                <w:sz w:val="20"/>
                <w:szCs w:val="20"/>
                <w:lang w:eastAsia="en-AU"/>
              </w:rPr>
            </w:pPr>
            <w:r w:rsidRPr="006653A2">
              <w:rPr>
                <w:rFonts w:ascii="Arial Narrow" w:hAnsi="Arial Narrow" w:cs="Times New Roman"/>
                <w:sz w:val="20"/>
                <w:szCs w:val="20"/>
                <w:lang w:eastAsia="en-AU"/>
              </w:rPr>
              <w:t>#1 AND #2 AND #3</w:t>
            </w:r>
          </w:p>
        </w:tc>
        <w:tc>
          <w:tcPr>
            <w:tcW w:w="890" w:type="pct"/>
            <w:vMerge w:val="restart"/>
          </w:tcPr>
          <w:p w:rsidR="007E7F98" w:rsidRPr="006653A2" w:rsidRDefault="007E7F98" w:rsidP="00A44234">
            <w:pPr>
              <w:keepLines/>
              <w:widowControl/>
              <w:jc w:val="left"/>
              <w:rPr>
                <w:rFonts w:ascii="Arial Narrow" w:hAnsi="Arial Narrow" w:cs="Times New Roman"/>
                <w:sz w:val="20"/>
                <w:szCs w:val="20"/>
                <w:lang w:eastAsia="en-AU"/>
              </w:rPr>
            </w:pPr>
            <w:r w:rsidRPr="006653A2">
              <w:rPr>
                <w:rFonts w:ascii="Arial Narrow" w:hAnsi="Arial Narrow" w:cs="Times New Roman"/>
                <w:sz w:val="20"/>
                <w:szCs w:val="20"/>
                <w:lang w:eastAsia="en-AU"/>
              </w:rPr>
              <w:t>As above</w:t>
            </w:r>
          </w:p>
          <w:p w:rsidR="007E7F98" w:rsidRPr="006653A2" w:rsidRDefault="007E7F98" w:rsidP="00A44234">
            <w:pPr>
              <w:keepLines/>
              <w:widowControl/>
              <w:jc w:val="left"/>
              <w:rPr>
                <w:rFonts w:ascii="Arial Narrow" w:hAnsi="Arial Narrow" w:cs="Times New Roman"/>
                <w:sz w:val="20"/>
                <w:szCs w:val="20"/>
                <w:lang w:eastAsia="en-AU"/>
              </w:rPr>
            </w:pPr>
          </w:p>
        </w:tc>
        <w:tc>
          <w:tcPr>
            <w:tcW w:w="1071" w:type="pct"/>
            <w:vMerge w:val="restart"/>
          </w:tcPr>
          <w:p w:rsidR="007E7F98" w:rsidRPr="006653A2" w:rsidRDefault="007E7F98" w:rsidP="00A44234">
            <w:pPr>
              <w:keepLines/>
              <w:widowControl/>
              <w:jc w:val="left"/>
              <w:rPr>
                <w:szCs w:val="20"/>
                <w:lang w:eastAsia="en-AU"/>
              </w:rPr>
            </w:pPr>
            <w:r w:rsidRPr="006653A2">
              <w:rPr>
                <w:rFonts w:ascii="Arial Narrow" w:hAnsi="Arial Narrow" w:cs="Times New Roman"/>
                <w:sz w:val="20"/>
                <w:szCs w:val="20"/>
                <w:lang w:eastAsia="en-AU"/>
              </w:rPr>
              <w:t>As above</w:t>
            </w:r>
          </w:p>
          <w:p w:rsidR="007E7F98" w:rsidRPr="006653A2" w:rsidRDefault="007E7F98" w:rsidP="00A44234">
            <w:pPr>
              <w:keepLines/>
              <w:widowControl/>
              <w:jc w:val="left"/>
              <w:rPr>
                <w:rFonts w:ascii="Arial Narrow" w:hAnsi="Arial Narrow" w:cs="Times New Roman"/>
                <w:sz w:val="20"/>
                <w:szCs w:val="20"/>
                <w:lang w:eastAsia="en-AU"/>
              </w:rPr>
            </w:pPr>
          </w:p>
        </w:tc>
        <w:tc>
          <w:tcPr>
            <w:tcW w:w="552" w:type="pct"/>
          </w:tcPr>
          <w:p w:rsidR="007E7F98" w:rsidRPr="006653A2" w:rsidRDefault="007E7F98" w:rsidP="00A44234">
            <w:pPr>
              <w:keepLines/>
              <w:widowControl/>
              <w:jc w:val="left"/>
              <w:rPr>
                <w:rFonts w:ascii="Arial Narrow" w:hAnsi="Arial Narrow" w:cs="Times New Roman"/>
                <w:sz w:val="20"/>
                <w:szCs w:val="20"/>
                <w:lang w:eastAsia="en-AU"/>
              </w:rPr>
            </w:pPr>
            <w:r w:rsidRPr="006653A2">
              <w:rPr>
                <w:rFonts w:ascii="Arial Narrow" w:hAnsi="Arial Narrow" w:cs="Times New Roman"/>
                <w:sz w:val="20"/>
                <w:szCs w:val="20"/>
                <w:lang w:eastAsia="en-AU"/>
              </w:rPr>
              <w:t>Costs</w:t>
            </w:r>
          </w:p>
        </w:tc>
        <w:tc>
          <w:tcPr>
            <w:tcW w:w="477" w:type="pct"/>
          </w:tcPr>
          <w:p w:rsidR="007E7F98" w:rsidRPr="006653A2" w:rsidRDefault="007E7F98" w:rsidP="00A44234">
            <w:pPr>
              <w:keepLines/>
              <w:widowControl/>
              <w:jc w:val="right"/>
              <w:rPr>
                <w:rFonts w:ascii="Arial Narrow" w:hAnsi="Arial Narrow" w:cs="Times New Roman"/>
                <w:bCs/>
                <w:sz w:val="20"/>
                <w:szCs w:val="20"/>
                <w:lang w:eastAsia="en-AU"/>
              </w:rPr>
            </w:pPr>
            <w:r w:rsidRPr="006653A2">
              <w:rPr>
                <w:rFonts w:ascii="Arial Narrow" w:hAnsi="Arial Narrow" w:cs="Times New Roman"/>
                <w:sz w:val="20"/>
                <w:szCs w:val="20"/>
                <w:lang w:eastAsia="en-AU"/>
              </w:rPr>
              <w:t>$</w:t>
            </w:r>
            <w:r w:rsidR="004C5EA1">
              <w:rPr>
                <w:rFonts w:ascii="Arial Narrow" w:hAnsi="Arial Narrow" w:cs="Times New Roman"/>
                <w:noProof/>
                <w:color w:val="000000"/>
                <w:sz w:val="20"/>
                <w:szCs w:val="20"/>
                <w:highlight w:val="black"/>
                <w:lang w:eastAsia="en-AU"/>
              </w:rPr>
              <w:t>''''''''''''''''''</w:t>
            </w:r>
          </w:p>
        </w:tc>
        <w:tc>
          <w:tcPr>
            <w:tcW w:w="478" w:type="pct"/>
          </w:tcPr>
          <w:p w:rsidR="007E7F98" w:rsidRPr="006653A2" w:rsidRDefault="007E7F98" w:rsidP="00A44234">
            <w:pPr>
              <w:keepLines/>
              <w:widowControl/>
              <w:jc w:val="right"/>
              <w:rPr>
                <w:rFonts w:ascii="Arial Narrow" w:hAnsi="Arial Narrow" w:cs="Times New Roman"/>
                <w:bCs/>
                <w:sz w:val="20"/>
                <w:szCs w:val="20"/>
                <w:lang w:eastAsia="en-AU"/>
              </w:rPr>
            </w:pPr>
            <w:r w:rsidRPr="006653A2">
              <w:rPr>
                <w:rFonts w:ascii="Arial Narrow" w:hAnsi="Arial Narrow" w:cs="Times New Roman"/>
                <w:sz w:val="20"/>
                <w:szCs w:val="20"/>
                <w:lang w:eastAsia="en-AU"/>
              </w:rPr>
              <w:t>$</w:t>
            </w:r>
            <w:r w:rsidR="004C5EA1">
              <w:rPr>
                <w:rFonts w:ascii="Arial Narrow" w:hAnsi="Arial Narrow" w:cs="Times New Roman"/>
                <w:noProof/>
                <w:color w:val="000000"/>
                <w:sz w:val="20"/>
                <w:szCs w:val="20"/>
                <w:highlight w:val="black"/>
                <w:lang w:eastAsia="en-AU"/>
              </w:rPr>
              <w:t>''''''''''''''</w:t>
            </w:r>
          </w:p>
        </w:tc>
        <w:tc>
          <w:tcPr>
            <w:tcW w:w="574" w:type="pct"/>
          </w:tcPr>
          <w:p w:rsidR="007E7F98" w:rsidRPr="006653A2" w:rsidRDefault="007E7F98" w:rsidP="00A44234">
            <w:pPr>
              <w:keepLines/>
              <w:widowControl/>
              <w:jc w:val="right"/>
              <w:rPr>
                <w:rFonts w:ascii="Arial Narrow" w:hAnsi="Arial Narrow" w:cs="Times New Roman"/>
                <w:bCs/>
                <w:sz w:val="20"/>
                <w:szCs w:val="20"/>
                <w:lang w:eastAsia="en-AU"/>
              </w:rPr>
            </w:pPr>
            <w:r w:rsidRPr="006653A2">
              <w:rPr>
                <w:rFonts w:ascii="Arial Narrow" w:hAnsi="Arial Narrow" w:cs="Times New Roman"/>
                <w:sz w:val="20"/>
                <w:szCs w:val="20"/>
                <w:lang w:eastAsia="en-AU"/>
              </w:rPr>
              <w:t>$</w:t>
            </w:r>
            <w:r w:rsidR="004C5EA1">
              <w:rPr>
                <w:rFonts w:ascii="Arial Narrow" w:hAnsi="Arial Narrow" w:cs="Times New Roman"/>
                <w:noProof/>
                <w:color w:val="000000"/>
                <w:sz w:val="20"/>
                <w:szCs w:val="20"/>
                <w:highlight w:val="black"/>
                <w:lang w:eastAsia="en-AU"/>
              </w:rPr>
              <w:t>'''''''''''''''''</w:t>
            </w:r>
          </w:p>
        </w:tc>
      </w:tr>
      <w:tr w:rsidR="007E7F98" w:rsidRPr="006653A2" w:rsidTr="003B4B48">
        <w:tc>
          <w:tcPr>
            <w:tcW w:w="222" w:type="pct"/>
            <w:vMerge/>
          </w:tcPr>
          <w:p w:rsidR="007E7F98" w:rsidRPr="006653A2" w:rsidRDefault="007E7F98" w:rsidP="00A44234">
            <w:pPr>
              <w:keepLines/>
              <w:widowControl/>
              <w:jc w:val="left"/>
              <w:rPr>
                <w:rFonts w:ascii="Arial Narrow" w:hAnsi="Arial Narrow" w:cs="Times New Roman"/>
                <w:sz w:val="20"/>
                <w:szCs w:val="20"/>
                <w:lang w:eastAsia="en-AU"/>
              </w:rPr>
            </w:pPr>
          </w:p>
        </w:tc>
        <w:tc>
          <w:tcPr>
            <w:tcW w:w="736" w:type="pct"/>
            <w:vMerge/>
          </w:tcPr>
          <w:p w:rsidR="007E7F98" w:rsidRPr="006653A2" w:rsidRDefault="007E7F98" w:rsidP="00A44234">
            <w:pPr>
              <w:keepLines/>
              <w:widowControl/>
              <w:jc w:val="left"/>
              <w:rPr>
                <w:rFonts w:ascii="Arial Narrow" w:hAnsi="Arial Narrow" w:cs="Times New Roman"/>
                <w:sz w:val="20"/>
                <w:szCs w:val="20"/>
                <w:lang w:eastAsia="en-AU"/>
              </w:rPr>
            </w:pPr>
          </w:p>
        </w:tc>
        <w:tc>
          <w:tcPr>
            <w:tcW w:w="890" w:type="pct"/>
            <w:vMerge/>
          </w:tcPr>
          <w:p w:rsidR="007E7F98" w:rsidRPr="006653A2" w:rsidRDefault="007E7F98" w:rsidP="00A44234">
            <w:pPr>
              <w:keepLines/>
              <w:widowControl/>
              <w:jc w:val="left"/>
              <w:rPr>
                <w:rFonts w:ascii="Arial Narrow" w:hAnsi="Arial Narrow" w:cs="Times New Roman"/>
                <w:sz w:val="20"/>
                <w:szCs w:val="20"/>
                <w:lang w:eastAsia="en-AU"/>
              </w:rPr>
            </w:pPr>
          </w:p>
        </w:tc>
        <w:tc>
          <w:tcPr>
            <w:tcW w:w="1071" w:type="pct"/>
            <w:vMerge/>
          </w:tcPr>
          <w:p w:rsidR="007E7F98" w:rsidRPr="006653A2" w:rsidRDefault="007E7F98" w:rsidP="00A44234">
            <w:pPr>
              <w:keepLines/>
              <w:widowControl/>
              <w:jc w:val="left"/>
              <w:rPr>
                <w:rFonts w:ascii="Arial Narrow" w:hAnsi="Arial Narrow" w:cs="Times New Roman"/>
                <w:sz w:val="20"/>
                <w:szCs w:val="20"/>
                <w:lang w:eastAsia="en-AU"/>
              </w:rPr>
            </w:pPr>
          </w:p>
        </w:tc>
        <w:tc>
          <w:tcPr>
            <w:tcW w:w="552" w:type="pct"/>
          </w:tcPr>
          <w:p w:rsidR="007E7F98" w:rsidRPr="006653A2" w:rsidRDefault="007E7F98" w:rsidP="00A44234">
            <w:pPr>
              <w:keepLines/>
              <w:widowControl/>
              <w:jc w:val="left"/>
              <w:rPr>
                <w:rFonts w:ascii="Arial Narrow" w:hAnsi="Arial Narrow" w:cs="Times New Roman"/>
                <w:sz w:val="20"/>
                <w:szCs w:val="20"/>
                <w:lang w:eastAsia="en-AU"/>
              </w:rPr>
            </w:pPr>
            <w:r w:rsidRPr="006653A2">
              <w:rPr>
                <w:rFonts w:ascii="Arial Narrow" w:hAnsi="Arial Narrow" w:cs="Times New Roman"/>
                <w:sz w:val="20"/>
                <w:szCs w:val="20"/>
                <w:lang w:eastAsia="en-AU"/>
              </w:rPr>
              <w:t>QALYs</w:t>
            </w:r>
          </w:p>
        </w:tc>
        <w:tc>
          <w:tcPr>
            <w:tcW w:w="477" w:type="pct"/>
          </w:tcPr>
          <w:p w:rsidR="007E7F98" w:rsidRPr="004C5EA1" w:rsidRDefault="004C5EA1" w:rsidP="00A44234">
            <w:pPr>
              <w:keepLines/>
              <w:widowControl/>
              <w:jc w:val="right"/>
              <w:rPr>
                <w:rFonts w:ascii="Arial Narrow" w:hAnsi="Arial Narrow" w:cs="Times New Roman"/>
                <w:bCs/>
                <w:sz w:val="20"/>
                <w:szCs w:val="20"/>
                <w:highlight w:val="black"/>
                <w:lang w:eastAsia="en-AU"/>
              </w:rPr>
            </w:pPr>
            <w:r>
              <w:rPr>
                <w:rFonts w:ascii="Arial Narrow" w:hAnsi="Arial Narrow" w:cs="Times New Roman"/>
                <w:noProof/>
                <w:color w:val="000000"/>
                <w:sz w:val="20"/>
                <w:szCs w:val="20"/>
                <w:highlight w:val="black"/>
                <w:lang w:eastAsia="en-AU"/>
              </w:rPr>
              <w:t>''''''''''</w:t>
            </w:r>
          </w:p>
        </w:tc>
        <w:tc>
          <w:tcPr>
            <w:tcW w:w="478" w:type="pct"/>
          </w:tcPr>
          <w:p w:rsidR="007E7F98" w:rsidRPr="004C5EA1" w:rsidRDefault="004C5EA1" w:rsidP="00A44234">
            <w:pPr>
              <w:keepLines/>
              <w:widowControl/>
              <w:jc w:val="right"/>
              <w:rPr>
                <w:rFonts w:ascii="Arial Narrow" w:hAnsi="Arial Narrow" w:cs="Times New Roman"/>
                <w:bCs/>
                <w:sz w:val="20"/>
                <w:szCs w:val="20"/>
                <w:highlight w:val="black"/>
                <w:lang w:eastAsia="en-AU"/>
              </w:rPr>
            </w:pPr>
            <w:r>
              <w:rPr>
                <w:rFonts w:ascii="Arial Narrow" w:hAnsi="Arial Narrow" w:cs="Times New Roman"/>
                <w:noProof/>
                <w:color w:val="000000"/>
                <w:sz w:val="20"/>
                <w:szCs w:val="20"/>
                <w:highlight w:val="black"/>
                <w:lang w:eastAsia="en-AU"/>
              </w:rPr>
              <w:t>''''''''''</w:t>
            </w:r>
          </w:p>
        </w:tc>
        <w:tc>
          <w:tcPr>
            <w:tcW w:w="574" w:type="pct"/>
          </w:tcPr>
          <w:p w:rsidR="007E7F98" w:rsidRPr="004C5EA1" w:rsidRDefault="004C5EA1" w:rsidP="00A44234">
            <w:pPr>
              <w:keepLines/>
              <w:widowControl/>
              <w:jc w:val="right"/>
              <w:rPr>
                <w:rFonts w:ascii="Arial Narrow" w:hAnsi="Arial Narrow" w:cs="Times New Roman"/>
                <w:bCs/>
                <w:sz w:val="20"/>
                <w:szCs w:val="20"/>
                <w:highlight w:val="black"/>
                <w:lang w:eastAsia="en-AU"/>
              </w:rPr>
            </w:pPr>
            <w:r>
              <w:rPr>
                <w:rFonts w:ascii="Arial Narrow" w:hAnsi="Arial Narrow" w:cs="Times New Roman"/>
                <w:noProof/>
                <w:color w:val="000000"/>
                <w:sz w:val="20"/>
                <w:szCs w:val="20"/>
                <w:highlight w:val="black"/>
                <w:lang w:eastAsia="en-AU"/>
              </w:rPr>
              <w:t>''''''''''</w:t>
            </w:r>
          </w:p>
        </w:tc>
      </w:tr>
      <w:tr w:rsidR="00E40504" w:rsidRPr="006653A2" w:rsidTr="00E40504">
        <w:tc>
          <w:tcPr>
            <w:tcW w:w="222" w:type="pct"/>
            <w:vMerge/>
          </w:tcPr>
          <w:p w:rsidR="00E40504" w:rsidRPr="006653A2" w:rsidRDefault="00E40504" w:rsidP="00A44234">
            <w:pPr>
              <w:keepLines/>
              <w:widowControl/>
              <w:jc w:val="left"/>
              <w:rPr>
                <w:rFonts w:ascii="Arial Narrow" w:hAnsi="Arial Narrow" w:cs="Times New Roman"/>
                <w:sz w:val="20"/>
                <w:szCs w:val="20"/>
                <w:lang w:eastAsia="en-AU"/>
              </w:rPr>
            </w:pPr>
          </w:p>
        </w:tc>
        <w:tc>
          <w:tcPr>
            <w:tcW w:w="736" w:type="pct"/>
            <w:vMerge/>
          </w:tcPr>
          <w:p w:rsidR="00E40504" w:rsidRPr="006653A2" w:rsidRDefault="00E40504" w:rsidP="00A44234">
            <w:pPr>
              <w:keepLines/>
              <w:widowControl/>
              <w:jc w:val="left"/>
              <w:rPr>
                <w:rFonts w:ascii="Arial Narrow" w:hAnsi="Arial Narrow" w:cs="Times New Roman"/>
                <w:sz w:val="20"/>
                <w:szCs w:val="20"/>
                <w:lang w:eastAsia="en-AU"/>
              </w:rPr>
            </w:pPr>
          </w:p>
        </w:tc>
        <w:tc>
          <w:tcPr>
            <w:tcW w:w="890" w:type="pct"/>
            <w:vMerge/>
          </w:tcPr>
          <w:p w:rsidR="00E40504" w:rsidRPr="006653A2" w:rsidRDefault="00E40504" w:rsidP="00A44234">
            <w:pPr>
              <w:keepLines/>
              <w:widowControl/>
              <w:jc w:val="left"/>
              <w:rPr>
                <w:rFonts w:ascii="Arial Narrow" w:hAnsi="Arial Narrow" w:cs="Times New Roman"/>
                <w:sz w:val="20"/>
                <w:szCs w:val="20"/>
                <w:lang w:eastAsia="en-AU"/>
              </w:rPr>
            </w:pPr>
          </w:p>
        </w:tc>
        <w:tc>
          <w:tcPr>
            <w:tcW w:w="1071" w:type="pct"/>
            <w:vMerge/>
          </w:tcPr>
          <w:p w:rsidR="00E40504" w:rsidRPr="006653A2" w:rsidRDefault="00E40504" w:rsidP="00A44234">
            <w:pPr>
              <w:keepLines/>
              <w:widowControl/>
              <w:jc w:val="left"/>
              <w:rPr>
                <w:rFonts w:ascii="Arial Narrow" w:hAnsi="Arial Narrow" w:cs="Times New Roman"/>
                <w:sz w:val="20"/>
                <w:szCs w:val="20"/>
                <w:lang w:eastAsia="en-AU"/>
              </w:rPr>
            </w:pPr>
          </w:p>
        </w:tc>
        <w:tc>
          <w:tcPr>
            <w:tcW w:w="552" w:type="pct"/>
          </w:tcPr>
          <w:p w:rsidR="00E40504" w:rsidRPr="006653A2" w:rsidRDefault="00E40504" w:rsidP="00A44234">
            <w:pPr>
              <w:keepLines/>
              <w:widowControl/>
              <w:jc w:val="left"/>
              <w:rPr>
                <w:rFonts w:ascii="Arial Narrow" w:hAnsi="Arial Narrow" w:cs="Times New Roman"/>
                <w:sz w:val="20"/>
                <w:szCs w:val="20"/>
                <w:lang w:eastAsia="en-AU"/>
              </w:rPr>
            </w:pPr>
            <w:r w:rsidRPr="006653A2">
              <w:rPr>
                <w:rFonts w:ascii="Arial Narrow" w:hAnsi="Arial Narrow" w:cs="Times New Roman"/>
                <w:sz w:val="20"/>
                <w:szCs w:val="20"/>
                <w:lang w:eastAsia="en-AU"/>
              </w:rPr>
              <w:t>Cost per QALY</w:t>
            </w:r>
          </w:p>
        </w:tc>
        <w:tc>
          <w:tcPr>
            <w:tcW w:w="1529" w:type="pct"/>
            <w:gridSpan w:val="3"/>
          </w:tcPr>
          <w:p w:rsidR="00E40504" w:rsidRPr="006653A2" w:rsidRDefault="00E40504" w:rsidP="00A44234">
            <w:pPr>
              <w:keepLines/>
              <w:widowControl/>
              <w:jc w:val="right"/>
              <w:rPr>
                <w:rFonts w:ascii="Arial Narrow" w:hAnsi="Arial Narrow" w:cs="Times New Roman"/>
                <w:bCs/>
                <w:sz w:val="20"/>
                <w:szCs w:val="20"/>
                <w:lang w:eastAsia="en-AU"/>
              </w:rPr>
            </w:pPr>
            <w:r w:rsidRPr="006653A2">
              <w:rPr>
                <w:rFonts w:ascii="Arial Narrow" w:hAnsi="Arial Narrow" w:cs="Times New Roman"/>
                <w:bCs/>
                <w:sz w:val="20"/>
                <w:szCs w:val="20"/>
                <w:lang w:eastAsia="en-AU"/>
              </w:rPr>
              <w:t>$</w:t>
            </w:r>
            <w:r w:rsidR="004C5EA1">
              <w:rPr>
                <w:rFonts w:ascii="Arial Narrow" w:hAnsi="Arial Narrow" w:cs="Times New Roman"/>
                <w:bCs/>
                <w:noProof/>
                <w:color w:val="000000"/>
                <w:sz w:val="20"/>
                <w:szCs w:val="20"/>
                <w:highlight w:val="black"/>
                <w:lang w:eastAsia="en-AU"/>
              </w:rPr>
              <w:t>'''''''''''''''''''</w:t>
            </w:r>
          </w:p>
        </w:tc>
      </w:tr>
      <w:tr w:rsidR="007E7F98" w:rsidRPr="006653A2" w:rsidTr="003B4B48">
        <w:tc>
          <w:tcPr>
            <w:tcW w:w="222" w:type="pct"/>
            <w:vMerge w:val="restart"/>
          </w:tcPr>
          <w:p w:rsidR="007E7F98" w:rsidRPr="006653A2" w:rsidRDefault="007E7F98" w:rsidP="0012056F">
            <w:pPr>
              <w:keepNext/>
              <w:keepLines/>
              <w:widowControl/>
              <w:jc w:val="left"/>
              <w:rPr>
                <w:rFonts w:ascii="Arial Narrow" w:hAnsi="Arial Narrow" w:cs="Times New Roman"/>
                <w:sz w:val="20"/>
                <w:szCs w:val="20"/>
                <w:lang w:eastAsia="en-AU"/>
              </w:rPr>
            </w:pPr>
            <w:r w:rsidRPr="006653A2">
              <w:rPr>
                <w:rFonts w:ascii="Arial Narrow" w:hAnsi="Arial Narrow" w:cs="Times New Roman"/>
                <w:sz w:val="20"/>
                <w:szCs w:val="20"/>
                <w:lang w:eastAsia="en-AU"/>
              </w:rPr>
              <w:t>6</w:t>
            </w:r>
          </w:p>
        </w:tc>
        <w:tc>
          <w:tcPr>
            <w:tcW w:w="736" w:type="pct"/>
            <w:vMerge w:val="restart"/>
          </w:tcPr>
          <w:p w:rsidR="007E7F98" w:rsidRPr="006653A2" w:rsidRDefault="007E7F98" w:rsidP="0012056F">
            <w:pPr>
              <w:keepNext/>
              <w:keepLines/>
              <w:widowControl/>
              <w:jc w:val="left"/>
              <w:rPr>
                <w:rFonts w:ascii="Arial Narrow" w:hAnsi="Arial Narrow" w:cs="Times New Roman"/>
                <w:sz w:val="20"/>
                <w:szCs w:val="20"/>
                <w:lang w:eastAsia="en-AU"/>
              </w:rPr>
            </w:pPr>
            <w:r w:rsidRPr="006653A2">
              <w:rPr>
                <w:rFonts w:ascii="Arial Narrow" w:hAnsi="Arial Narrow" w:cs="Times New Roman"/>
                <w:sz w:val="20"/>
                <w:szCs w:val="20"/>
                <w:lang w:eastAsia="en-AU"/>
              </w:rPr>
              <w:t>Number of ranibizumab administrations</w:t>
            </w:r>
          </w:p>
        </w:tc>
        <w:tc>
          <w:tcPr>
            <w:tcW w:w="890" w:type="pct"/>
            <w:vMerge w:val="restart"/>
          </w:tcPr>
          <w:p w:rsidR="007E7F98" w:rsidRPr="006653A2" w:rsidRDefault="007E7F98" w:rsidP="0012056F">
            <w:pPr>
              <w:keepNext/>
              <w:keepLines/>
              <w:widowControl/>
              <w:jc w:val="left"/>
              <w:rPr>
                <w:rFonts w:ascii="Arial Narrow" w:hAnsi="Arial Narrow" w:cs="Times New Roman"/>
                <w:sz w:val="20"/>
                <w:szCs w:val="20"/>
                <w:lang w:eastAsia="en-AU"/>
              </w:rPr>
            </w:pPr>
            <w:r w:rsidRPr="006653A2">
              <w:rPr>
                <w:rFonts w:ascii="Arial Narrow" w:hAnsi="Arial Narrow" w:cs="Times New Roman"/>
                <w:sz w:val="20"/>
                <w:szCs w:val="20"/>
                <w:lang w:eastAsia="en-AU"/>
              </w:rPr>
              <w:t>Year 1 – 5.80</w:t>
            </w:r>
            <w:r w:rsidRPr="006653A2">
              <w:rPr>
                <w:rFonts w:ascii="Arial Narrow" w:hAnsi="Arial Narrow" w:cs="Times New Roman"/>
                <w:sz w:val="20"/>
                <w:szCs w:val="20"/>
                <w:lang w:eastAsia="en-AU"/>
              </w:rPr>
              <w:br/>
              <w:t>Year 2 – 1.00</w:t>
            </w:r>
          </w:p>
          <w:p w:rsidR="007E7F98" w:rsidRPr="006653A2" w:rsidRDefault="007E7F98" w:rsidP="0012056F">
            <w:pPr>
              <w:keepNext/>
              <w:keepLines/>
              <w:widowControl/>
              <w:jc w:val="left"/>
              <w:rPr>
                <w:rFonts w:ascii="Arial Narrow" w:hAnsi="Arial Narrow" w:cs="Times New Roman"/>
                <w:sz w:val="20"/>
                <w:szCs w:val="20"/>
                <w:lang w:eastAsia="en-AU"/>
              </w:rPr>
            </w:pPr>
          </w:p>
        </w:tc>
        <w:tc>
          <w:tcPr>
            <w:tcW w:w="1071" w:type="pct"/>
            <w:vMerge w:val="restart"/>
          </w:tcPr>
          <w:p w:rsidR="007E7F98" w:rsidRPr="006653A2" w:rsidRDefault="007E7F98" w:rsidP="0012056F">
            <w:pPr>
              <w:keepNext/>
              <w:keepLines/>
              <w:widowControl/>
              <w:jc w:val="left"/>
              <w:rPr>
                <w:rFonts w:ascii="Arial Narrow" w:hAnsi="Arial Narrow" w:cs="Times New Roman"/>
                <w:sz w:val="20"/>
                <w:szCs w:val="20"/>
                <w:lang w:eastAsia="en-AU"/>
              </w:rPr>
            </w:pPr>
            <w:r w:rsidRPr="006653A2">
              <w:rPr>
                <w:rFonts w:ascii="Arial Narrow" w:hAnsi="Arial Narrow" w:cs="Times New Roman"/>
                <w:sz w:val="20"/>
                <w:szCs w:val="20"/>
                <w:lang w:eastAsia="en-AU"/>
              </w:rPr>
              <w:t>Assume 8.4 administrations in year 1 and 7.1 administrations in year 2</w:t>
            </w:r>
          </w:p>
        </w:tc>
        <w:tc>
          <w:tcPr>
            <w:tcW w:w="552" w:type="pct"/>
          </w:tcPr>
          <w:p w:rsidR="007E7F98" w:rsidRPr="006653A2" w:rsidRDefault="007E7F98" w:rsidP="0012056F">
            <w:pPr>
              <w:keepNext/>
              <w:keepLines/>
              <w:widowControl/>
              <w:jc w:val="left"/>
              <w:rPr>
                <w:rFonts w:ascii="Arial Narrow" w:hAnsi="Arial Narrow" w:cs="Times New Roman"/>
                <w:sz w:val="20"/>
                <w:szCs w:val="20"/>
                <w:lang w:eastAsia="en-AU"/>
              </w:rPr>
            </w:pPr>
            <w:r w:rsidRPr="006653A2">
              <w:rPr>
                <w:rFonts w:ascii="Arial Narrow" w:hAnsi="Arial Narrow" w:cs="Times New Roman"/>
                <w:sz w:val="20"/>
                <w:szCs w:val="20"/>
                <w:lang w:eastAsia="en-AU"/>
              </w:rPr>
              <w:t>Costs</w:t>
            </w:r>
          </w:p>
        </w:tc>
        <w:tc>
          <w:tcPr>
            <w:tcW w:w="477" w:type="pct"/>
          </w:tcPr>
          <w:p w:rsidR="007E7F98" w:rsidRPr="006653A2" w:rsidRDefault="007E7F98" w:rsidP="0012056F">
            <w:pPr>
              <w:keepNext/>
              <w:keepLines/>
              <w:widowControl/>
              <w:jc w:val="right"/>
              <w:rPr>
                <w:rFonts w:ascii="Arial Narrow" w:hAnsi="Arial Narrow" w:cs="Times New Roman"/>
                <w:bCs/>
                <w:sz w:val="20"/>
                <w:szCs w:val="20"/>
                <w:lang w:eastAsia="en-AU"/>
              </w:rPr>
            </w:pPr>
            <w:r w:rsidRPr="006653A2">
              <w:rPr>
                <w:rFonts w:ascii="Arial Narrow" w:hAnsi="Arial Narrow" w:cs="Times New Roman"/>
                <w:bCs/>
                <w:sz w:val="20"/>
                <w:szCs w:val="20"/>
                <w:lang w:eastAsia="en-AU"/>
              </w:rPr>
              <w:t>$</w:t>
            </w:r>
            <w:r w:rsidR="004C5EA1">
              <w:rPr>
                <w:rFonts w:ascii="Arial Narrow" w:hAnsi="Arial Narrow" w:cs="Times New Roman"/>
                <w:bCs/>
                <w:noProof/>
                <w:color w:val="000000"/>
                <w:sz w:val="20"/>
                <w:szCs w:val="20"/>
                <w:highlight w:val="black"/>
                <w:lang w:eastAsia="en-AU"/>
              </w:rPr>
              <w:t>''''''''''''''''''</w:t>
            </w:r>
          </w:p>
        </w:tc>
        <w:tc>
          <w:tcPr>
            <w:tcW w:w="478" w:type="pct"/>
          </w:tcPr>
          <w:p w:rsidR="007E7F98" w:rsidRPr="006653A2" w:rsidRDefault="007E7F98" w:rsidP="0012056F">
            <w:pPr>
              <w:keepNext/>
              <w:keepLines/>
              <w:widowControl/>
              <w:jc w:val="right"/>
              <w:rPr>
                <w:rFonts w:ascii="Arial Narrow" w:hAnsi="Arial Narrow" w:cs="Times New Roman"/>
                <w:bCs/>
                <w:sz w:val="20"/>
                <w:szCs w:val="20"/>
                <w:lang w:eastAsia="en-AU"/>
              </w:rPr>
            </w:pPr>
            <w:r w:rsidRPr="006653A2">
              <w:rPr>
                <w:rFonts w:ascii="Arial Narrow" w:hAnsi="Arial Narrow" w:cs="Times New Roman"/>
                <w:bCs/>
                <w:sz w:val="20"/>
                <w:szCs w:val="20"/>
                <w:lang w:eastAsia="en-AU"/>
              </w:rPr>
              <w:t>$</w:t>
            </w:r>
            <w:r w:rsidR="004C5EA1">
              <w:rPr>
                <w:rFonts w:ascii="Arial Narrow" w:hAnsi="Arial Narrow" w:cs="Times New Roman"/>
                <w:bCs/>
                <w:noProof/>
                <w:color w:val="000000"/>
                <w:sz w:val="20"/>
                <w:szCs w:val="20"/>
                <w:highlight w:val="black"/>
                <w:lang w:eastAsia="en-AU"/>
              </w:rPr>
              <w:t>'''''''''''''</w:t>
            </w:r>
          </w:p>
        </w:tc>
        <w:tc>
          <w:tcPr>
            <w:tcW w:w="574" w:type="pct"/>
          </w:tcPr>
          <w:p w:rsidR="007E7F98" w:rsidRPr="006653A2" w:rsidRDefault="007E7F98" w:rsidP="0012056F">
            <w:pPr>
              <w:keepNext/>
              <w:keepLines/>
              <w:widowControl/>
              <w:jc w:val="right"/>
              <w:rPr>
                <w:rFonts w:ascii="Arial Narrow" w:hAnsi="Arial Narrow" w:cs="Times New Roman"/>
                <w:bCs/>
                <w:sz w:val="20"/>
                <w:szCs w:val="20"/>
                <w:lang w:eastAsia="en-AU"/>
              </w:rPr>
            </w:pPr>
            <w:r w:rsidRPr="006653A2">
              <w:rPr>
                <w:rFonts w:ascii="Arial Narrow" w:hAnsi="Arial Narrow" w:cs="Times New Roman"/>
                <w:bCs/>
                <w:sz w:val="20"/>
                <w:szCs w:val="20"/>
                <w:lang w:eastAsia="en-AU"/>
              </w:rPr>
              <w:t>$</w:t>
            </w:r>
            <w:r w:rsidR="004C5EA1">
              <w:rPr>
                <w:rFonts w:ascii="Arial Narrow" w:hAnsi="Arial Narrow" w:cs="Times New Roman"/>
                <w:bCs/>
                <w:noProof/>
                <w:color w:val="000000"/>
                <w:sz w:val="20"/>
                <w:szCs w:val="20"/>
                <w:highlight w:val="black"/>
                <w:lang w:eastAsia="en-AU"/>
              </w:rPr>
              <w:t>''''''''''''''''</w:t>
            </w:r>
          </w:p>
        </w:tc>
      </w:tr>
      <w:tr w:rsidR="007E7F98" w:rsidRPr="006653A2" w:rsidTr="003B4B48">
        <w:tc>
          <w:tcPr>
            <w:tcW w:w="222" w:type="pct"/>
            <w:vMerge/>
          </w:tcPr>
          <w:p w:rsidR="007E7F98" w:rsidRPr="006653A2" w:rsidRDefault="007E7F98" w:rsidP="0012056F">
            <w:pPr>
              <w:keepNext/>
              <w:keepLines/>
              <w:widowControl/>
              <w:jc w:val="left"/>
              <w:rPr>
                <w:rFonts w:ascii="Arial Narrow" w:hAnsi="Arial Narrow" w:cs="Times New Roman"/>
                <w:sz w:val="20"/>
                <w:szCs w:val="20"/>
                <w:lang w:eastAsia="en-AU"/>
              </w:rPr>
            </w:pPr>
          </w:p>
        </w:tc>
        <w:tc>
          <w:tcPr>
            <w:tcW w:w="736" w:type="pct"/>
            <w:vMerge/>
          </w:tcPr>
          <w:p w:rsidR="007E7F98" w:rsidRPr="006653A2" w:rsidRDefault="007E7F98" w:rsidP="0012056F">
            <w:pPr>
              <w:keepNext/>
              <w:keepLines/>
              <w:widowControl/>
              <w:jc w:val="left"/>
              <w:rPr>
                <w:rFonts w:ascii="Arial Narrow" w:hAnsi="Arial Narrow" w:cs="Times New Roman"/>
                <w:sz w:val="20"/>
                <w:szCs w:val="20"/>
                <w:lang w:eastAsia="en-AU"/>
              </w:rPr>
            </w:pPr>
          </w:p>
        </w:tc>
        <w:tc>
          <w:tcPr>
            <w:tcW w:w="890" w:type="pct"/>
            <w:vMerge/>
          </w:tcPr>
          <w:p w:rsidR="007E7F98" w:rsidRPr="006653A2" w:rsidRDefault="007E7F98" w:rsidP="0012056F">
            <w:pPr>
              <w:keepNext/>
              <w:keepLines/>
              <w:widowControl/>
              <w:jc w:val="left"/>
              <w:rPr>
                <w:rFonts w:ascii="Arial Narrow" w:hAnsi="Arial Narrow" w:cs="Times New Roman"/>
                <w:sz w:val="20"/>
                <w:szCs w:val="20"/>
                <w:lang w:eastAsia="en-AU"/>
              </w:rPr>
            </w:pPr>
          </w:p>
        </w:tc>
        <w:tc>
          <w:tcPr>
            <w:tcW w:w="1071" w:type="pct"/>
            <w:vMerge/>
          </w:tcPr>
          <w:p w:rsidR="007E7F98" w:rsidRPr="006653A2" w:rsidRDefault="007E7F98" w:rsidP="0012056F">
            <w:pPr>
              <w:keepNext/>
              <w:keepLines/>
              <w:widowControl/>
              <w:jc w:val="left"/>
              <w:rPr>
                <w:rFonts w:ascii="Arial Narrow" w:hAnsi="Arial Narrow" w:cs="Times New Roman"/>
                <w:sz w:val="20"/>
                <w:szCs w:val="20"/>
                <w:lang w:eastAsia="en-AU"/>
              </w:rPr>
            </w:pPr>
          </w:p>
        </w:tc>
        <w:tc>
          <w:tcPr>
            <w:tcW w:w="552" w:type="pct"/>
          </w:tcPr>
          <w:p w:rsidR="007E7F98" w:rsidRPr="006653A2" w:rsidRDefault="007E7F98" w:rsidP="0012056F">
            <w:pPr>
              <w:keepNext/>
              <w:keepLines/>
              <w:widowControl/>
              <w:jc w:val="left"/>
              <w:rPr>
                <w:rFonts w:ascii="Arial Narrow" w:hAnsi="Arial Narrow" w:cs="Times New Roman"/>
                <w:sz w:val="20"/>
                <w:szCs w:val="20"/>
                <w:lang w:eastAsia="en-AU"/>
              </w:rPr>
            </w:pPr>
            <w:r w:rsidRPr="006653A2">
              <w:rPr>
                <w:rFonts w:ascii="Arial Narrow" w:hAnsi="Arial Narrow" w:cs="Times New Roman"/>
                <w:sz w:val="20"/>
                <w:szCs w:val="20"/>
                <w:lang w:eastAsia="en-AU"/>
              </w:rPr>
              <w:t>QALYs</w:t>
            </w:r>
          </w:p>
        </w:tc>
        <w:tc>
          <w:tcPr>
            <w:tcW w:w="477" w:type="pct"/>
          </w:tcPr>
          <w:p w:rsidR="007E7F98" w:rsidRPr="004C5EA1" w:rsidRDefault="004C5EA1" w:rsidP="0012056F">
            <w:pPr>
              <w:keepNext/>
              <w:keepLines/>
              <w:widowControl/>
              <w:jc w:val="right"/>
              <w:rPr>
                <w:rFonts w:ascii="Arial Narrow" w:hAnsi="Arial Narrow" w:cs="Times New Roman"/>
                <w:bCs/>
                <w:sz w:val="20"/>
                <w:szCs w:val="20"/>
                <w:highlight w:val="black"/>
                <w:lang w:eastAsia="en-AU"/>
              </w:rPr>
            </w:pPr>
            <w:r>
              <w:rPr>
                <w:rFonts w:ascii="Arial Narrow" w:hAnsi="Arial Narrow" w:cs="Times New Roman"/>
                <w:bCs/>
                <w:noProof/>
                <w:color w:val="000000"/>
                <w:sz w:val="20"/>
                <w:szCs w:val="20"/>
                <w:highlight w:val="black"/>
                <w:lang w:eastAsia="en-AU"/>
              </w:rPr>
              <w:t>'''''''''''</w:t>
            </w:r>
          </w:p>
        </w:tc>
        <w:tc>
          <w:tcPr>
            <w:tcW w:w="478" w:type="pct"/>
          </w:tcPr>
          <w:p w:rsidR="007E7F98" w:rsidRPr="004C5EA1" w:rsidRDefault="004C5EA1" w:rsidP="0012056F">
            <w:pPr>
              <w:keepNext/>
              <w:keepLines/>
              <w:widowControl/>
              <w:jc w:val="right"/>
              <w:rPr>
                <w:rFonts w:ascii="Arial Narrow" w:hAnsi="Arial Narrow" w:cs="Times New Roman"/>
                <w:bCs/>
                <w:sz w:val="20"/>
                <w:szCs w:val="20"/>
                <w:highlight w:val="black"/>
                <w:lang w:eastAsia="en-AU"/>
              </w:rPr>
            </w:pPr>
            <w:r>
              <w:rPr>
                <w:rFonts w:ascii="Arial Narrow" w:hAnsi="Arial Narrow" w:cs="Times New Roman"/>
                <w:bCs/>
                <w:noProof/>
                <w:color w:val="000000"/>
                <w:sz w:val="20"/>
                <w:szCs w:val="20"/>
                <w:highlight w:val="black"/>
                <w:lang w:eastAsia="en-AU"/>
              </w:rPr>
              <w:t>'''''''''''</w:t>
            </w:r>
          </w:p>
        </w:tc>
        <w:tc>
          <w:tcPr>
            <w:tcW w:w="574" w:type="pct"/>
          </w:tcPr>
          <w:p w:rsidR="007E7F98" w:rsidRPr="004C5EA1" w:rsidRDefault="004C5EA1" w:rsidP="0012056F">
            <w:pPr>
              <w:keepNext/>
              <w:keepLines/>
              <w:widowControl/>
              <w:jc w:val="right"/>
              <w:rPr>
                <w:rFonts w:ascii="Arial Narrow" w:hAnsi="Arial Narrow" w:cs="Times New Roman"/>
                <w:bCs/>
                <w:sz w:val="20"/>
                <w:szCs w:val="20"/>
                <w:highlight w:val="black"/>
                <w:lang w:eastAsia="en-AU"/>
              </w:rPr>
            </w:pPr>
            <w:r>
              <w:rPr>
                <w:rFonts w:ascii="Arial Narrow" w:hAnsi="Arial Narrow" w:cs="Times New Roman"/>
                <w:bCs/>
                <w:noProof/>
                <w:color w:val="000000"/>
                <w:sz w:val="20"/>
                <w:szCs w:val="20"/>
                <w:highlight w:val="black"/>
                <w:lang w:eastAsia="en-AU"/>
              </w:rPr>
              <w:t>''''''''''</w:t>
            </w:r>
          </w:p>
        </w:tc>
      </w:tr>
      <w:tr w:rsidR="00E40504" w:rsidRPr="006653A2" w:rsidTr="00E40504">
        <w:tc>
          <w:tcPr>
            <w:tcW w:w="222" w:type="pct"/>
            <w:vMerge/>
          </w:tcPr>
          <w:p w:rsidR="00E40504" w:rsidRPr="006653A2" w:rsidRDefault="00E40504" w:rsidP="0012056F">
            <w:pPr>
              <w:keepNext/>
              <w:keepLines/>
              <w:widowControl/>
              <w:jc w:val="left"/>
              <w:rPr>
                <w:rFonts w:ascii="Arial Narrow" w:hAnsi="Arial Narrow" w:cs="Times New Roman"/>
                <w:sz w:val="20"/>
                <w:szCs w:val="20"/>
                <w:lang w:eastAsia="en-AU"/>
              </w:rPr>
            </w:pPr>
          </w:p>
        </w:tc>
        <w:tc>
          <w:tcPr>
            <w:tcW w:w="736" w:type="pct"/>
            <w:vMerge/>
          </w:tcPr>
          <w:p w:rsidR="00E40504" w:rsidRPr="006653A2" w:rsidRDefault="00E40504" w:rsidP="0012056F">
            <w:pPr>
              <w:keepNext/>
              <w:keepLines/>
              <w:widowControl/>
              <w:jc w:val="left"/>
              <w:rPr>
                <w:rFonts w:ascii="Arial Narrow" w:hAnsi="Arial Narrow" w:cs="Times New Roman"/>
                <w:sz w:val="20"/>
                <w:szCs w:val="20"/>
                <w:lang w:eastAsia="en-AU"/>
              </w:rPr>
            </w:pPr>
          </w:p>
        </w:tc>
        <w:tc>
          <w:tcPr>
            <w:tcW w:w="890" w:type="pct"/>
            <w:vMerge/>
          </w:tcPr>
          <w:p w:rsidR="00E40504" w:rsidRPr="006653A2" w:rsidRDefault="00E40504" w:rsidP="0012056F">
            <w:pPr>
              <w:keepNext/>
              <w:keepLines/>
              <w:widowControl/>
              <w:jc w:val="left"/>
              <w:rPr>
                <w:rFonts w:ascii="Arial Narrow" w:hAnsi="Arial Narrow" w:cs="Times New Roman"/>
                <w:sz w:val="20"/>
                <w:szCs w:val="20"/>
                <w:lang w:eastAsia="en-AU"/>
              </w:rPr>
            </w:pPr>
          </w:p>
        </w:tc>
        <w:tc>
          <w:tcPr>
            <w:tcW w:w="1071" w:type="pct"/>
            <w:vMerge/>
          </w:tcPr>
          <w:p w:rsidR="00E40504" w:rsidRPr="006653A2" w:rsidRDefault="00E40504" w:rsidP="0012056F">
            <w:pPr>
              <w:keepNext/>
              <w:keepLines/>
              <w:widowControl/>
              <w:jc w:val="left"/>
              <w:rPr>
                <w:rFonts w:ascii="Arial Narrow" w:hAnsi="Arial Narrow" w:cs="Times New Roman"/>
                <w:sz w:val="20"/>
                <w:szCs w:val="20"/>
                <w:lang w:eastAsia="en-AU"/>
              </w:rPr>
            </w:pPr>
          </w:p>
        </w:tc>
        <w:tc>
          <w:tcPr>
            <w:tcW w:w="552" w:type="pct"/>
          </w:tcPr>
          <w:p w:rsidR="00E40504" w:rsidRPr="006653A2" w:rsidRDefault="00E40504" w:rsidP="0012056F">
            <w:pPr>
              <w:keepNext/>
              <w:keepLines/>
              <w:widowControl/>
              <w:jc w:val="left"/>
              <w:rPr>
                <w:rFonts w:ascii="Arial Narrow" w:hAnsi="Arial Narrow" w:cs="Times New Roman"/>
                <w:sz w:val="20"/>
                <w:szCs w:val="20"/>
                <w:lang w:eastAsia="en-AU"/>
              </w:rPr>
            </w:pPr>
            <w:r w:rsidRPr="006653A2">
              <w:rPr>
                <w:rFonts w:ascii="Arial Narrow" w:hAnsi="Arial Narrow" w:cs="Times New Roman"/>
                <w:sz w:val="20"/>
                <w:szCs w:val="20"/>
                <w:lang w:eastAsia="en-AU"/>
              </w:rPr>
              <w:t>Cost per QALY</w:t>
            </w:r>
          </w:p>
        </w:tc>
        <w:tc>
          <w:tcPr>
            <w:tcW w:w="1529" w:type="pct"/>
            <w:gridSpan w:val="3"/>
          </w:tcPr>
          <w:p w:rsidR="00E40504" w:rsidRPr="006653A2" w:rsidRDefault="00E40504" w:rsidP="0012056F">
            <w:pPr>
              <w:keepNext/>
              <w:keepLines/>
              <w:widowControl/>
              <w:jc w:val="right"/>
              <w:rPr>
                <w:rFonts w:ascii="Arial Narrow" w:hAnsi="Arial Narrow" w:cs="Times New Roman"/>
                <w:bCs/>
                <w:sz w:val="20"/>
                <w:szCs w:val="20"/>
                <w:lang w:eastAsia="en-AU"/>
              </w:rPr>
            </w:pPr>
            <w:r w:rsidRPr="006653A2">
              <w:rPr>
                <w:rFonts w:ascii="Arial Narrow" w:hAnsi="Arial Narrow" w:cs="Times New Roman"/>
                <w:bCs/>
                <w:sz w:val="20"/>
                <w:szCs w:val="20"/>
                <w:lang w:eastAsia="en-AU"/>
              </w:rPr>
              <w:t>$</w:t>
            </w:r>
            <w:r w:rsidR="004C5EA1">
              <w:rPr>
                <w:rFonts w:ascii="Arial Narrow" w:hAnsi="Arial Narrow" w:cs="Times New Roman"/>
                <w:bCs/>
                <w:noProof/>
                <w:color w:val="000000"/>
                <w:sz w:val="20"/>
                <w:szCs w:val="20"/>
                <w:highlight w:val="black"/>
                <w:lang w:eastAsia="en-AU"/>
              </w:rPr>
              <w:t>''''''''''''''''</w:t>
            </w:r>
          </w:p>
        </w:tc>
      </w:tr>
      <w:tr w:rsidR="007E7F98" w:rsidRPr="006653A2" w:rsidTr="003B4B48">
        <w:tc>
          <w:tcPr>
            <w:tcW w:w="222" w:type="pct"/>
            <w:vMerge w:val="restart"/>
          </w:tcPr>
          <w:p w:rsidR="007E7F98" w:rsidRPr="006653A2" w:rsidRDefault="007E7F98" w:rsidP="00A44234">
            <w:pPr>
              <w:keepLines/>
              <w:widowControl/>
              <w:jc w:val="left"/>
              <w:rPr>
                <w:rFonts w:ascii="Arial Narrow" w:hAnsi="Arial Narrow" w:cs="Times New Roman"/>
                <w:sz w:val="20"/>
                <w:szCs w:val="20"/>
                <w:lang w:eastAsia="en-AU"/>
              </w:rPr>
            </w:pPr>
            <w:r w:rsidRPr="006653A2">
              <w:rPr>
                <w:rFonts w:ascii="Arial Narrow" w:hAnsi="Arial Narrow" w:cs="Times New Roman"/>
                <w:sz w:val="20"/>
                <w:szCs w:val="20"/>
                <w:lang w:eastAsia="en-AU"/>
              </w:rPr>
              <w:t>7</w:t>
            </w:r>
          </w:p>
        </w:tc>
        <w:tc>
          <w:tcPr>
            <w:tcW w:w="736" w:type="pct"/>
            <w:vMerge w:val="restart"/>
          </w:tcPr>
          <w:p w:rsidR="007E7F98" w:rsidRPr="006653A2" w:rsidRDefault="007E7F98" w:rsidP="00A44234">
            <w:pPr>
              <w:keepLines/>
              <w:widowControl/>
              <w:jc w:val="left"/>
              <w:rPr>
                <w:rFonts w:ascii="Arial Narrow" w:hAnsi="Arial Narrow" w:cs="Times New Roman"/>
                <w:sz w:val="20"/>
                <w:szCs w:val="20"/>
                <w:lang w:eastAsia="en-AU"/>
              </w:rPr>
            </w:pPr>
            <w:r w:rsidRPr="006653A2">
              <w:rPr>
                <w:rFonts w:ascii="Arial Narrow" w:hAnsi="Arial Narrow" w:cs="Times New Roman"/>
                <w:sz w:val="20"/>
                <w:szCs w:val="20"/>
                <w:lang w:eastAsia="en-AU"/>
              </w:rPr>
              <w:t>#1 AND #6</w:t>
            </w:r>
          </w:p>
        </w:tc>
        <w:tc>
          <w:tcPr>
            <w:tcW w:w="890" w:type="pct"/>
            <w:vMerge w:val="restart"/>
          </w:tcPr>
          <w:p w:rsidR="007E7F98" w:rsidRPr="006653A2" w:rsidRDefault="007E7F98" w:rsidP="00A44234">
            <w:pPr>
              <w:keepLines/>
              <w:widowControl/>
              <w:jc w:val="left"/>
              <w:rPr>
                <w:rFonts w:ascii="Arial Narrow" w:hAnsi="Arial Narrow" w:cs="Times New Roman"/>
                <w:sz w:val="20"/>
                <w:szCs w:val="20"/>
                <w:lang w:eastAsia="en-AU"/>
              </w:rPr>
            </w:pPr>
            <w:r w:rsidRPr="006653A2">
              <w:rPr>
                <w:rFonts w:ascii="Arial Narrow" w:hAnsi="Arial Narrow" w:cs="Times New Roman"/>
                <w:sz w:val="20"/>
                <w:szCs w:val="20"/>
                <w:lang w:eastAsia="en-AU"/>
              </w:rPr>
              <w:t>As above</w:t>
            </w:r>
          </w:p>
          <w:p w:rsidR="007E7F98" w:rsidRPr="006653A2" w:rsidRDefault="007E7F98" w:rsidP="00A44234">
            <w:pPr>
              <w:keepLines/>
              <w:widowControl/>
              <w:jc w:val="left"/>
              <w:rPr>
                <w:rFonts w:ascii="Arial Narrow" w:hAnsi="Arial Narrow" w:cs="Times New Roman"/>
                <w:sz w:val="20"/>
                <w:szCs w:val="20"/>
                <w:lang w:eastAsia="en-AU"/>
              </w:rPr>
            </w:pPr>
          </w:p>
        </w:tc>
        <w:tc>
          <w:tcPr>
            <w:tcW w:w="1071" w:type="pct"/>
            <w:vMerge w:val="restart"/>
          </w:tcPr>
          <w:p w:rsidR="007E7F98" w:rsidRPr="006653A2" w:rsidRDefault="007E7F98" w:rsidP="00A44234">
            <w:pPr>
              <w:keepLines/>
              <w:widowControl/>
              <w:jc w:val="left"/>
              <w:rPr>
                <w:szCs w:val="20"/>
                <w:lang w:eastAsia="en-AU"/>
              </w:rPr>
            </w:pPr>
            <w:r w:rsidRPr="006653A2">
              <w:rPr>
                <w:rFonts w:ascii="Arial Narrow" w:hAnsi="Arial Narrow" w:cs="Times New Roman"/>
                <w:sz w:val="20"/>
                <w:szCs w:val="20"/>
                <w:lang w:eastAsia="en-AU"/>
              </w:rPr>
              <w:t>As above</w:t>
            </w:r>
          </w:p>
          <w:p w:rsidR="007E7F98" w:rsidRPr="006653A2" w:rsidRDefault="007E7F98" w:rsidP="00A44234">
            <w:pPr>
              <w:keepLines/>
              <w:widowControl/>
              <w:jc w:val="left"/>
              <w:rPr>
                <w:rFonts w:ascii="Arial Narrow" w:hAnsi="Arial Narrow" w:cs="Times New Roman"/>
                <w:sz w:val="20"/>
                <w:szCs w:val="20"/>
                <w:lang w:eastAsia="en-AU"/>
              </w:rPr>
            </w:pPr>
          </w:p>
        </w:tc>
        <w:tc>
          <w:tcPr>
            <w:tcW w:w="552" w:type="pct"/>
          </w:tcPr>
          <w:p w:rsidR="007E7F98" w:rsidRPr="006653A2" w:rsidRDefault="007E7F98" w:rsidP="00A44234">
            <w:pPr>
              <w:keepLines/>
              <w:widowControl/>
              <w:jc w:val="left"/>
              <w:rPr>
                <w:rFonts w:ascii="Arial Narrow" w:hAnsi="Arial Narrow" w:cs="Times New Roman"/>
                <w:sz w:val="20"/>
                <w:szCs w:val="20"/>
                <w:lang w:eastAsia="en-AU"/>
              </w:rPr>
            </w:pPr>
            <w:r w:rsidRPr="006653A2">
              <w:rPr>
                <w:rFonts w:ascii="Arial Narrow" w:hAnsi="Arial Narrow" w:cs="Times New Roman"/>
                <w:sz w:val="20"/>
                <w:szCs w:val="20"/>
                <w:lang w:eastAsia="en-AU"/>
              </w:rPr>
              <w:t>Costs</w:t>
            </w:r>
          </w:p>
        </w:tc>
        <w:tc>
          <w:tcPr>
            <w:tcW w:w="477" w:type="pct"/>
          </w:tcPr>
          <w:p w:rsidR="007E7F98" w:rsidRPr="006653A2" w:rsidRDefault="007E7F98" w:rsidP="00A44234">
            <w:pPr>
              <w:keepLines/>
              <w:widowControl/>
              <w:jc w:val="right"/>
              <w:rPr>
                <w:rFonts w:ascii="Arial Narrow" w:hAnsi="Arial Narrow" w:cs="Times New Roman"/>
                <w:bCs/>
                <w:sz w:val="20"/>
                <w:szCs w:val="20"/>
                <w:lang w:eastAsia="en-AU"/>
              </w:rPr>
            </w:pPr>
            <w:r w:rsidRPr="006653A2">
              <w:rPr>
                <w:rFonts w:ascii="Arial Narrow" w:hAnsi="Arial Narrow" w:cs="Times New Roman"/>
                <w:bCs/>
                <w:sz w:val="20"/>
                <w:szCs w:val="20"/>
                <w:lang w:eastAsia="en-AU"/>
              </w:rPr>
              <w:t>$</w:t>
            </w:r>
            <w:r w:rsidR="004C5EA1">
              <w:rPr>
                <w:rFonts w:ascii="Arial Narrow" w:hAnsi="Arial Narrow" w:cs="Times New Roman"/>
                <w:bCs/>
                <w:noProof/>
                <w:color w:val="000000"/>
                <w:sz w:val="20"/>
                <w:szCs w:val="20"/>
                <w:highlight w:val="black"/>
                <w:lang w:eastAsia="en-AU"/>
              </w:rPr>
              <w:t>''''''''''''''''</w:t>
            </w:r>
          </w:p>
        </w:tc>
        <w:tc>
          <w:tcPr>
            <w:tcW w:w="478" w:type="pct"/>
          </w:tcPr>
          <w:p w:rsidR="007E7F98" w:rsidRPr="006653A2" w:rsidRDefault="007E7F98" w:rsidP="00A44234">
            <w:pPr>
              <w:keepLines/>
              <w:widowControl/>
              <w:jc w:val="right"/>
              <w:rPr>
                <w:rFonts w:ascii="Arial Narrow" w:hAnsi="Arial Narrow" w:cs="Times New Roman"/>
                <w:bCs/>
                <w:sz w:val="20"/>
                <w:szCs w:val="20"/>
                <w:lang w:eastAsia="en-AU"/>
              </w:rPr>
            </w:pPr>
            <w:r w:rsidRPr="006653A2">
              <w:rPr>
                <w:rFonts w:ascii="Arial Narrow" w:hAnsi="Arial Narrow" w:cs="Times New Roman"/>
                <w:bCs/>
                <w:sz w:val="20"/>
                <w:szCs w:val="20"/>
                <w:lang w:eastAsia="en-AU"/>
              </w:rPr>
              <w:t>$</w:t>
            </w:r>
            <w:r w:rsidR="004C5EA1">
              <w:rPr>
                <w:rFonts w:ascii="Arial Narrow" w:hAnsi="Arial Narrow" w:cs="Times New Roman"/>
                <w:bCs/>
                <w:noProof/>
                <w:color w:val="000000"/>
                <w:sz w:val="20"/>
                <w:szCs w:val="20"/>
                <w:highlight w:val="black"/>
                <w:lang w:eastAsia="en-AU"/>
              </w:rPr>
              <w:t>''''''''''''</w:t>
            </w:r>
          </w:p>
        </w:tc>
        <w:tc>
          <w:tcPr>
            <w:tcW w:w="574" w:type="pct"/>
          </w:tcPr>
          <w:p w:rsidR="007E7F98" w:rsidRPr="006653A2" w:rsidRDefault="007E7F98" w:rsidP="00A44234">
            <w:pPr>
              <w:keepLines/>
              <w:widowControl/>
              <w:jc w:val="right"/>
              <w:rPr>
                <w:rFonts w:ascii="Arial Narrow" w:hAnsi="Arial Narrow" w:cs="Times New Roman"/>
                <w:bCs/>
                <w:sz w:val="20"/>
                <w:szCs w:val="20"/>
                <w:lang w:eastAsia="en-AU"/>
              </w:rPr>
            </w:pPr>
            <w:r w:rsidRPr="006653A2">
              <w:rPr>
                <w:rFonts w:ascii="Arial Narrow" w:hAnsi="Arial Narrow" w:cs="Times New Roman"/>
                <w:bCs/>
                <w:sz w:val="20"/>
                <w:szCs w:val="20"/>
                <w:lang w:eastAsia="en-AU"/>
              </w:rPr>
              <w:t>$</w:t>
            </w:r>
            <w:r w:rsidR="004C5EA1">
              <w:rPr>
                <w:rFonts w:ascii="Arial Narrow" w:hAnsi="Arial Narrow" w:cs="Times New Roman"/>
                <w:bCs/>
                <w:noProof/>
                <w:color w:val="000000"/>
                <w:sz w:val="20"/>
                <w:szCs w:val="20"/>
                <w:highlight w:val="black"/>
                <w:lang w:eastAsia="en-AU"/>
              </w:rPr>
              <w:t>'''''''''''''''</w:t>
            </w:r>
          </w:p>
        </w:tc>
      </w:tr>
      <w:tr w:rsidR="007E7F98" w:rsidRPr="006653A2" w:rsidTr="003B4B48">
        <w:tc>
          <w:tcPr>
            <w:tcW w:w="222" w:type="pct"/>
            <w:vMerge/>
          </w:tcPr>
          <w:p w:rsidR="007E7F98" w:rsidRPr="006653A2" w:rsidRDefault="007E7F98" w:rsidP="00A44234">
            <w:pPr>
              <w:keepLines/>
              <w:widowControl/>
              <w:jc w:val="left"/>
              <w:rPr>
                <w:rFonts w:ascii="Arial Narrow" w:hAnsi="Arial Narrow" w:cs="Times New Roman"/>
                <w:sz w:val="20"/>
                <w:szCs w:val="20"/>
                <w:lang w:eastAsia="en-AU"/>
              </w:rPr>
            </w:pPr>
          </w:p>
        </w:tc>
        <w:tc>
          <w:tcPr>
            <w:tcW w:w="736" w:type="pct"/>
            <w:vMerge/>
          </w:tcPr>
          <w:p w:rsidR="007E7F98" w:rsidRPr="006653A2" w:rsidRDefault="007E7F98" w:rsidP="00A44234">
            <w:pPr>
              <w:keepLines/>
              <w:widowControl/>
              <w:jc w:val="left"/>
              <w:rPr>
                <w:rFonts w:ascii="Arial Narrow" w:hAnsi="Arial Narrow" w:cs="Times New Roman"/>
                <w:sz w:val="20"/>
                <w:szCs w:val="20"/>
                <w:lang w:eastAsia="en-AU"/>
              </w:rPr>
            </w:pPr>
          </w:p>
        </w:tc>
        <w:tc>
          <w:tcPr>
            <w:tcW w:w="890" w:type="pct"/>
            <w:vMerge/>
          </w:tcPr>
          <w:p w:rsidR="007E7F98" w:rsidRPr="006653A2" w:rsidRDefault="007E7F98" w:rsidP="00A44234">
            <w:pPr>
              <w:keepLines/>
              <w:widowControl/>
              <w:jc w:val="left"/>
              <w:rPr>
                <w:rFonts w:ascii="Arial Narrow" w:hAnsi="Arial Narrow" w:cs="Times New Roman"/>
                <w:sz w:val="20"/>
                <w:szCs w:val="20"/>
                <w:lang w:eastAsia="en-AU"/>
              </w:rPr>
            </w:pPr>
          </w:p>
        </w:tc>
        <w:tc>
          <w:tcPr>
            <w:tcW w:w="1071" w:type="pct"/>
            <w:vMerge/>
          </w:tcPr>
          <w:p w:rsidR="007E7F98" w:rsidRPr="006653A2" w:rsidRDefault="007E7F98" w:rsidP="00A44234">
            <w:pPr>
              <w:keepLines/>
              <w:widowControl/>
              <w:jc w:val="left"/>
              <w:rPr>
                <w:rFonts w:ascii="Arial Narrow" w:hAnsi="Arial Narrow" w:cs="Times New Roman"/>
                <w:sz w:val="20"/>
                <w:szCs w:val="20"/>
                <w:lang w:eastAsia="en-AU"/>
              </w:rPr>
            </w:pPr>
          </w:p>
        </w:tc>
        <w:tc>
          <w:tcPr>
            <w:tcW w:w="552" w:type="pct"/>
          </w:tcPr>
          <w:p w:rsidR="007E7F98" w:rsidRPr="006653A2" w:rsidRDefault="007E7F98" w:rsidP="00A44234">
            <w:pPr>
              <w:keepLines/>
              <w:widowControl/>
              <w:jc w:val="left"/>
              <w:rPr>
                <w:rFonts w:ascii="Arial Narrow" w:hAnsi="Arial Narrow" w:cs="Times New Roman"/>
                <w:sz w:val="20"/>
                <w:szCs w:val="20"/>
                <w:lang w:eastAsia="en-AU"/>
              </w:rPr>
            </w:pPr>
            <w:r w:rsidRPr="006653A2">
              <w:rPr>
                <w:rFonts w:ascii="Arial Narrow" w:hAnsi="Arial Narrow" w:cs="Times New Roman"/>
                <w:sz w:val="20"/>
                <w:szCs w:val="20"/>
                <w:lang w:eastAsia="en-AU"/>
              </w:rPr>
              <w:t>QALYs</w:t>
            </w:r>
          </w:p>
        </w:tc>
        <w:tc>
          <w:tcPr>
            <w:tcW w:w="477" w:type="pct"/>
          </w:tcPr>
          <w:p w:rsidR="007E7F98" w:rsidRPr="004C5EA1" w:rsidRDefault="004C5EA1" w:rsidP="00A44234">
            <w:pPr>
              <w:keepLines/>
              <w:widowControl/>
              <w:jc w:val="right"/>
              <w:rPr>
                <w:rFonts w:ascii="Arial Narrow" w:hAnsi="Arial Narrow" w:cs="Times New Roman"/>
                <w:bCs/>
                <w:sz w:val="20"/>
                <w:szCs w:val="20"/>
                <w:highlight w:val="black"/>
                <w:lang w:eastAsia="en-AU"/>
              </w:rPr>
            </w:pPr>
            <w:r>
              <w:rPr>
                <w:rFonts w:ascii="Arial Narrow" w:hAnsi="Arial Narrow" w:cs="Times New Roman"/>
                <w:bCs/>
                <w:noProof/>
                <w:color w:val="000000"/>
                <w:sz w:val="20"/>
                <w:szCs w:val="20"/>
                <w:highlight w:val="black"/>
                <w:lang w:eastAsia="en-AU"/>
              </w:rPr>
              <w:t>'''''''''''</w:t>
            </w:r>
          </w:p>
        </w:tc>
        <w:tc>
          <w:tcPr>
            <w:tcW w:w="478" w:type="pct"/>
          </w:tcPr>
          <w:p w:rsidR="007E7F98" w:rsidRPr="004C5EA1" w:rsidRDefault="004C5EA1" w:rsidP="00A44234">
            <w:pPr>
              <w:keepLines/>
              <w:widowControl/>
              <w:jc w:val="right"/>
              <w:rPr>
                <w:rFonts w:ascii="Arial Narrow" w:hAnsi="Arial Narrow" w:cs="Times New Roman"/>
                <w:bCs/>
                <w:sz w:val="20"/>
                <w:szCs w:val="20"/>
                <w:highlight w:val="black"/>
                <w:lang w:eastAsia="en-AU"/>
              </w:rPr>
            </w:pPr>
            <w:r>
              <w:rPr>
                <w:rFonts w:ascii="Arial Narrow" w:hAnsi="Arial Narrow" w:cs="Times New Roman"/>
                <w:bCs/>
                <w:noProof/>
                <w:color w:val="000000"/>
                <w:sz w:val="20"/>
                <w:szCs w:val="20"/>
                <w:highlight w:val="black"/>
                <w:lang w:eastAsia="en-AU"/>
              </w:rPr>
              <w:t>'''''''''''</w:t>
            </w:r>
          </w:p>
        </w:tc>
        <w:tc>
          <w:tcPr>
            <w:tcW w:w="574" w:type="pct"/>
          </w:tcPr>
          <w:p w:rsidR="007E7F98" w:rsidRPr="004C5EA1" w:rsidRDefault="004C5EA1" w:rsidP="00A44234">
            <w:pPr>
              <w:keepLines/>
              <w:widowControl/>
              <w:jc w:val="right"/>
              <w:rPr>
                <w:rFonts w:ascii="Arial Narrow" w:hAnsi="Arial Narrow" w:cs="Times New Roman"/>
                <w:bCs/>
                <w:sz w:val="20"/>
                <w:szCs w:val="20"/>
                <w:highlight w:val="black"/>
                <w:lang w:eastAsia="en-AU"/>
              </w:rPr>
            </w:pPr>
            <w:r>
              <w:rPr>
                <w:rFonts w:ascii="Arial Narrow" w:hAnsi="Arial Narrow" w:cs="Times New Roman"/>
                <w:bCs/>
                <w:noProof/>
                <w:color w:val="000000"/>
                <w:sz w:val="20"/>
                <w:szCs w:val="20"/>
                <w:highlight w:val="black"/>
                <w:lang w:eastAsia="en-AU"/>
              </w:rPr>
              <w:t>'''''''''''</w:t>
            </w:r>
          </w:p>
        </w:tc>
      </w:tr>
      <w:tr w:rsidR="00E40504" w:rsidRPr="006653A2" w:rsidTr="00E40504">
        <w:tc>
          <w:tcPr>
            <w:tcW w:w="222" w:type="pct"/>
            <w:vMerge/>
          </w:tcPr>
          <w:p w:rsidR="00E40504" w:rsidRPr="006653A2" w:rsidRDefault="00E40504" w:rsidP="00A44234">
            <w:pPr>
              <w:keepLines/>
              <w:widowControl/>
              <w:jc w:val="left"/>
              <w:rPr>
                <w:rFonts w:ascii="Arial Narrow" w:hAnsi="Arial Narrow" w:cs="Times New Roman"/>
                <w:sz w:val="20"/>
                <w:szCs w:val="20"/>
                <w:lang w:eastAsia="en-AU"/>
              </w:rPr>
            </w:pPr>
          </w:p>
        </w:tc>
        <w:tc>
          <w:tcPr>
            <w:tcW w:w="736" w:type="pct"/>
            <w:vMerge/>
          </w:tcPr>
          <w:p w:rsidR="00E40504" w:rsidRPr="006653A2" w:rsidRDefault="00E40504" w:rsidP="00A44234">
            <w:pPr>
              <w:keepLines/>
              <w:widowControl/>
              <w:jc w:val="left"/>
              <w:rPr>
                <w:rFonts w:ascii="Arial Narrow" w:hAnsi="Arial Narrow" w:cs="Times New Roman"/>
                <w:sz w:val="20"/>
                <w:szCs w:val="20"/>
                <w:lang w:eastAsia="en-AU"/>
              </w:rPr>
            </w:pPr>
          </w:p>
        </w:tc>
        <w:tc>
          <w:tcPr>
            <w:tcW w:w="890" w:type="pct"/>
            <w:vMerge/>
          </w:tcPr>
          <w:p w:rsidR="00E40504" w:rsidRPr="006653A2" w:rsidRDefault="00E40504" w:rsidP="00A44234">
            <w:pPr>
              <w:keepLines/>
              <w:widowControl/>
              <w:jc w:val="left"/>
              <w:rPr>
                <w:rFonts w:ascii="Arial Narrow" w:hAnsi="Arial Narrow" w:cs="Times New Roman"/>
                <w:sz w:val="20"/>
                <w:szCs w:val="20"/>
                <w:lang w:eastAsia="en-AU"/>
              </w:rPr>
            </w:pPr>
          </w:p>
        </w:tc>
        <w:tc>
          <w:tcPr>
            <w:tcW w:w="1071" w:type="pct"/>
            <w:vMerge/>
          </w:tcPr>
          <w:p w:rsidR="00E40504" w:rsidRPr="006653A2" w:rsidRDefault="00E40504" w:rsidP="00A44234">
            <w:pPr>
              <w:keepLines/>
              <w:widowControl/>
              <w:jc w:val="left"/>
              <w:rPr>
                <w:rFonts w:ascii="Arial Narrow" w:hAnsi="Arial Narrow" w:cs="Times New Roman"/>
                <w:sz w:val="20"/>
                <w:szCs w:val="20"/>
                <w:lang w:eastAsia="en-AU"/>
              </w:rPr>
            </w:pPr>
          </w:p>
        </w:tc>
        <w:tc>
          <w:tcPr>
            <w:tcW w:w="552" w:type="pct"/>
          </w:tcPr>
          <w:p w:rsidR="00E40504" w:rsidRPr="006653A2" w:rsidRDefault="00E40504" w:rsidP="00A44234">
            <w:pPr>
              <w:keepLines/>
              <w:widowControl/>
              <w:jc w:val="left"/>
              <w:rPr>
                <w:rFonts w:ascii="Arial Narrow" w:hAnsi="Arial Narrow" w:cs="Times New Roman"/>
                <w:sz w:val="20"/>
                <w:szCs w:val="20"/>
                <w:lang w:eastAsia="en-AU"/>
              </w:rPr>
            </w:pPr>
            <w:r w:rsidRPr="006653A2">
              <w:rPr>
                <w:rFonts w:ascii="Arial Narrow" w:hAnsi="Arial Narrow" w:cs="Times New Roman"/>
                <w:sz w:val="20"/>
                <w:szCs w:val="20"/>
                <w:lang w:eastAsia="en-AU"/>
              </w:rPr>
              <w:t>Cost per QALY</w:t>
            </w:r>
          </w:p>
        </w:tc>
        <w:tc>
          <w:tcPr>
            <w:tcW w:w="1529" w:type="pct"/>
            <w:gridSpan w:val="3"/>
          </w:tcPr>
          <w:p w:rsidR="00E40504" w:rsidRPr="006653A2" w:rsidRDefault="00E40504" w:rsidP="00A44234">
            <w:pPr>
              <w:keepLines/>
              <w:widowControl/>
              <w:jc w:val="right"/>
              <w:rPr>
                <w:rFonts w:ascii="Arial Narrow" w:hAnsi="Arial Narrow" w:cs="Times New Roman"/>
                <w:bCs/>
                <w:sz w:val="20"/>
                <w:szCs w:val="20"/>
                <w:lang w:eastAsia="en-AU"/>
              </w:rPr>
            </w:pPr>
            <w:r w:rsidRPr="006653A2">
              <w:rPr>
                <w:rFonts w:ascii="Arial Narrow" w:hAnsi="Arial Narrow" w:cs="Times New Roman"/>
                <w:bCs/>
                <w:sz w:val="20"/>
                <w:szCs w:val="20"/>
                <w:lang w:eastAsia="en-AU"/>
              </w:rPr>
              <w:t>$</w:t>
            </w:r>
            <w:r w:rsidR="004C5EA1">
              <w:rPr>
                <w:rFonts w:ascii="Arial Narrow" w:hAnsi="Arial Narrow" w:cs="Times New Roman"/>
                <w:bCs/>
                <w:noProof/>
                <w:color w:val="000000"/>
                <w:sz w:val="20"/>
                <w:szCs w:val="20"/>
                <w:highlight w:val="black"/>
                <w:lang w:eastAsia="en-AU"/>
              </w:rPr>
              <w:t>''''''''''''''''</w:t>
            </w:r>
          </w:p>
        </w:tc>
      </w:tr>
      <w:tr w:rsidR="007E7F98" w:rsidRPr="006653A2" w:rsidTr="003B4B48">
        <w:tc>
          <w:tcPr>
            <w:tcW w:w="222" w:type="pct"/>
            <w:vMerge w:val="restart"/>
          </w:tcPr>
          <w:p w:rsidR="007E7F98" w:rsidRPr="006653A2" w:rsidRDefault="007E7F98" w:rsidP="00A44234">
            <w:pPr>
              <w:keepNext/>
              <w:keepLines/>
              <w:widowControl/>
              <w:jc w:val="left"/>
              <w:rPr>
                <w:rFonts w:ascii="Arial Narrow" w:hAnsi="Arial Narrow" w:cs="Times New Roman"/>
                <w:sz w:val="20"/>
                <w:szCs w:val="20"/>
                <w:lang w:eastAsia="en-AU"/>
              </w:rPr>
            </w:pPr>
            <w:r w:rsidRPr="006653A2">
              <w:rPr>
                <w:rFonts w:ascii="Arial Narrow" w:hAnsi="Arial Narrow" w:cs="Times New Roman"/>
                <w:sz w:val="20"/>
                <w:szCs w:val="20"/>
                <w:lang w:eastAsia="en-AU"/>
              </w:rPr>
              <w:lastRenderedPageBreak/>
              <w:t>8</w:t>
            </w:r>
          </w:p>
        </w:tc>
        <w:tc>
          <w:tcPr>
            <w:tcW w:w="736" w:type="pct"/>
            <w:vMerge w:val="restart"/>
          </w:tcPr>
          <w:p w:rsidR="007E7F98" w:rsidRPr="006653A2" w:rsidRDefault="007E7F98" w:rsidP="00A44234">
            <w:pPr>
              <w:keepNext/>
              <w:keepLines/>
              <w:widowControl/>
              <w:jc w:val="left"/>
              <w:rPr>
                <w:rFonts w:ascii="Arial Narrow" w:hAnsi="Arial Narrow" w:cs="Times New Roman"/>
                <w:sz w:val="20"/>
                <w:szCs w:val="20"/>
                <w:lang w:eastAsia="en-AU"/>
              </w:rPr>
            </w:pPr>
            <w:r w:rsidRPr="006653A2">
              <w:rPr>
                <w:rFonts w:ascii="Arial Narrow" w:hAnsi="Arial Narrow" w:cs="Times New Roman"/>
                <w:sz w:val="20"/>
                <w:szCs w:val="20"/>
                <w:lang w:eastAsia="en-AU"/>
              </w:rPr>
              <w:t>#1 AND #2 AND #6</w:t>
            </w:r>
          </w:p>
        </w:tc>
        <w:tc>
          <w:tcPr>
            <w:tcW w:w="890" w:type="pct"/>
            <w:vMerge w:val="restart"/>
          </w:tcPr>
          <w:p w:rsidR="007E7F98" w:rsidRPr="006653A2" w:rsidRDefault="007E7F98" w:rsidP="00A44234">
            <w:pPr>
              <w:keepNext/>
              <w:keepLines/>
              <w:widowControl/>
              <w:jc w:val="left"/>
              <w:rPr>
                <w:rFonts w:ascii="Arial Narrow" w:hAnsi="Arial Narrow" w:cs="Times New Roman"/>
                <w:sz w:val="20"/>
                <w:szCs w:val="20"/>
                <w:lang w:eastAsia="en-AU"/>
              </w:rPr>
            </w:pPr>
            <w:r w:rsidRPr="006653A2">
              <w:rPr>
                <w:rFonts w:ascii="Arial Narrow" w:hAnsi="Arial Narrow" w:cs="Times New Roman"/>
                <w:sz w:val="20"/>
                <w:szCs w:val="20"/>
                <w:lang w:eastAsia="en-AU"/>
              </w:rPr>
              <w:t>As above</w:t>
            </w:r>
          </w:p>
          <w:p w:rsidR="007E7F98" w:rsidRPr="006653A2" w:rsidRDefault="007E7F98" w:rsidP="00A44234">
            <w:pPr>
              <w:keepNext/>
              <w:keepLines/>
              <w:widowControl/>
              <w:jc w:val="left"/>
              <w:rPr>
                <w:rFonts w:ascii="Arial Narrow" w:hAnsi="Arial Narrow" w:cs="Times New Roman"/>
                <w:sz w:val="20"/>
                <w:szCs w:val="20"/>
                <w:lang w:eastAsia="en-AU"/>
              </w:rPr>
            </w:pPr>
          </w:p>
        </w:tc>
        <w:tc>
          <w:tcPr>
            <w:tcW w:w="1071" w:type="pct"/>
            <w:vMerge w:val="restart"/>
          </w:tcPr>
          <w:p w:rsidR="007E7F98" w:rsidRPr="006653A2" w:rsidRDefault="007E7F98" w:rsidP="00A44234">
            <w:pPr>
              <w:keepNext/>
              <w:keepLines/>
              <w:widowControl/>
              <w:jc w:val="left"/>
              <w:rPr>
                <w:szCs w:val="20"/>
                <w:lang w:eastAsia="en-AU"/>
              </w:rPr>
            </w:pPr>
            <w:r w:rsidRPr="006653A2">
              <w:rPr>
                <w:rFonts w:ascii="Arial Narrow" w:hAnsi="Arial Narrow" w:cs="Times New Roman"/>
                <w:sz w:val="20"/>
                <w:szCs w:val="20"/>
                <w:lang w:eastAsia="en-AU"/>
              </w:rPr>
              <w:t>As above</w:t>
            </w:r>
          </w:p>
          <w:p w:rsidR="007E7F98" w:rsidRPr="006653A2" w:rsidRDefault="007E7F98" w:rsidP="00A44234">
            <w:pPr>
              <w:keepNext/>
              <w:keepLines/>
              <w:widowControl/>
              <w:jc w:val="left"/>
              <w:rPr>
                <w:rFonts w:ascii="Arial Narrow" w:hAnsi="Arial Narrow" w:cs="Times New Roman"/>
                <w:sz w:val="20"/>
                <w:szCs w:val="20"/>
                <w:lang w:eastAsia="en-AU"/>
              </w:rPr>
            </w:pPr>
          </w:p>
        </w:tc>
        <w:tc>
          <w:tcPr>
            <w:tcW w:w="552" w:type="pct"/>
          </w:tcPr>
          <w:p w:rsidR="007E7F98" w:rsidRPr="006653A2" w:rsidRDefault="007E7F98" w:rsidP="00A44234">
            <w:pPr>
              <w:keepNext/>
              <w:keepLines/>
              <w:widowControl/>
              <w:jc w:val="left"/>
              <w:rPr>
                <w:rFonts w:ascii="Arial Narrow" w:hAnsi="Arial Narrow" w:cs="Times New Roman"/>
                <w:sz w:val="20"/>
                <w:szCs w:val="20"/>
                <w:lang w:eastAsia="en-AU"/>
              </w:rPr>
            </w:pPr>
            <w:r w:rsidRPr="006653A2">
              <w:rPr>
                <w:rFonts w:ascii="Arial Narrow" w:hAnsi="Arial Narrow" w:cs="Times New Roman"/>
                <w:sz w:val="20"/>
                <w:szCs w:val="20"/>
                <w:lang w:eastAsia="en-AU"/>
              </w:rPr>
              <w:t>Costs</w:t>
            </w:r>
          </w:p>
        </w:tc>
        <w:tc>
          <w:tcPr>
            <w:tcW w:w="477" w:type="pct"/>
          </w:tcPr>
          <w:p w:rsidR="007E7F98" w:rsidRPr="006653A2" w:rsidRDefault="007E7F98" w:rsidP="00A44234">
            <w:pPr>
              <w:keepNext/>
              <w:keepLines/>
              <w:widowControl/>
              <w:jc w:val="right"/>
              <w:rPr>
                <w:rFonts w:ascii="Arial Narrow" w:hAnsi="Arial Narrow" w:cs="Times New Roman"/>
                <w:bCs/>
                <w:sz w:val="20"/>
                <w:szCs w:val="20"/>
                <w:lang w:eastAsia="en-AU"/>
              </w:rPr>
            </w:pPr>
            <w:r w:rsidRPr="006653A2">
              <w:rPr>
                <w:rFonts w:ascii="Arial Narrow" w:hAnsi="Arial Narrow" w:cs="Times New Roman"/>
                <w:sz w:val="20"/>
                <w:szCs w:val="20"/>
                <w:lang w:eastAsia="en-AU"/>
              </w:rPr>
              <w:t>$</w:t>
            </w:r>
            <w:r w:rsidR="004C5EA1">
              <w:rPr>
                <w:rFonts w:ascii="Arial Narrow" w:hAnsi="Arial Narrow" w:cs="Times New Roman"/>
                <w:noProof/>
                <w:color w:val="000000"/>
                <w:sz w:val="20"/>
                <w:szCs w:val="20"/>
                <w:highlight w:val="black"/>
                <w:lang w:eastAsia="en-AU"/>
              </w:rPr>
              <w:t>''''''''''''''''</w:t>
            </w:r>
          </w:p>
        </w:tc>
        <w:tc>
          <w:tcPr>
            <w:tcW w:w="478" w:type="pct"/>
          </w:tcPr>
          <w:p w:rsidR="007E7F98" w:rsidRPr="006653A2" w:rsidRDefault="007E7F98" w:rsidP="00A44234">
            <w:pPr>
              <w:keepNext/>
              <w:keepLines/>
              <w:widowControl/>
              <w:jc w:val="right"/>
              <w:rPr>
                <w:rFonts w:ascii="Arial Narrow" w:hAnsi="Arial Narrow" w:cs="Times New Roman"/>
                <w:bCs/>
                <w:sz w:val="20"/>
                <w:szCs w:val="20"/>
                <w:lang w:eastAsia="en-AU"/>
              </w:rPr>
            </w:pPr>
            <w:r w:rsidRPr="006653A2">
              <w:rPr>
                <w:rFonts w:ascii="Arial Narrow" w:hAnsi="Arial Narrow" w:cs="Times New Roman"/>
                <w:sz w:val="20"/>
                <w:szCs w:val="20"/>
                <w:lang w:eastAsia="en-AU"/>
              </w:rPr>
              <w:t>$</w:t>
            </w:r>
            <w:r w:rsidR="004C5EA1">
              <w:rPr>
                <w:rFonts w:ascii="Arial Narrow" w:hAnsi="Arial Narrow" w:cs="Times New Roman"/>
                <w:noProof/>
                <w:color w:val="000000"/>
                <w:sz w:val="20"/>
                <w:szCs w:val="20"/>
                <w:highlight w:val="black"/>
                <w:lang w:eastAsia="en-AU"/>
              </w:rPr>
              <w:t>''''''''''''''</w:t>
            </w:r>
          </w:p>
        </w:tc>
        <w:tc>
          <w:tcPr>
            <w:tcW w:w="574" w:type="pct"/>
          </w:tcPr>
          <w:p w:rsidR="007E7F98" w:rsidRPr="006653A2" w:rsidRDefault="007E7F98" w:rsidP="00A44234">
            <w:pPr>
              <w:keepNext/>
              <w:keepLines/>
              <w:widowControl/>
              <w:jc w:val="right"/>
              <w:rPr>
                <w:rFonts w:ascii="Arial Narrow" w:hAnsi="Arial Narrow" w:cs="Times New Roman"/>
                <w:bCs/>
                <w:sz w:val="20"/>
                <w:szCs w:val="20"/>
                <w:lang w:eastAsia="en-AU"/>
              </w:rPr>
            </w:pPr>
            <w:r w:rsidRPr="006653A2">
              <w:rPr>
                <w:rFonts w:ascii="Arial Narrow" w:hAnsi="Arial Narrow" w:cs="Times New Roman"/>
                <w:sz w:val="20"/>
                <w:szCs w:val="20"/>
                <w:lang w:eastAsia="en-AU"/>
              </w:rPr>
              <w:t>$</w:t>
            </w:r>
            <w:r w:rsidR="004C5EA1">
              <w:rPr>
                <w:rFonts w:ascii="Arial Narrow" w:hAnsi="Arial Narrow" w:cs="Times New Roman"/>
                <w:noProof/>
                <w:color w:val="000000"/>
                <w:sz w:val="20"/>
                <w:szCs w:val="20"/>
                <w:highlight w:val="black"/>
                <w:lang w:eastAsia="en-AU"/>
              </w:rPr>
              <w:t>''''''''''''''''</w:t>
            </w:r>
          </w:p>
        </w:tc>
      </w:tr>
      <w:tr w:rsidR="007E7F98" w:rsidRPr="006653A2" w:rsidTr="003B4B48">
        <w:tc>
          <w:tcPr>
            <w:tcW w:w="222" w:type="pct"/>
            <w:vMerge/>
          </w:tcPr>
          <w:p w:rsidR="007E7F98" w:rsidRPr="006653A2" w:rsidRDefault="007E7F98" w:rsidP="00A44234">
            <w:pPr>
              <w:keepNext/>
              <w:keepLines/>
              <w:widowControl/>
              <w:jc w:val="left"/>
              <w:rPr>
                <w:rFonts w:ascii="Arial Narrow" w:hAnsi="Arial Narrow" w:cs="Times New Roman"/>
                <w:sz w:val="20"/>
                <w:szCs w:val="20"/>
                <w:lang w:eastAsia="en-AU"/>
              </w:rPr>
            </w:pPr>
          </w:p>
        </w:tc>
        <w:tc>
          <w:tcPr>
            <w:tcW w:w="736" w:type="pct"/>
            <w:vMerge/>
          </w:tcPr>
          <w:p w:rsidR="007E7F98" w:rsidRPr="006653A2" w:rsidRDefault="007E7F98" w:rsidP="00A44234">
            <w:pPr>
              <w:keepNext/>
              <w:keepLines/>
              <w:widowControl/>
              <w:jc w:val="left"/>
              <w:rPr>
                <w:rFonts w:ascii="Arial Narrow" w:hAnsi="Arial Narrow" w:cs="Times New Roman"/>
                <w:sz w:val="20"/>
                <w:szCs w:val="20"/>
                <w:lang w:eastAsia="en-AU"/>
              </w:rPr>
            </w:pPr>
          </w:p>
        </w:tc>
        <w:tc>
          <w:tcPr>
            <w:tcW w:w="890" w:type="pct"/>
            <w:vMerge/>
          </w:tcPr>
          <w:p w:rsidR="007E7F98" w:rsidRPr="006653A2" w:rsidRDefault="007E7F98" w:rsidP="00A44234">
            <w:pPr>
              <w:keepNext/>
              <w:keepLines/>
              <w:widowControl/>
              <w:jc w:val="left"/>
              <w:rPr>
                <w:rFonts w:ascii="Arial Narrow" w:hAnsi="Arial Narrow" w:cs="Times New Roman"/>
                <w:sz w:val="20"/>
                <w:szCs w:val="20"/>
                <w:lang w:eastAsia="en-AU"/>
              </w:rPr>
            </w:pPr>
          </w:p>
        </w:tc>
        <w:tc>
          <w:tcPr>
            <w:tcW w:w="1071" w:type="pct"/>
            <w:vMerge/>
          </w:tcPr>
          <w:p w:rsidR="007E7F98" w:rsidRPr="006653A2" w:rsidRDefault="007E7F98" w:rsidP="00A44234">
            <w:pPr>
              <w:keepNext/>
              <w:keepLines/>
              <w:widowControl/>
              <w:jc w:val="left"/>
              <w:rPr>
                <w:rFonts w:ascii="Arial Narrow" w:hAnsi="Arial Narrow" w:cs="Times New Roman"/>
                <w:sz w:val="20"/>
                <w:szCs w:val="20"/>
                <w:lang w:eastAsia="en-AU"/>
              </w:rPr>
            </w:pPr>
          </w:p>
        </w:tc>
        <w:tc>
          <w:tcPr>
            <w:tcW w:w="552" w:type="pct"/>
          </w:tcPr>
          <w:p w:rsidR="007E7F98" w:rsidRPr="006653A2" w:rsidRDefault="007E7F98" w:rsidP="00A44234">
            <w:pPr>
              <w:keepNext/>
              <w:keepLines/>
              <w:widowControl/>
              <w:jc w:val="left"/>
              <w:rPr>
                <w:rFonts w:ascii="Arial Narrow" w:hAnsi="Arial Narrow" w:cs="Times New Roman"/>
                <w:sz w:val="20"/>
                <w:szCs w:val="20"/>
                <w:lang w:eastAsia="en-AU"/>
              </w:rPr>
            </w:pPr>
            <w:r w:rsidRPr="006653A2">
              <w:rPr>
                <w:rFonts w:ascii="Arial Narrow" w:hAnsi="Arial Narrow" w:cs="Times New Roman"/>
                <w:sz w:val="20"/>
                <w:szCs w:val="20"/>
                <w:lang w:eastAsia="en-AU"/>
              </w:rPr>
              <w:t>QALYs</w:t>
            </w:r>
          </w:p>
        </w:tc>
        <w:tc>
          <w:tcPr>
            <w:tcW w:w="477" w:type="pct"/>
          </w:tcPr>
          <w:p w:rsidR="007E7F98" w:rsidRPr="004C5EA1" w:rsidRDefault="004C5EA1" w:rsidP="00A44234">
            <w:pPr>
              <w:keepNext/>
              <w:keepLines/>
              <w:widowControl/>
              <w:jc w:val="right"/>
              <w:rPr>
                <w:rFonts w:ascii="Arial Narrow" w:hAnsi="Arial Narrow" w:cs="Times New Roman"/>
                <w:bCs/>
                <w:sz w:val="20"/>
                <w:szCs w:val="20"/>
                <w:highlight w:val="black"/>
                <w:lang w:eastAsia="en-AU"/>
              </w:rPr>
            </w:pPr>
            <w:r>
              <w:rPr>
                <w:rFonts w:ascii="Arial Narrow" w:hAnsi="Arial Narrow" w:cs="Times New Roman"/>
                <w:noProof/>
                <w:color w:val="000000"/>
                <w:sz w:val="20"/>
                <w:szCs w:val="20"/>
                <w:highlight w:val="black"/>
                <w:lang w:eastAsia="en-AU"/>
              </w:rPr>
              <w:t>''''''''''</w:t>
            </w:r>
          </w:p>
        </w:tc>
        <w:tc>
          <w:tcPr>
            <w:tcW w:w="478" w:type="pct"/>
          </w:tcPr>
          <w:p w:rsidR="007E7F98" w:rsidRPr="004C5EA1" w:rsidRDefault="004C5EA1" w:rsidP="00A44234">
            <w:pPr>
              <w:keepNext/>
              <w:keepLines/>
              <w:widowControl/>
              <w:jc w:val="right"/>
              <w:rPr>
                <w:rFonts w:ascii="Arial Narrow" w:hAnsi="Arial Narrow" w:cs="Times New Roman"/>
                <w:bCs/>
                <w:sz w:val="20"/>
                <w:szCs w:val="20"/>
                <w:highlight w:val="black"/>
                <w:lang w:eastAsia="en-AU"/>
              </w:rPr>
            </w:pPr>
            <w:r>
              <w:rPr>
                <w:rFonts w:ascii="Arial Narrow" w:hAnsi="Arial Narrow" w:cs="Times New Roman"/>
                <w:noProof/>
                <w:color w:val="000000"/>
                <w:sz w:val="20"/>
                <w:szCs w:val="20"/>
                <w:highlight w:val="black"/>
                <w:lang w:eastAsia="en-AU"/>
              </w:rPr>
              <w:t>'''''''''''</w:t>
            </w:r>
          </w:p>
        </w:tc>
        <w:tc>
          <w:tcPr>
            <w:tcW w:w="574" w:type="pct"/>
          </w:tcPr>
          <w:p w:rsidR="007E7F98" w:rsidRPr="004C5EA1" w:rsidRDefault="004C5EA1" w:rsidP="00A44234">
            <w:pPr>
              <w:keepNext/>
              <w:keepLines/>
              <w:widowControl/>
              <w:jc w:val="right"/>
              <w:rPr>
                <w:rFonts w:ascii="Arial Narrow" w:hAnsi="Arial Narrow" w:cs="Times New Roman"/>
                <w:bCs/>
                <w:sz w:val="20"/>
                <w:szCs w:val="20"/>
                <w:highlight w:val="black"/>
                <w:lang w:eastAsia="en-AU"/>
              </w:rPr>
            </w:pPr>
            <w:r>
              <w:rPr>
                <w:rFonts w:ascii="Arial Narrow" w:hAnsi="Arial Narrow" w:cs="Times New Roman"/>
                <w:noProof/>
                <w:color w:val="000000"/>
                <w:sz w:val="20"/>
                <w:szCs w:val="20"/>
                <w:highlight w:val="black"/>
                <w:lang w:eastAsia="en-AU"/>
              </w:rPr>
              <w:t>''''''''''</w:t>
            </w:r>
          </w:p>
        </w:tc>
      </w:tr>
      <w:tr w:rsidR="00E40504" w:rsidRPr="006653A2" w:rsidTr="00E40504">
        <w:tc>
          <w:tcPr>
            <w:tcW w:w="222" w:type="pct"/>
            <w:vMerge/>
          </w:tcPr>
          <w:p w:rsidR="00E40504" w:rsidRPr="006653A2" w:rsidRDefault="00E40504" w:rsidP="00A44234">
            <w:pPr>
              <w:keepNext/>
              <w:keepLines/>
              <w:widowControl/>
              <w:jc w:val="left"/>
              <w:rPr>
                <w:rFonts w:ascii="Arial Narrow" w:hAnsi="Arial Narrow" w:cs="Times New Roman"/>
                <w:sz w:val="20"/>
                <w:szCs w:val="20"/>
                <w:lang w:eastAsia="en-AU"/>
              </w:rPr>
            </w:pPr>
          </w:p>
        </w:tc>
        <w:tc>
          <w:tcPr>
            <w:tcW w:w="736" w:type="pct"/>
            <w:vMerge/>
          </w:tcPr>
          <w:p w:rsidR="00E40504" w:rsidRPr="006653A2" w:rsidRDefault="00E40504" w:rsidP="00A44234">
            <w:pPr>
              <w:keepNext/>
              <w:keepLines/>
              <w:widowControl/>
              <w:jc w:val="left"/>
              <w:rPr>
                <w:rFonts w:ascii="Arial Narrow" w:hAnsi="Arial Narrow" w:cs="Times New Roman"/>
                <w:sz w:val="20"/>
                <w:szCs w:val="20"/>
                <w:lang w:eastAsia="en-AU"/>
              </w:rPr>
            </w:pPr>
          </w:p>
        </w:tc>
        <w:tc>
          <w:tcPr>
            <w:tcW w:w="890" w:type="pct"/>
            <w:vMerge/>
          </w:tcPr>
          <w:p w:rsidR="00E40504" w:rsidRPr="006653A2" w:rsidRDefault="00E40504" w:rsidP="00A44234">
            <w:pPr>
              <w:keepNext/>
              <w:keepLines/>
              <w:widowControl/>
              <w:jc w:val="left"/>
              <w:rPr>
                <w:rFonts w:ascii="Arial Narrow" w:hAnsi="Arial Narrow" w:cs="Times New Roman"/>
                <w:sz w:val="20"/>
                <w:szCs w:val="20"/>
                <w:lang w:eastAsia="en-AU"/>
              </w:rPr>
            </w:pPr>
          </w:p>
        </w:tc>
        <w:tc>
          <w:tcPr>
            <w:tcW w:w="1071" w:type="pct"/>
            <w:vMerge/>
          </w:tcPr>
          <w:p w:rsidR="00E40504" w:rsidRPr="006653A2" w:rsidRDefault="00E40504" w:rsidP="00A44234">
            <w:pPr>
              <w:keepNext/>
              <w:keepLines/>
              <w:widowControl/>
              <w:jc w:val="left"/>
              <w:rPr>
                <w:rFonts w:ascii="Arial Narrow" w:hAnsi="Arial Narrow" w:cs="Times New Roman"/>
                <w:sz w:val="20"/>
                <w:szCs w:val="20"/>
                <w:lang w:eastAsia="en-AU"/>
              </w:rPr>
            </w:pPr>
          </w:p>
        </w:tc>
        <w:tc>
          <w:tcPr>
            <w:tcW w:w="552" w:type="pct"/>
          </w:tcPr>
          <w:p w:rsidR="00E40504" w:rsidRPr="006653A2" w:rsidRDefault="00E40504" w:rsidP="00A44234">
            <w:pPr>
              <w:keepNext/>
              <w:keepLines/>
              <w:widowControl/>
              <w:jc w:val="left"/>
              <w:rPr>
                <w:rFonts w:ascii="Arial Narrow" w:hAnsi="Arial Narrow" w:cs="Times New Roman"/>
                <w:sz w:val="20"/>
                <w:szCs w:val="20"/>
                <w:lang w:eastAsia="en-AU"/>
              </w:rPr>
            </w:pPr>
            <w:r w:rsidRPr="006653A2">
              <w:rPr>
                <w:rFonts w:ascii="Arial Narrow" w:hAnsi="Arial Narrow" w:cs="Times New Roman"/>
                <w:sz w:val="20"/>
                <w:szCs w:val="20"/>
                <w:lang w:eastAsia="en-AU"/>
              </w:rPr>
              <w:t>Cost per QALY</w:t>
            </w:r>
          </w:p>
        </w:tc>
        <w:tc>
          <w:tcPr>
            <w:tcW w:w="1529" w:type="pct"/>
            <w:gridSpan w:val="3"/>
          </w:tcPr>
          <w:p w:rsidR="00E40504" w:rsidRPr="006653A2" w:rsidRDefault="00E40504" w:rsidP="00A44234">
            <w:pPr>
              <w:keepNext/>
              <w:keepLines/>
              <w:widowControl/>
              <w:jc w:val="right"/>
              <w:rPr>
                <w:rFonts w:ascii="Arial Narrow" w:hAnsi="Arial Narrow" w:cs="Times New Roman"/>
                <w:bCs/>
                <w:sz w:val="20"/>
                <w:szCs w:val="20"/>
                <w:lang w:eastAsia="en-AU"/>
              </w:rPr>
            </w:pPr>
            <w:r w:rsidRPr="006653A2">
              <w:rPr>
                <w:rFonts w:ascii="Arial Narrow" w:hAnsi="Arial Narrow" w:cs="Times New Roman"/>
                <w:bCs/>
                <w:sz w:val="20"/>
                <w:szCs w:val="20"/>
                <w:lang w:eastAsia="en-AU"/>
              </w:rPr>
              <w:t>$</w:t>
            </w:r>
            <w:r w:rsidR="004C5EA1">
              <w:rPr>
                <w:rFonts w:ascii="Arial Narrow" w:hAnsi="Arial Narrow" w:cs="Times New Roman"/>
                <w:bCs/>
                <w:noProof/>
                <w:color w:val="000000"/>
                <w:sz w:val="20"/>
                <w:szCs w:val="20"/>
                <w:highlight w:val="black"/>
                <w:lang w:eastAsia="en-AU"/>
              </w:rPr>
              <w:t>''''''''''''''''</w:t>
            </w:r>
          </w:p>
        </w:tc>
      </w:tr>
      <w:tr w:rsidR="007E7F98" w:rsidRPr="006653A2" w:rsidTr="003B4B48">
        <w:tblPrEx>
          <w:tblCellMar>
            <w:left w:w="108" w:type="dxa"/>
            <w:right w:w="108" w:type="dxa"/>
          </w:tblCellMar>
        </w:tblPrEx>
        <w:tc>
          <w:tcPr>
            <w:tcW w:w="222" w:type="pct"/>
            <w:vMerge w:val="restart"/>
          </w:tcPr>
          <w:p w:rsidR="007E7F98" w:rsidRPr="006653A2" w:rsidRDefault="007E7F98" w:rsidP="00A44234">
            <w:pPr>
              <w:keepLines/>
              <w:widowControl/>
              <w:jc w:val="left"/>
              <w:rPr>
                <w:rFonts w:ascii="Arial Narrow" w:hAnsi="Arial Narrow" w:cs="Times New Roman"/>
                <w:sz w:val="20"/>
                <w:szCs w:val="20"/>
                <w:lang w:eastAsia="en-AU"/>
              </w:rPr>
            </w:pPr>
            <w:r w:rsidRPr="006653A2">
              <w:rPr>
                <w:rFonts w:ascii="Arial Narrow" w:hAnsi="Arial Narrow" w:cs="Times New Roman"/>
                <w:sz w:val="20"/>
                <w:szCs w:val="20"/>
                <w:lang w:eastAsia="en-AU"/>
              </w:rPr>
              <w:t>9</w:t>
            </w:r>
          </w:p>
        </w:tc>
        <w:tc>
          <w:tcPr>
            <w:tcW w:w="736" w:type="pct"/>
            <w:vMerge w:val="restart"/>
          </w:tcPr>
          <w:p w:rsidR="007E7F98" w:rsidRPr="006653A2" w:rsidRDefault="007E7F98" w:rsidP="00A44234">
            <w:pPr>
              <w:keepLines/>
              <w:widowControl/>
              <w:jc w:val="left"/>
              <w:rPr>
                <w:rFonts w:ascii="Arial Narrow" w:hAnsi="Arial Narrow" w:cs="Times New Roman"/>
                <w:sz w:val="20"/>
                <w:szCs w:val="20"/>
                <w:lang w:eastAsia="en-AU"/>
              </w:rPr>
            </w:pPr>
            <w:r w:rsidRPr="006653A2">
              <w:rPr>
                <w:rFonts w:ascii="Arial Narrow" w:hAnsi="Arial Narrow" w:cs="Times New Roman"/>
                <w:sz w:val="20"/>
                <w:szCs w:val="20"/>
                <w:lang w:eastAsia="en-AU"/>
              </w:rPr>
              <w:t>Number of ranibizumab administrations</w:t>
            </w:r>
          </w:p>
        </w:tc>
        <w:tc>
          <w:tcPr>
            <w:tcW w:w="890" w:type="pct"/>
            <w:vMerge w:val="restart"/>
          </w:tcPr>
          <w:p w:rsidR="007E7F98" w:rsidRPr="006653A2" w:rsidRDefault="007E7F98" w:rsidP="00A44234">
            <w:pPr>
              <w:keepLines/>
              <w:widowControl/>
              <w:jc w:val="left"/>
              <w:rPr>
                <w:rFonts w:ascii="Arial Narrow" w:hAnsi="Arial Narrow" w:cs="Times New Roman"/>
                <w:sz w:val="20"/>
                <w:szCs w:val="20"/>
                <w:lang w:eastAsia="en-AU"/>
              </w:rPr>
            </w:pPr>
            <w:r w:rsidRPr="006653A2">
              <w:rPr>
                <w:rFonts w:ascii="Arial Narrow" w:hAnsi="Arial Narrow" w:cs="Times New Roman"/>
                <w:sz w:val="20"/>
                <w:szCs w:val="20"/>
                <w:lang w:eastAsia="en-AU"/>
              </w:rPr>
              <w:t>Year 1 – 5.80</w:t>
            </w:r>
            <w:r w:rsidRPr="006653A2">
              <w:rPr>
                <w:rFonts w:ascii="Arial Narrow" w:hAnsi="Arial Narrow" w:cs="Times New Roman"/>
                <w:sz w:val="20"/>
                <w:szCs w:val="20"/>
                <w:lang w:eastAsia="en-AU"/>
              </w:rPr>
              <w:br/>
              <w:t>Year 2 – 1.00</w:t>
            </w:r>
          </w:p>
          <w:p w:rsidR="007E7F98" w:rsidRPr="006653A2" w:rsidRDefault="007E7F98" w:rsidP="00A44234">
            <w:pPr>
              <w:keepLines/>
              <w:widowControl/>
              <w:jc w:val="left"/>
              <w:rPr>
                <w:rFonts w:ascii="Arial Narrow" w:hAnsi="Arial Narrow" w:cs="Times New Roman"/>
                <w:sz w:val="20"/>
                <w:szCs w:val="20"/>
                <w:lang w:eastAsia="en-AU"/>
              </w:rPr>
            </w:pPr>
          </w:p>
        </w:tc>
        <w:tc>
          <w:tcPr>
            <w:tcW w:w="1071" w:type="pct"/>
            <w:vMerge w:val="restart"/>
          </w:tcPr>
          <w:p w:rsidR="007E7F98" w:rsidRPr="006653A2" w:rsidRDefault="007E7F98" w:rsidP="00A44234">
            <w:pPr>
              <w:keepLines/>
              <w:widowControl/>
              <w:jc w:val="left"/>
              <w:rPr>
                <w:rFonts w:ascii="Arial Narrow" w:hAnsi="Arial Narrow" w:cs="Times New Roman"/>
                <w:sz w:val="20"/>
                <w:szCs w:val="20"/>
                <w:lang w:eastAsia="en-AU"/>
              </w:rPr>
            </w:pPr>
            <w:r w:rsidRPr="006653A2">
              <w:rPr>
                <w:rFonts w:ascii="Arial Narrow" w:hAnsi="Arial Narrow" w:cs="Times New Roman"/>
                <w:sz w:val="20"/>
                <w:szCs w:val="20"/>
                <w:lang w:eastAsia="en-AU"/>
              </w:rPr>
              <w:t>Assume 8.4 administrations in year 1 and 7.1 administrations in all subsequent years</w:t>
            </w:r>
          </w:p>
        </w:tc>
        <w:tc>
          <w:tcPr>
            <w:tcW w:w="552" w:type="pct"/>
          </w:tcPr>
          <w:p w:rsidR="007E7F98" w:rsidRPr="006653A2" w:rsidRDefault="007E7F98" w:rsidP="00A44234">
            <w:pPr>
              <w:keepLines/>
              <w:widowControl/>
              <w:jc w:val="left"/>
              <w:rPr>
                <w:rFonts w:ascii="Arial Narrow" w:hAnsi="Arial Narrow" w:cs="Times New Roman"/>
                <w:sz w:val="20"/>
                <w:szCs w:val="20"/>
                <w:lang w:eastAsia="en-AU"/>
              </w:rPr>
            </w:pPr>
            <w:r w:rsidRPr="006653A2">
              <w:rPr>
                <w:rFonts w:ascii="Arial Narrow" w:hAnsi="Arial Narrow" w:cs="Times New Roman"/>
                <w:sz w:val="20"/>
                <w:szCs w:val="20"/>
                <w:lang w:eastAsia="en-AU"/>
              </w:rPr>
              <w:t>Costs</w:t>
            </w:r>
          </w:p>
        </w:tc>
        <w:tc>
          <w:tcPr>
            <w:tcW w:w="477" w:type="pct"/>
          </w:tcPr>
          <w:p w:rsidR="007E7F98" w:rsidRPr="006653A2" w:rsidRDefault="007E7F98" w:rsidP="00A44234">
            <w:pPr>
              <w:keepLines/>
              <w:widowControl/>
              <w:jc w:val="right"/>
              <w:rPr>
                <w:rFonts w:ascii="Arial Narrow" w:hAnsi="Arial Narrow" w:cs="Times New Roman"/>
                <w:bCs/>
                <w:sz w:val="20"/>
                <w:szCs w:val="20"/>
                <w:lang w:eastAsia="en-AU"/>
              </w:rPr>
            </w:pPr>
            <w:r w:rsidRPr="006653A2">
              <w:rPr>
                <w:rFonts w:ascii="Arial Narrow" w:hAnsi="Arial Narrow" w:cs="Times New Roman"/>
                <w:bCs/>
                <w:sz w:val="20"/>
                <w:szCs w:val="20"/>
                <w:lang w:eastAsia="en-AU"/>
              </w:rPr>
              <w:t>$</w:t>
            </w:r>
            <w:r w:rsidR="004C5EA1">
              <w:rPr>
                <w:rFonts w:ascii="Arial Narrow" w:hAnsi="Arial Narrow" w:cs="Times New Roman"/>
                <w:bCs/>
                <w:noProof/>
                <w:color w:val="000000"/>
                <w:sz w:val="20"/>
                <w:szCs w:val="20"/>
                <w:highlight w:val="black"/>
                <w:lang w:eastAsia="en-AU"/>
              </w:rPr>
              <w:t>''''''''''''''''''</w:t>
            </w:r>
          </w:p>
        </w:tc>
        <w:tc>
          <w:tcPr>
            <w:tcW w:w="478" w:type="pct"/>
          </w:tcPr>
          <w:p w:rsidR="007E7F98" w:rsidRPr="006653A2" w:rsidRDefault="007E7F98" w:rsidP="00A44234">
            <w:pPr>
              <w:keepLines/>
              <w:widowControl/>
              <w:jc w:val="right"/>
              <w:rPr>
                <w:rFonts w:ascii="Arial Narrow" w:hAnsi="Arial Narrow" w:cs="Times New Roman"/>
                <w:bCs/>
                <w:sz w:val="20"/>
                <w:szCs w:val="20"/>
                <w:lang w:eastAsia="en-AU"/>
              </w:rPr>
            </w:pPr>
            <w:r w:rsidRPr="006653A2">
              <w:rPr>
                <w:rFonts w:ascii="Arial Narrow" w:hAnsi="Arial Narrow" w:cs="Times New Roman"/>
                <w:bCs/>
                <w:sz w:val="20"/>
                <w:szCs w:val="20"/>
                <w:lang w:eastAsia="en-AU"/>
              </w:rPr>
              <w:t>$</w:t>
            </w:r>
            <w:r w:rsidR="004C5EA1">
              <w:rPr>
                <w:rFonts w:ascii="Arial Narrow" w:hAnsi="Arial Narrow" w:cs="Times New Roman"/>
                <w:bCs/>
                <w:noProof/>
                <w:color w:val="000000"/>
                <w:sz w:val="20"/>
                <w:szCs w:val="20"/>
                <w:highlight w:val="black"/>
                <w:lang w:eastAsia="en-AU"/>
              </w:rPr>
              <w:t>'''''''''''''</w:t>
            </w:r>
          </w:p>
        </w:tc>
        <w:tc>
          <w:tcPr>
            <w:tcW w:w="574" w:type="pct"/>
          </w:tcPr>
          <w:p w:rsidR="007E7F98" w:rsidRPr="006653A2" w:rsidRDefault="007E7F98" w:rsidP="00A44234">
            <w:pPr>
              <w:keepLines/>
              <w:widowControl/>
              <w:jc w:val="right"/>
              <w:rPr>
                <w:rFonts w:ascii="Arial Narrow" w:hAnsi="Arial Narrow" w:cs="Times New Roman"/>
                <w:bCs/>
                <w:sz w:val="20"/>
                <w:szCs w:val="20"/>
                <w:lang w:eastAsia="en-AU"/>
              </w:rPr>
            </w:pPr>
            <w:r w:rsidRPr="006653A2">
              <w:rPr>
                <w:rFonts w:ascii="Arial Narrow" w:hAnsi="Arial Narrow" w:cs="Times New Roman"/>
                <w:bCs/>
                <w:sz w:val="20"/>
                <w:szCs w:val="20"/>
                <w:lang w:eastAsia="en-AU"/>
              </w:rPr>
              <w:t>$</w:t>
            </w:r>
            <w:r w:rsidR="004C5EA1">
              <w:rPr>
                <w:rFonts w:ascii="Arial Narrow" w:hAnsi="Arial Narrow" w:cs="Times New Roman"/>
                <w:bCs/>
                <w:noProof/>
                <w:color w:val="000000"/>
                <w:sz w:val="20"/>
                <w:szCs w:val="20"/>
                <w:highlight w:val="black"/>
                <w:lang w:eastAsia="en-AU"/>
              </w:rPr>
              <w:t>'''''''''''''''</w:t>
            </w:r>
          </w:p>
        </w:tc>
      </w:tr>
      <w:tr w:rsidR="007E7F98" w:rsidRPr="006653A2" w:rsidTr="003B4B48">
        <w:tblPrEx>
          <w:tblCellMar>
            <w:left w:w="108" w:type="dxa"/>
            <w:right w:w="108" w:type="dxa"/>
          </w:tblCellMar>
        </w:tblPrEx>
        <w:tc>
          <w:tcPr>
            <w:tcW w:w="222" w:type="pct"/>
            <w:vMerge/>
          </w:tcPr>
          <w:p w:rsidR="007E7F98" w:rsidRPr="006653A2" w:rsidRDefault="007E7F98" w:rsidP="00A44234">
            <w:pPr>
              <w:keepLines/>
              <w:widowControl/>
              <w:jc w:val="left"/>
              <w:rPr>
                <w:rFonts w:ascii="Arial Narrow" w:hAnsi="Arial Narrow" w:cs="Times New Roman"/>
                <w:sz w:val="20"/>
                <w:szCs w:val="20"/>
                <w:lang w:eastAsia="en-AU"/>
              </w:rPr>
            </w:pPr>
          </w:p>
        </w:tc>
        <w:tc>
          <w:tcPr>
            <w:tcW w:w="736" w:type="pct"/>
            <w:vMerge/>
          </w:tcPr>
          <w:p w:rsidR="007E7F98" w:rsidRPr="006653A2" w:rsidRDefault="007E7F98" w:rsidP="00A44234">
            <w:pPr>
              <w:keepLines/>
              <w:widowControl/>
              <w:jc w:val="left"/>
              <w:rPr>
                <w:rFonts w:ascii="Arial Narrow" w:hAnsi="Arial Narrow" w:cs="Times New Roman"/>
                <w:sz w:val="20"/>
                <w:szCs w:val="20"/>
                <w:lang w:eastAsia="en-AU"/>
              </w:rPr>
            </w:pPr>
          </w:p>
        </w:tc>
        <w:tc>
          <w:tcPr>
            <w:tcW w:w="890" w:type="pct"/>
            <w:vMerge/>
          </w:tcPr>
          <w:p w:rsidR="007E7F98" w:rsidRPr="006653A2" w:rsidRDefault="007E7F98" w:rsidP="00A44234">
            <w:pPr>
              <w:keepLines/>
              <w:widowControl/>
              <w:jc w:val="left"/>
              <w:rPr>
                <w:rFonts w:ascii="Arial Narrow" w:hAnsi="Arial Narrow" w:cs="Times New Roman"/>
                <w:sz w:val="20"/>
                <w:szCs w:val="20"/>
                <w:lang w:eastAsia="en-AU"/>
              </w:rPr>
            </w:pPr>
          </w:p>
        </w:tc>
        <w:tc>
          <w:tcPr>
            <w:tcW w:w="1071" w:type="pct"/>
            <w:vMerge/>
          </w:tcPr>
          <w:p w:rsidR="007E7F98" w:rsidRPr="006653A2" w:rsidRDefault="007E7F98" w:rsidP="00A44234">
            <w:pPr>
              <w:keepLines/>
              <w:widowControl/>
              <w:jc w:val="left"/>
              <w:rPr>
                <w:rFonts w:ascii="Arial Narrow" w:hAnsi="Arial Narrow" w:cs="Times New Roman"/>
                <w:sz w:val="20"/>
                <w:szCs w:val="20"/>
                <w:lang w:eastAsia="en-AU"/>
              </w:rPr>
            </w:pPr>
          </w:p>
        </w:tc>
        <w:tc>
          <w:tcPr>
            <w:tcW w:w="552" w:type="pct"/>
          </w:tcPr>
          <w:p w:rsidR="007E7F98" w:rsidRPr="006653A2" w:rsidRDefault="007E7F98" w:rsidP="00A44234">
            <w:pPr>
              <w:keepLines/>
              <w:widowControl/>
              <w:jc w:val="left"/>
              <w:rPr>
                <w:rFonts w:ascii="Arial Narrow" w:hAnsi="Arial Narrow" w:cs="Times New Roman"/>
                <w:sz w:val="20"/>
                <w:szCs w:val="20"/>
                <w:lang w:eastAsia="en-AU"/>
              </w:rPr>
            </w:pPr>
            <w:r w:rsidRPr="006653A2">
              <w:rPr>
                <w:rFonts w:ascii="Arial Narrow" w:hAnsi="Arial Narrow" w:cs="Times New Roman"/>
                <w:sz w:val="20"/>
                <w:szCs w:val="20"/>
                <w:lang w:eastAsia="en-AU"/>
              </w:rPr>
              <w:t>QALYs</w:t>
            </w:r>
          </w:p>
        </w:tc>
        <w:tc>
          <w:tcPr>
            <w:tcW w:w="477" w:type="pct"/>
          </w:tcPr>
          <w:p w:rsidR="007E7F98" w:rsidRPr="004C5EA1" w:rsidRDefault="004C5EA1" w:rsidP="00A44234">
            <w:pPr>
              <w:keepLines/>
              <w:widowControl/>
              <w:jc w:val="right"/>
              <w:rPr>
                <w:rFonts w:ascii="Arial Narrow" w:hAnsi="Arial Narrow" w:cs="Times New Roman"/>
                <w:bCs/>
                <w:sz w:val="20"/>
                <w:szCs w:val="20"/>
                <w:highlight w:val="black"/>
                <w:lang w:eastAsia="en-AU"/>
              </w:rPr>
            </w:pPr>
            <w:r>
              <w:rPr>
                <w:rFonts w:ascii="Arial Narrow" w:hAnsi="Arial Narrow" w:cs="Times New Roman"/>
                <w:bCs/>
                <w:noProof/>
                <w:color w:val="000000"/>
                <w:sz w:val="20"/>
                <w:szCs w:val="20"/>
                <w:highlight w:val="black"/>
                <w:lang w:eastAsia="en-AU"/>
              </w:rPr>
              <w:t>''''''''''</w:t>
            </w:r>
          </w:p>
        </w:tc>
        <w:tc>
          <w:tcPr>
            <w:tcW w:w="478" w:type="pct"/>
          </w:tcPr>
          <w:p w:rsidR="007E7F98" w:rsidRPr="004C5EA1" w:rsidRDefault="004C5EA1" w:rsidP="00A44234">
            <w:pPr>
              <w:keepLines/>
              <w:widowControl/>
              <w:jc w:val="right"/>
              <w:rPr>
                <w:rFonts w:ascii="Arial Narrow" w:hAnsi="Arial Narrow" w:cs="Times New Roman"/>
                <w:bCs/>
                <w:sz w:val="20"/>
                <w:szCs w:val="20"/>
                <w:highlight w:val="black"/>
                <w:lang w:eastAsia="en-AU"/>
              </w:rPr>
            </w:pPr>
            <w:r>
              <w:rPr>
                <w:rFonts w:ascii="Arial Narrow" w:hAnsi="Arial Narrow" w:cs="Times New Roman"/>
                <w:bCs/>
                <w:noProof/>
                <w:color w:val="000000"/>
                <w:sz w:val="20"/>
                <w:szCs w:val="20"/>
                <w:highlight w:val="black"/>
                <w:lang w:eastAsia="en-AU"/>
              </w:rPr>
              <w:t>''''''''''</w:t>
            </w:r>
          </w:p>
        </w:tc>
        <w:tc>
          <w:tcPr>
            <w:tcW w:w="574" w:type="pct"/>
          </w:tcPr>
          <w:p w:rsidR="007E7F98" w:rsidRPr="004C5EA1" w:rsidRDefault="004C5EA1" w:rsidP="00A44234">
            <w:pPr>
              <w:keepLines/>
              <w:widowControl/>
              <w:jc w:val="right"/>
              <w:rPr>
                <w:rFonts w:ascii="Arial Narrow" w:hAnsi="Arial Narrow" w:cs="Times New Roman"/>
                <w:bCs/>
                <w:sz w:val="20"/>
                <w:szCs w:val="20"/>
                <w:highlight w:val="black"/>
                <w:lang w:eastAsia="en-AU"/>
              </w:rPr>
            </w:pPr>
            <w:r>
              <w:rPr>
                <w:rFonts w:ascii="Arial Narrow" w:hAnsi="Arial Narrow" w:cs="Times New Roman"/>
                <w:bCs/>
                <w:noProof/>
                <w:color w:val="000000"/>
                <w:sz w:val="20"/>
                <w:szCs w:val="20"/>
                <w:highlight w:val="black"/>
                <w:lang w:eastAsia="en-AU"/>
              </w:rPr>
              <w:t>''''''''''</w:t>
            </w:r>
          </w:p>
        </w:tc>
      </w:tr>
      <w:tr w:rsidR="00E40504" w:rsidRPr="006653A2" w:rsidTr="00E40504">
        <w:tblPrEx>
          <w:tblCellMar>
            <w:left w:w="108" w:type="dxa"/>
            <w:right w:w="108" w:type="dxa"/>
          </w:tblCellMar>
        </w:tblPrEx>
        <w:tc>
          <w:tcPr>
            <w:tcW w:w="222" w:type="pct"/>
            <w:vMerge/>
          </w:tcPr>
          <w:p w:rsidR="00E40504" w:rsidRPr="006653A2" w:rsidRDefault="00E40504" w:rsidP="00A44234">
            <w:pPr>
              <w:keepLines/>
              <w:widowControl/>
              <w:jc w:val="left"/>
              <w:rPr>
                <w:rFonts w:ascii="Arial Narrow" w:hAnsi="Arial Narrow" w:cs="Times New Roman"/>
                <w:sz w:val="20"/>
                <w:szCs w:val="20"/>
                <w:lang w:eastAsia="en-AU"/>
              </w:rPr>
            </w:pPr>
          </w:p>
        </w:tc>
        <w:tc>
          <w:tcPr>
            <w:tcW w:w="736" w:type="pct"/>
            <w:vMerge/>
          </w:tcPr>
          <w:p w:rsidR="00E40504" w:rsidRPr="006653A2" w:rsidRDefault="00E40504" w:rsidP="00A44234">
            <w:pPr>
              <w:keepLines/>
              <w:widowControl/>
              <w:jc w:val="left"/>
              <w:rPr>
                <w:rFonts w:ascii="Arial Narrow" w:hAnsi="Arial Narrow" w:cs="Times New Roman"/>
                <w:sz w:val="20"/>
                <w:szCs w:val="20"/>
                <w:lang w:eastAsia="en-AU"/>
              </w:rPr>
            </w:pPr>
          </w:p>
        </w:tc>
        <w:tc>
          <w:tcPr>
            <w:tcW w:w="890" w:type="pct"/>
            <w:vMerge/>
          </w:tcPr>
          <w:p w:rsidR="00E40504" w:rsidRPr="006653A2" w:rsidRDefault="00E40504" w:rsidP="00A44234">
            <w:pPr>
              <w:keepLines/>
              <w:widowControl/>
              <w:jc w:val="left"/>
              <w:rPr>
                <w:rFonts w:ascii="Arial Narrow" w:hAnsi="Arial Narrow" w:cs="Times New Roman"/>
                <w:sz w:val="20"/>
                <w:szCs w:val="20"/>
                <w:lang w:eastAsia="en-AU"/>
              </w:rPr>
            </w:pPr>
          </w:p>
        </w:tc>
        <w:tc>
          <w:tcPr>
            <w:tcW w:w="1071" w:type="pct"/>
            <w:vMerge/>
          </w:tcPr>
          <w:p w:rsidR="00E40504" w:rsidRPr="006653A2" w:rsidRDefault="00E40504" w:rsidP="00A44234">
            <w:pPr>
              <w:keepLines/>
              <w:widowControl/>
              <w:jc w:val="left"/>
              <w:rPr>
                <w:rFonts w:ascii="Arial Narrow" w:hAnsi="Arial Narrow" w:cs="Times New Roman"/>
                <w:sz w:val="20"/>
                <w:szCs w:val="20"/>
                <w:lang w:eastAsia="en-AU"/>
              </w:rPr>
            </w:pPr>
          </w:p>
        </w:tc>
        <w:tc>
          <w:tcPr>
            <w:tcW w:w="552" w:type="pct"/>
          </w:tcPr>
          <w:p w:rsidR="00E40504" w:rsidRPr="006653A2" w:rsidRDefault="00E40504" w:rsidP="00A44234">
            <w:pPr>
              <w:keepLines/>
              <w:widowControl/>
              <w:jc w:val="left"/>
              <w:rPr>
                <w:rFonts w:ascii="Arial Narrow" w:hAnsi="Arial Narrow" w:cs="Times New Roman"/>
                <w:sz w:val="20"/>
                <w:szCs w:val="20"/>
                <w:lang w:eastAsia="en-AU"/>
              </w:rPr>
            </w:pPr>
            <w:r w:rsidRPr="006653A2">
              <w:rPr>
                <w:rFonts w:ascii="Arial Narrow" w:hAnsi="Arial Narrow" w:cs="Times New Roman"/>
                <w:sz w:val="20"/>
                <w:szCs w:val="20"/>
                <w:lang w:eastAsia="en-AU"/>
              </w:rPr>
              <w:t>Cost per QALY</w:t>
            </w:r>
          </w:p>
        </w:tc>
        <w:tc>
          <w:tcPr>
            <w:tcW w:w="1529" w:type="pct"/>
            <w:gridSpan w:val="3"/>
          </w:tcPr>
          <w:p w:rsidR="00E40504" w:rsidRPr="006653A2" w:rsidRDefault="00E40504" w:rsidP="00A44234">
            <w:pPr>
              <w:keepLines/>
              <w:widowControl/>
              <w:jc w:val="right"/>
              <w:rPr>
                <w:rFonts w:ascii="Arial Narrow" w:hAnsi="Arial Narrow" w:cs="Times New Roman"/>
                <w:bCs/>
                <w:sz w:val="20"/>
                <w:szCs w:val="20"/>
                <w:lang w:eastAsia="en-AU"/>
              </w:rPr>
            </w:pPr>
            <w:r w:rsidRPr="006653A2">
              <w:rPr>
                <w:rFonts w:ascii="Arial Narrow" w:hAnsi="Arial Narrow" w:cs="Times New Roman"/>
                <w:bCs/>
                <w:sz w:val="20"/>
                <w:szCs w:val="20"/>
                <w:lang w:eastAsia="en-AU"/>
              </w:rPr>
              <w:t>$</w:t>
            </w:r>
            <w:r w:rsidR="004C5EA1">
              <w:rPr>
                <w:rFonts w:ascii="Arial Narrow" w:hAnsi="Arial Narrow" w:cs="Times New Roman"/>
                <w:bCs/>
                <w:noProof/>
                <w:color w:val="000000"/>
                <w:sz w:val="20"/>
                <w:szCs w:val="20"/>
                <w:highlight w:val="black"/>
                <w:lang w:eastAsia="en-AU"/>
              </w:rPr>
              <w:t>''''''''''''''''''''''</w:t>
            </w:r>
          </w:p>
        </w:tc>
      </w:tr>
      <w:tr w:rsidR="007E7F98" w:rsidRPr="006653A2" w:rsidTr="003B4B48">
        <w:tblPrEx>
          <w:tblCellMar>
            <w:left w:w="108" w:type="dxa"/>
            <w:right w:w="108" w:type="dxa"/>
          </w:tblCellMar>
        </w:tblPrEx>
        <w:tc>
          <w:tcPr>
            <w:tcW w:w="222" w:type="pct"/>
            <w:vMerge w:val="restart"/>
          </w:tcPr>
          <w:p w:rsidR="007E7F98" w:rsidRPr="006653A2" w:rsidRDefault="007E7F98" w:rsidP="00A44234">
            <w:pPr>
              <w:keepLines/>
              <w:widowControl/>
              <w:jc w:val="left"/>
              <w:rPr>
                <w:rFonts w:ascii="Arial Narrow" w:hAnsi="Arial Narrow" w:cs="Times New Roman"/>
                <w:sz w:val="20"/>
                <w:szCs w:val="20"/>
                <w:lang w:eastAsia="en-AU"/>
              </w:rPr>
            </w:pPr>
            <w:r w:rsidRPr="006653A2">
              <w:rPr>
                <w:rFonts w:ascii="Arial Narrow" w:hAnsi="Arial Narrow" w:cs="Times New Roman"/>
                <w:sz w:val="20"/>
                <w:szCs w:val="20"/>
                <w:lang w:eastAsia="en-AU"/>
              </w:rPr>
              <w:t>10</w:t>
            </w:r>
          </w:p>
        </w:tc>
        <w:tc>
          <w:tcPr>
            <w:tcW w:w="736" w:type="pct"/>
            <w:vMerge w:val="restart"/>
          </w:tcPr>
          <w:p w:rsidR="007E7F98" w:rsidRPr="006653A2" w:rsidRDefault="007E7F98" w:rsidP="00A44234">
            <w:pPr>
              <w:keepLines/>
              <w:widowControl/>
              <w:jc w:val="left"/>
              <w:rPr>
                <w:rFonts w:ascii="Arial Narrow" w:hAnsi="Arial Narrow" w:cs="Times New Roman"/>
                <w:sz w:val="20"/>
                <w:szCs w:val="20"/>
                <w:lang w:eastAsia="en-AU"/>
              </w:rPr>
            </w:pPr>
            <w:r w:rsidRPr="006653A2">
              <w:rPr>
                <w:rFonts w:ascii="Arial Narrow" w:hAnsi="Arial Narrow" w:cs="Times New Roman"/>
                <w:sz w:val="20"/>
                <w:szCs w:val="20"/>
                <w:lang w:eastAsia="en-AU"/>
              </w:rPr>
              <w:t>#1 AND #9</w:t>
            </w:r>
          </w:p>
        </w:tc>
        <w:tc>
          <w:tcPr>
            <w:tcW w:w="890" w:type="pct"/>
            <w:vMerge w:val="restart"/>
          </w:tcPr>
          <w:p w:rsidR="007E7F98" w:rsidRPr="006653A2" w:rsidRDefault="007E7F98" w:rsidP="00A44234">
            <w:pPr>
              <w:keepLines/>
              <w:widowControl/>
              <w:jc w:val="left"/>
              <w:rPr>
                <w:rFonts w:ascii="Arial Narrow" w:hAnsi="Arial Narrow" w:cs="Times New Roman"/>
                <w:sz w:val="20"/>
                <w:szCs w:val="20"/>
                <w:lang w:eastAsia="en-AU"/>
              </w:rPr>
            </w:pPr>
            <w:r w:rsidRPr="006653A2">
              <w:rPr>
                <w:rFonts w:ascii="Arial Narrow" w:hAnsi="Arial Narrow" w:cs="Times New Roman"/>
                <w:sz w:val="20"/>
                <w:szCs w:val="20"/>
                <w:lang w:eastAsia="en-AU"/>
              </w:rPr>
              <w:t>As above</w:t>
            </w:r>
          </w:p>
        </w:tc>
        <w:tc>
          <w:tcPr>
            <w:tcW w:w="1071" w:type="pct"/>
            <w:vMerge w:val="restart"/>
          </w:tcPr>
          <w:p w:rsidR="007E7F98" w:rsidRPr="006653A2" w:rsidRDefault="007E7F98" w:rsidP="00A44234">
            <w:pPr>
              <w:keepLines/>
              <w:widowControl/>
              <w:jc w:val="left"/>
              <w:rPr>
                <w:szCs w:val="20"/>
                <w:lang w:eastAsia="en-AU"/>
              </w:rPr>
            </w:pPr>
            <w:r w:rsidRPr="006653A2">
              <w:rPr>
                <w:rFonts w:ascii="Arial Narrow" w:hAnsi="Arial Narrow" w:cs="Times New Roman"/>
                <w:sz w:val="20"/>
                <w:szCs w:val="20"/>
                <w:lang w:eastAsia="en-AU"/>
              </w:rPr>
              <w:t>As above</w:t>
            </w:r>
          </w:p>
        </w:tc>
        <w:tc>
          <w:tcPr>
            <w:tcW w:w="552" w:type="pct"/>
          </w:tcPr>
          <w:p w:rsidR="007E7F98" w:rsidRPr="006653A2" w:rsidRDefault="007E7F98" w:rsidP="00A44234">
            <w:pPr>
              <w:keepLines/>
              <w:widowControl/>
              <w:jc w:val="left"/>
              <w:rPr>
                <w:rFonts w:ascii="Arial Narrow" w:hAnsi="Arial Narrow" w:cs="Times New Roman"/>
                <w:sz w:val="20"/>
                <w:szCs w:val="20"/>
                <w:lang w:eastAsia="en-AU"/>
              </w:rPr>
            </w:pPr>
            <w:r w:rsidRPr="006653A2">
              <w:rPr>
                <w:rFonts w:ascii="Arial Narrow" w:hAnsi="Arial Narrow" w:cs="Times New Roman"/>
                <w:sz w:val="20"/>
                <w:szCs w:val="20"/>
                <w:lang w:eastAsia="en-AU"/>
              </w:rPr>
              <w:t>Costs</w:t>
            </w:r>
          </w:p>
        </w:tc>
        <w:tc>
          <w:tcPr>
            <w:tcW w:w="477" w:type="pct"/>
          </w:tcPr>
          <w:p w:rsidR="007E7F98" w:rsidRPr="006653A2" w:rsidRDefault="007E7F98" w:rsidP="00A44234">
            <w:pPr>
              <w:keepLines/>
              <w:widowControl/>
              <w:jc w:val="right"/>
              <w:rPr>
                <w:rFonts w:ascii="Arial Narrow" w:hAnsi="Arial Narrow" w:cs="Times New Roman"/>
                <w:bCs/>
                <w:sz w:val="20"/>
                <w:szCs w:val="20"/>
                <w:lang w:eastAsia="en-AU"/>
              </w:rPr>
            </w:pPr>
            <w:r w:rsidRPr="006653A2">
              <w:rPr>
                <w:rFonts w:ascii="Arial Narrow" w:hAnsi="Arial Narrow" w:cs="Times New Roman"/>
                <w:bCs/>
                <w:sz w:val="20"/>
                <w:szCs w:val="20"/>
                <w:lang w:eastAsia="en-AU"/>
              </w:rPr>
              <w:t>$</w:t>
            </w:r>
            <w:r w:rsidR="004C5EA1">
              <w:rPr>
                <w:rFonts w:ascii="Arial Narrow" w:hAnsi="Arial Narrow" w:cs="Times New Roman"/>
                <w:bCs/>
                <w:noProof/>
                <w:color w:val="000000"/>
                <w:sz w:val="20"/>
                <w:szCs w:val="20"/>
                <w:highlight w:val="black"/>
                <w:lang w:eastAsia="en-AU"/>
              </w:rPr>
              <w:t>''''''''''''''''</w:t>
            </w:r>
          </w:p>
        </w:tc>
        <w:tc>
          <w:tcPr>
            <w:tcW w:w="478" w:type="pct"/>
          </w:tcPr>
          <w:p w:rsidR="007E7F98" w:rsidRPr="006653A2" w:rsidRDefault="007E7F98" w:rsidP="00A44234">
            <w:pPr>
              <w:keepLines/>
              <w:widowControl/>
              <w:jc w:val="right"/>
              <w:rPr>
                <w:rFonts w:ascii="Arial Narrow" w:hAnsi="Arial Narrow" w:cs="Times New Roman"/>
                <w:bCs/>
                <w:sz w:val="20"/>
                <w:szCs w:val="20"/>
                <w:lang w:eastAsia="en-AU"/>
              </w:rPr>
            </w:pPr>
            <w:r w:rsidRPr="006653A2">
              <w:rPr>
                <w:rFonts w:ascii="Arial Narrow" w:hAnsi="Arial Narrow" w:cs="Times New Roman"/>
                <w:bCs/>
                <w:sz w:val="20"/>
                <w:szCs w:val="20"/>
                <w:lang w:eastAsia="en-AU"/>
              </w:rPr>
              <w:t>$</w:t>
            </w:r>
            <w:r w:rsidR="004C5EA1">
              <w:rPr>
                <w:rFonts w:ascii="Arial Narrow" w:hAnsi="Arial Narrow" w:cs="Times New Roman"/>
                <w:bCs/>
                <w:noProof/>
                <w:color w:val="000000"/>
                <w:sz w:val="20"/>
                <w:szCs w:val="20"/>
                <w:highlight w:val="black"/>
                <w:lang w:eastAsia="en-AU"/>
              </w:rPr>
              <w:t>'''''''''''''</w:t>
            </w:r>
          </w:p>
        </w:tc>
        <w:tc>
          <w:tcPr>
            <w:tcW w:w="574" w:type="pct"/>
          </w:tcPr>
          <w:p w:rsidR="007E7F98" w:rsidRPr="006653A2" w:rsidRDefault="007E7F98" w:rsidP="00A44234">
            <w:pPr>
              <w:keepLines/>
              <w:widowControl/>
              <w:jc w:val="right"/>
              <w:rPr>
                <w:rFonts w:ascii="Arial Narrow" w:hAnsi="Arial Narrow" w:cs="Times New Roman"/>
                <w:bCs/>
                <w:sz w:val="20"/>
                <w:szCs w:val="20"/>
                <w:lang w:eastAsia="en-AU"/>
              </w:rPr>
            </w:pPr>
            <w:r w:rsidRPr="006653A2">
              <w:rPr>
                <w:rFonts w:ascii="Arial Narrow" w:hAnsi="Arial Narrow" w:cs="Times New Roman"/>
                <w:bCs/>
                <w:sz w:val="20"/>
                <w:szCs w:val="20"/>
                <w:lang w:eastAsia="en-AU"/>
              </w:rPr>
              <w:t>$</w:t>
            </w:r>
            <w:r w:rsidR="004C5EA1">
              <w:rPr>
                <w:rFonts w:ascii="Arial Narrow" w:hAnsi="Arial Narrow" w:cs="Times New Roman"/>
                <w:bCs/>
                <w:noProof/>
                <w:color w:val="000000"/>
                <w:sz w:val="20"/>
                <w:szCs w:val="20"/>
                <w:highlight w:val="black"/>
                <w:lang w:eastAsia="en-AU"/>
              </w:rPr>
              <w:t>'''''''''''''''''</w:t>
            </w:r>
          </w:p>
        </w:tc>
      </w:tr>
      <w:tr w:rsidR="007E7F98" w:rsidRPr="006653A2" w:rsidTr="003B4B48">
        <w:tblPrEx>
          <w:tblCellMar>
            <w:left w:w="108" w:type="dxa"/>
            <w:right w:w="108" w:type="dxa"/>
          </w:tblCellMar>
        </w:tblPrEx>
        <w:tc>
          <w:tcPr>
            <w:tcW w:w="222" w:type="pct"/>
            <w:vMerge/>
          </w:tcPr>
          <w:p w:rsidR="007E7F98" w:rsidRPr="006653A2" w:rsidRDefault="007E7F98" w:rsidP="00A44234">
            <w:pPr>
              <w:keepLines/>
              <w:widowControl/>
              <w:jc w:val="left"/>
              <w:rPr>
                <w:rFonts w:ascii="Arial Narrow" w:hAnsi="Arial Narrow" w:cs="Times New Roman"/>
                <w:sz w:val="20"/>
                <w:szCs w:val="20"/>
                <w:lang w:eastAsia="en-AU"/>
              </w:rPr>
            </w:pPr>
          </w:p>
        </w:tc>
        <w:tc>
          <w:tcPr>
            <w:tcW w:w="736" w:type="pct"/>
            <w:vMerge/>
          </w:tcPr>
          <w:p w:rsidR="007E7F98" w:rsidRPr="006653A2" w:rsidRDefault="007E7F98" w:rsidP="00A44234">
            <w:pPr>
              <w:keepLines/>
              <w:widowControl/>
              <w:jc w:val="left"/>
              <w:rPr>
                <w:rFonts w:ascii="Arial Narrow" w:hAnsi="Arial Narrow" w:cs="Times New Roman"/>
                <w:sz w:val="20"/>
                <w:szCs w:val="20"/>
                <w:lang w:eastAsia="en-AU"/>
              </w:rPr>
            </w:pPr>
          </w:p>
        </w:tc>
        <w:tc>
          <w:tcPr>
            <w:tcW w:w="890" w:type="pct"/>
            <w:vMerge/>
          </w:tcPr>
          <w:p w:rsidR="007E7F98" w:rsidRPr="006653A2" w:rsidRDefault="007E7F98" w:rsidP="00A44234">
            <w:pPr>
              <w:keepLines/>
              <w:widowControl/>
              <w:jc w:val="left"/>
              <w:rPr>
                <w:rFonts w:ascii="Arial Narrow" w:hAnsi="Arial Narrow" w:cs="Times New Roman"/>
                <w:sz w:val="20"/>
                <w:szCs w:val="20"/>
                <w:lang w:eastAsia="en-AU"/>
              </w:rPr>
            </w:pPr>
          </w:p>
        </w:tc>
        <w:tc>
          <w:tcPr>
            <w:tcW w:w="1071" w:type="pct"/>
            <w:vMerge/>
          </w:tcPr>
          <w:p w:rsidR="007E7F98" w:rsidRPr="006653A2" w:rsidRDefault="007E7F98" w:rsidP="00A44234">
            <w:pPr>
              <w:keepLines/>
              <w:widowControl/>
              <w:jc w:val="left"/>
              <w:rPr>
                <w:rFonts w:ascii="Arial Narrow" w:hAnsi="Arial Narrow" w:cs="Times New Roman"/>
                <w:sz w:val="20"/>
                <w:szCs w:val="20"/>
                <w:lang w:eastAsia="en-AU"/>
              </w:rPr>
            </w:pPr>
          </w:p>
        </w:tc>
        <w:tc>
          <w:tcPr>
            <w:tcW w:w="552" w:type="pct"/>
          </w:tcPr>
          <w:p w:rsidR="007E7F98" w:rsidRPr="006653A2" w:rsidRDefault="007E7F98" w:rsidP="00A44234">
            <w:pPr>
              <w:keepLines/>
              <w:widowControl/>
              <w:jc w:val="left"/>
              <w:rPr>
                <w:rFonts w:ascii="Arial Narrow" w:hAnsi="Arial Narrow" w:cs="Times New Roman"/>
                <w:sz w:val="20"/>
                <w:szCs w:val="20"/>
                <w:lang w:eastAsia="en-AU"/>
              </w:rPr>
            </w:pPr>
            <w:r w:rsidRPr="006653A2">
              <w:rPr>
                <w:rFonts w:ascii="Arial Narrow" w:hAnsi="Arial Narrow" w:cs="Times New Roman"/>
                <w:sz w:val="20"/>
                <w:szCs w:val="20"/>
                <w:lang w:eastAsia="en-AU"/>
              </w:rPr>
              <w:t>QALYs</w:t>
            </w:r>
          </w:p>
        </w:tc>
        <w:tc>
          <w:tcPr>
            <w:tcW w:w="477" w:type="pct"/>
          </w:tcPr>
          <w:p w:rsidR="007E7F98" w:rsidRPr="004C5EA1" w:rsidRDefault="004C5EA1" w:rsidP="00A44234">
            <w:pPr>
              <w:keepLines/>
              <w:widowControl/>
              <w:jc w:val="right"/>
              <w:rPr>
                <w:rFonts w:ascii="Arial Narrow" w:hAnsi="Arial Narrow" w:cs="Times New Roman"/>
                <w:bCs/>
                <w:sz w:val="20"/>
                <w:szCs w:val="20"/>
                <w:highlight w:val="black"/>
                <w:lang w:eastAsia="en-AU"/>
              </w:rPr>
            </w:pPr>
            <w:r>
              <w:rPr>
                <w:rFonts w:ascii="Arial Narrow" w:hAnsi="Arial Narrow" w:cs="Times New Roman"/>
                <w:bCs/>
                <w:noProof/>
                <w:color w:val="000000"/>
                <w:sz w:val="20"/>
                <w:szCs w:val="20"/>
                <w:highlight w:val="black"/>
                <w:lang w:eastAsia="en-AU"/>
              </w:rPr>
              <w:t>''''''''''</w:t>
            </w:r>
          </w:p>
        </w:tc>
        <w:tc>
          <w:tcPr>
            <w:tcW w:w="478" w:type="pct"/>
          </w:tcPr>
          <w:p w:rsidR="007E7F98" w:rsidRPr="004C5EA1" w:rsidRDefault="004C5EA1" w:rsidP="00A44234">
            <w:pPr>
              <w:keepLines/>
              <w:widowControl/>
              <w:jc w:val="right"/>
              <w:rPr>
                <w:rFonts w:ascii="Arial Narrow" w:hAnsi="Arial Narrow" w:cs="Times New Roman"/>
                <w:bCs/>
                <w:sz w:val="20"/>
                <w:szCs w:val="20"/>
                <w:highlight w:val="black"/>
                <w:lang w:eastAsia="en-AU"/>
              </w:rPr>
            </w:pPr>
            <w:r>
              <w:rPr>
                <w:rFonts w:ascii="Arial Narrow" w:hAnsi="Arial Narrow" w:cs="Times New Roman"/>
                <w:bCs/>
                <w:noProof/>
                <w:color w:val="000000"/>
                <w:sz w:val="20"/>
                <w:szCs w:val="20"/>
                <w:highlight w:val="black"/>
                <w:lang w:eastAsia="en-AU"/>
              </w:rPr>
              <w:t>''''''''''</w:t>
            </w:r>
          </w:p>
        </w:tc>
        <w:tc>
          <w:tcPr>
            <w:tcW w:w="574" w:type="pct"/>
          </w:tcPr>
          <w:p w:rsidR="007E7F98" w:rsidRPr="004C5EA1" w:rsidRDefault="004C5EA1" w:rsidP="00A44234">
            <w:pPr>
              <w:keepLines/>
              <w:widowControl/>
              <w:jc w:val="right"/>
              <w:rPr>
                <w:rFonts w:ascii="Arial Narrow" w:hAnsi="Arial Narrow" w:cs="Times New Roman"/>
                <w:bCs/>
                <w:sz w:val="20"/>
                <w:szCs w:val="20"/>
                <w:highlight w:val="black"/>
                <w:lang w:eastAsia="en-AU"/>
              </w:rPr>
            </w:pPr>
            <w:r>
              <w:rPr>
                <w:rFonts w:ascii="Arial Narrow" w:hAnsi="Arial Narrow" w:cs="Times New Roman"/>
                <w:bCs/>
                <w:noProof/>
                <w:color w:val="000000"/>
                <w:sz w:val="20"/>
                <w:szCs w:val="20"/>
                <w:highlight w:val="black"/>
                <w:lang w:eastAsia="en-AU"/>
              </w:rPr>
              <w:t>''''''''''</w:t>
            </w:r>
          </w:p>
        </w:tc>
      </w:tr>
      <w:tr w:rsidR="008D7AD2" w:rsidRPr="006653A2" w:rsidTr="008D7AD2">
        <w:tblPrEx>
          <w:tblCellMar>
            <w:left w:w="108" w:type="dxa"/>
            <w:right w:w="108" w:type="dxa"/>
          </w:tblCellMar>
        </w:tblPrEx>
        <w:tc>
          <w:tcPr>
            <w:tcW w:w="222" w:type="pct"/>
            <w:vMerge/>
          </w:tcPr>
          <w:p w:rsidR="008D7AD2" w:rsidRPr="006653A2" w:rsidRDefault="008D7AD2" w:rsidP="00A44234">
            <w:pPr>
              <w:keepLines/>
              <w:widowControl/>
              <w:jc w:val="left"/>
              <w:rPr>
                <w:rFonts w:ascii="Arial Narrow" w:hAnsi="Arial Narrow" w:cs="Times New Roman"/>
                <w:sz w:val="20"/>
                <w:szCs w:val="20"/>
                <w:lang w:eastAsia="en-AU"/>
              </w:rPr>
            </w:pPr>
          </w:p>
        </w:tc>
        <w:tc>
          <w:tcPr>
            <w:tcW w:w="736" w:type="pct"/>
            <w:vMerge/>
          </w:tcPr>
          <w:p w:rsidR="008D7AD2" w:rsidRPr="006653A2" w:rsidRDefault="008D7AD2" w:rsidP="00A44234">
            <w:pPr>
              <w:keepLines/>
              <w:widowControl/>
              <w:jc w:val="left"/>
              <w:rPr>
                <w:rFonts w:ascii="Arial Narrow" w:hAnsi="Arial Narrow" w:cs="Times New Roman"/>
                <w:sz w:val="20"/>
                <w:szCs w:val="20"/>
                <w:lang w:eastAsia="en-AU"/>
              </w:rPr>
            </w:pPr>
          </w:p>
        </w:tc>
        <w:tc>
          <w:tcPr>
            <w:tcW w:w="890" w:type="pct"/>
            <w:vMerge/>
          </w:tcPr>
          <w:p w:rsidR="008D7AD2" w:rsidRPr="006653A2" w:rsidRDefault="008D7AD2" w:rsidP="00A44234">
            <w:pPr>
              <w:keepLines/>
              <w:widowControl/>
              <w:jc w:val="left"/>
              <w:rPr>
                <w:rFonts w:ascii="Arial Narrow" w:hAnsi="Arial Narrow" w:cs="Times New Roman"/>
                <w:sz w:val="20"/>
                <w:szCs w:val="20"/>
                <w:lang w:eastAsia="en-AU"/>
              </w:rPr>
            </w:pPr>
          </w:p>
        </w:tc>
        <w:tc>
          <w:tcPr>
            <w:tcW w:w="1071" w:type="pct"/>
            <w:vMerge/>
          </w:tcPr>
          <w:p w:rsidR="008D7AD2" w:rsidRPr="006653A2" w:rsidRDefault="008D7AD2" w:rsidP="00A44234">
            <w:pPr>
              <w:keepLines/>
              <w:widowControl/>
              <w:jc w:val="left"/>
              <w:rPr>
                <w:rFonts w:ascii="Arial Narrow" w:hAnsi="Arial Narrow" w:cs="Times New Roman"/>
                <w:sz w:val="20"/>
                <w:szCs w:val="20"/>
                <w:lang w:eastAsia="en-AU"/>
              </w:rPr>
            </w:pPr>
          </w:p>
        </w:tc>
        <w:tc>
          <w:tcPr>
            <w:tcW w:w="552" w:type="pct"/>
          </w:tcPr>
          <w:p w:rsidR="008D7AD2" w:rsidRPr="006653A2" w:rsidRDefault="008D7AD2" w:rsidP="00A44234">
            <w:pPr>
              <w:keepLines/>
              <w:widowControl/>
              <w:jc w:val="left"/>
              <w:rPr>
                <w:rFonts w:ascii="Arial Narrow" w:hAnsi="Arial Narrow" w:cs="Times New Roman"/>
                <w:sz w:val="20"/>
                <w:szCs w:val="20"/>
                <w:lang w:eastAsia="en-AU"/>
              </w:rPr>
            </w:pPr>
            <w:r w:rsidRPr="006653A2">
              <w:rPr>
                <w:rFonts w:ascii="Arial Narrow" w:hAnsi="Arial Narrow" w:cs="Times New Roman"/>
                <w:sz w:val="20"/>
                <w:szCs w:val="20"/>
                <w:lang w:eastAsia="en-AU"/>
              </w:rPr>
              <w:t>Cost per QALY</w:t>
            </w:r>
          </w:p>
        </w:tc>
        <w:tc>
          <w:tcPr>
            <w:tcW w:w="1529" w:type="pct"/>
            <w:gridSpan w:val="3"/>
          </w:tcPr>
          <w:p w:rsidR="008D7AD2" w:rsidRPr="006653A2" w:rsidRDefault="008D7AD2" w:rsidP="00A44234">
            <w:pPr>
              <w:keepLines/>
              <w:widowControl/>
              <w:jc w:val="right"/>
              <w:rPr>
                <w:rFonts w:ascii="Arial Narrow" w:hAnsi="Arial Narrow" w:cs="Times New Roman"/>
                <w:bCs/>
                <w:sz w:val="20"/>
                <w:szCs w:val="20"/>
                <w:lang w:eastAsia="en-AU"/>
              </w:rPr>
            </w:pPr>
            <w:r w:rsidRPr="006653A2">
              <w:rPr>
                <w:rFonts w:ascii="Arial Narrow" w:hAnsi="Arial Narrow" w:cs="Times New Roman"/>
                <w:bCs/>
                <w:sz w:val="20"/>
                <w:szCs w:val="20"/>
                <w:lang w:eastAsia="en-AU"/>
              </w:rPr>
              <w:t>$</w:t>
            </w:r>
            <w:r w:rsidR="004C5EA1">
              <w:rPr>
                <w:rFonts w:ascii="Arial Narrow" w:hAnsi="Arial Narrow" w:cs="Times New Roman"/>
                <w:bCs/>
                <w:noProof/>
                <w:color w:val="000000"/>
                <w:sz w:val="20"/>
                <w:szCs w:val="20"/>
                <w:highlight w:val="black"/>
                <w:lang w:eastAsia="en-AU"/>
              </w:rPr>
              <w:t>'''''''''''''''''''''</w:t>
            </w:r>
          </w:p>
        </w:tc>
      </w:tr>
      <w:tr w:rsidR="007E7F98" w:rsidRPr="006653A2" w:rsidTr="003B4B48">
        <w:tblPrEx>
          <w:tblCellMar>
            <w:left w:w="108" w:type="dxa"/>
            <w:right w:w="108" w:type="dxa"/>
          </w:tblCellMar>
        </w:tblPrEx>
        <w:tc>
          <w:tcPr>
            <w:tcW w:w="222" w:type="pct"/>
            <w:vMerge w:val="restart"/>
          </w:tcPr>
          <w:p w:rsidR="007E7F98" w:rsidRPr="006653A2" w:rsidRDefault="007E7F98" w:rsidP="00A44234">
            <w:pPr>
              <w:keepLines/>
              <w:widowControl/>
              <w:jc w:val="left"/>
              <w:rPr>
                <w:rFonts w:ascii="Arial Narrow" w:hAnsi="Arial Narrow" w:cs="Times New Roman"/>
                <w:sz w:val="20"/>
                <w:szCs w:val="20"/>
                <w:lang w:eastAsia="en-AU"/>
              </w:rPr>
            </w:pPr>
            <w:r w:rsidRPr="006653A2">
              <w:rPr>
                <w:rFonts w:ascii="Arial Narrow" w:hAnsi="Arial Narrow" w:cs="Times New Roman"/>
                <w:sz w:val="20"/>
                <w:szCs w:val="20"/>
                <w:lang w:eastAsia="en-AU"/>
              </w:rPr>
              <w:t>11</w:t>
            </w:r>
          </w:p>
        </w:tc>
        <w:tc>
          <w:tcPr>
            <w:tcW w:w="736" w:type="pct"/>
            <w:vMerge w:val="restart"/>
          </w:tcPr>
          <w:p w:rsidR="007E7F98" w:rsidRPr="006653A2" w:rsidRDefault="007E7F98" w:rsidP="00A44234">
            <w:pPr>
              <w:keepLines/>
              <w:widowControl/>
              <w:jc w:val="left"/>
              <w:rPr>
                <w:rFonts w:ascii="Arial Narrow" w:hAnsi="Arial Narrow" w:cs="Times New Roman"/>
                <w:sz w:val="20"/>
                <w:szCs w:val="20"/>
                <w:lang w:eastAsia="en-AU"/>
              </w:rPr>
            </w:pPr>
            <w:r w:rsidRPr="006653A2">
              <w:rPr>
                <w:rFonts w:ascii="Arial Narrow" w:hAnsi="Arial Narrow" w:cs="Times New Roman"/>
                <w:sz w:val="20"/>
                <w:szCs w:val="20"/>
                <w:lang w:eastAsia="en-AU"/>
              </w:rPr>
              <w:t>#1 AND #2 AND #9</w:t>
            </w:r>
          </w:p>
        </w:tc>
        <w:tc>
          <w:tcPr>
            <w:tcW w:w="890" w:type="pct"/>
            <w:vMerge w:val="restart"/>
          </w:tcPr>
          <w:p w:rsidR="007E7F98" w:rsidRPr="006653A2" w:rsidRDefault="007E7F98" w:rsidP="00A44234">
            <w:pPr>
              <w:keepLines/>
              <w:widowControl/>
              <w:jc w:val="left"/>
              <w:rPr>
                <w:rFonts w:ascii="Arial Narrow" w:hAnsi="Arial Narrow" w:cs="Times New Roman"/>
                <w:sz w:val="20"/>
                <w:szCs w:val="20"/>
                <w:lang w:eastAsia="en-AU"/>
              </w:rPr>
            </w:pPr>
            <w:r w:rsidRPr="006653A2">
              <w:rPr>
                <w:rFonts w:ascii="Arial Narrow" w:hAnsi="Arial Narrow" w:cs="Times New Roman"/>
                <w:sz w:val="20"/>
                <w:szCs w:val="20"/>
                <w:lang w:eastAsia="en-AU"/>
              </w:rPr>
              <w:t>As above</w:t>
            </w:r>
          </w:p>
        </w:tc>
        <w:tc>
          <w:tcPr>
            <w:tcW w:w="1071" w:type="pct"/>
            <w:vMerge w:val="restart"/>
          </w:tcPr>
          <w:p w:rsidR="007E7F98" w:rsidRPr="006653A2" w:rsidRDefault="007E7F98" w:rsidP="00A44234">
            <w:pPr>
              <w:keepLines/>
              <w:widowControl/>
              <w:jc w:val="left"/>
              <w:rPr>
                <w:rFonts w:ascii="Arial Narrow" w:hAnsi="Arial Narrow" w:cs="Times New Roman"/>
                <w:sz w:val="20"/>
                <w:szCs w:val="20"/>
                <w:lang w:eastAsia="en-AU"/>
              </w:rPr>
            </w:pPr>
            <w:r w:rsidRPr="006653A2">
              <w:rPr>
                <w:rFonts w:ascii="Arial Narrow" w:hAnsi="Arial Narrow" w:cs="Times New Roman"/>
                <w:sz w:val="20"/>
                <w:szCs w:val="20"/>
                <w:lang w:eastAsia="en-AU"/>
              </w:rPr>
              <w:t>As above</w:t>
            </w:r>
          </w:p>
        </w:tc>
        <w:tc>
          <w:tcPr>
            <w:tcW w:w="552" w:type="pct"/>
          </w:tcPr>
          <w:p w:rsidR="007E7F98" w:rsidRPr="006653A2" w:rsidRDefault="007E7F98" w:rsidP="00A44234">
            <w:pPr>
              <w:keepLines/>
              <w:widowControl/>
              <w:jc w:val="left"/>
              <w:rPr>
                <w:rFonts w:ascii="Arial Narrow" w:hAnsi="Arial Narrow" w:cs="Times New Roman"/>
                <w:sz w:val="20"/>
                <w:szCs w:val="20"/>
                <w:lang w:eastAsia="en-AU"/>
              </w:rPr>
            </w:pPr>
            <w:r w:rsidRPr="006653A2">
              <w:rPr>
                <w:rFonts w:ascii="Arial Narrow" w:hAnsi="Arial Narrow" w:cs="Times New Roman"/>
                <w:sz w:val="20"/>
                <w:szCs w:val="20"/>
                <w:lang w:eastAsia="en-AU"/>
              </w:rPr>
              <w:t>Costs</w:t>
            </w:r>
          </w:p>
        </w:tc>
        <w:tc>
          <w:tcPr>
            <w:tcW w:w="477" w:type="pct"/>
          </w:tcPr>
          <w:p w:rsidR="007E7F98" w:rsidRPr="006653A2" w:rsidRDefault="007E7F98" w:rsidP="00A44234">
            <w:pPr>
              <w:keepLines/>
              <w:widowControl/>
              <w:jc w:val="right"/>
              <w:rPr>
                <w:rFonts w:ascii="Arial Narrow" w:hAnsi="Arial Narrow" w:cs="Times New Roman"/>
                <w:bCs/>
                <w:sz w:val="20"/>
                <w:szCs w:val="20"/>
                <w:lang w:eastAsia="en-AU"/>
              </w:rPr>
            </w:pPr>
            <w:r w:rsidRPr="006653A2">
              <w:rPr>
                <w:rFonts w:ascii="Arial Narrow" w:hAnsi="Arial Narrow" w:cs="Times New Roman"/>
                <w:sz w:val="20"/>
                <w:szCs w:val="20"/>
                <w:lang w:eastAsia="en-AU"/>
              </w:rPr>
              <w:t>$</w:t>
            </w:r>
            <w:r w:rsidR="004C5EA1">
              <w:rPr>
                <w:rFonts w:ascii="Arial Narrow" w:hAnsi="Arial Narrow" w:cs="Times New Roman"/>
                <w:noProof/>
                <w:color w:val="000000"/>
                <w:sz w:val="20"/>
                <w:szCs w:val="20"/>
                <w:highlight w:val="black"/>
                <w:lang w:eastAsia="en-AU"/>
              </w:rPr>
              <w:t>''''''''''''''''</w:t>
            </w:r>
          </w:p>
        </w:tc>
        <w:tc>
          <w:tcPr>
            <w:tcW w:w="478" w:type="pct"/>
          </w:tcPr>
          <w:p w:rsidR="007E7F98" w:rsidRPr="006653A2" w:rsidRDefault="007E7F98" w:rsidP="00A44234">
            <w:pPr>
              <w:keepLines/>
              <w:widowControl/>
              <w:jc w:val="right"/>
              <w:rPr>
                <w:rFonts w:ascii="Arial Narrow" w:hAnsi="Arial Narrow" w:cs="Times New Roman"/>
                <w:bCs/>
                <w:sz w:val="20"/>
                <w:szCs w:val="20"/>
                <w:lang w:eastAsia="en-AU"/>
              </w:rPr>
            </w:pPr>
            <w:r w:rsidRPr="006653A2">
              <w:rPr>
                <w:rFonts w:ascii="Arial Narrow" w:hAnsi="Arial Narrow" w:cs="Times New Roman"/>
                <w:sz w:val="20"/>
                <w:szCs w:val="20"/>
                <w:lang w:eastAsia="en-AU"/>
              </w:rPr>
              <w:t>$</w:t>
            </w:r>
            <w:r w:rsidR="004C5EA1">
              <w:rPr>
                <w:rFonts w:ascii="Arial Narrow" w:hAnsi="Arial Narrow" w:cs="Times New Roman"/>
                <w:noProof/>
                <w:color w:val="000000"/>
                <w:sz w:val="20"/>
                <w:szCs w:val="20"/>
                <w:highlight w:val="black"/>
                <w:lang w:eastAsia="en-AU"/>
              </w:rPr>
              <w:t>'''''''''''''</w:t>
            </w:r>
          </w:p>
        </w:tc>
        <w:tc>
          <w:tcPr>
            <w:tcW w:w="574" w:type="pct"/>
          </w:tcPr>
          <w:p w:rsidR="007E7F98" w:rsidRPr="006653A2" w:rsidRDefault="007E7F98" w:rsidP="00A44234">
            <w:pPr>
              <w:keepLines/>
              <w:widowControl/>
              <w:jc w:val="right"/>
              <w:rPr>
                <w:rFonts w:ascii="Arial Narrow" w:hAnsi="Arial Narrow" w:cs="Times New Roman"/>
                <w:bCs/>
                <w:sz w:val="20"/>
                <w:szCs w:val="20"/>
                <w:lang w:eastAsia="en-AU"/>
              </w:rPr>
            </w:pPr>
            <w:r w:rsidRPr="006653A2">
              <w:rPr>
                <w:rFonts w:ascii="Arial Narrow" w:hAnsi="Arial Narrow" w:cs="Times New Roman"/>
                <w:sz w:val="20"/>
                <w:szCs w:val="20"/>
                <w:lang w:eastAsia="en-AU"/>
              </w:rPr>
              <w:t>$</w:t>
            </w:r>
            <w:r w:rsidR="004C5EA1">
              <w:rPr>
                <w:rFonts w:ascii="Arial Narrow" w:hAnsi="Arial Narrow" w:cs="Times New Roman"/>
                <w:noProof/>
                <w:color w:val="000000"/>
                <w:sz w:val="20"/>
                <w:szCs w:val="20"/>
                <w:highlight w:val="black"/>
                <w:lang w:eastAsia="en-AU"/>
              </w:rPr>
              <w:t>'''''''''''''''</w:t>
            </w:r>
          </w:p>
        </w:tc>
      </w:tr>
      <w:tr w:rsidR="007E7F98" w:rsidRPr="006653A2" w:rsidTr="003B4B48">
        <w:tblPrEx>
          <w:tblCellMar>
            <w:left w:w="108" w:type="dxa"/>
            <w:right w:w="108" w:type="dxa"/>
          </w:tblCellMar>
        </w:tblPrEx>
        <w:tc>
          <w:tcPr>
            <w:tcW w:w="222" w:type="pct"/>
            <w:vMerge/>
          </w:tcPr>
          <w:p w:rsidR="007E7F98" w:rsidRPr="006653A2" w:rsidRDefault="007E7F98" w:rsidP="00A44234">
            <w:pPr>
              <w:keepLines/>
              <w:widowControl/>
              <w:jc w:val="left"/>
              <w:rPr>
                <w:rFonts w:ascii="Arial Narrow" w:hAnsi="Arial Narrow" w:cs="Times New Roman"/>
                <w:sz w:val="20"/>
                <w:szCs w:val="20"/>
                <w:lang w:eastAsia="en-AU"/>
              </w:rPr>
            </w:pPr>
          </w:p>
        </w:tc>
        <w:tc>
          <w:tcPr>
            <w:tcW w:w="736" w:type="pct"/>
            <w:vMerge/>
          </w:tcPr>
          <w:p w:rsidR="007E7F98" w:rsidRPr="006653A2" w:rsidRDefault="007E7F98" w:rsidP="00A44234">
            <w:pPr>
              <w:keepLines/>
              <w:widowControl/>
              <w:jc w:val="left"/>
              <w:rPr>
                <w:rFonts w:ascii="Arial Narrow" w:hAnsi="Arial Narrow" w:cs="Times New Roman"/>
                <w:sz w:val="20"/>
                <w:szCs w:val="20"/>
                <w:lang w:eastAsia="en-AU"/>
              </w:rPr>
            </w:pPr>
          </w:p>
        </w:tc>
        <w:tc>
          <w:tcPr>
            <w:tcW w:w="890" w:type="pct"/>
            <w:vMerge/>
          </w:tcPr>
          <w:p w:rsidR="007E7F98" w:rsidRPr="006653A2" w:rsidRDefault="007E7F98" w:rsidP="00A44234">
            <w:pPr>
              <w:keepLines/>
              <w:widowControl/>
              <w:jc w:val="left"/>
              <w:rPr>
                <w:rFonts w:ascii="Arial Narrow" w:hAnsi="Arial Narrow" w:cs="Times New Roman"/>
                <w:sz w:val="20"/>
                <w:szCs w:val="20"/>
                <w:lang w:eastAsia="en-AU"/>
              </w:rPr>
            </w:pPr>
          </w:p>
        </w:tc>
        <w:tc>
          <w:tcPr>
            <w:tcW w:w="1071" w:type="pct"/>
            <w:vMerge/>
          </w:tcPr>
          <w:p w:rsidR="007E7F98" w:rsidRPr="006653A2" w:rsidRDefault="007E7F98" w:rsidP="00A44234">
            <w:pPr>
              <w:keepLines/>
              <w:widowControl/>
              <w:jc w:val="left"/>
              <w:rPr>
                <w:rFonts w:ascii="Arial Narrow" w:hAnsi="Arial Narrow" w:cs="Times New Roman"/>
                <w:sz w:val="20"/>
                <w:szCs w:val="20"/>
                <w:lang w:eastAsia="en-AU"/>
              </w:rPr>
            </w:pPr>
          </w:p>
        </w:tc>
        <w:tc>
          <w:tcPr>
            <w:tcW w:w="552" w:type="pct"/>
          </w:tcPr>
          <w:p w:rsidR="007E7F98" w:rsidRPr="006653A2" w:rsidRDefault="007E7F98" w:rsidP="00A44234">
            <w:pPr>
              <w:keepLines/>
              <w:widowControl/>
              <w:jc w:val="left"/>
              <w:rPr>
                <w:rFonts w:ascii="Arial Narrow" w:hAnsi="Arial Narrow" w:cs="Times New Roman"/>
                <w:sz w:val="20"/>
                <w:szCs w:val="20"/>
                <w:lang w:eastAsia="en-AU"/>
              </w:rPr>
            </w:pPr>
            <w:r w:rsidRPr="006653A2">
              <w:rPr>
                <w:rFonts w:ascii="Arial Narrow" w:hAnsi="Arial Narrow" w:cs="Times New Roman"/>
                <w:sz w:val="20"/>
                <w:szCs w:val="20"/>
                <w:lang w:eastAsia="en-AU"/>
              </w:rPr>
              <w:t>QALYs</w:t>
            </w:r>
          </w:p>
        </w:tc>
        <w:tc>
          <w:tcPr>
            <w:tcW w:w="477" w:type="pct"/>
          </w:tcPr>
          <w:p w:rsidR="007E7F98" w:rsidRPr="004C5EA1" w:rsidRDefault="004C5EA1" w:rsidP="00A44234">
            <w:pPr>
              <w:keepLines/>
              <w:widowControl/>
              <w:jc w:val="right"/>
              <w:rPr>
                <w:rFonts w:ascii="Arial Narrow" w:hAnsi="Arial Narrow" w:cs="Times New Roman"/>
                <w:bCs/>
                <w:sz w:val="20"/>
                <w:szCs w:val="20"/>
                <w:highlight w:val="black"/>
                <w:lang w:eastAsia="en-AU"/>
              </w:rPr>
            </w:pPr>
            <w:r>
              <w:rPr>
                <w:rFonts w:ascii="Arial Narrow" w:hAnsi="Arial Narrow" w:cs="Times New Roman"/>
                <w:noProof/>
                <w:color w:val="000000"/>
                <w:sz w:val="20"/>
                <w:szCs w:val="20"/>
                <w:highlight w:val="black"/>
                <w:lang w:eastAsia="en-AU"/>
              </w:rPr>
              <w:t>''''''''''</w:t>
            </w:r>
          </w:p>
        </w:tc>
        <w:tc>
          <w:tcPr>
            <w:tcW w:w="478" w:type="pct"/>
          </w:tcPr>
          <w:p w:rsidR="007E7F98" w:rsidRPr="004C5EA1" w:rsidRDefault="004C5EA1" w:rsidP="00A44234">
            <w:pPr>
              <w:keepLines/>
              <w:widowControl/>
              <w:jc w:val="right"/>
              <w:rPr>
                <w:rFonts w:ascii="Arial Narrow" w:hAnsi="Arial Narrow" w:cs="Times New Roman"/>
                <w:bCs/>
                <w:sz w:val="20"/>
                <w:szCs w:val="20"/>
                <w:highlight w:val="black"/>
                <w:lang w:eastAsia="en-AU"/>
              </w:rPr>
            </w:pPr>
            <w:r>
              <w:rPr>
                <w:rFonts w:ascii="Arial Narrow" w:hAnsi="Arial Narrow" w:cs="Times New Roman"/>
                <w:noProof/>
                <w:color w:val="000000"/>
                <w:sz w:val="20"/>
                <w:szCs w:val="20"/>
                <w:highlight w:val="black"/>
                <w:lang w:eastAsia="en-AU"/>
              </w:rPr>
              <w:t>''''''''''</w:t>
            </w:r>
          </w:p>
        </w:tc>
        <w:tc>
          <w:tcPr>
            <w:tcW w:w="574" w:type="pct"/>
          </w:tcPr>
          <w:p w:rsidR="007E7F98" w:rsidRPr="004C5EA1" w:rsidRDefault="004C5EA1" w:rsidP="00A44234">
            <w:pPr>
              <w:keepLines/>
              <w:widowControl/>
              <w:jc w:val="right"/>
              <w:rPr>
                <w:rFonts w:ascii="Arial Narrow" w:hAnsi="Arial Narrow" w:cs="Times New Roman"/>
                <w:bCs/>
                <w:sz w:val="20"/>
                <w:szCs w:val="20"/>
                <w:highlight w:val="black"/>
                <w:lang w:eastAsia="en-AU"/>
              </w:rPr>
            </w:pPr>
            <w:r>
              <w:rPr>
                <w:rFonts w:ascii="Arial Narrow" w:hAnsi="Arial Narrow" w:cs="Times New Roman"/>
                <w:noProof/>
                <w:color w:val="000000"/>
                <w:sz w:val="20"/>
                <w:szCs w:val="20"/>
                <w:highlight w:val="black"/>
                <w:lang w:eastAsia="en-AU"/>
              </w:rPr>
              <w:t>''''''''''''</w:t>
            </w:r>
          </w:p>
        </w:tc>
      </w:tr>
      <w:tr w:rsidR="008D7AD2" w:rsidRPr="006653A2" w:rsidTr="008D7AD2">
        <w:tblPrEx>
          <w:tblCellMar>
            <w:left w:w="108" w:type="dxa"/>
            <w:right w:w="108" w:type="dxa"/>
          </w:tblCellMar>
        </w:tblPrEx>
        <w:tc>
          <w:tcPr>
            <w:tcW w:w="222" w:type="pct"/>
            <w:vMerge/>
          </w:tcPr>
          <w:p w:rsidR="008D7AD2" w:rsidRPr="006653A2" w:rsidRDefault="008D7AD2" w:rsidP="00A44234">
            <w:pPr>
              <w:keepLines/>
              <w:widowControl/>
              <w:jc w:val="left"/>
              <w:rPr>
                <w:rFonts w:ascii="Arial Narrow" w:hAnsi="Arial Narrow" w:cs="Times New Roman"/>
                <w:sz w:val="20"/>
                <w:szCs w:val="20"/>
                <w:lang w:eastAsia="en-AU"/>
              </w:rPr>
            </w:pPr>
          </w:p>
        </w:tc>
        <w:tc>
          <w:tcPr>
            <w:tcW w:w="736" w:type="pct"/>
            <w:vMerge/>
          </w:tcPr>
          <w:p w:rsidR="008D7AD2" w:rsidRPr="006653A2" w:rsidRDefault="008D7AD2" w:rsidP="00A44234">
            <w:pPr>
              <w:keepLines/>
              <w:widowControl/>
              <w:jc w:val="left"/>
              <w:rPr>
                <w:rFonts w:ascii="Arial Narrow" w:hAnsi="Arial Narrow" w:cs="Times New Roman"/>
                <w:sz w:val="20"/>
                <w:szCs w:val="20"/>
                <w:lang w:eastAsia="en-AU"/>
              </w:rPr>
            </w:pPr>
          </w:p>
        </w:tc>
        <w:tc>
          <w:tcPr>
            <w:tcW w:w="890" w:type="pct"/>
            <w:vMerge/>
          </w:tcPr>
          <w:p w:rsidR="008D7AD2" w:rsidRPr="006653A2" w:rsidRDefault="008D7AD2" w:rsidP="00A44234">
            <w:pPr>
              <w:keepLines/>
              <w:widowControl/>
              <w:jc w:val="left"/>
              <w:rPr>
                <w:rFonts w:ascii="Arial Narrow" w:hAnsi="Arial Narrow" w:cs="Times New Roman"/>
                <w:sz w:val="20"/>
                <w:szCs w:val="20"/>
                <w:lang w:eastAsia="en-AU"/>
              </w:rPr>
            </w:pPr>
          </w:p>
        </w:tc>
        <w:tc>
          <w:tcPr>
            <w:tcW w:w="1071" w:type="pct"/>
            <w:vMerge/>
          </w:tcPr>
          <w:p w:rsidR="008D7AD2" w:rsidRPr="006653A2" w:rsidRDefault="008D7AD2" w:rsidP="00A44234">
            <w:pPr>
              <w:keepLines/>
              <w:widowControl/>
              <w:jc w:val="left"/>
              <w:rPr>
                <w:rFonts w:ascii="Arial Narrow" w:hAnsi="Arial Narrow" w:cs="Times New Roman"/>
                <w:sz w:val="20"/>
                <w:szCs w:val="20"/>
                <w:lang w:eastAsia="en-AU"/>
              </w:rPr>
            </w:pPr>
          </w:p>
        </w:tc>
        <w:tc>
          <w:tcPr>
            <w:tcW w:w="552" w:type="pct"/>
          </w:tcPr>
          <w:p w:rsidR="008D7AD2" w:rsidRPr="006653A2" w:rsidRDefault="008D7AD2" w:rsidP="00A44234">
            <w:pPr>
              <w:keepLines/>
              <w:widowControl/>
              <w:jc w:val="left"/>
              <w:rPr>
                <w:rFonts w:ascii="Arial Narrow" w:hAnsi="Arial Narrow" w:cs="Times New Roman"/>
                <w:sz w:val="20"/>
                <w:szCs w:val="20"/>
                <w:lang w:eastAsia="en-AU"/>
              </w:rPr>
            </w:pPr>
            <w:r w:rsidRPr="006653A2">
              <w:rPr>
                <w:rFonts w:ascii="Arial Narrow" w:hAnsi="Arial Narrow" w:cs="Times New Roman"/>
                <w:sz w:val="20"/>
                <w:szCs w:val="20"/>
                <w:lang w:eastAsia="en-AU"/>
              </w:rPr>
              <w:t>Cost per QALY</w:t>
            </w:r>
          </w:p>
        </w:tc>
        <w:tc>
          <w:tcPr>
            <w:tcW w:w="1529" w:type="pct"/>
            <w:gridSpan w:val="3"/>
          </w:tcPr>
          <w:p w:rsidR="008D7AD2" w:rsidRPr="006653A2" w:rsidRDefault="008D7AD2" w:rsidP="00A44234">
            <w:pPr>
              <w:keepLines/>
              <w:widowControl/>
              <w:jc w:val="right"/>
              <w:rPr>
                <w:rFonts w:ascii="Arial Narrow" w:hAnsi="Arial Narrow" w:cs="Times New Roman"/>
                <w:bCs/>
                <w:sz w:val="20"/>
                <w:szCs w:val="20"/>
                <w:lang w:eastAsia="en-AU"/>
              </w:rPr>
            </w:pPr>
            <w:r w:rsidRPr="006653A2">
              <w:rPr>
                <w:rFonts w:ascii="Arial Narrow" w:hAnsi="Arial Narrow" w:cs="Times New Roman"/>
                <w:bCs/>
                <w:sz w:val="20"/>
                <w:szCs w:val="20"/>
                <w:lang w:eastAsia="en-AU"/>
              </w:rPr>
              <w:t>$</w:t>
            </w:r>
            <w:r w:rsidR="004C5EA1">
              <w:rPr>
                <w:rFonts w:ascii="Arial Narrow" w:hAnsi="Arial Narrow" w:cs="Times New Roman"/>
                <w:bCs/>
                <w:noProof/>
                <w:color w:val="000000"/>
                <w:sz w:val="20"/>
                <w:szCs w:val="20"/>
                <w:highlight w:val="black"/>
                <w:lang w:eastAsia="en-AU"/>
              </w:rPr>
              <w:t>'''''''''''''''''''</w:t>
            </w:r>
          </w:p>
        </w:tc>
      </w:tr>
    </w:tbl>
    <w:p w:rsidR="00160564" w:rsidRPr="006653A2" w:rsidRDefault="006653A2" w:rsidP="00160564">
      <w:pPr>
        <w:pStyle w:val="TableFooter"/>
      </w:pPr>
      <w:r>
        <w:t xml:space="preserve">Rani = ranibizumab; </w:t>
      </w:r>
      <w:r w:rsidR="00160564" w:rsidRPr="006653A2">
        <w:t>QALY = quality adjusted life years; RR = relative risk; BSE = better-seei</w:t>
      </w:r>
      <w:r>
        <w:t>ng eye; WSE = worse-seeing eye.</w:t>
      </w:r>
    </w:p>
    <w:p w:rsidR="00160564" w:rsidRDefault="00160564" w:rsidP="00EA4EF8">
      <w:pPr>
        <w:pStyle w:val="TableFooter"/>
        <w:spacing w:after="160"/>
        <w:jc w:val="left"/>
      </w:pPr>
      <w:r w:rsidRPr="006653A2">
        <w:rPr>
          <w:rStyle w:val="CommentReference"/>
          <w:b w:val="0"/>
          <w:sz w:val="18"/>
          <w:szCs w:val="22"/>
        </w:rPr>
        <w:t xml:space="preserve">Source: sensitivity analyses conducted during the evaluation, based on those presented in Table 3.9-1, p96, Section 3 of the submission, correcting for the error identified above and using </w:t>
      </w:r>
      <w:r w:rsidRPr="006653A2">
        <w:t>EconomicModel_Ranibizumab_CNV.xlsx</w:t>
      </w:r>
    </w:p>
    <w:p w:rsidR="00334325" w:rsidRPr="00334325" w:rsidRDefault="00334325" w:rsidP="00EA4EF8">
      <w:pPr>
        <w:pStyle w:val="TableFooter"/>
        <w:spacing w:after="160"/>
        <w:jc w:val="left"/>
        <w:rPr>
          <w:rStyle w:val="CommentReference"/>
          <w:rFonts w:asciiTheme="minorHAnsi" w:hAnsiTheme="minorHAnsi"/>
          <w:b w:val="0"/>
          <w:sz w:val="24"/>
          <w:szCs w:val="24"/>
        </w:rPr>
      </w:pPr>
      <w:r>
        <w:rPr>
          <w:rFonts w:asciiTheme="minorHAnsi" w:hAnsiTheme="minorHAnsi"/>
          <w:sz w:val="24"/>
          <w:szCs w:val="24"/>
        </w:rPr>
        <w:t>The redacted table shows ICERs in the range of less than $15,000/QALY to $200,000/QALY.</w:t>
      </w:r>
    </w:p>
    <w:p w:rsidR="00914D02" w:rsidRDefault="00914D02" w:rsidP="00EA4EF8">
      <w:pPr>
        <w:pStyle w:val="ListParagraph"/>
        <w:numPr>
          <w:ilvl w:val="1"/>
          <w:numId w:val="2"/>
        </w:numPr>
      </w:pPr>
      <w:r w:rsidRPr="00EB3AF3">
        <w:t>The</w:t>
      </w:r>
      <w:r w:rsidR="00424163" w:rsidRPr="00EB3AF3">
        <w:t>se sensitivity analyses show that</w:t>
      </w:r>
      <w:r w:rsidR="002844F8" w:rsidRPr="00EB3AF3">
        <w:t xml:space="preserve"> in addition to the frequency</w:t>
      </w:r>
      <w:r w:rsidR="00AF16CD" w:rsidRPr="00EB3AF3">
        <w:t xml:space="preserve"> of injections</w:t>
      </w:r>
      <w:r w:rsidR="002844F8" w:rsidRPr="00EB3AF3">
        <w:t>,</w:t>
      </w:r>
      <w:r w:rsidR="00424163" w:rsidRPr="00EB3AF3">
        <w:t xml:space="preserve"> the model is</w:t>
      </w:r>
      <w:r w:rsidR="002844F8" w:rsidRPr="00EB3AF3">
        <w:t xml:space="preserve"> also</w:t>
      </w:r>
      <w:r w:rsidR="00424163" w:rsidRPr="00EB3AF3">
        <w:t xml:space="preserve"> sensitive to the duration </w:t>
      </w:r>
      <w:r w:rsidR="008F3BED" w:rsidRPr="00EB3AF3">
        <w:t>of therapy with ranibizumab</w:t>
      </w:r>
      <w:r w:rsidR="00424163" w:rsidRPr="00EB3AF3">
        <w:t>. When 8.4 administrations in year 1 and 7.1 administrations in all subsequent years are applied to the model, the I</w:t>
      </w:r>
      <w:r w:rsidR="00AF16CD" w:rsidRPr="00EB3AF3">
        <w:t>CER increased to</w:t>
      </w:r>
      <w:r w:rsidR="00334325">
        <w:t>$105,000/QALY - $200,000/QALY</w:t>
      </w:r>
      <w:r w:rsidR="00AF16CD" w:rsidRPr="00EB3AF3">
        <w:t>.</w:t>
      </w:r>
    </w:p>
    <w:p w:rsidR="0043092F" w:rsidRPr="00EB3AF3" w:rsidRDefault="0043092F" w:rsidP="0043092F">
      <w:pPr>
        <w:keepNext/>
        <w:widowControl/>
        <w:numPr>
          <w:ilvl w:val="1"/>
          <w:numId w:val="2"/>
        </w:numPr>
        <w:spacing w:after="160"/>
      </w:pPr>
      <w:r>
        <w:t xml:space="preserve">The pre-PBAC Response argued that the sensitivity analyses </w:t>
      </w:r>
      <w:r w:rsidR="006653A2">
        <w:t>provided</w:t>
      </w:r>
      <w:r>
        <w:t xml:space="preserve"> by </w:t>
      </w:r>
      <w:r w:rsidR="006653A2">
        <w:t xml:space="preserve">the </w:t>
      </w:r>
      <w:r>
        <w:t xml:space="preserve">ESC </w:t>
      </w:r>
      <w:r w:rsidR="006653A2">
        <w:t>were</w:t>
      </w:r>
      <w:r>
        <w:t xml:space="preserve"> conservative as </w:t>
      </w:r>
      <w:r w:rsidR="006653A2">
        <w:t>they</w:t>
      </w:r>
      <w:r>
        <w:t xml:space="preserve"> assume</w:t>
      </w:r>
      <w:r w:rsidR="006653A2">
        <w:t>d</w:t>
      </w:r>
      <w:r>
        <w:t xml:space="preserve"> no treatment effect beyond Year 1 and clinicians </w:t>
      </w:r>
      <w:r w:rsidR="006653A2">
        <w:t>would be unlikely</w:t>
      </w:r>
      <w:r>
        <w:t xml:space="preserve"> to continue treatment with ranibizumab in the absence of a treatment effect. The pre-PBAC Response provided additional sensitivity analyses applying the number of injections for the treatment of rare CNV sourced from a literature search where the ICER ranged from </w:t>
      </w:r>
      <w:r w:rsidR="00334325">
        <w:t>less than $15,000/QALY to $15,000/QALY - $45,000/QALY</w:t>
      </w:r>
      <w:r>
        <w:t xml:space="preserve"> gained. The PBAC noted the data used to inform th</w:t>
      </w:r>
      <w:r w:rsidR="006653A2">
        <w:t>ese</w:t>
      </w:r>
      <w:r>
        <w:t xml:space="preserve"> alternative analysis were derived from studies including patients with CNV due to angioid streaks only and had not been evaluated.</w:t>
      </w:r>
    </w:p>
    <w:p w:rsidR="009C37B1" w:rsidRPr="006653A2" w:rsidRDefault="009C37B1" w:rsidP="00076F67">
      <w:pPr>
        <w:pStyle w:val="Heading2"/>
      </w:pPr>
      <w:r w:rsidRPr="006653A2">
        <w:t>Drug cost/patient/year: $</w:t>
      </w:r>
      <w:r w:rsidR="004C5EA1">
        <w:rPr>
          <w:noProof/>
          <w:color w:val="000000"/>
          <w:highlight w:val="black"/>
        </w:rPr>
        <w:t>''''''''''</w:t>
      </w:r>
    </w:p>
    <w:p w:rsidR="009C37B1" w:rsidRDefault="009C37B1" w:rsidP="009C37B1">
      <w:pPr>
        <w:keepNext/>
        <w:widowControl/>
        <w:numPr>
          <w:ilvl w:val="1"/>
          <w:numId w:val="2"/>
        </w:numPr>
        <w:spacing w:after="160"/>
      </w:pPr>
      <w:r w:rsidRPr="00EB3AF3">
        <w:t xml:space="preserve">The cost/patient/year </w:t>
      </w:r>
      <w:r w:rsidR="001A3E21" w:rsidRPr="00EB3AF3">
        <w:t>wa</w:t>
      </w:r>
      <w:r w:rsidRPr="00EB3AF3">
        <w:t>s estimated to be $</w:t>
      </w:r>
      <w:r w:rsidR="004C5EA1">
        <w:rPr>
          <w:noProof/>
          <w:color w:val="000000"/>
          <w:highlight w:val="black"/>
        </w:rPr>
        <w:t>'''''''''''</w:t>
      </w:r>
      <w:r w:rsidRPr="00EB3AF3">
        <w:t xml:space="preserve">. This </w:t>
      </w:r>
      <w:r w:rsidR="001A3E21" w:rsidRPr="00EB3AF3">
        <w:t>wa</w:t>
      </w:r>
      <w:r w:rsidRPr="00EB3AF3">
        <w:t>s calculated assuming an average of 5.8 treatments per patient for unilateral treatment, as was observed over the 12 months following randomisation MINERVA, and a cost per treatment of $</w:t>
      </w:r>
      <w:r w:rsidR="004C5EA1">
        <w:rPr>
          <w:noProof/>
          <w:color w:val="000000"/>
          <w:highlight w:val="black"/>
        </w:rPr>
        <w:t>''''''''''''</w:t>
      </w:r>
      <w:r w:rsidRPr="00EB3AF3">
        <w:t xml:space="preserve">. There was no robust data for the </w:t>
      </w:r>
      <w:r w:rsidR="001A3E21" w:rsidRPr="00EB3AF3">
        <w:t xml:space="preserve">average </w:t>
      </w:r>
      <w:r w:rsidRPr="00EB3AF3">
        <w:t>number of ranibizumab in</w:t>
      </w:r>
      <w:r w:rsidR="001A3E21" w:rsidRPr="00EB3AF3">
        <w:t>jections beyond the first year.</w:t>
      </w:r>
    </w:p>
    <w:p w:rsidR="00B60939" w:rsidRPr="004F1B17" w:rsidRDefault="00B60939" w:rsidP="00076F67">
      <w:pPr>
        <w:pStyle w:val="Heading2"/>
      </w:pPr>
      <w:bookmarkStart w:id="30" w:name="_Toc503186257"/>
      <w:r w:rsidRPr="004F1B17">
        <w:t>Estimated PBS usage &amp; financial implications</w:t>
      </w:r>
      <w:bookmarkEnd w:id="30"/>
    </w:p>
    <w:p w:rsidR="00BF3F6A" w:rsidRPr="00EB3AF3" w:rsidRDefault="00BF3F6A" w:rsidP="00FF28DB">
      <w:pPr>
        <w:widowControl/>
        <w:numPr>
          <w:ilvl w:val="1"/>
          <w:numId w:val="2"/>
        </w:numPr>
        <w:spacing w:after="160"/>
      </w:pPr>
      <w:r w:rsidRPr="00EB3AF3">
        <w:lastRenderedPageBreak/>
        <w:t xml:space="preserve">This submission was not considered by DUSC. The submission used an epidemiological approach to estimate the use and financial impact of listing ranibizumab for the treatment of rare </w:t>
      </w:r>
      <w:r w:rsidR="00CB1B48" w:rsidRPr="00EB3AF3">
        <w:t xml:space="preserve">subfoveal </w:t>
      </w:r>
      <w:r w:rsidRPr="00EB3AF3">
        <w:t>CNV.</w:t>
      </w:r>
    </w:p>
    <w:p w:rsidR="009A718B" w:rsidRPr="00EB3AF3" w:rsidRDefault="00AD5F76" w:rsidP="00FF28DB">
      <w:pPr>
        <w:pStyle w:val="ListParagraph"/>
        <w:widowControl/>
        <w:numPr>
          <w:ilvl w:val="1"/>
          <w:numId w:val="2"/>
        </w:numPr>
      </w:pPr>
      <w:r w:rsidRPr="00EB3AF3">
        <w:t>The submission stated that</w:t>
      </w:r>
      <w:r w:rsidR="007F7A6E" w:rsidRPr="00EB3AF3">
        <w:t>,</w:t>
      </w:r>
      <w:r w:rsidRPr="00EB3AF3">
        <w:t xml:space="preserve"> as treatment for rare CNV is often completed within 12 months, only the incident population are relevant to estimates of patient numbers applicable to the proposed listing. The derivation of the incident population of rare CNV in the submission was extremely convoluted and involved estimating the prevalent population of patients</w:t>
      </w:r>
      <w:r w:rsidR="006A4700" w:rsidRPr="00EB3AF3">
        <w:t xml:space="preserve"> </w:t>
      </w:r>
      <w:r w:rsidRPr="00EB3AF3">
        <w:t xml:space="preserve">with </w:t>
      </w:r>
      <w:r w:rsidR="006A4700" w:rsidRPr="00EB3AF3">
        <w:t>angioid streaks</w:t>
      </w:r>
      <w:r w:rsidRPr="00EB3AF3">
        <w:t xml:space="preserve">, the proportion of these patients who have CNV (referred to as the prevalent CNV/AS population in the submission), extrapolating this to estimate the </w:t>
      </w:r>
      <w:r w:rsidR="00C6596D" w:rsidRPr="00EB3AF3">
        <w:t>‘</w:t>
      </w:r>
      <w:r w:rsidRPr="00EB3AF3">
        <w:t xml:space="preserve">total </w:t>
      </w:r>
      <w:r w:rsidR="007F7A6E" w:rsidRPr="00EB3AF3">
        <w:t xml:space="preserve">prevalent </w:t>
      </w:r>
      <w:r w:rsidRPr="00EB3AF3">
        <w:t>rare CNV population</w:t>
      </w:r>
      <w:r w:rsidR="00C6596D" w:rsidRPr="00EB3AF3">
        <w:t>’</w:t>
      </w:r>
      <w:r w:rsidRPr="00EB3AF3">
        <w:t xml:space="preserve">, and applying the estimated incidence of CNV </w:t>
      </w:r>
      <w:r w:rsidR="00431D24" w:rsidRPr="00EB3AF3">
        <w:t>due to angioid streaks</w:t>
      </w:r>
      <w:r w:rsidRPr="00EB3AF3">
        <w:t xml:space="preserve"> to estimate the total incident population with rare CNV.</w:t>
      </w:r>
      <w:r w:rsidR="002F6722" w:rsidRPr="00EB3AF3">
        <w:t xml:space="preserve"> </w:t>
      </w:r>
      <w:r w:rsidR="006463F1" w:rsidRPr="00EB3AF3">
        <w:t>The ESC considered the method used to estimate the prevalent patient population</w:t>
      </w:r>
      <w:r w:rsidR="00E403EF" w:rsidRPr="00EB3AF3">
        <w:t xml:space="preserve"> resulted in patient numbers that were </w:t>
      </w:r>
      <w:r w:rsidR="006463F1" w:rsidRPr="00EB3AF3">
        <w:t>highly uncertain</w:t>
      </w:r>
      <w:r w:rsidR="006510A9" w:rsidRPr="00EB3AF3">
        <w:t xml:space="preserve">, </w:t>
      </w:r>
      <w:r w:rsidR="000717EB" w:rsidRPr="00EB3AF3">
        <w:t>especially</w:t>
      </w:r>
      <w:r w:rsidR="006510A9" w:rsidRPr="00EB3AF3">
        <w:t xml:space="preserve"> if the average duration of ranibizumab therapy is greater than 12 months</w:t>
      </w:r>
      <w:r w:rsidR="006463F1" w:rsidRPr="00EB3AF3">
        <w:t>.</w:t>
      </w:r>
    </w:p>
    <w:p w:rsidR="00C80BCA" w:rsidRPr="00EB3AF3" w:rsidRDefault="009A718B" w:rsidP="00FF28DB">
      <w:pPr>
        <w:pStyle w:val="ListParagraph"/>
        <w:widowControl/>
        <w:numPr>
          <w:ilvl w:val="1"/>
          <w:numId w:val="2"/>
        </w:numPr>
      </w:pPr>
      <w:r w:rsidRPr="00EB3AF3">
        <w:t>Given the limited epidemiological data available for these rare causes of CNV, and the number of assumptions inherent in the method use</w:t>
      </w:r>
      <w:r w:rsidR="00D637A8" w:rsidRPr="00EB3AF3">
        <w:t>d</w:t>
      </w:r>
      <w:r w:rsidR="00CB5221" w:rsidRPr="00EB3AF3">
        <w:t xml:space="preserve"> to derive the eligible patient population</w:t>
      </w:r>
      <w:r w:rsidRPr="00EB3AF3">
        <w:t>, the estimated number of patients likely to be treated with ranibizumab under the requested restriction was highly uncertain.</w:t>
      </w:r>
      <w:r w:rsidR="00CD3138" w:rsidRPr="00EB3AF3">
        <w:t xml:space="preserve"> However, the ESC considered that the </w:t>
      </w:r>
      <w:r w:rsidR="006510A9" w:rsidRPr="00EB3AF3">
        <w:t xml:space="preserve">overall </w:t>
      </w:r>
      <w:r w:rsidR="00CD3138" w:rsidRPr="00EB3AF3">
        <w:t>number of patients w</w:t>
      </w:r>
      <w:r w:rsidR="006510A9" w:rsidRPr="00EB3AF3">
        <w:t xml:space="preserve">ould still </w:t>
      </w:r>
      <w:r w:rsidR="00CD3138" w:rsidRPr="00EB3AF3">
        <w:t xml:space="preserve">be </w:t>
      </w:r>
      <w:r w:rsidR="006510A9" w:rsidRPr="00EB3AF3">
        <w:t>small</w:t>
      </w:r>
      <w:r w:rsidR="00CD3138" w:rsidRPr="00EB3AF3">
        <w:t>.</w:t>
      </w:r>
      <w:r w:rsidRPr="00EB3AF3">
        <w:t xml:space="preserve"> </w:t>
      </w:r>
      <w:r w:rsidR="00033541" w:rsidRPr="00EB3AF3">
        <w:t xml:space="preserve">As discussed above, </w:t>
      </w:r>
      <w:r w:rsidR="00004E7C" w:rsidRPr="00EB3AF3">
        <w:t>there was also considerable uncertainty in the number of ranibizumab injections likely to be required per patient in the Australian clinical setting.</w:t>
      </w:r>
    </w:p>
    <w:p w:rsidR="003E0DBA" w:rsidRPr="00EB3AF3" w:rsidRDefault="00E9218A" w:rsidP="00FF28DB">
      <w:pPr>
        <w:pStyle w:val="ListParagraph"/>
        <w:widowControl/>
        <w:numPr>
          <w:ilvl w:val="1"/>
          <w:numId w:val="2"/>
        </w:numPr>
      </w:pPr>
      <w:r w:rsidRPr="00EB3AF3">
        <w:t xml:space="preserve">The submission assumed that </w:t>
      </w:r>
      <w:r w:rsidR="00DA7306" w:rsidRPr="00EB3AF3">
        <w:t>PBS subsidised</w:t>
      </w:r>
      <w:r w:rsidRPr="00EB3AF3">
        <w:t xml:space="preserve"> verteporfin and ranibizumab are currently being accessed for the treatment of rare CNV </w:t>
      </w:r>
      <w:r w:rsidR="00F13782" w:rsidRPr="00EB3AF3">
        <w:t>outside the PBS restriction for CNV due to AMD</w:t>
      </w:r>
      <w:r w:rsidRPr="00EB3AF3">
        <w:t xml:space="preserve">. The submission offset the estimated costs associated with this use of ranibizumab and verteporfin outside of their current restrictions. </w:t>
      </w:r>
      <w:r w:rsidR="003E0DBA" w:rsidRPr="00EB3AF3">
        <w:t xml:space="preserve">The submission’s approach to include cost offsets for the prescribing of verteporfin and ranibizumab outside the PBS restrictions for CNV due to AMD is not appropriate. No substantive evidence to support the </w:t>
      </w:r>
      <w:r w:rsidR="002C0FCE" w:rsidRPr="00EB3AF3">
        <w:t xml:space="preserve">frequency </w:t>
      </w:r>
      <w:r w:rsidR="003E0DBA" w:rsidRPr="00EB3AF3">
        <w:t>of use outside the current restrictions was provided in the submission. There was insufficient information provided in the submission to determine whether the clinicians informing the assumption are representative of current prescribers</w:t>
      </w:r>
      <w:r w:rsidR="00DF55E9" w:rsidRPr="00EB3AF3">
        <w:t xml:space="preserve"> or have knowledge of prescribing patterns</w:t>
      </w:r>
      <w:r w:rsidR="003E0DBA" w:rsidRPr="00EB3AF3">
        <w:t xml:space="preserve">. Importantly, it would </w:t>
      </w:r>
      <w:r w:rsidR="00DF55E9" w:rsidRPr="00EB3AF3">
        <w:t>be difficult</w:t>
      </w:r>
      <w:r w:rsidR="003E0DBA" w:rsidRPr="00EB3AF3">
        <w:t xml:space="preserve"> for a sample of clinicians to be able to accurately report on the extent of prescribing outside the PBS restrictions in clinical practice. This could only be</w:t>
      </w:r>
      <w:r w:rsidR="00DF55E9" w:rsidRPr="00EB3AF3">
        <w:t xml:space="preserve"> accurately</w:t>
      </w:r>
      <w:r w:rsidR="003E0DBA" w:rsidRPr="00EB3AF3">
        <w:t xml:space="preserve"> achieved through a formal audit of all RPBS/PBS claims.</w:t>
      </w:r>
      <w:r w:rsidR="005C51E9" w:rsidRPr="00EB3AF3">
        <w:t xml:space="preserve"> </w:t>
      </w:r>
      <w:r w:rsidR="00477140" w:rsidRPr="00EB3AF3">
        <w:t>The PSCR did not agree that it was inappropriate to include cost offsets for existing treatments and argued that it is very unlikely that the condition would be left untreated on the basis that it is highly symptomatic and affects a relatively young population. The ESC considered that</w:t>
      </w:r>
      <w:r w:rsidR="006510A9" w:rsidRPr="00EB3AF3">
        <w:t>,</w:t>
      </w:r>
      <w:r w:rsidR="00477140" w:rsidRPr="00EB3AF3">
        <w:t xml:space="preserve"> in the absence of any data that reports on the extent of prescribing with relative accuracy, it would not be appropriate to include cost offsets for prescribing of PBS listed medicine</w:t>
      </w:r>
      <w:r w:rsidR="006510A9" w:rsidRPr="00EB3AF3">
        <w:t>s outside their PBS restrictions.</w:t>
      </w:r>
    </w:p>
    <w:p w:rsidR="00E9218A" w:rsidRPr="00EB3AF3" w:rsidRDefault="00E9218A" w:rsidP="00FF28DB">
      <w:pPr>
        <w:pStyle w:val="ListParagraph"/>
        <w:widowControl/>
        <w:numPr>
          <w:ilvl w:val="1"/>
          <w:numId w:val="2"/>
        </w:numPr>
      </w:pPr>
      <w:r w:rsidRPr="00EB3AF3">
        <w:lastRenderedPageBreak/>
        <w:t xml:space="preserve">The derivation of the potential cost offsets resulting from displacement of current use of </w:t>
      </w:r>
      <w:r w:rsidR="002B6614" w:rsidRPr="00EB3AF3">
        <w:t>PBS listed</w:t>
      </w:r>
      <w:r w:rsidRPr="00EB3AF3">
        <w:t xml:space="preserve"> medicines was based on the assumption that, in the current scenario, 20% of patients with rare CNV who are treated receive PBS subsidised VEGF </w:t>
      </w:r>
      <w:r w:rsidR="008A5F04">
        <w:t xml:space="preserve">inhibitor </w:t>
      </w:r>
      <w:r w:rsidRPr="00EB3AF3">
        <w:t>therapy and 2% of incident patients receive PBS-funded verteporfin. The remaining patients were assumed to be receiving treatment outside the PBS. The source of t</w:t>
      </w:r>
      <w:r w:rsidR="00B52D24" w:rsidRPr="00EB3AF3">
        <w:t>hese assumptions was not clear.</w:t>
      </w:r>
    </w:p>
    <w:p w:rsidR="00C80BCA" w:rsidRPr="00EB3AF3" w:rsidRDefault="00C80BCA" w:rsidP="00FF28DB">
      <w:pPr>
        <w:pStyle w:val="ListParagraph"/>
        <w:widowControl/>
        <w:numPr>
          <w:ilvl w:val="1"/>
          <w:numId w:val="2"/>
        </w:numPr>
      </w:pPr>
      <w:r w:rsidRPr="00EB3AF3">
        <w:rPr>
          <w:color w:val="000000" w:themeColor="text1"/>
        </w:rPr>
        <w:t xml:space="preserve">The estimated use and financial implications to the PBS/RPBS and the MBS of listing ranibizumab for the treatment of CNV secondary to conditions other than AMD </w:t>
      </w:r>
      <w:r w:rsidR="00B55465" w:rsidRPr="00EB3AF3">
        <w:rPr>
          <w:color w:val="000000" w:themeColor="text1"/>
        </w:rPr>
        <w:t>and PM are summarised in Table 1</w:t>
      </w:r>
      <w:r w:rsidR="00497D95" w:rsidRPr="00EB3AF3">
        <w:rPr>
          <w:color w:val="000000" w:themeColor="text1"/>
        </w:rPr>
        <w:t>2</w:t>
      </w:r>
      <w:r w:rsidR="00B52D24" w:rsidRPr="00EB3AF3">
        <w:rPr>
          <w:color w:val="000000" w:themeColor="text1"/>
        </w:rPr>
        <w:t>.</w:t>
      </w:r>
    </w:p>
    <w:p w:rsidR="009912D4" w:rsidRPr="00C25D9C" w:rsidRDefault="009912D4" w:rsidP="009912D4">
      <w:r w:rsidRPr="001222FC">
        <w:rPr>
          <w:rStyle w:val="CommentReference"/>
        </w:rPr>
        <w:t xml:space="preserve">Table </w:t>
      </w:r>
      <w:r w:rsidR="00B55465">
        <w:rPr>
          <w:rStyle w:val="CommentReference"/>
        </w:rPr>
        <w:t>1</w:t>
      </w:r>
      <w:r w:rsidR="00497D95">
        <w:rPr>
          <w:rStyle w:val="CommentReference"/>
        </w:rPr>
        <w:t>2</w:t>
      </w:r>
      <w:r w:rsidRPr="001222FC">
        <w:rPr>
          <w:rStyle w:val="CommentReference"/>
        </w:rPr>
        <w:t>: Estimated use and financial implications</w:t>
      </w:r>
      <w:r>
        <w:rPr>
          <w:rStyle w:val="CommentReference"/>
        </w:rPr>
        <w:t xml:space="preserve"> (effective prices)</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016"/>
        <w:gridCol w:w="1166"/>
        <w:gridCol w:w="1165"/>
        <w:gridCol w:w="1165"/>
        <w:gridCol w:w="1165"/>
        <w:gridCol w:w="1165"/>
        <w:gridCol w:w="1163"/>
      </w:tblGrid>
      <w:tr w:rsidR="009912D4" w:rsidRPr="00D1078F" w:rsidTr="003D754C">
        <w:trPr>
          <w:tblHeader/>
        </w:trPr>
        <w:tc>
          <w:tcPr>
            <w:tcW w:w="1119" w:type="pct"/>
            <w:shd w:val="clear" w:color="auto" w:fill="auto"/>
            <w:vAlign w:val="center"/>
          </w:tcPr>
          <w:p w:rsidR="009912D4" w:rsidRPr="003639A6" w:rsidRDefault="009912D4" w:rsidP="003D754C">
            <w:pPr>
              <w:pStyle w:val="Tabletext"/>
            </w:pPr>
          </w:p>
        </w:tc>
        <w:tc>
          <w:tcPr>
            <w:tcW w:w="647" w:type="pct"/>
            <w:shd w:val="clear" w:color="auto" w:fill="auto"/>
            <w:vAlign w:val="center"/>
          </w:tcPr>
          <w:p w:rsidR="009912D4" w:rsidRPr="00D1078F" w:rsidRDefault="009912D4" w:rsidP="003D754C">
            <w:pPr>
              <w:pStyle w:val="Tabletext"/>
              <w:jc w:val="center"/>
              <w:rPr>
                <w:b/>
              </w:rPr>
            </w:pPr>
            <w:r w:rsidRPr="00D1078F">
              <w:rPr>
                <w:b/>
              </w:rPr>
              <w:t>Year 1</w:t>
            </w:r>
          </w:p>
        </w:tc>
        <w:tc>
          <w:tcPr>
            <w:tcW w:w="647" w:type="pct"/>
            <w:shd w:val="clear" w:color="auto" w:fill="auto"/>
            <w:vAlign w:val="center"/>
          </w:tcPr>
          <w:p w:rsidR="009912D4" w:rsidRPr="00D1078F" w:rsidRDefault="009912D4" w:rsidP="003D754C">
            <w:pPr>
              <w:pStyle w:val="Tabletext"/>
              <w:jc w:val="center"/>
              <w:rPr>
                <w:b/>
              </w:rPr>
            </w:pPr>
            <w:r w:rsidRPr="00D1078F">
              <w:rPr>
                <w:b/>
              </w:rPr>
              <w:t>Year 2</w:t>
            </w:r>
          </w:p>
        </w:tc>
        <w:tc>
          <w:tcPr>
            <w:tcW w:w="647" w:type="pct"/>
            <w:shd w:val="clear" w:color="auto" w:fill="auto"/>
            <w:vAlign w:val="center"/>
          </w:tcPr>
          <w:p w:rsidR="009912D4" w:rsidRPr="00D1078F" w:rsidRDefault="009912D4" w:rsidP="003D754C">
            <w:pPr>
              <w:pStyle w:val="Tabletext"/>
              <w:jc w:val="center"/>
              <w:rPr>
                <w:b/>
              </w:rPr>
            </w:pPr>
            <w:r w:rsidRPr="00D1078F">
              <w:rPr>
                <w:b/>
              </w:rPr>
              <w:t>Year 3</w:t>
            </w:r>
          </w:p>
        </w:tc>
        <w:tc>
          <w:tcPr>
            <w:tcW w:w="647" w:type="pct"/>
            <w:shd w:val="clear" w:color="auto" w:fill="auto"/>
            <w:vAlign w:val="center"/>
          </w:tcPr>
          <w:p w:rsidR="009912D4" w:rsidRPr="00D1078F" w:rsidRDefault="009912D4" w:rsidP="003D754C">
            <w:pPr>
              <w:pStyle w:val="Tabletext"/>
              <w:jc w:val="center"/>
              <w:rPr>
                <w:b/>
              </w:rPr>
            </w:pPr>
            <w:r w:rsidRPr="00D1078F">
              <w:rPr>
                <w:b/>
              </w:rPr>
              <w:t>Year 4</w:t>
            </w:r>
          </w:p>
        </w:tc>
        <w:tc>
          <w:tcPr>
            <w:tcW w:w="647" w:type="pct"/>
            <w:shd w:val="clear" w:color="auto" w:fill="auto"/>
            <w:vAlign w:val="center"/>
          </w:tcPr>
          <w:p w:rsidR="009912D4" w:rsidRPr="00D1078F" w:rsidRDefault="009912D4" w:rsidP="003D754C">
            <w:pPr>
              <w:pStyle w:val="Tabletext"/>
              <w:jc w:val="center"/>
              <w:rPr>
                <w:b/>
              </w:rPr>
            </w:pPr>
            <w:r w:rsidRPr="00D1078F">
              <w:rPr>
                <w:b/>
              </w:rPr>
              <w:t>Year 5</w:t>
            </w:r>
          </w:p>
        </w:tc>
        <w:tc>
          <w:tcPr>
            <w:tcW w:w="646" w:type="pct"/>
          </w:tcPr>
          <w:p w:rsidR="009912D4" w:rsidRPr="00D1078F" w:rsidRDefault="009912D4" w:rsidP="003D754C">
            <w:pPr>
              <w:pStyle w:val="Tabletext"/>
              <w:jc w:val="center"/>
              <w:rPr>
                <w:b/>
              </w:rPr>
            </w:pPr>
            <w:r w:rsidRPr="00D1078F">
              <w:rPr>
                <w:b/>
              </w:rPr>
              <w:t>Year 6</w:t>
            </w:r>
          </w:p>
        </w:tc>
      </w:tr>
      <w:tr w:rsidR="009912D4" w:rsidRPr="00D1078F" w:rsidTr="003D754C">
        <w:tc>
          <w:tcPr>
            <w:tcW w:w="5000" w:type="pct"/>
            <w:gridSpan w:val="7"/>
            <w:shd w:val="clear" w:color="auto" w:fill="auto"/>
            <w:vAlign w:val="center"/>
          </w:tcPr>
          <w:p w:rsidR="009912D4" w:rsidRPr="00D1078F" w:rsidRDefault="009912D4" w:rsidP="009912D4">
            <w:pPr>
              <w:pStyle w:val="Tabletext"/>
              <w:rPr>
                <w:b/>
                <w:bCs/>
                <w:color w:val="000000"/>
              </w:rPr>
            </w:pPr>
            <w:r w:rsidRPr="00D1078F">
              <w:rPr>
                <w:b/>
                <w:bCs/>
                <w:color w:val="000000"/>
              </w:rPr>
              <w:t>Estimated extent of use</w:t>
            </w:r>
            <w:r>
              <w:rPr>
                <w:b/>
                <w:bCs/>
                <w:color w:val="000000"/>
              </w:rPr>
              <w:t xml:space="preserve"> of ranibizumab for rare CNV </w:t>
            </w:r>
          </w:p>
        </w:tc>
      </w:tr>
      <w:tr w:rsidR="009912D4" w:rsidRPr="003639A6" w:rsidTr="004163CC">
        <w:tc>
          <w:tcPr>
            <w:tcW w:w="1119" w:type="pct"/>
            <w:shd w:val="clear" w:color="auto" w:fill="auto"/>
            <w:vAlign w:val="center"/>
          </w:tcPr>
          <w:p w:rsidR="009912D4" w:rsidRPr="003639A6" w:rsidRDefault="009912D4" w:rsidP="009912D4">
            <w:pPr>
              <w:pStyle w:val="Tabletext"/>
              <w:rPr>
                <w:rFonts w:ascii="Times" w:hAnsi="Times"/>
              </w:rPr>
            </w:pPr>
            <w:r w:rsidRPr="003639A6">
              <w:t>Number of patients treated</w:t>
            </w:r>
          </w:p>
        </w:tc>
        <w:tc>
          <w:tcPr>
            <w:tcW w:w="647" w:type="pct"/>
            <w:shd w:val="clear" w:color="auto" w:fill="auto"/>
            <w:vAlign w:val="center"/>
          </w:tcPr>
          <w:p w:rsidR="009912D4" w:rsidRPr="004C5EA1" w:rsidRDefault="004C5EA1" w:rsidP="004163CC">
            <w:pPr>
              <w:pStyle w:val="Tabletext"/>
              <w:jc w:val="center"/>
              <w:rPr>
                <w:bCs/>
                <w:color w:val="000000"/>
                <w:highlight w:val="black"/>
              </w:rPr>
            </w:pPr>
            <w:r>
              <w:rPr>
                <w:noProof/>
                <w:color w:val="000000"/>
                <w:highlight w:val="black"/>
              </w:rPr>
              <w:t>''''''''''</w:t>
            </w:r>
          </w:p>
        </w:tc>
        <w:tc>
          <w:tcPr>
            <w:tcW w:w="647" w:type="pct"/>
            <w:shd w:val="clear" w:color="auto" w:fill="auto"/>
            <w:vAlign w:val="center"/>
          </w:tcPr>
          <w:p w:rsidR="009912D4" w:rsidRPr="004C5EA1" w:rsidRDefault="004C5EA1" w:rsidP="004163CC">
            <w:pPr>
              <w:pStyle w:val="Tabletext"/>
              <w:jc w:val="center"/>
              <w:rPr>
                <w:bCs/>
                <w:color w:val="000000"/>
                <w:highlight w:val="black"/>
              </w:rPr>
            </w:pPr>
            <w:r>
              <w:rPr>
                <w:noProof/>
                <w:color w:val="000000"/>
                <w:highlight w:val="black"/>
              </w:rPr>
              <w:t>''''''''</w:t>
            </w:r>
          </w:p>
        </w:tc>
        <w:tc>
          <w:tcPr>
            <w:tcW w:w="647" w:type="pct"/>
            <w:shd w:val="clear" w:color="auto" w:fill="auto"/>
            <w:vAlign w:val="center"/>
          </w:tcPr>
          <w:p w:rsidR="009912D4" w:rsidRPr="004C5EA1" w:rsidRDefault="004C5EA1" w:rsidP="004163CC">
            <w:pPr>
              <w:pStyle w:val="Tabletext"/>
              <w:jc w:val="center"/>
              <w:rPr>
                <w:bCs/>
                <w:color w:val="000000"/>
                <w:highlight w:val="black"/>
              </w:rPr>
            </w:pPr>
            <w:r>
              <w:rPr>
                <w:noProof/>
                <w:color w:val="000000"/>
                <w:highlight w:val="black"/>
              </w:rPr>
              <w:t>'''''''''</w:t>
            </w:r>
          </w:p>
        </w:tc>
        <w:tc>
          <w:tcPr>
            <w:tcW w:w="647" w:type="pct"/>
            <w:shd w:val="clear" w:color="auto" w:fill="auto"/>
            <w:vAlign w:val="center"/>
          </w:tcPr>
          <w:p w:rsidR="009912D4" w:rsidRPr="004C5EA1" w:rsidRDefault="004C5EA1" w:rsidP="004163CC">
            <w:pPr>
              <w:pStyle w:val="Tabletext"/>
              <w:jc w:val="center"/>
              <w:rPr>
                <w:bCs/>
                <w:color w:val="000000"/>
                <w:highlight w:val="black"/>
              </w:rPr>
            </w:pPr>
            <w:r>
              <w:rPr>
                <w:noProof/>
                <w:color w:val="000000"/>
                <w:highlight w:val="black"/>
              </w:rPr>
              <w:t>''''''''''</w:t>
            </w:r>
          </w:p>
        </w:tc>
        <w:tc>
          <w:tcPr>
            <w:tcW w:w="647" w:type="pct"/>
            <w:shd w:val="clear" w:color="auto" w:fill="auto"/>
            <w:vAlign w:val="center"/>
          </w:tcPr>
          <w:p w:rsidR="009912D4" w:rsidRPr="004C5EA1" w:rsidRDefault="004C5EA1" w:rsidP="004163CC">
            <w:pPr>
              <w:pStyle w:val="Tabletext"/>
              <w:jc w:val="center"/>
              <w:rPr>
                <w:bCs/>
                <w:color w:val="000000"/>
                <w:highlight w:val="black"/>
              </w:rPr>
            </w:pPr>
            <w:r>
              <w:rPr>
                <w:noProof/>
                <w:color w:val="000000"/>
                <w:highlight w:val="black"/>
              </w:rPr>
              <w:t>''''''''''</w:t>
            </w:r>
          </w:p>
        </w:tc>
        <w:tc>
          <w:tcPr>
            <w:tcW w:w="646" w:type="pct"/>
            <w:vAlign w:val="center"/>
          </w:tcPr>
          <w:p w:rsidR="009912D4" w:rsidRPr="004C5EA1" w:rsidRDefault="004C5EA1" w:rsidP="004163CC">
            <w:pPr>
              <w:pStyle w:val="Tabletext"/>
              <w:jc w:val="center"/>
              <w:rPr>
                <w:bCs/>
                <w:color w:val="000000"/>
                <w:highlight w:val="black"/>
              </w:rPr>
            </w:pPr>
            <w:r>
              <w:rPr>
                <w:noProof/>
                <w:color w:val="000000"/>
                <w:highlight w:val="black"/>
              </w:rPr>
              <w:t>'''''''''</w:t>
            </w:r>
          </w:p>
        </w:tc>
      </w:tr>
      <w:tr w:rsidR="009912D4" w:rsidRPr="003639A6" w:rsidTr="004163CC">
        <w:tc>
          <w:tcPr>
            <w:tcW w:w="1119" w:type="pct"/>
            <w:shd w:val="clear" w:color="auto" w:fill="auto"/>
            <w:vAlign w:val="center"/>
          </w:tcPr>
          <w:p w:rsidR="009912D4" w:rsidRPr="003639A6" w:rsidRDefault="009912D4" w:rsidP="009912D4">
            <w:pPr>
              <w:pStyle w:val="Tabletext"/>
              <w:rPr>
                <w:rFonts w:ascii="Times" w:hAnsi="Times"/>
              </w:rPr>
            </w:pPr>
            <w:r w:rsidRPr="003639A6">
              <w:t xml:space="preserve">Number of </w:t>
            </w:r>
            <w:r>
              <w:t>scripts</w:t>
            </w:r>
            <w:r w:rsidRPr="003639A6">
              <w:t xml:space="preserve"> dispensed</w:t>
            </w:r>
            <w:r w:rsidRPr="003639A6">
              <w:rPr>
                <w:vertAlign w:val="superscript"/>
              </w:rPr>
              <w:t>a</w:t>
            </w:r>
          </w:p>
        </w:tc>
        <w:tc>
          <w:tcPr>
            <w:tcW w:w="647" w:type="pct"/>
            <w:shd w:val="clear" w:color="auto" w:fill="auto"/>
            <w:vAlign w:val="center"/>
          </w:tcPr>
          <w:p w:rsidR="009912D4" w:rsidRPr="004C5EA1" w:rsidRDefault="004C5EA1" w:rsidP="004163CC">
            <w:pPr>
              <w:pStyle w:val="Tabletext"/>
              <w:jc w:val="center"/>
              <w:rPr>
                <w:bCs/>
                <w:color w:val="000000"/>
                <w:highlight w:val="black"/>
              </w:rPr>
            </w:pPr>
            <w:r>
              <w:rPr>
                <w:noProof/>
                <w:color w:val="000000"/>
                <w:highlight w:val="black"/>
              </w:rPr>
              <w:t>'''''''''</w:t>
            </w:r>
          </w:p>
        </w:tc>
        <w:tc>
          <w:tcPr>
            <w:tcW w:w="647" w:type="pct"/>
            <w:shd w:val="clear" w:color="auto" w:fill="auto"/>
            <w:vAlign w:val="center"/>
          </w:tcPr>
          <w:p w:rsidR="009912D4" w:rsidRPr="004C5EA1" w:rsidRDefault="004C5EA1" w:rsidP="004163CC">
            <w:pPr>
              <w:pStyle w:val="Tabletext"/>
              <w:jc w:val="center"/>
              <w:rPr>
                <w:bCs/>
                <w:color w:val="000000"/>
                <w:highlight w:val="black"/>
              </w:rPr>
            </w:pPr>
            <w:r>
              <w:rPr>
                <w:noProof/>
                <w:color w:val="000000"/>
                <w:highlight w:val="black"/>
              </w:rPr>
              <w:t>''''''''''</w:t>
            </w:r>
          </w:p>
        </w:tc>
        <w:tc>
          <w:tcPr>
            <w:tcW w:w="647" w:type="pct"/>
            <w:shd w:val="clear" w:color="auto" w:fill="auto"/>
            <w:vAlign w:val="center"/>
          </w:tcPr>
          <w:p w:rsidR="009912D4" w:rsidRPr="004C5EA1" w:rsidRDefault="004C5EA1" w:rsidP="004163CC">
            <w:pPr>
              <w:pStyle w:val="Tabletext"/>
              <w:jc w:val="center"/>
              <w:rPr>
                <w:bCs/>
                <w:color w:val="000000"/>
                <w:highlight w:val="black"/>
              </w:rPr>
            </w:pPr>
            <w:r>
              <w:rPr>
                <w:noProof/>
                <w:color w:val="000000"/>
                <w:highlight w:val="black"/>
              </w:rPr>
              <w:t>'''''''''</w:t>
            </w:r>
          </w:p>
        </w:tc>
        <w:tc>
          <w:tcPr>
            <w:tcW w:w="647" w:type="pct"/>
            <w:shd w:val="clear" w:color="auto" w:fill="auto"/>
            <w:vAlign w:val="center"/>
          </w:tcPr>
          <w:p w:rsidR="009912D4" w:rsidRPr="004C5EA1" w:rsidRDefault="004C5EA1" w:rsidP="004163CC">
            <w:pPr>
              <w:pStyle w:val="Tabletext"/>
              <w:jc w:val="center"/>
              <w:rPr>
                <w:bCs/>
                <w:color w:val="000000"/>
                <w:highlight w:val="black"/>
              </w:rPr>
            </w:pPr>
            <w:r>
              <w:rPr>
                <w:noProof/>
                <w:color w:val="000000"/>
                <w:highlight w:val="black"/>
              </w:rPr>
              <w:t>'''''''''</w:t>
            </w:r>
          </w:p>
        </w:tc>
        <w:tc>
          <w:tcPr>
            <w:tcW w:w="647" w:type="pct"/>
            <w:shd w:val="clear" w:color="auto" w:fill="auto"/>
            <w:vAlign w:val="center"/>
          </w:tcPr>
          <w:p w:rsidR="009912D4" w:rsidRPr="004C5EA1" w:rsidRDefault="004C5EA1" w:rsidP="004163CC">
            <w:pPr>
              <w:pStyle w:val="Tabletext"/>
              <w:jc w:val="center"/>
              <w:rPr>
                <w:bCs/>
                <w:color w:val="000000"/>
                <w:highlight w:val="black"/>
              </w:rPr>
            </w:pPr>
            <w:r>
              <w:rPr>
                <w:noProof/>
                <w:color w:val="000000"/>
                <w:highlight w:val="black"/>
              </w:rPr>
              <w:t>''''''''''</w:t>
            </w:r>
          </w:p>
        </w:tc>
        <w:tc>
          <w:tcPr>
            <w:tcW w:w="646" w:type="pct"/>
            <w:vAlign w:val="center"/>
          </w:tcPr>
          <w:p w:rsidR="009912D4" w:rsidRPr="004C5EA1" w:rsidRDefault="004C5EA1" w:rsidP="004163CC">
            <w:pPr>
              <w:pStyle w:val="Tabletext"/>
              <w:jc w:val="center"/>
              <w:rPr>
                <w:bCs/>
                <w:color w:val="000000"/>
                <w:highlight w:val="black"/>
              </w:rPr>
            </w:pPr>
            <w:r>
              <w:rPr>
                <w:noProof/>
                <w:color w:val="000000"/>
                <w:highlight w:val="black"/>
              </w:rPr>
              <w:t>'''''''''</w:t>
            </w:r>
          </w:p>
        </w:tc>
      </w:tr>
      <w:tr w:rsidR="009912D4" w:rsidRPr="00D1078F" w:rsidTr="003D754C">
        <w:tc>
          <w:tcPr>
            <w:tcW w:w="5000" w:type="pct"/>
            <w:gridSpan w:val="7"/>
            <w:shd w:val="clear" w:color="auto" w:fill="auto"/>
            <w:vAlign w:val="center"/>
          </w:tcPr>
          <w:p w:rsidR="009912D4" w:rsidRPr="00D1078F" w:rsidRDefault="009912D4" w:rsidP="009912D4">
            <w:pPr>
              <w:pStyle w:val="Tabletext"/>
              <w:rPr>
                <w:b/>
                <w:bCs/>
                <w:color w:val="000000"/>
              </w:rPr>
            </w:pPr>
            <w:r w:rsidRPr="00D1078F">
              <w:rPr>
                <w:b/>
                <w:bCs/>
                <w:color w:val="000000"/>
              </w:rPr>
              <w:t xml:space="preserve">Estimated </w:t>
            </w:r>
            <w:r>
              <w:rPr>
                <w:b/>
                <w:bCs/>
                <w:color w:val="000000"/>
              </w:rPr>
              <w:t>financial implications of ranibizumab for rare CNV</w:t>
            </w:r>
          </w:p>
        </w:tc>
      </w:tr>
      <w:tr w:rsidR="009912D4" w:rsidRPr="003639A6" w:rsidTr="003D754C">
        <w:tc>
          <w:tcPr>
            <w:tcW w:w="1119" w:type="pct"/>
            <w:shd w:val="clear" w:color="auto" w:fill="auto"/>
            <w:vAlign w:val="center"/>
          </w:tcPr>
          <w:p w:rsidR="009912D4" w:rsidRPr="003639A6" w:rsidRDefault="009912D4" w:rsidP="009912D4">
            <w:pPr>
              <w:pStyle w:val="Tabletext"/>
              <w:rPr>
                <w:rFonts w:ascii="Times" w:hAnsi="Times"/>
              </w:rPr>
            </w:pPr>
            <w:r>
              <w:rPr>
                <w:sz w:val="19"/>
                <w:szCs w:val="19"/>
              </w:rPr>
              <w:t>C</w:t>
            </w:r>
            <w:r w:rsidRPr="003639A6">
              <w:rPr>
                <w:sz w:val="19"/>
                <w:szCs w:val="19"/>
              </w:rPr>
              <w:t>ost to PBS/RPBS</w:t>
            </w:r>
          </w:p>
        </w:tc>
        <w:tc>
          <w:tcPr>
            <w:tcW w:w="647" w:type="pct"/>
            <w:shd w:val="clear" w:color="auto" w:fill="auto"/>
            <w:vAlign w:val="center"/>
          </w:tcPr>
          <w:p w:rsidR="009912D4" w:rsidRPr="003639A6" w:rsidRDefault="009912D4" w:rsidP="009912D4">
            <w:pPr>
              <w:pStyle w:val="Tabletext"/>
              <w:ind w:right="149"/>
              <w:jc w:val="right"/>
              <w:rPr>
                <w:bCs/>
                <w:color w:val="000000"/>
              </w:rPr>
            </w:pPr>
            <w:r w:rsidRPr="00810646">
              <w:t>$</w:t>
            </w:r>
            <w:r w:rsidR="004C5EA1">
              <w:rPr>
                <w:noProof/>
                <w:color w:val="000000"/>
                <w:highlight w:val="black"/>
              </w:rPr>
              <w:t>'''''''''''''''''''''</w:t>
            </w:r>
          </w:p>
        </w:tc>
        <w:tc>
          <w:tcPr>
            <w:tcW w:w="647" w:type="pct"/>
            <w:shd w:val="clear" w:color="auto" w:fill="auto"/>
            <w:vAlign w:val="center"/>
          </w:tcPr>
          <w:p w:rsidR="009912D4" w:rsidRPr="003639A6" w:rsidRDefault="009912D4" w:rsidP="009912D4">
            <w:pPr>
              <w:pStyle w:val="Tabletext"/>
              <w:ind w:right="149"/>
              <w:jc w:val="right"/>
              <w:rPr>
                <w:bCs/>
                <w:color w:val="000000"/>
              </w:rPr>
            </w:pPr>
            <w:r w:rsidRPr="00810646">
              <w:t>$</w:t>
            </w:r>
            <w:r w:rsidR="004C5EA1">
              <w:rPr>
                <w:noProof/>
                <w:color w:val="000000"/>
                <w:highlight w:val="black"/>
              </w:rPr>
              <w:t>''''''''''''''''''</w:t>
            </w:r>
          </w:p>
        </w:tc>
        <w:tc>
          <w:tcPr>
            <w:tcW w:w="647" w:type="pct"/>
            <w:shd w:val="clear" w:color="auto" w:fill="auto"/>
            <w:vAlign w:val="center"/>
          </w:tcPr>
          <w:p w:rsidR="009912D4" w:rsidRPr="003639A6" w:rsidRDefault="009912D4" w:rsidP="009912D4">
            <w:pPr>
              <w:pStyle w:val="Tabletext"/>
              <w:ind w:right="149"/>
              <w:jc w:val="right"/>
              <w:rPr>
                <w:bCs/>
                <w:color w:val="000000"/>
              </w:rPr>
            </w:pPr>
            <w:r w:rsidRPr="00810646">
              <w:t>$</w:t>
            </w:r>
            <w:r w:rsidR="004C5EA1">
              <w:rPr>
                <w:noProof/>
                <w:color w:val="000000"/>
                <w:highlight w:val="black"/>
              </w:rPr>
              <w:t>'''''''''''''''''''</w:t>
            </w:r>
          </w:p>
        </w:tc>
        <w:tc>
          <w:tcPr>
            <w:tcW w:w="647" w:type="pct"/>
            <w:shd w:val="clear" w:color="auto" w:fill="auto"/>
            <w:vAlign w:val="center"/>
          </w:tcPr>
          <w:p w:rsidR="009912D4" w:rsidRPr="003639A6" w:rsidRDefault="009912D4" w:rsidP="009912D4">
            <w:pPr>
              <w:pStyle w:val="Tabletext"/>
              <w:ind w:right="149"/>
              <w:jc w:val="right"/>
              <w:rPr>
                <w:bCs/>
                <w:color w:val="000000"/>
              </w:rPr>
            </w:pPr>
            <w:r w:rsidRPr="00810646">
              <w:t>$</w:t>
            </w:r>
            <w:r w:rsidR="004C5EA1">
              <w:rPr>
                <w:noProof/>
                <w:color w:val="000000"/>
                <w:highlight w:val="black"/>
              </w:rPr>
              <w:t>''''''''''''''''''''</w:t>
            </w:r>
          </w:p>
        </w:tc>
        <w:tc>
          <w:tcPr>
            <w:tcW w:w="647" w:type="pct"/>
            <w:shd w:val="clear" w:color="auto" w:fill="auto"/>
            <w:vAlign w:val="center"/>
          </w:tcPr>
          <w:p w:rsidR="009912D4" w:rsidRPr="003639A6" w:rsidRDefault="009912D4" w:rsidP="009912D4">
            <w:pPr>
              <w:pStyle w:val="Tabletext"/>
              <w:ind w:right="149"/>
              <w:jc w:val="right"/>
              <w:rPr>
                <w:bCs/>
                <w:color w:val="000000"/>
              </w:rPr>
            </w:pPr>
            <w:r w:rsidRPr="00810646">
              <w:t>$</w:t>
            </w:r>
            <w:r w:rsidR="004C5EA1">
              <w:rPr>
                <w:noProof/>
                <w:color w:val="000000"/>
                <w:highlight w:val="black"/>
              </w:rPr>
              <w:t>''''''''''''''''''''</w:t>
            </w:r>
          </w:p>
        </w:tc>
        <w:tc>
          <w:tcPr>
            <w:tcW w:w="646" w:type="pct"/>
            <w:vAlign w:val="center"/>
          </w:tcPr>
          <w:p w:rsidR="009912D4" w:rsidRPr="003639A6" w:rsidRDefault="009912D4" w:rsidP="009912D4">
            <w:pPr>
              <w:pStyle w:val="Tabletext"/>
              <w:ind w:right="149"/>
              <w:jc w:val="right"/>
              <w:rPr>
                <w:bCs/>
                <w:color w:val="000000"/>
              </w:rPr>
            </w:pPr>
            <w:r w:rsidRPr="00810646">
              <w:t>$</w:t>
            </w:r>
            <w:r w:rsidR="004C5EA1">
              <w:rPr>
                <w:noProof/>
                <w:color w:val="000000"/>
                <w:highlight w:val="black"/>
              </w:rPr>
              <w:t>''''''''''''''''''''''</w:t>
            </w:r>
          </w:p>
        </w:tc>
      </w:tr>
      <w:tr w:rsidR="009912D4" w:rsidRPr="003639A6" w:rsidTr="003D754C">
        <w:tc>
          <w:tcPr>
            <w:tcW w:w="1119" w:type="pct"/>
            <w:shd w:val="clear" w:color="auto" w:fill="auto"/>
            <w:vAlign w:val="center"/>
          </w:tcPr>
          <w:p w:rsidR="009912D4" w:rsidRDefault="005777DA" w:rsidP="009912D4">
            <w:pPr>
              <w:pStyle w:val="Tabletext"/>
              <w:rPr>
                <w:sz w:val="19"/>
                <w:szCs w:val="19"/>
              </w:rPr>
            </w:pPr>
            <w:r>
              <w:rPr>
                <w:sz w:val="19"/>
                <w:szCs w:val="19"/>
              </w:rPr>
              <w:t>Co-payments</w:t>
            </w:r>
          </w:p>
        </w:tc>
        <w:tc>
          <w:tcPr>
            <w:tcW w:w="647" w:type="pct"/>
            <w:shd w:val="clear" w:color="auto" w:fill="auto"/>
            <w:vAlign w:val="center"/>
          </w:tcPr>
          <w:p w:rsidR="009912D4" w:rsidRPr="003639A6" w:rsidRDefault="009912D4" w:rsidP="009912D4">
            <w:pPr>
              <w:pStyle w:val="Tabletext"/>
              <w:ind w:right="149"/>
              <w:jc w:val="right"/>
              <w:rPr>
                <w:bCs/>
                <w:color w:val="000000"/>
              </w:rPr>
            </w:pPr>
            <w:r w:rsidRPr="00810646">
              <w:t>-$</w:t>
            </w:r>
            <w:r w:rsidR="004C5EA1">
              <w:rPr>
                <w:noProof/>
                <w:color w:val="000000"/>
                <w:highlight w:val="black"/>
              </w:rPr>
              <w:t>'''''''''''''''</w:t>
            </w:r>
          </w:p>
        </w:tc>
        <w:tc>
          <w:tcPr>
            <w:tcW w:w="647" w:type="pct"/>
            <w:shd w:val="clear" w:color="auto" w:fill="auto"/>
            <w:vAlign w:val="center"/>
          </w:tcPr>
          <w:p w:rsidR="009912D4" w:rsidRPr="003639A6" w:rsidRDefault="009912D4" w:rsidP="009912D4">
            <w:pPr>
              <w:pStyle w:val="Tabletext"/>
              <w:ind w:right="149"/>
              <w:jc w:val="right"/>
              <w:rPr>
                <w:bCs/>
                <w:color w:val="000000"/>
              </w:rPr>
            </w:pPr>
            <w:r w:rsidRPr="00810646">
              <w:t>-$</w:t>
            </w:r>
            <w:r w:rsidR="004C5EA1">
              <w:rPr>
                <w:noProof/>
                <w:color w:val="000000"/>
                <w:highlight w:val="black"/>
              </w:rPr>
              <w:t>'''''''''''''''''</w:t>
            </w:r>
          </w:p>
        </w:tc>
        <w:tc>
          <w:tcPr>
            <w:tcW w:w="647" w:type="pct"/>
            <w:shd w:val="clear" w:color="auto" w:fill="auto"/>
            <w:vAlign w:val="center"/>
          </w:tcPr>
          <w:p w:rsidR="009912D4" w:rsidRPr="003639A6" w:rsidRDefault="009912D4" w:rsidP="009912D4">
            <w:pPr>
              <w:pStyle w:val="Tabletext"/>
              <w:ind w:right="149"/>
              <w:jc w:val="right"/>
              <w:rPr>
                <w:bCs/>
                <w:color w:val="000000"/>
              </w:rPr>
            </w:pPr>
            <w:r w:rsidRPr="00810646">
              <w:t>-$</w:t>
            </w:r>
            <w:r w:rsidR="004C5EA1">
              <w:rPr>
                <w:noProof/>
                <w:color w:val="000000"/>
                <w:highlight w:val="black"/>
              </w:rPr>
              <w:t>''''''''''''''''</w:t>
            </w:r>
          </w:p>
        </w:tc>
        <w:tc>
          <w:tcPr>
            <w:tcW w:w="647" w:type="pct"/>
            <w:shd w:val="clear" w:color="auto" w:fill="auto"/>
            <w:vAlign w:val="center"/>
          </w:tcPr>
          <w:p w:rsidR="009912D4" w:rsidRPr="003639A6" w:rsidRDefault="009912D4" w:rsidP="009912D4">
            <w:pPr>
              <w:pStyle w:val="Tabletext"/>
              <w:ind w:right="149"/>
              <w:jc w:val="right"/>
              <w:rPr>
                <w:bCs/>
                <w:color w:val="000000"/>
              </w:rPr>
            </w:pPr>
            <w:r w:rsidRPr="00810646">
              <w:t>-$14,807</w:t>
            </w:r>
          </w:p>
        </w:tc>
        <w:tc>
          <w:tcPr>
            <w:tcW w:w="647" w:type="pct"/>
            <w:shd w:val="clear" w:color="auto" w:fill="auto"/>
            <w:vAlign w:val="center"/>
          </w:tcPr>
          <w:p w:rsidR="009912D4" w:rsidRPr="003639A6" w:rsidRDefault="009912D4" w:rsidP="009912D4">
            <w:pPr>
              <w:pStyle w:val="Tabletext"/>
              <w:ind w:right="149"/>
              <w:jc w:val="right"/>
              <w:rPr>
                <w:bCs/>
                <w:color w:val="000000"/>
              </w:rPr>
            </w:pPr>
            <w:r w:rsidRPr="00810646">
              <w:t>-$</w:t>
            </w:r>
            <w:r w:rsidR="004C5EA1">
              <w:rPr>
                <w:noProof/>
                <w:color w:val="000000"/>
                <w:highlight w:val="black"/>
              </w:rPr>
              <w:t>''''''''''''''''</w:t>
            </w:r>
          </w:p>
        </w:tc>
        <w:tc>
          <w:tcPr>
            <w:tcW w:w="646" w:type="pct"/>
            <w:vAlign w:val="center"/>
          </w:tcPr>
          <w:p w:rsidR="009912D4" w:rsidRPr="003639A6" w:rsidRDefault="009912D4" w:rsidP="009912D4">
            <w:pPr>
              <w:pStyle w:val="Tabletext"/>
              <w:ind w:right="149"/>
              <w:jc w:val="right"/>
              <w:rPr>
                <w:bCs/>
                <w:color w:val="000000"/>
              </w:rPr>
            </w:pPr>
            <w:r w:rsidRPr="00810646">
              <w:t>-$</w:t>
            </w:r>
            <w:r w:rsidR="004C5EA1">
              <w:rPr>
                <w:noProof/>
                <w:color w:val="000000"/>
                <w:highlight w:val="black"/>
              </w:rPr>
              <w:t>''''''''''''''''''</w:t>
            </w:r>
          </w:p>
        </w:tc>
      </w:tr>
      <w:tr w:rsidR="009912D4" w:rsidRPr="003639A6" w:rsidTr="003D754C">
        <w:tc>
          <w:tcPr>
            <w:tcW w:w="1119" w:type="pct"/>
            <w:shd w:val="clear" w:color="auto" w:fill="auto"/>
            <w:vAlign w:val="center"/>
          </w:tcPr>
          <w:p w:rsidR="009912D4" w:rsidRDefault="009912D4" w:rsidP="009912D4">
            <w:pPr>
              <w:pStyle w:val="Tabletext"/>
              <w:rPr>
                <w:sz w:val="19"/>
                <w:szCs w:val="19"/>
              </w:rPr>
            </w:pPr>
            <w:r>
              <w:rPr>
                <w:sz w:val="19"/>
                <w:szCs w:val="19"/>
              </w:rPr>
              <w:t xml:space="preserve">Cost to PBS/RPBS less </w:t>
            </w:r>
            <w:r w:rsidR="005777DA">
              <w:rPr>
                <w:sz w:val="19"/>
                <w:szCs w:val="19"/>
              </w:rPr>
              <w:t>co-payments</w:t>
            </w:r>
          </w:p>
        </w:tc>
        <w:tc>
          <w:tcPr>
            <w:tcW w:w="647" w:type="pct"/>
            <w:shd w:val="clear" w:color="auto" w:fill="auto"/>
            <w:vAlign w:val="center"/>
          </w:tcPr>
          <w:p w:rsidR="009912D4" w:rsidRPr="00B15043" w:rsidRDefault="009912D4" w:rsidP="009912D4">
            <w:pPr>
              <w:pStyle w:val="Tabletext"/>
              <w:ind w:right="149"/>
              <w:jc w:val="right"/>
              <w:rPr>
                <w:bCs/>
                <w:color w:val="000000"/>
              </w:rPr>
            </w:pPr>
            <w:r w:rsidRPr="00810646">
              <w:t>$</w:t>
            </w:r>
            <w:r w:rsidR="004C5EA1">
              <w:rPr>
                <w:noProof/>
                <w:color w:val="000000"/>
                <w:highlight w:val="black"/>
              </w:rPr>
              <w:t>''''''''''''''''''</w:t>
            </w:r>
          </w:p>
        </w:tc>
        <w:tc>
          <w:tcPr>
            <w:tcW w:w="647" w:type="pct"/>
            <w:shd w:val="clear" w:color="auto" w:fill="auto"/>
            <w:vAlign w:val="center"/>
          </w:tcPr>
          <w:p w:rsidR="009912D4" w:rsidRPr="00B15043" w:rsidRDefault="009912D4" w:rsidP="009912D4">
            <w:pPr>
              <w:pStyle w:val="Tabletext"/>
              <w:ind w:right="149"/>
              <w:jc w:val="right"/>
              <w:rPr>
                <w:bCs/>
                <w:color w:val="000000"/>
              </w:rPr>
            </w:pPr>
            <w:r w:rsidRPr="00810646">
              <w:t>$</w:t>
            </w:r>
            <w:r w:rsidR="004C5EA1">
              <w:rPr>
                <w:noProof/>
                <w:color w:val="000000"/>
                <w:highlight w:val="black"/>
              </w:rPr>
              <w:t>''''''''''''''''''</w:t>
            </w:r>
          </w:p>
        </w:tc>
        <w:tc>
          <w:tcPr>
            <w:tcW w:w="647" w:type="pct"/>
            <w:shd w:val="clear" w:color="auto" w:fill="auto"/>
            <w:vAlign w:val="center"/>
          </w:tcPr>
          <w:p w:rsidR="009912D4" w:rsidRPr="00B15043" w:rsidRDefault="009912D4" w:rsidP="009912D4">
            <w:pPr>
              <w:pStyle w:val="Tabletext"/>
              <w:ind w:right="149"/>
              <w:jc w:val="right"/>
              <w:rPr>
                <w:bCs/>
                <w:color w:val="000000"/>
              </w:rPr>
            </w:pPr>
            <w:r w:rsidRPr="00810646">
              <w:t>$</w:t>
            </w:r>
            <w:r w:rsidR="004C5EA1">
              <w:rPr>
                <w:noProof/>
                <w:color w:val="000000"/>
                <w:highlight w:val="black"/>
              </w:rPr>
              <w:t>''''''''''''''''''''</w:t>
            </w:r>
          </w:p>
        </w:tc>
        <w:tc>
          <w:tcPr>
            <w:tcW w:w="647" w:type="pct"/>
            <w:shd w:val="clear" w:color="auto" w:fill="auto"/>
            <w:vAlign w:val="center"/>
          </w:tcPr>
          <w:p w:rsidR="009912D4" w:rsidRPr="00B15043" w:rsidRDefault="009912D4" w:rsidP="009912D4">
            <w:pPr>
              <w:pStyle w:val="Tabletext"/>
              <w:ind w:right="149"/>
              <w:jc w:val="right"/>
              <w:rPr>
                <w:bCs/>
                <w:color w:val="000000"/>
              </w:rPr>
            </w:pPr>
            <w:r w:rsidRPr="00810646">
              <w:t>$</w:t>
            </w:r>
            <w:r w:rsidR="004C5EA1">
              <w:rPr>
                <w:noProof/>
                <w:color w:val="000000"/>
                <w:highlight w:val="black"/>
              </w:rPr>
              <w:t>'''''''''''''''''''</w:t>
            </w:r>
          </w:p>
        </w:tc>
        <w:tc>
          <w:tcPr>
            <w:tcW w:w="647" w:type="pct"/>
            <w:shd w:val="clear" w:color="auto" w:fill="auto"/>
            <w:vAlign w:val="center"/>
          </w:tcPr>
          <w:p w:rsidR="009912D4" w:rsidRPr="00B15043" w:rsidRDefault="009912D4" w:rsidP="009912D4">
            <w:pPr>
              <w:pStyle w:val="Tabletext"/>
              <w:ind w:right="149"/>
              <w:jc w:val="right"/>
              <w:rPr>
                <w:bCs/>
                <w:color w:val="000000"/>
              </w:rPr>
            </w:pPr>
            <w:r w:rsidRPr="00810646">
              <w:t>$</w:t>
            </w:r>
            <w:r w:rsidR="004C5EA1">
              <w:rPr>
                <w:noProof/>
                <w:color w:val="000000"/>
                <w:highlight w:val="black"/>
              </w:rPr>
              <w:t>'''''''''''''''''''</w:t>
            </w:r>
          </w:p>
        </w:tc>
        <w:tc>
          <w:tcPr>
            <w:tcW w:w="646" w:type="pct"/>
            <w:vAlign w:val="center"/>
          </w:tcPr>
          <w:p w:rsidR="009912D4" w:rsidRPr="00B15043" w:rsidRDefault="009912D4" w:rsidP="009912D4">
            <w:pPr>
              <w:pStyle w:val="Tabletext"/>
              <w:ind w:right="149"/>
              <w:jc w:val="right"/>
              <w:rPr>
                <w:bCs/>
                <w:color w:val="000000"/>
              </w:rPr>
            </w:pPr>
            <w:r w:rsidRPr="00810646">
              <w:t>$</w:t>
            </w:r>
            <w:r w:rsidR="004C5EA1">
              <w:rPr>
                <w:noProof/>
                <w:color w:val="000000"/>
                <w:highlight w:val="black"/>
              </w:rPr>
              <w:t>'''''''''''''''''''''</w:t>
            </w:r>
          </w:p>
        </w:tc>
      </w:tr>
      <w:tr w:rsidR="009912D4" w:rsidRPr="003639A6" w:rsidTr="003D754C">
        <w:tc>
          <w:tcPr>
            <w:tcW w:w="5000" w:type="pct"/>
            <w:gridSpan w:val="7"/>
            <w:shd w:val="clear" w:color="auto" w:fill="auto"/>
            <w:vAlign w:val="center"/>
          </w:tcPr>
          <w:p w:rsidR="009912D4" w:rsidRPr="003639A6" w:rsidRDefault="009912D4" w:rsidP="009912D4">
            <w:pPr>
              <w:pStyle w:val="Tabletext"/>
              <w:rPr>
                <w:bCs/>
                <w:color w:val="000000"/>
              </w:rPr>
            </w:pPr>
            <w:r w:rsidRPr="00D1078F">
              <w:rPr>
                <w:b/>
                <w:bCs/>
                <w:color w:val="000000"/>
              </w:rPr>
              <w:t xml:space="preserve">Estimated </w:t>
            </w:r>
            <w:r>
              <w:rPr>
                <w:b/>
                <w:bCs/>
                <w:color w:val="000000"/>
              </w:rPr>
              <w:t>financial implications for current use of ranib</w:t>
            </w:r>
            <w:r w:rsidR="007E40FC">
              <w:rPr>
                <w:b/>
                <w:bCs/>
                <w:color w:val="000000"/>
              </w:rPr>
              <w:t>izumab and verteporfin</w:t>
            </w:r>
          </w:p>
        </w:tc>
      </w:tr>
      <w:tr w:rsidR="009912D4" w:rsidRPr="003639A6" w:rsidTr="003D754C">
        <w:tc>
          <w:tcPr>
            <w:tcW w:w="1119" w:type="pct"/>
            <w:shd w:val="clear" w:color="auto" w:fill="auto"/>
            <w:vAlign w:val="center"/>
          </w:tcPr>
          <w:p w:rsidR="009912D4" w:rsidRDefault="009912D4" w:rsidP="009912D4">
            <w:pPr>
              <w:pStyle w:val="Tabletext"/>
              <w:rPr>
                <w:sz w:val="19"/>
                <w:szCs w:val="19"/>
              </w:rPr>
            </w:pPr>
            <w:r>
              <w:rPr>
                <w:sz w:val="19"/>
                <w:szCs w:val="19"/>
              </w:rPr>
              <w:t>C</w:t>
            </w:r>
            <w:r w:rsidRPr="003639A6">
              <w:rPr>
                <w:sz w:val="19"/>
                <w:szCs w:val="19"/>
              </w:rPr>
              <w:t>ost to PBS/RPBS</w:t>
            </w:r>
          </w:p>
        </w:tc>
        <w:tc>
          <w:tcPr>
            <w:tcW w:w="647" w:type="pct"/>
            <w:shd w:val="clear" w:color="auto" w:fill="auto"/>
            <w:vAlign w:val="center"/>
          </w:tcPr>
          <w:p w:rsidR="009912D4" w:rsidRPr="00B15043" w:rsidRDefault="009912D4" w:rsidP="009912D4">
            <w:pPr>
              <w:pStyle w:val="Tabletext"/>
              <w:ind w:right="149"/>
              <w:jc w:val="right"/>
            </w:pPr>
            <w:r w:rsidRPr="00740AA4">
              <w:t>$</w:t>
            </w:r>
            <w:r w:rsidR="004C5EA1">
              <w:rPr>
                <w:noProof/>
                <w:color w:val="000000"/>
                <w:highlight w:val="black"/>
              </w:rPr>
              <w:t>''''''''''''''''''</w:t>
            </w:r>
          </w:p>
        </w:tc>
        <w:tc>
          <w:tcPr>
            <w:tcW w:w="647" w:type="pct"/>
            <w:shd w:val="clear" w:color="auto" w:fill="auto"/>
            <w:vAlign w:val="center"/>
          </w:tcPr>
          <w:p w:rsidR="009912D4" w:rsidRPr="00B15043" w:rsidRDefault="009912D4" w:rsidP="009912D4">
            <w:pPr>
              <w:pStyle w:val="Tabletext"/>
              <w:ind w:right="149"/>
              <w:jc w:val="right"/>
            </w:pPr>
            <w:r w:rsidRPr="00740AA4">
              <w:t>$</w:t>
            </w:r>
            <w:r w:rsidR="004C5EA1">
              <w:rPr>
                <w:noProof/>
                <w:color w:val="000000"/>
                <w:highlight w:val="black"/>
              </w:rPr>
              <w:t>'''''''''''''''''''</w:t>
            </w:r>
          </w:p>
        </w:tc>
        <w:tc>
          <w:tcPr>
            <w:tcW w:w="647" w:type="pct"/>
            <w:shd w:val="clear" w:color="auto" w:fill="auto"/>
            <w:vAlign w:val="center"/>
          </w:tcPr>
          <w:p w:rsidR="009912D4" w:rsidRPr="00B15043" w:rsidRDefault="009912D4" w:rsidP="009912D4">
            <w:pPr>
              <w:pStyle w:val="Tabletext"/>
              <w:ind w:right="149"/>
              <w:jc w:val="right"/>
            </w:pPr>
            <w:r w:rsidRPr="00740AA4">
              <w:t>$</w:t>
            </w:r>
            <w:r w:rsidR="004C5EA1">
              <w:rPr>
                <w:noProof/>
                <w:color w:val="000000"/>
                <w:highlight w:val="black"/>
              </w:rPr>
              <w:t>''''''''''''''''''''''</w:t>
            </w:r>
          </w:p>
        </w:tc>
        <w:tc>
          <w:tcPr>
            <w:tcW w:w="647" w:type="pct"/>
            <w:shd w:val="clear" w:color="auto" w:fill="auto"/>
            <w:vAlign w:val="center"/>
          </w:tcPr>
          <w:p w:rsidR="009912D4" w:rsidRPr="00B15043" w:rsidRDefault="009912D4" w:rsidP="009912D4">
            <w:pPr>
              <w:pStyle w:val="Tabletext"/>
              <w:ind w:right="149"/>
              <w:jc w:val="right"/>
            </w:pPr>
            <w:r w:rsidRPr="00740AA4">
              <w:t>$</w:t>
            </w:r>
            <w:r w:rsidR="004C5EA1">
              <w:rPr>
                <w:noProof/>
                <w:color w:val="000000"/>
                <w:highlight w:val="black"/>
              </w:rPr>
              <w:t>'''''''''''''''''</w:t>
            </w:r>
          </w:p>
        </w:tc>
        <w:tc>
          <w:tcPr>
            <w:tcW w:w="647" w:type="pct"/>
            <w:shd w:val="clear" w:color="auto" w:fill="auto"/>
            <w:vAlign w:val="center"/>
          </w:tcPr>
          <w:p w:rsidR="009912D4" w:rsidRPr="00B15043" w:rsidRDefault="009912D4" w:rsidP="009912D4">
            <w:pPr>
              <w:pStyle w:val="Tabletext"/>
              <w:ind w:right="149"/>
              <w:jc w:val="right"/>
            </w:pPr>
            <w:r w:rsidRPr="00740AA4">
              <w:t>$</w:t>
            </w:r>
            <w:r w:rsidR="004C5EA1">
              <w:rPr>
                <w:noProof/>
                <w:color w:val="000000"/>
                <w:highlight w:val="black"/>
              </w:rPr>
              <w:t>'''''''''''''''''''</w:t>
            </w:r>
          </w:p>
        </w:tc>
        <w:tc>
          <w:tcPr>
            <w:tcW w:w="646" w:type="pct"/>
            <w:vAlign w:val="center"/>
          </w:tcPr>
          <w:p w:rsidR="009912D4" w:rsidRPr="00B15043" w:rsidRDefault="009912D4" w:rsidP="009912D4">
            <w:pPr>
              <w:pStyle w:val="Tabletext"/>
              <w:ind w:right="149"/>
              <w:jc w:val="right"/>
            </w:pPr>
            <w:r w:rsidRPr="00740AA4">
              <w:t>$</w:t>
            </w:r>
            <w:r w:rsidR="004C5EA1">
              <w:rPr>
                <w:noProof/>
                <w:color w:val="000000"/>
                <w:highlight w:val="black"/>
              </w:rPr>
              <w:t>''''''''''''''''''</w:t>
            </w:r>
          </w:p>
        </w:tc>
      </w:tr>
      <w:tr w:rsidR="009912D4" w:rsidRPr="003639A6" w:rsidTr="003D754C">
        <w:tc>
          <w:tcPr>
            <w:tcW w:w="1119" w:type="pct"/>
            <w:shd w:val="clear" w:color="auto" w:fill="auto"/>
            <w:vAlign w:val="center"/>
          </w:tcPr>
          <w:p w:rsidR="009912D4" w:rsidRDefault="005777DA" w:rsidP="009912D4">
            <w:pPr>
              <w:pStyle w:val="Tabletext"/>
              <w:rPr>
                <w:sz w:val="19"/>
                <w:szCs w:val="19"/>
              </w:rPr>
            </w:pPr>
            <w:r>
              <w:rPr>
                <w:sz w:val="19"/>
                <w:szCs w:val="19"/>
              </w:rPr>
              <w:t>Co-payments</w:t>
            </w:r>
          </w:p>
        </w:tc>
        <w:tc>
          <w:tcPr>
            <w:tcW w:w="647" w:type="pct"/>
            <w:shd w:val="clear" w:color="auto" w:fill="auto"/>
            <w:vAlign w:val="center"/>
          </w:tcPr>
          <w:p w:rsidR="009912D4" w:rsidRPr="00B15043" w:rsidRDefault="009912D4" w:rsidP="009912D4">
            <w:pPr>
              <w:pStyle w:val="Tabletext"/>
              <w:ind w:right="149"/>
              <w:jc w:val="right"/>
            </w:pPr>
            <w:r w:rsidRPr="00740AA4">
              <w:t>-$</w:t>
            </w:r>
            <w:r w:rsidR="004C5EA1">
              <w:rPr>
                <w:noProof/>
                <w:color w:val="000000"/>
                <w:highlight w:val="black"/>
              </w:rPr>
              <w:t>''''''''''''</w:t>
            </w:r>
          </w:p>
        </w:tc>
        <w:tc>
          <w:tcPr>
            <w:tcW w:w="647" w:type="pct"/>
            <w:shd w:val="clear" w:color="auto" w:fill="auto"/>
            <w:vAlign w:val="center"/>
          </w:tcPr>
          <w:p w:rsidR="009912D4" w:rsidRPr="00B15043" w:rsidRDefault="009912D4" w:rsidP="009912D4">
            <w:pPr>
              <w:pStyle w:val="Tabletext"/>
              <w:ind w:right="149"/>
              <w:jc w:val="right"/>
            </w:pPr>
            <w:r w:rsidRPr="00740AA4">
              <w:t>-$</w:t>
            </w:r>
            <w:r w:rsidR="004C5EA1">
              <w:rPr>
                <w:noProof/>
                <w:color w:val="000000"/>
                <w:highlight w:val="black"/>
              </w:rPr>
              <w:t>''''''''''''</w:t>
            </w:r>
          </w:p>
        </w:tc>
        <w:tc>
          <w:tcPr>
            <w:tcW w:w="647" w:type="pct"/>
            <w:shd w:val="clear" w:color="auto" w:fill="auto"/>
            <w:vAlign w:val="center"/>
          </w:tcPr>
          <w:p w:rsidR="009912D4" w:rsidRPr="00B15043" w:rsidRDefault="009912D4" w:rsidP="009912D4">
            <w:pPr>
              <w:pStyle w:val="Tabletext"/>
              <w:ind w:right="149"/>
              <w:jc w:val="right"/>
            </w:pPr>
            <w:r w:rsidRPr="00740AA4">
              <w:t>-$</w:t>
            </w:r>
            <w:r w:rsidR="004C5EA1">
              <w:rPr>
                <w:noProof/>
                <w:color w:val="000000"/>
                <w:highlight w:val="black"/>
              </w:rPr>
              <w:t>''''''''''''''</w:t>
            </w:r>
          </w:p>
        </w:tc>
        <w:tc>
          <w:tcPr>
            <w:tcW w:w="647" w:type="pct"/>
            <w:shd w:val="clear" w:color="auto" w:fill="auto"/>
            <w:vAlign w:val="center"/>
          </w:tcPr>
          <w:p w:rsidR="009912D4" w:rsidRPr="00B15043" w:rsidRDefault="009912D4" w:rsidP="009912D4">
            <w:pPr>
              <w:pStyle w:val="Tabletext"/>
              <w:ind w:right="149"/>
              <w:jc w:val="right"/>
            </w:pPr>
            <w:r w:rsidRPr="00740AA4">
              <w:t>-$</w:t>
            </w:r>
            <w:r w:rsidR="004C5EA1">
              <w:rPr>
                <w:noProof/>
                <w:color w:val="000000"/>
                <w:highlight w:val="black"/>
              </w:rPr>
              <w:t>''''''''''''''</w:t>
            </w:r>
          </w:p>
        </w:tc>
        <w:tc>
          <w:tcPr>
            <w:tcW w:w="647" w:type="pct"/>
            <w:shd w:val="clear" w:color="auto" w:fill="auto"/>
            <w:vAlign w:val="center"/>
          </w:tcPr>
          <w:p w:rsidR="009912D4" w:rsidRPr="00B15043" w:rsidRDefault="009912D4" w:rsidP="009912D4">
            <w:pPr>
              <w:pStyle w:val="Tabletext"/>
              <w:ind w:right="149"/>
              <w:jc w:val="right"/>
            </w:pPr>
            <w:r w:rsidRPr="00740AA4">
              <w:t>-$</w:t>
            </w:r>
            <w:r w:rsidR="004C5EA1">
              <w:rPr>
                <w:noProof/>
                <w:color w:val="000000"/>
                <w:highlight w:val="black"/>
              </w:rPr>
              <w:t>'''''''''''''</w:t>
            </w:r>
          </w:p>
        </w:tc>
        <w:tc>
          <w:tcPr>
            <w:tcW w:w="646" w:type="pct"/>
            <w:vAlign w:val="center"/>
          </w:tcPr>
          <w:p w:rsidR="009912D4" w:rsidRPr="00B15043" w:rsidRDefault="009912D4" w:rsidP="009912D4">
            <w:pPr>
              <w:pStyle w:val="Tabletext"/>
              <w:ind w:right="149"/>
              <w:jc w:val="right"/>
            </w:pPr>
            <w:r w:rsidRPr="00740AA4">
              <w:t>-$</w:t>
            </w:r>
            <w:r w:rsidR="004C5EA1">
              <w:rPr>
                <w:noProof/>
                <w:color w:val="000000"/>
                <w:highlight w:val="black"/>
              </w:rPr>
              <w:t>'''''''''''''</w:t>
            </w:r>
          </w:p>
        </w:tc>
      </w:tr>
      <w:tr w:rsidR="009912D4" w:rsidRPr="003639A6" w:rsidTr="003D754C">
        <w:tc>
          <w:tcPr>
            <w:tcW w:w="1119" w:type="pct"/>
            <w:shd w:val="clear" w:color="auto" w:fill="auto"/>
            <w:vAlign w:val="center"/>
          </w:tcPr>
          <w:p w:rsidR="009912D4" w:rsidRDefault="009912D4" w:rsidP="009912D4">
            <w:pPr>
              <w:pStyle w:val="Tabletext"/>
              <w:rPr>
                <w:sz w:val="19"/>
                <w:szCs w:val="19"/>
              </w:rPr>
            </w:pPr>
            <w:r>
              <w:rPr>
                <w:sz w:val="19"/>
                <w:szCs w:val="19"/>
              </w:rPr>
              <w:t xml:space="preserve">Cost to PBS/RPBS less </w:t>
            </w:r>
            <w:r w:rsidR="005777DA">
              <w:rPr>
                <w:sz w:val="19"/>
                <w:szCs w:val="19"/>
              </w:rPr>
              <w:t>co-payments</w:t>
            </w:r>
          </w:p>
        </w:tc>
        <w:tc>
          <w:tcPr>
            <w:tcW w:w="647" w:type="pct"/>
            <w:shd w:val="clear" w:color="auto" w:fill="auto"/>
            <w:vAlign w:val="center"/>
          </w:tcPr>
          <w:p w:rsidR="009912D4" w:rsidRPr="00B15043" w:rsidRDefault="009912D4" w:rsidP="009912D4">
            <w:pPr>
              <w:pStyle w:val="Tabletext"/>
              <w:ind w:right="149"/>
              <w:jc w:val="right"/>
            </w:pPr>
            <w:r w:rsidRPr="00740AA4">
              <w:t>$</w:t>
            </w:r>
            <w:r w:rsidR="004C5EA1">
              <w:rPr>
                <w:noProof/>
                <w:color w:val="000000"/>
                <w:highlight w:val="black"/>
              </w:rPr>
              <w:t>'''''''''''''''''''''</w:t>
            </w:r>
          </w:p>
        </w:tc>
        <w:tc>
          <w:tcPr>
            <w:tcW w:w="647" w:type="pct"/>
            <w:shd w:val="clear" w:color="auto" w:fill="auto"/>
            <w:vAlign w:val="center"/>
          </w:tcPr>
          <w:p w:rsidR="009912D4" w:rsidRPr="00B15043" w:rsidRDefault="009912D4" w:rsidP="009912D4">
            <w:pPr>
              <w:pStyle w:val="Tabletext"/>
              <w:ind w:right="149"/>
              <w:jc w:val="right"/>
            </w:pPr>
            <w:r w:rsidRPr="00740AA4">
              <w:t>$</w:t>
            </w:r>
            <w:r w:rsidR="004C5EA1">
              <w:rPr>
                <w:noProof/>
                <w:color w:val="000000"/>
                <w:highlight w:val="black"/>
              </w:rPr>
              <w:t>'''''''''''''''''''</w:t>
            </w:r>
          </w:p>
        </w:tc>
        <w:tc>
          <w:tcPr>
            <w:tcW w:w="647" w:type="pct"/>
            <w:shd w:val="clear" w:color="auto" w:fill="auto"/>
            <w:vAlign w:val="center"/>
          </w:tcPr>
          <w:p w:rsidR="009912D4" w:rsidRPr="00B15043" w:rsidRDefault="009912D4" w:rsidP="009912D4">
            <w:pPr>
              <w:pStyle w:val="Tabletext"/>
              <w:ind w:right="149"/>
              <w:jc w:val="right"/>
            </w:pPr>
            <w:r w:rsidRPr="00740AA4">
              <w:t>$</w:t>
            </w:r>
            <w:r w:rsidR="004C5EA1">
              <w:rPr>
                <w:noProof/>
                <w:color w:val="000000"/>
                <w:highlight w:val="black"/>
              </w:rPr>
              <w:t>'''''''''''''''''''</w:t>
            </w:r>
          </w:p>
        </w:tc>
        <w:tc>
          <w:tcPr>
            <w:tcW w:w="647" w:type="pct"/>
            <w:shd w:val="clear" w:color="auto" w:fill="auto"/>
            <w:vAlign w:val="center"/>
          </w:tcPr>
          <w:p w:rsidR="009912D4" w:rsidRPr="00B15043" w:rsidRDefault="009912D4" w:rsidP="009912D4">
            <w:pPr>
              <w:pStyle w:val="Tabletext"/>
              <w:ind w:right="149"/>
              <w:jc w:val="right"/>
            </w:pPr>
            <w:r w:rsidRPr="00740AA4">
              <w:t>$</w:t>
            </w:r>
            <w:r w:rsidR="004C5EA1">
              <w:rPr>
                <w:noProof/>
                <w:color w:val="000000"/>
                <w:highlight w:val="black"/>
              </w:rPr>
              <w:t>'''''''''''''''''</w:t>
            </w:r>
          </w:p>
        </w:tc>
        <w:tc>
          <w:tcPr>
            <w:tcW w:w="647" w:type="pct"/>
            <w:shd w:val="clear" w:color="auto" w:fill="auto"/>
            <w:vAlign w:val="center"/>
          </w:tcPr>
          <w:p w:rsidR="009912D4" w:rsidRPr="00B15043" w:rsidRDefault="009912D4" w:rsidP="009912D4">
            <w:pPr>
              <w:pStyle w:val="Tabletext"/>
              <w:ind w:right="149"/>
              <w:jc w:val="right"/>
            </w:pPr>
            <w:r w:rsidRPr="00740AA4">
              <w:t>$</w:t>
            </w:r>
            <w:r w:rsidR="004C5EA1">
              <w:rPr>
                <w:noProof/>
                <w:color w:val="000000"/>
                <w:highlight w:val="black"/>
              </w:rPr>
              <w:t>''''''''''''''''''</w:t>
            </w:r>
          </w:p>
        </w:tc>
        <w:tc>
          <w:tcPr>
            <w:tcW w:w="646" w:type="pct"/>
            <w:vAlign w:val="center"/>
          </w:tcPr>
          <w:p w:rsidR="009912D4" w:rsidRPr="00B15043" w:rsidRDefault="009912D4" w:rsidP="009912D4">
            <w:pPr>
              <w:pStyle w:val="Tabletext"/>
              <w:ind w:right="149"/>
              <w:jc w:val="right"/>
            </w:pPr>
            <w:r w:rsidRPr="00740AA4">
              <w:t>$</w:t>
            </w:r>
            <w:r w:rsidR="004C5EA1">
              <w:rPr>
                <w:noProof/>
                <w:color w:val="000000"/>
                <w:highlight w:val="black"/>
              </w:rPr>
              <w:t>'''''''''''''''''''''</w:t>
            </w:r>
          </w:p>
        </w:tc>
      </w:tr>
      <w:tr w:rsidR="009912D4" w:rsidRPr="00FC22AB" w:rsidTr="003D754C">
        <w:tc>
          <w:tcPr>
            <w:tcW w:w="5000" w:type="pct"/>
            <w:gridSpan w:val="7"/>
            <w:tcBorders>
              <w:bottom w:val="single" w:sz="4" w:space="0" w:color="auto"/>
            </w:tcBorders>
            <w:shd w:val="clear" w:color="auto" w:fill="auto"/>
            <w:vAlign w:val="center"/>
          </w:tcPr>
          <w:p w:rsidR="009912D4" w:rsidRPr="00FC22AB" w:rsidRDefault="009912D4" w:rsidP="003D754C">
            <w:pPr>
              <w:pStyle w:val="Tabletext"/>
              <w:rPr>
                <w:b/>
                <w:bCs/>
                <w:color w:val="000000"/>
              </w:rPr>
            </w:pPr>
            <w:r w:rsidRPr="00FC22AB">
              <w:rPr>
                <w:b/>
                <w:bCs/>
                <w:color w:val="000000"/>
              </w:rPr>
              <w:t>Net financial implications</w:t>
            </w:r>
            <w:r>
              <w:rPr>
                <w:b/>
                <w:bCs/>
                <w:color w:val="000000"/>
              </w:rPr>
              <w:t xml:space="preserve"> to the Australian government health budget</w:t>
            </w:r>
          </w:p>
        </w:tc>
      </w:tr>
      <w:tr w:rsidR="009912D4" w:rsidRPr="00CA4080" w:rsidTr="003D754C">
        <w:tc>
          <w:tcPr>
            <w:tcW w:w="1119" w:type="pct"/>
            <w:tcBorders>
              <w:bottom w:val="nil"/>
            </w:tcBorders>
            <w:shd w:val="clear" w:color="auto" w:fill="auto"/>
            <w:vAlign w:val="center"/>
          </w:tcPr>
          <w:p w:rsidR="009912D4" w:rsidRPr="00CA4080" w:rsidRDefault="009912D4" w:rsidP="009912D4">
            <w:pPr>
              <w:pStyle w:val="Tabletext"/>
              <w:rPr>
                <w:sz w:val="19"/>
                <w:szCs w:val="19"/>
              </w:rPr>
            </w:pPr>
            <w:r w:rsidRPr="00CA4080">
              <w:rPr>
                <w:sz w:val="19"/>
                <w:szCs w:val="19"/>
              </w:rPr>
              <w:t>Net cost to PBS/RPBS</w:t>
            </w:r>
          </w:p>
        </w:tc>
        <w:tc>
          <w:tcPr>
            <w:tcW w:w="647" w:type="pct"/>
            <w:tcBorders>
              <w:bottom w:val="nil"/>
            </w:tcBorders>
            <w:shd w:val="clear" w:color="auto" w:fill="auto"/>
            <w:vAlign w:val="center"/>
          </w:tcPr>
          <w:p w:rsidR="009912D4" w:rsidRPr="00CA4080" w:rsidRDefault="009912D4" w:rsidP="009912D4">
            <w:pPr>
              <w:pStyle w:val="Tabletext"/>
              <w:ind w:right="149"/>
              <w:jc w:val="right"/>
            </w:pPr>
            <w:r>
              <w:t>$</w:t>
            </w:r>
            <w:r w:rsidR="004C5EA1">
              <w:rPr>
                <w:noProof/>
                <w:color w:val="000000"/>
                <w:highlight w:val="black"/>
              </w:rPr>
              <w:t>''''''''''''''''''''</w:t>
            </w:r>
          </w:p>
        </w:tc>
        <w:tc>
          <w:tcPr>
            <w:tcW w:w="647" w:type="pct"/>
            <w:tcBorders>
              <w:bottom w:val="nil"/>
            </w:tcBorders>
            <w:shd w:val="clear" w:color="auto" w:fill="auto"/>
            <w:vAlign w:val="center"/>
          </w:tcPr>
          <w:p w:rsidR="009912D4" w:rsidRPr="00CA4080" w:rsidRDefault="009912D4" w:rsidP="009912D4">
            <w:pPr>
              <w:pStyle w:val="Tabletext"/>
              <w:ind w:right="149"/>
              <w:jc w:val="right"/>
            </w:pPr>
            <w:r>
              <w:t>$</w:t>
            </w:r>
            <w:r w:rsidR="004C5EA1">
              <w:rPr>
                <w:noProof/>
                <w:color w:val="000000"/>
                <w:highlight w:val="black"/>
              </w:rPr>
              <w:t>''''''''''''''''''</w:t>
            </w:r>
          </w:p>
        </w:tc>
        <w:tc>
          <w:tcPr>
            <w:tcW w:w="647" w:type="pct"/>
            <w:tcBorders>
              <w:bottom w:val="nil"/>
            </w:tcBorders>
            <w:shd w:val="clear" w:color="auto" w:fill="auto"/>
            <w:vAlign w:val="center"/>
          </w:tcPr>
          <w:p w:rsidR="009912D4" w:rsidRPr="00CA4080" w:rsidRDefault="009912D4" w:rsidP="009912D4">
            <w:pPr>
              <w:pStyle w:val="Tabletext"/>
              <w:ind w:right="149"/>
              <w:jc w:val="right"/>
            </w:pPr>
            <w:r>
              <w:t>$</w:t>
            </w:r>
            <w:r w:rsidR="004C5EA1">
              <w:rPr>
                <w:noProof/>
                <w:color w:val="000000"/>
                <w:highlight w:val="black"/>
              </w:rPr>
              <w:t>'''''''''''''''''''</w:t>
            </w:r>
          </w:p>
        </w:tc>
        <w:tc>
          <w:tcPr>
            <w:tcW w:w="647" w:type="pct"/>
            <w:tcBorders>
              <w:bottom w:val="nil"/>
            </w:tcBorders>
            <w:shd w:val="clear" w:color="auto" w:fill="auto"/>
            <w:vAlign w:val="center"/>
          </w:tcPr>
          <w:p w:rsidR="009912D4" w:rsidRPr="00CA4080" w:rsidRDefault="009912D4" w:rsidP="009912D4">
            <w:pPr>
              <w:pStyle w:val="Tabletext"/>
              <w:ind w:right="149"/>
              <w:jc w:val="right"/>
            </w:pPr>
            <w:r>
              <w:t>$</w:t>
            </w:r>
            <w:r w:rsidR="004C5EA1">
              <w:rPr>
                <w:noProof/>
                <w:color w:val="000000"/>
                <w:highlight w:val="black"/>
              </w:rPr>
              <w:t>''''''''''''''''''''</w:t>
            </w:r>
          </w:p>
        </w:tc>
        <w:tc>
          <w:tcPr>
            <w:tcW w:w="647" w:type="pct"/>
            <w:tcBorders>
              <w:bottom w:val="nil"/>
            </w:tcBorders>
            <w:shd w:val="clear" w:color="auto" w:fill="auto"/>
            <w:vAlign w:val="center"/>
          </w:tcPr>
          <w:p w:rsidR="009912D4" w:rsidRPr="00CA4080" w:rsidRDefault="009912D4" w:rsidP="009912D4">
            <w:pPr>
              <w:pStyle w:val="Tabletext"/>
              <w:ind w:right="149"/>
              <w:jc w:val="right"/>
            </w:pPr>
            <w:r>
              <w:t>$</w:t>
            </w:r>
            <w:r w:rsidR="004C5EA1">
              <w:rPr>
                <w:noProof/>
                <w:color w:val="000000"/>
                <w:highlight w:val="black"/>
              </w:rPr>
              <w:t>''''''''''''''''''''</w:t>
            </w:r>
          </w:p>
        </w:tc>
        <w:tc>
          <w:tcPr>
            <w:tcW w:w="646" w:type="pct"/>
            <w:tcBorders>
              <w:bottom w:val="nil"/>
            </w:tcBorders>
            <w:vAlign w:val="center"/>
          </w:tcPr>
          <w:p w:rsidR="009912D4" w:rsidRPr="00CA4080" w:rsidRDefault="009912D4" w:rsidP="009912D4">
            <w:pPr>
              <w:pStyle w:val="Tabletext"/>
              <w:ind w:right="149"/>
              <w:jc w:val="right"/>
            </w:pPr>
            <w:r>
              <w:t>$</w:t>
            </w:r>
            <w:r w:rsidR="004C5EA1">
              <w:rPr>
                <w:noProof/>
                <w:color w:val="000000"/>
                <w:highlight w:val="black"/>
              </w:rPr>
              <w:t>'''''''''''''''''''</w:t>
            </w:r>
          </w:p>
        </w:tc>
      </w:tr>
      <w:tr w:rsidR="009912D4" w:rsidRPr="00CA4080" w:rsidTr="00126BBB">
        <w:tc>
          <w:tcPr>
            <w:tcW w:w="1119" w:type="pct"/>
            <w:tcBorders>
              <w:top w:val="nil"/>
            </w:tcBorders>
            <w:shd w:val="clear" w:color="auto" w:fill="auto"/>
            <w:vAlign w:val="center"/>
          </w:tcPr>
          <w:p w:rsidR="009912D4" w:rsidRPr="00CA4080" w:rsidRDefault="00126BBB" w:rsidP="009912D4">
            <w:pPr>
              <w:pStyle w:val="Tabletext"/>
              <w:rPr>
                <w:i/>
                <w:sz w:val="19"/>
                <w:szCs w:val="19"/>
              </w:rPr>
            </w:pPr>
            <w:r w:rsidRPr="00CA4080">
              <w:rPr>
                <w:i/>
                <w:sz w:val="19"/>
                <w:szCs w:val="19"/>
              </w:rPr>
              <w:t>Cost without offsets</w:t>
            </w:r>
            <w:r>
              <w:rPr>
                <w:i/>
                <w:sz w:val="19"/>
                <w:szCs w:val="19"/>
              </w:rPr>
              <w:t xml:space="preserve"> due to use of </w:t>
            </w:r>
            <w:r w:rsidR="002B6614">
              <w:rPr>
                <w:i/>
                <w:sz w:val="19"/>
                <w:szCs w:val="19"/>
              </w:rPr>
              <w:t>PBS listed</w:t>
            </w:r>
            <w:r>
              <w:rPr>
                <w:i/>
                <w:sz w:val="19"/>
                <w:szCs w:val="19"/>
              </w:rPr>
              <w:t xml:space="preserve"> drugs outside the PBS restriction.</w:t>
            </w:r>
          </w:p>
        </w:tc>
        <w:tc>
          <w:tcPr>
            <w:tcW w:w="647" w:type="pct"/>
            <w:tcBorders>
              <w:top w:val="nil"/>
            </w:tcBorders>
            <w:shd w:val="clear" w:color="auto" w:fill="auto"/>
            <w:vAlign w:val="center"/>
          </w:tcPr>
          <w:p w:rsidR="009912D4" w:rsidRPr="00CA4080" w:rsidRDefault="009912D4" w:rsidP="00126BBB">
            <w:pPr>
              <w:pStyle w:val="Tabletext"/>
              <w:ind w:right="149"/>
              <w:jc w:val="right"/>
              <w:rPr>
                <w:i/>
              </w:rPr>
            </w:pPr>
            <w:r w:rsidRPr="005A4878">
              <w:rPr>
                <w:i/>
              </w:rPr>
              <w:t>$</w:t>
            </w:r>
            <w:r w:rsidR="004C5EA1">
              <w:rPr>
                <w:i/>
                <w:noProof/>
                <w:color w:val="000000"/>
                <w:highlight w:val="black"/>
              </w:rPr>
              <w:t>''''''''''''''''''''</w:t>
            </w:r>
          </w:p>
        </w:tc>
        <w:tc>
          <w:tcPr>
            <w:tcW w:w="647" w:type="pct"/>
            <w:tcBorders>
              <w:top w:val="nil"/>
            </w:tcBorders>
            <w:shd w:val="clear" w:color="auto" w:fill="auto"/>
            <w:vAlign w:val="center"/>
          </w:tcPr>
          <w:p w:rsidR="009912D4" w:rsidRPr="00CA4080" w:rsidRDefault="009912D4" w:rsidP="00126BBB">
            <w:pPr>
              <w:pStyle w:val="Tabletext"/>
              <w:ind w:right="149"/>
              <w:jc w:val="right"/>
              <w:rPr>
                <w:i/>
              </w:rPr>
            </w:pPr>
            <w:r w:rsidRPr="005A4878">
              <w:rPr>
                <w:i/>
              </w:rPr>
              <w:t>$</w:t>
            </w:r>
            <w:r w:rsidR="004C5EA1">
              <w:rPr>
                <w:i/>
                <w:noProof/>
                <w:color w:val="000000"/>
                <w:highlight w:val="black"/>
              </w:rPr>
              <w:t>''''''''''''''''''''</w:t>
            </w:r>
          </w:p>
        </w:tc>
        <w:tc>
          <w:tcPr>
            <w:tcW w:w="647" w:type="pct"/>
            <w:tcBorders>
              <w:top w:val="nil"/>
            </w:tcBorders>
            <w:shd w:val="clear" w:color="auto" w:fill="auto"/>
            <w:vAlign w:val="center"/>
          </w:tcPr>
          <w:p w:rsidR="009912D4" w:rsidRPr="00CA4080" w:rsidRDefault="009912D4" w:rsidP="00126BBB">
            <w:pPr>
              <w:pStyle w:val="Tabletext"/>
              <w:ind w:right="149"/>
              <w:jc w:val="right"/>
              <w:rPr>
                <w:i/>
              </w:rPr>
            </w:pPr>
            <w:r w:rsidRPr="005A4878">
              <w:rPr>
                <w:i/>
              </w:rPr>
              <w:t>$</w:t>
            </w:r>
            <w:r w:rsidR="004C5EA1">
              <w:rPr>
                <w:i/>
                <w:noProof/>
                <w:color w:val="000000"/>
                <w:highlight w:val="black"/>
              </w:rPr>
              <w:t>''''''''''''''''''</w:t>
            </w:r>
          </w:p>
        </w:tc>
        <w:tc>
          <w:tcPr>
            <w:tcW w:w="647" w:type="pct"/>
            <w:tcBorders>
              <w:top w:val="nil"/>
            </w:tcBorders>
            <w:shd w:val="clear" w:color="auto" w:fill="auto"/>
            <w:vAlign w:val="center"/>
          </w:tcPr>
          <w:p w:rsidR="009912D4" w:rsidRPr="00CA4080" w:rsidRDefault="009912D4" w:rsidP="00126BBB">
            <w:pPr>
              <w:pStyle w:val="Tabletext"/>
              <w:ind w:right="149"/>
              <w:jc w:val="right"/>
              <w:rPr>
                <w:i/>
              </w:rPr>
            </w:pPr>
            <w:r w:rsidRPr="005A4878">
              <w:rPr>
                <w:i/>
              </w:rPr>
              <w:t>$</w:t>
            </w:r>
            <w:r w:rsidR="004C5EA1">
              <w:rPr>
                <w:i/>
                <w:noProof/>
                <w:color w:val="000000"/>
                <w:highlight w:val="black"/>
              </w:rPr>
              <w:t>'''''''''''''''''''</w:t>
            </w:r>
          </w:p>
        </w:tc>
        <w:tc>
          <w:tcPr>
            <w:tcW w:w="647" w:type="pct"/>
            <w:tcBorders>
              <w:top w:val="nil"/>
            </w:tcBorders>
            <w:shd w:val="clear" w:color="auto" w:fill="auto"/>
            <w:vAlign w:val="center"/>
          </w:tcPr>
          <w:p w:rsidR="009912D4" w:rsidRPr="00CA4080" w:rsidRDefault="009912D4" w:rsidP="00126BBB">
            <w:pPr>
              <w:pStyle w:val="Tabletext"/>
              <w:ind w:right="149"/>
              <w:jc w:val="right"/>
              <w:rPr>
                <w:i/>
              </w:rPr>
            </w:pPr>
            <w:r w:rsidRPr="005A4878">
              <w:rPr>
                <w:i/>
              </w:rPr>
              <w:t>$</w:t>
            </w:r>
            <w:r w:rsidR="004C5EA1">
              <w:rPr>
                <w:i/>
                <w:noProof/>
                <w:color w:val="000000"/>
                <w:highlight w:val="black"/>
              </w:rPr>
              <w:t>''''''''''''''''''''</w:t>
            </w:r>
          </w:p>
        </w:tc>
        <w:tc>
          <w:tcPr>
            <w:tcW w:w="646" w:type="pct"/>
            <w:tcBorders>
              <w:top w:val="nil"/>
            </w:tcBorders>
            <w:vAlign w:val="center"/>
          </w:tcPr>
          <w:p w:rsidR="009912D4" w:rsidRPr="00CA4080" w:rsidRDefault="009912D4" w:rsidP="00126BBB">
            <w:pPr>
              <w:pStyle w:val="Tabletext"/>
              <w:ind w:right="149"/>
              <w:jc w:val="right"/>
              <w:rPr>
                <w:i/>
              </w:rPr>
            </w:pPr>
            <w:r w:rsidRPr="005A4878">
              <w:rPr>
                <w:i/>
              </w:rPr>
              <w:t>$</w:t>
            </w:r>
            <w:r w:rsidR="004C5EA1">
              <w:rPr>
                <w:i/>
                <w:noProof/>
                <w:color w:val="000000"/>
                <w:highlight w:val="black"/>
              </w:rPr>
              <w:t>'''''''''''''''''''</w:t>
            </w:r>
          </w:p>
        </w:tc>
      </w:tr>
      <w:tr w:rsidR="009912D4" w:rsidRPr="00CA4080" w:rsidTr="003D754C">
        <w:tc>
          <w:tcPr>
            <w:tcW w:w="1119" w:type="pct"/>
            <w:tcBorders>
              <w:bottom w:val="single" w:sz="4" w:space="0" w:color="auto"/>
            </w:tcBorders>
            <w:shd w:val="clear" w:color="auto" w:fill="auto"/>
            <w:vAlign w:val="center"/>
          </w:tcPr>
          <w:p w:rsidR="009912D4" w:rsidRPr="00CA4080" w:rsidRDefault="009912D4" w:rsidP="009912D4">
            <w:pPr>
              <w:pStyle w:val="Tabletext"/>
              <w:rPr>
                <w:rFonts w:ascii="Times" w:hAnsi="Times"/>
              </w:rPr>
            </w:pPr>
            <w:r w:rsidRPr="00CA4080">
              <w:rPr>
                <w:sz w:val="19"/>
                <w:szCs w:val="19"/>
              </w:rPr>
              <w:t>Net cost to MBS</w:t>
            </w:r>
          </w:p>
        </w:tc>
        <w:tc>
          <w:tcPr>
            <w:tcW w:w="647" w:type="pct"/>
            <w:tcBorders>
              <w:bottom w:val="single" w:sz="4" w:space="0" w:color="auto"/>
            </w:tcBorders>
            <w:shd w:val="clear" w:color="auto" w:fill="auto"/>
            <w:vAlign w:val="bottom"/>
          </w:tcPr>
          <w:p w:rsidR="009912D4" w:rsidRPr="00CA4080" w:rsidRDefault="009912D4" w:rsidP="009912D4">
            <w:pPr>
              <w:pStyle w:val="Tabletext"/>
              <w:ind w:right="149"/>
              <w:jc w:val="right"/>
            </w:pPr>
            <w:r w:rsidRPr="00966F55">
              <w:t>$</w:t>
            </w:r>
            <w:r w:rsidR="004C5EA1">
              <w:rPr>
                <w:noProof/>
                <w:color w:val="000000"/>
                <w:highlight w:val="black"/>
              </w:rPr>
              <w:t>'''''</w:t>
            </w:r>
          </w:p>
        </w:tc>
        <w:tc>
          <w:tcPr>
            <w:tcW w:w="647" w:type="pct"/>
            <w:tcBorders>
              <w:bottom w:val="single" w:sz="4" w:space="0" w:color="auto"/>
            </w:tcBorders>
            <w:shd w:val="clear" w:color="auto" w:fill="auto"/>
            <w:vAlign w:val="bottom"/>
          </w:tcPr>
          <w:p w:rsidR="009912D4" w:rsidRPr="00CA4080" w:rsidRDefault="009912D4" w:rsidP="009912D4">
            <w:pPr>
              <w:pStyle w:val="Tabletext"/>
              <w:ind w:right="149"/>
              <w:jc w:val="right"/>
            </w:pPr>
            <w:r w:rsidRPr="00966F55">
              <w:t>$</w:t>
            </w:r>
            <w:r w:rsidR="004C5EA1">
              <w:rPr>
                <w:noProof/>
                <w:color w:val="000000"/>
                <w:highlight w:val="black"/>
              </w:rPr>
              <w:t>''''''</w:t>
            </w:r>
          </w:p>
        </w:tc>
        <w:tc>
          <w:tcPr>
            <w:tcW w:w="647" w:type="pct"/>
            <w:tcBorders>
              <w:bottom w:val="single" w:sz="4" w:space="0" w:color="auto"/>
            </w:tcBorders>
            <w:shd w:val="clear" w:color="auto" w:fill="auto"/>
            <w:vAlign w:val="bottom"/>
          </w:tcPr>
          <w:p w:rsidR="009912D4" w:rsidRPr="00CA4080" w:rsidRDefault="009912D4" w:rsidP="009912D4">
            <w:pPr>
              <w:pStyle w:val="Tabletext"/>
              <w:ind w:right="149"/>
              <w:jc w:val="right"/>
            </w:pPr>
            <w:r w:rsidRPr="00966F55">
              <w:t>$</w:t>
            </w:r>
            <w:r w:rsidR="004C5EA1">
              <w:rPr>
                <w:noProof/>
                <w:color w:val="000000"/>
                <w:highlight w:val="black"/>
              </w:rPr>
              <w:t>'''''''</w:t>
            </w:r>
          </w:p>
        </w:tc>
        <w:tc>
          <w:tcPr>
            <w:tcW w:w="647" w:type="pct"/>
            <w:tcBorders>
              <w:bottom w:val="single" w:sz="4" w:space="0" w:color="auto"/>
            </w:tcBorders>
            <w:shd w:val="clear" w:color="auto" w:fill="auto"/>
            <w:vAlign w:val="bottom"/>
          </w:tcPr>
          <w:p w:rsidR="009912D4" w:rsidRPr="00CA4080" w:rsidRDefault="009912D4" w:rsidP="009912D4">
            <w:pPr>
              <w:pStyle w:val="Tabletext"/>
              <w:ind w:right="149"/>
              <w:jc w:val="right"/>
            </w:pPr>
            <w:r w:rsidRPr="00966F55">
              <w:t>$</w:t>
            </w:r>
            <w:r w:rsidR="004C5EA1">
              <w:rPr>
                <w:noProof/>
                <w:color w:val="000000"/>
                <w:highlight w:val="black"/>
              </w:rPr>
              <w:t>''''''</w:t>
            </w:r>
          </w:p>
        </w:tc>
        <w:tc>
          <w:tcPr>
            <w:tcW w:w="647" w:type="pct"/>
            <w:tcBorders>
              <w:bottom w:val="single" w:sz="4" w:space="0" w:color="auto"/>
            </w:tcBorders>
            <w:shd w:val="clear" w:color="auto" w:fill="auto"/>
            <w:vAlign w:val="bottom"/>
          </w:tcPr>
          <w:p w:rsidR="009912D4" w:rsidRPr="00CA4080" w:rsidRDefault="009912D4" w:rsidP="009912D4">
            <w:pPr>
              <w:pStyle w:val="Tabletext"/>
              <w:ind w:right="149"/>
              <w:jc w:val="right"/>
            </w:pPr>
            <w:r w:rsidRPr="00966F55">
              <w:t>$</w:t>
            </w:r>
            <w:r w:rsidR="004C5EA1">
              <w:rPr>
                <w:noProof/>
                <w:color w:val="000000"/>
                <w:highlight w:val="black"/>
              </w:rPr>
              <w:t>'''''''</w:t>
            </w:r>
          </w:p>
        </w:tc>
        <w:tc>
          <w:tcPr>
            <w:tcW w:w="646" w:type="pct"/>
            <w:tcBorders>
              <w:bottom w:val="single" w:sz="4" w:space="0" w:color="auto"/>
            </w:tcBorders>
            <w:vAlign w:val="bottom"/>
          </w:tcPr>
          <w:p w:rsidR="009912D4" w:rsidRPr="00CA4080" w:rsidRDefault="009912D4" w:rsidP="009912D4">
            <w:pPr>
              <w:pStyle w:val="Tabletext"/>
              <w:ind w:right="149"/>
              <w:jc w:val="right"/>
            </w:pPr>
            <w:r w:rsidRPr="00966F55">
              <w:t>$</w:t>
            </w:r>
            <w:r w:rsidR="004C5EA1">
              <w:rPr>
                <w:noProof/>
                <w:color w:val="000000"/>
                <w:highlight w:val="black"/>
              </w:rPr>
              <w:t>'''''</w:t>
            </w:r>
          </w:p>
        </w:tc>
      </w:tr>
      <w:tr w:rsidR="009912D4" w:rsidRPr="00CA4080" w:rsidTr="003D754C">
        <w:tc>
          <w:tcPr>
            <w:tcW w:w="1119" w:type="pct"/>
            <w:tcBorders>
              <w:bottom w:val="nil"/>
            </w:tcBorders>
            <w:shd w:val="clear" w:color="auto" w:fill="auto"/>
            <w:vAlign w:val="center"/>
          </w:tcPr>
          <w:p w:rsidR="009912D4" w:rsidRPr="00CA4080" w:rsidRDefault="009912D4" w:rsidP="009912D4">
            <w:pPr>
              <w:pStyle w:val="Tabletext"/>
              <w:rPr>
                <w:sz w:val="19"/>
                <w:szCs w:val="19"/>
              </w:rPr>
            </w:pPr>
            <w:r w:rsidRPr="00CA4080">
              <w:rPr>
                <w:sz w:val="19"/>
                <w:szCs w:val="19"/>
              </w:rPr>
              <w:t>Net cost to PBS/RPBS/MBS</w:t>
            </w:r>
          </w:p>
        </w:tc>
        <w:tc>
          <w:tcPr>
            <w:tcW w:w="647" w:type="pct"/>
            <w:tcBorders>
              <w:bottom w:val="nil"/>
            </w:tcBorders>
            <w:shd w:val="clear" w:color="auto" w:fill="auto"/>
            <w:vAlign w:val="center"/>
          </w:tcPr>
          <w:p w:rsidR="009912D4" w:rsidRPr="00CA4080" w:rsidRDefault="009912D4" w:rsidP="009912D4">
            <w:pPr>
              <w:pStyle w:val="Tabletext"/>
              <w:ind w:right="149"/>
              <w:jc w:val="right"/>
            </w:pPr>
            <w:r w:rsidRPr="00966F55">
              <w:rPr>
                <w:b/>
              </w:rPr>
              <w:t>$</w:t>
            </w:r>
            <w:r w:rsidR="004C5EA1">
              <w:rPr>
                <w:b/>
                <w:noProof/>
                <w:color w:val="000000"/>
                <w:highlight w:val="black"/>
              </w:rPr>
              <w:t>'''''''''''''''</w:t>
            </w:r>
          </w:p>
        </w:tc>
        <w:tc>
          <w:tcPr>
            <w:tcW w:w="647" w:type="pct"/>
            <w:tcBorders>
              <w:bottom w:val="nil"/>
            </w:tcBorders>
            <w:shd w:val="clear" w:color="auto" w:fill="auto"/>
            <w:vAlign w:val="center"/>
          </w:tcPr>
          <w:p w:rsidR="009912D4" w:rsidRPr="00CA4080" w:rsidRDefault="009912D4" w:rsidP="009912D4">
            <w:pPr>
              <w:pStyle w:val="Tabletext"/>
              <w:ind w:right="149"/>
              <w:jc w:val="right"/>
            </w:pPr>
            <w:r w:rsidRPr="00966F55">
              <w:rPr>
                <w:b/>
              </w:rPr>
              <w:t>$</w:t>
            </w:r>
            <w:r w:rsidR="004C5EA1">
              <w:rPr>
                <w:b/>
                <w:noProof/>
                <w:color w:val="000000"/>
                <w:highlight w:val="black"/>
              </w:rPr>
              <w:t>'''''''''''''''''</w:t>
            </w:r>
          </w:p>
        </w:tc>
        <w:tc>
          <w:tcPr>
            <w:tcW w:w="647" w:type="pct"/>
            <w:tcBorders>
              <w:bottom w:val="nil"/>
            </w:tcBorders>
            <w:shd w:val="clear" w:color="auto" w:fill="auto"/>
            <w:vAlign w:val="center"/>
          </w:tcPr>
          <w:p w:rsidR="009912D4" w:rsidRPr="00CA4080" w:rsidRDefault="009912D4" w:rsidP="009912D4">
            <w:pPr>
              <w:pStyle w:val="Tabletext"/>
              <w:ind w:right="149"/>
              <w:jc w:val="right"/>
            </w:pPr>
            <w:r w:rsidRPr="00966F55">
              <w:rPr>
                <w:b/>
              </w:rPr>
              <w:t>$</w:t>
            </w:r>
            <w:r w:rsidR="004C5EA1">
              <w:rPr>
                <w:b/>
                <w:noProof/>
                <w:color w:val="000000"/>
                <w:highlight w:val="black"/>
              </w:rPr>
              <w:t>''''''''''''''</w:t>
            </w:r>
          </w:p>
        </w:tc>
        <w:tc>
          <w:tcPr>
            <w:tcW w:w="647" w:type="pct"/>
            <w:tcBorders>
              <w:bottom w:val="nil"/>
            </w:tcBorders>
            <w:shd w:val="clear" w:color="auto" w:fill="auto"/>
            <w:vAlign w:val="center"/>
          </w:tcPr>
          <w:p w:rsidR="009912D4" w:rsidRPr="00CA4080" w:rsidRDefault="009912D4" w:rsidP="009912D4">
            <w:pPr>
              <w:pStyle w:val="Tabletext"/>
              <w:ind w:right="149"/>
              <w:jc w:val="right"/>
            </w:pPr>
            <w:r w:rsidRPr="00966F55">
              <w:rPr>
                <w:b/>
              </w:rPr>
              <w:t>$</w:t>
            </w:r>
            <w:r w:rsidR="004C5EA1">
              <w:rPr>
                <w:b/>
                <w:noProof/>
                <w:color w:val="000000"/>
                <w:highlight w:val="black"/>
              </w:rPr>
              <w:t>''''''''''''''''''</w:t>
            </w:r>
          </w:p>
        </w:tc>
        <w:tc>
          <w:tcPr>
            <w:tcW w:w="647" w:type="pct"/>
            <w:tcBorders>
              <w:bottom w:val="nil"/>
            </w:tcBorders>
            <w:shd w:val="clear" w:color="auto" w:fill="auto"/>
            <w:vAlign w:val="center"/>
          </w:tcPr>
          <w:p w:rsidR="009912D4" w:rsidRPr="00CA4080" w:rsidRDefault="009912D4" w:rsidP="009912D4">
            <w:pPr>
              <w:pStyle w:val="Tabletext"/>
              <w:ind w:right="149"/>
              <w:jc w:val="right"/>
            </w:pPr>
            <w:r w:rsidRPr="00966F55">
              <w:rPr>
                <w:b/>
              </w:rPr>
              <w:t>$</w:t>
            </w:r>
            <w:r w:rsidR="004C5EA1">
              <w:rPr>
                <w:b/>
                <w:noProof/>
                <w:color w:val="000000"/>
                <w:highlight w:val="black"/>
              </w:rPr>
              <w:t>'''''''''''''''''</w:t>
            </w:r>
          </w:p>
        </w:tc>
        <w:tc>
          <w:tcPr>
            <w:tcW w:w="646" w:type="pct"/>
            <w:tcBorders>
              <w:bottom w:val="nil"/>
            </w:tcBorders>
            <w:vAlign w:val="center"/>
          </w:tcPr>
          <w:p w:rsidR="009912D4" w:rsidRPr="00CA4080" w:rsidRDefault="009912D4" w:rsidP="009912D4">
            <w:pPr>
              <w:pStyle w:val="Tabletext"/>
              <w:ind w:right="149"/>
              <w:jc w:val="right"/>
            </w:pPr>
            <w:r w:rsidRPr="00966F55">
              <w:rPr>
                <w:b/>
              </w:rPr>
              <w:t>$</w:t>
            </w:r>
            <w:r w:rsidR="004C5EA1">
              <w:rPr>
                <w:b/>
                <w:noProof/>
                <w:color w:val="000000"/>
                <w:highlight w:val="black"/>
              </w:rPr>
              <w:t>''''''''''''''''</w:t>
            </w:r>
          </w:p>
        </w:tc>
      </w:tr>
      <w:tr w:rsidR="009912D4" w:rsidRPr="00CA4080" w:rsidTr="00126BBB">
        <w:tc>
          <w:tcPr>
            <w:tcW w:w="1119" w:type="pct"/>
            <w:tcBorders>
              <w:top w:val="nil"/>
            </w:tcBorders>
            <w:shd w:val="clear" w:color="auto" w:fill="auto"/>
            <w:vAlign w:val="center"/>
          </w:tcPr>
          <w:p w:rsidR="009912D4" w:rsidRPr="00CA4080" w:rsidRDefault="00126BBB" w:rsidP="009912D4">
            <w:pPr>
              <w:pStyle w:val="Tabletext"/>
              <w:rPr>
                <w:i/>
                <w:sz w:val="19"/>
                <w:szCs w:val="19"/>
              </w:rPr>
            </w:pPr>
            <w:r w:rsidRPr="00CA4080">
              <w:rPr>
                <w:i/>
                <w:sz w:val="19"/>
                <w:szCs w:val="19"/>
              </w:rPr>
              <w:t>Cost without offsets</w:t>
            </w:r>
            <w:r>
              <w:rPr>
                <w:i/>
                <w:sz w:val="19"/>
                <w:szCs w:val="19"/>
              </w:rPr>
              <w:t xml:space="preserve"> due to use of </w:t>
            </w:r>
            <w:r w:rsidR="002B6614">
              <w:rPr>
                <w:i/>
                <w:sz w:val="19"/>
                <w:szCs w:val="19"/>
              </w:rPr>
              <w:t>PBS listed</w:t>
            </w:r>
            <w:r>
              <w:rPr>
                <w:i/>
                <w:sz w:val="19"/>
                <w:szCs w:val="19"/>
              </w:rPr>
              <w:t xml:space="preserve"> drugs outside the PBS restriction.</w:t>
            </w:r>
          </w:p>
        </w:tc>
        <w:tc>
          <w:tcPr>
            <w:tcW w:w="647" w:type="pct"/>
            <w:tcBorders>
              <w:top w:val="nil"/>
            </w:tcBorders>
            <w:shd w:val="clear" w:color="auto" w:fill="auto"/>
            <w:vAlign w:val="center"/>
          </w:tcPr>
          <w:p w:rsidR="009912D4" w:rsidRPr="00CA4080" w:rsidRDefault="009912D4" w:rsidP="00126BBB">
            <w:pPr>
              <w:pStyle w:val="Tabletext"/>
              <w:ind w:right="149"/>
              <w:jc w:val="right"/>
              <w:rPr>
                <w:i/>
              </w:rPr>
            </w:pPr>
            <w:r w:rsidRPr="005A4878">
              <w:rPr>
                <w:i/>
              </w:rPr>
              <w:t>$</w:t>
            </w:r>
            <w:r w:rsidR="004C5EA1">
              <w:rPr>
                <w:i/>
                <w:noProof/>
                <w:color w:val="000000"/>
                <w:highlight w:val="black"/>
              </w:rPr>
              <w:t>''''''''''''''''''</w:t>
            </w:r>
          </w:p>
        </w:tc>
        <w:tc>
          <w:tcPr>
            <w:tcW w:w="647" w:type="pct"/>
            <w:tcBorders>
              <w:top w:val="nil"/>
            </w:tcBorders>
            <w:shd w:val="clear" w:color="auto" w:fill="auto"/>
            <w:vAlign w:val="center"/>
          </w:tcPr>
          <w:p w:rsidR="009912D4" w:rsidRPr="00CA4080" w:rsidRDefault="009912D4" w:rsidP="00126BBB">
            <w:pPr>
              <w:pStyle w:val="Tabletext"/>
              <w:ind w:right="149"/>
              <w:jc w:val="right"/>
              <w:rPr>
                <w:i/>
              </w:rPr>
            </w:pPr>
            <w:r w:rsidRPr="005A4878">
              <w:rPr>
                <w:i/>
              </w:rPr>
              <w:t>$</w:t>
            </w:r>
            <w:r w:rsidR="004C5EA1">
              <w:rPr>
                <w:i/>
                <w:noProof/>
                <w:color w:val="000000"/>
                <w:highlight w:val="black"/>
              </w:rPr>
              <w:t>''''''''''''''''''</w:t>
            </w:r>
          </w:p>
        </w:tc>
        <w:tc>
          <w:tcPr>
            <w:tcW w:w="647" w:type="pct"/>
            <w:tcBorders>
              <w:top w:val="nil"/>
            </w:tcBorders>
            <w:shd w:val="clear" w:color="auto" w:fill="auto"/>
            <w:vAlign w:val="center"/>
          </w:tcPr>
          <w:p w:rsidR="009912D4" w:rsidRPr="00CA4080" w:rsidRDefault="009912D4" w:rsidP="00126BBB">
            <w:pPr>
              <w:pStyle w:val="Tabletext"/>
              <w:ind w:right="149"/>
              <w:jc w:val="right"/>
              <w:rPr>
                <w:i/>
              </w:rPr>
            </w:pPr>
            <w:r w:rsidRPr="005A4878">
              <w:rPr>
                <w:i/>
              </w:rPr>
              <w:t>$</w:t>
            </w:r>
            <w:r w:rsidR="004C5EA1">
              <w:rPr>
                <w:i/>
                <w:noProof/>
                <w:color w:val="000000"/>
                <w:highlight w:val="black"/>
              </w:rPr>
              <w:t>'''''''''''''''''''</w:t>
            </w:r>
          </w:p>
        </w:tc>
        <w:tc>
          <w:tcPr>
            <w:tcW w:w="647" w:type="pct"/>
            <w:tcBorders>
              <w:top w:val="nil"/>
            </w:tcBorders>
            <w:shd w:val="clear" w:color="auto" w:fill="auto"/>
            <w:vAlign w:val="center"/>
          </w:tcPr>
          <w:p w:rsidR="009912D4" w:rsidRPr="00CA4080" w:rsidRDefault="009912D4" w:rsidP="00126BBB">
            <w:pPr>
              <w:pStyle w:val="Tabletext"/>
              <w:ind w:right="149"/>
              <w:jc w:val="right"/>
              <w:rPr>
                <w:i/>
              </w:rPr>
            </w:pPr>
            <w:r w:rsidRPr="005A4878">
              <w:rPr>
                <w:i/>
              </w:rPr>
              <w:t>$</w:t>
            </w:r>
            <w:r w:rsidR="004C5EA1">
              <w:rPr>
                <w:i/>
                <w:noProof/>
                <w:color w:val="000000"/>
                <w:highlight w:val="black"/>
              </w:rPr>
              <w:t>'''''''''''''''''</w:t>
            </w:r>
          </w:p>
        </w:tc>
        <w:tc>
          <w:tcPr>
            <w:tcW w:w="647" w:type="pct"/>
            <w:tcBorders>
              <w:top w:val="nil"/>
            </w:tcBorders>
            <w:shd w:val="clear" w:color="auto" w:fill="auto"/>
            <w:vAlign w:val="center"/>
          </w:tcPr>
          <w:p w:rsidR="009912D4" w:rsidRPr="00CA4080" w:rsidRDefault="009912D4" w:rsidP="00126BBB">
            <w:pPr>
              <w:pStyle w:val="Tabletext"/>
              <w:ind w:right="149"/>
              <w:jc w:val="right"/>
              <w:rPr>
                <w:i/>
              </w:rPr>
            </w:pPr>
            <w:r w:rsidRPr="005A4878">
              <w:rPr>
                <w:i/>
              </w:rPr>
              <w:t>$</w:t>
            </w:r>
            <w:r w:rsidR="004C5EA1">
              <w:rPr>
                <w:i/>
                <w:noProof/>
                <w:color w:val="000000"/>
                <w:highlight w:val="black"/>
              </w:rPr>
              <w:t>'''''''''''''''''</w:t>
            </w:r>
          </w:p>
        </w:tc>
        <w:tc>
          <w:tcPr>
            <w:tcW w:w="646" w:type="pct"/>
            <w:tcBorders>
              <w:top w:val="nil"/>
            </w:tcBorders>
            <w:vAlign w:val="center"/>
          </w:tcPr>
          <w:p w:rsidR="009912D4" w:rsidRPr="00CA4080" w:rsidRDefault="009912D4" w:rsidP="00126BBB">
            <w:pPr>
              <w:pStyle w:val="Tabletext"/>
              <w:ind w:right="149"/>
              <w:jc w:val="right"/>
              <w:rPr>
                <w:i/>
              </w:rPr>
            </w:pPr>
            <w:r w:rsidRPr="005A4878">
              <w:rPr>
                <w:i/>
              </w:rPr>
              <w:t>$</w:t>
            </w:r>
            <w:r w:rsidR="004C5EA1">
              <w:rPr>
                <w:i/>
                <w:noProof/>
                <w:color w:val="000000"/>
                <w:highlight w:val="black"/>
              </w:rPr>
              <w:t>'''''''''''''''''''</w:t>
            </w:r>
          </w:p>
        </w:tc>
      </w:tr>
    </w:tbl>
    <w:p w:rsidR="009422A1" w:rsidRPr="009422A1" w:rsidRDefault="009422A1" w:rsidP="009912D4">
      <w:pPr>
        <w:pStyle w:val="TableFooter"/>
        <w:tabs>
          <w:tab w:val="left" w:pos="142"/>
        </w:tabs>
      </w:pPr>
      <w:r>
        <w:t>CNV = choroidal neovascularisation</w:t>
      </w:r>
    </w:p>
    <w:p w:rsidR="009912D4" w:rsidRPr="00CA4080" w:rsidRDefault="009912D4" w:rsidP="009912D4">
      <w:pPr>
        <w:pStyle w:val="TableFooter"/>
        <w:tabs>
          <w:tab w:val="left" w:pos="142"/>
        </w:tabs>
      </w:pPr>
      <w:r w:rsidRPr="00CA4080">
        <w:rPr>
          <w:vertAlign w:val="superscript"/>
        </w:rPr>
        <w:t>a</w:t>
      </w:r>
      <w:r w:rsidRPr="00CA4080">
        <w:t xml:space="preserve"> Assuming </w:t>
      </w:r>
      <w:r w:rsidR="003D754C">
        <w:t xml:space="preserve">an average weighted 6.9 </w:t>
      </w:r>
      <w:r w:rsidRPr="00CA4080">
        <w:t xml:space="preserve">scripts per </w:t>
      </w:r>
      <w:r w:rsidR="002F79E5">
        <w:t>year</w:t>
      </w:r>
      <w:r w:rsidRPr="00CA4080">
        <w:t xml:space="preserve"> </w:t>
      </w:r>
      <w:r w:rsidR="003D754C">
        <w:t xml:space="preserve">across the </w:t>
      </w:r>
      <w:r w:rsidR="00C06FF1">
        <w:t>angioid streaks</w:t>
      </w:r>
      <w:r w:rsidR="002F79E5">
        <w:t xml:space="preserve"> and non-</w:t>
      </w:r>
      <w:r w:rsidR="00C06FF1">
        <w:t>angioid streaks</w:t>
      </w:r>
      <w:r w:rsidR="002F79E5">
        <w:t xml:space="preserve"> rare CNV subgroups, </w:t>
      </w:r>
      <w:r w:rsidRPr="00CA4080">
        <w:t>as estimated by the submission.</w:t>
      </w:r>
    </w:p>
    <w:p w:rsidR="009912D4" w:rsidRPr="00CA4080" w:rsidRDefault="009912D4" w:rsidP="009912D4">
      <w:pPr>
        <w:pStyle w:val="TableFooter"/>
        <w:tabs>
          <w:tab w:val="left" w:pos="142"/>
        </w:tabs>
        <w:rPr>
          <w:i/>
        </w:rPr>
      </w:pPr>
      <w:r w:rsidRPr="00CA4080">
        <w:rPr>
          <w:i/>
        </w:rPr>
        <w:t>Figures in italics were calculated during the evaluation, excludin</w:t>
      </w:r>
      <w:r w:rsidR="00126BBB">
        <w:rPr>
          <w:i/>
        </w:rPr>
        <w:t>g cost offsets associated with use of</w:t>
      </w:r>
      <w:r w:rsidR="00126BBB" w:rsidRPr="00CA4080">
        <w:rPr>
          <w:i/>
        </w:rPr>
        <w:t xml:space="preserve"> </w:t>
      </w:r>
      <w:r w:rsidR="002B6614">
        <w:rPr>
          <w:i/>
        </w:rPr>
        <w:t>PBS listed</w:t>
      </w:r>
      <w:r w:rsidR="00126BBB" w:rsidRPr="00CA4080">
        <w:rPr>
          <w:i/>
        </w:rPr>
        <w:t xml:space="preserve"> medicines</w:t>
      </w:r>
      <w:r w:rsidR="00126BBB">
        <w:rPr>
          <w:i/>
        </w:rPr>
        <w:t xml:space="preserve"> outside the PBS restriction for CNV due to AMD.</w:t>
      </w:r>
    </w:p>
    <w:p w:rsidR="009912D4" w:rsidRDefault="002F79E5" w:rsidP="006510A9">
      <w:pPr>
        <w:pStyle w:val="TableFooter"/>
        <w:spacing w:after="160"/>
      </w:pPr>
      <w:r>
        <w:t>Source: Table 4.2-3 p106</w:t>
      </w:r>
      <w:r w:rsidR="009912D4" w:rsidRPr="00CA4080">
        <w:t xml:space="preserve">, </w:t>
      </w:r>
      <w:r>
        <w:t>Table 4.3-5 p112, Table 4.3-6 p112 and Table 4.5-5 p120 of the submission; Excel workbook ‘Utilisation and financial estimates Rare CNV.xlsx’ supplied in the submission</w:t>
      </w:r>
      <w:r w:rsidR="009912D4" w:rsidRPr="00CA4080">
        <w:t>.</w:t>
      </w:r>
    </w:p>
    <w:p w:rsidR="0095504B" w:rsidRPr="0095504B" w:rsidRDefault="0095504B" w:rsidP="006510A9">
      <w:pPr>
        <w:pStyle w:val="TableFooter"/>
        <w:spacing w:after="160"/>
        <w:rPr>
          <w:rStyle w:val="CommentReference"/>
          <w:rFonts w:asciiTheme="minorHAnsi" w:hAnsiTheme="minorHAnsi"/>
          <w:sz w:val="24"/>
          <w:szCs w:val="24"/>
        </w:rPr>
      </w:pPr>
      <w:r>
        <w:rPr>
          <w:rFonts w:asciiTheme="minorHAnsi" w:hAnsiTheme="minorHAnsi"/>
          <w:sz w:val="24"/>
          <w:szCs w:val="24"/>
        </w:rPr>
        <w:t>The redacted table shows that at Year 6, the estimated number of patients was less than 1</w:t>
      </w:r>
      <w:r w:rsidR="00943CF4">
        <w:rPr>
          <w:rFonts w:asciiTheme="minorHAnsi" w:hAnsiTheme="minorHAnsi"/>
          <w:sz w:val="24"/>
          <w:szCs w:val="24"/>
        </w:rPr>
        <w:t>0</w:t>
      </w:r>
      <w:r>
        <w:rPr>
          <w:rFonts w:asciiTheme="minorHAnsi" w:hAnsiTheme="minorHAnsi"/>
          <w:sz w:val="24"/>
          <w:szCs w:val="24"/>
        </w:rPr>
        <w:t>000, and the net cost to the PBS (without offsets due to use of PBS listed drugs outside the PBS restriction) would be less than $10 million per year.</w:t>
      </w:r>
    </w:p>
    <w:p w:rsidR="00C80BCA" w:rsidRPr="00EB3AF3" w:rsidRDefault="00004E7C" w:rsidP="00FF28DB">
      <w:pPr>
        <w:pStyle w:val="ListParagraph"/>
        <w:widowControl/>
        <w:numPr>
          <w:ilvl w:val="1"/>
          <w:numId w:val="2"/>
        </w:numPr>
        <w:rPr>
          <w:rFonts w:asciiTheme="minorHAnsi" w:hAnsiTheme="minorHAnsi"/>
        </w:rPr>
      </w:pPr>
      <w:r w:rsidRPr="00EB3AF3">
        <w:rPr>
          <w:rFonts w:asciiTheme="minorHAnsi" w:hAnsiTheme="minorHAnsi"/>
        </w:rPr>
        <w:t xml:space="preserve">The main source of uncertainty in the financial estimates was the size of the eligible patient population. </w:t>
      </w:r>
      <w:r w:rsidR="00661F0F" w:rsidRPr="00EB3AF3">
        <w:rPr>
          <w:rFonts w:asciiTheme="minorHAnsi" w:hAnsiTheme="minorHAnsi"/>
        </w:rPr>
        <w:t>The estimated net cost to the PBS/RPBS could be either over- or under-estimated.</w:t>
      </w:r>
    </w:p>
    <w:p w:rsidR="00576972" w:rsidRPr="004F1B17" w:rsidRDefault="00576972" w:rsidP="00076F67">
      <w:pPr>
        <w:pStyle w:val="Heading2"/>
        <w:keepNext/>
      </w:pPr>
      <w:bookmarkStart w:id="31" w:name="_Toc503186258"/>
      <w:r w:rsidRPr="004F1B17">
        <w:lastRenderedPageBreak/>
        <w:t>Financial Management – Risk Sharing Arrangements</w:t>
      </w:r>
      <w:bookmarkEnd w:id="31"/>
    </w:p>
    <w:p w:rsidR="002E72D5" w:rsidRPr="00F415BD" w:rsidRDefault="00B241B3" w:rsidP="00FF28DB">
      <w:pPr>
        <w:pStyle w:val="ListParagraph"/>
        <w:widowControl/>
        <w:numPr>
          <w:ilvl w:val="1"/>
          <w:numId w:val="2"/>
        </w:numPr>
      </w:pPr>
      <w:r w:rsidRPr="00F415BD">
        <w:t xml:space="preserve">The sponsor proposed that ranibizumab usage in </w:t>
      </w:r>
      <w:r w:rsidR="00431D24" w:rsidRPr="00F415BD">
        <w:t xml:space="preserve">rare </w:t>
      </w:r>
      <w:r w:rsidRPr="00F415BD">
        <w:t>CNV should be listed at the same published and effective price</w:t>
      </w:r>
      <w:r w:rsidR="00B52D24" w:rsidRPr="00F415BD">
        <w:t>s</w:t>
      </w:r>
      <w:r w:rsidRPr="00F415BD">
        <w:t xml:space="preserve"> as the AMD </w:t>
      </w:r>
      <w:r w:rsidR="00B52D24" w:rsidRPr="00F415BD">
        <w:t>population</w:t>
      </w:r>
      <w:r w:rsidRPr="00F415BD">
        <w:t xml:space="preserve"> and should be incorporated into the RSA negotiated to cover that </w:t>
      </w:r>
      <w:r w:rsidR="00B52D24" w:rsidRPr="00F415BD">
        <w:t>population</w:t>
      </w:r>
      <w:r w:rsidRPr="00F415BD">
        <w:t>.</w:t>
      </w:r>
    </w:p>
    <w:p w:rsidR="00EC0C10" w:rsidRPr="00EB3AF3" w:rsidRDefault="00EC0C10" w:rsidP="006510A9">
      <w:pPr>
        <w:widowControl/>
        <w:numPr>
          <w:ilvl w:val="1"/>
          <w:numId w:val="2"/>
        </w:numPr>
        <w:spacing w:before="160"/>
      </w:pPr>
      <w:r w:rsidRPr="00F415BD">
        <w:t xml:space="preserve">The proposal in the submission, which is restated in the PSCR, is to have the requested indication in </w:t>
      </w:r>
      <w:r w:rsidR="00AE311A" w:rsidRPr="00F415BD">
        <w:t>rare CNV</w:t>
      </w:r>
      <w:r w:rsidRPr="00F415BD">
        <w:t xml:space="preserve"> included in the existing Deed of Agreement for ranibizumab used in AMD, to mitigate the risk to the Australian Government of inaccuracies in the estimates. The</w:t>
      </w:r>
      <w:r w:rsidRPr="00EB3AF3">
        <w:t xml:space="preserve"> submission state</w:t>
      </w:r>
      <w:r w:rsidR="006510A9" w:rsidRPr="00EB3AF3">
        <w:t>d</w:t>
      </w:r>
      <w:r w:rsidRPr="00EB3AF3">
        <w:t xml:space="preserve"> that further discussion between the sponsor and the Department of Health </w:t>
      </w:r>
      <w:r w:rsidR="006510A9" w:rsidRPr="00EB3AF3">
        <w:t>would be</w:t>
      </w:r>
      <w:r w:rsidRPr="00EB3AF3">
        <w:t xml:space="preserve"> required for a number of log</w:t>
      </w:r>
      <w:r w:rsidR="006510A9" w:rsidRPr="00EB3AF3">
        <w:t>istical arrangements including:</w:t>
      </w:r>
    </w:p>
    <w:p w:rsidR="00EC0C10" w:rsidRPr="00EB3AF3" w:rsidRDefault="006510A9" w:rsidP="00EC0C10">
      <w:pPr>
        <w:widowControl/>
        <w:numPr>
          <w:ilvl w:val="0"/>
          <w:numId w:val="28"/>
        </w:numPr>
        <w:ind w:left="1434" w:hanging="357"/>
      </w:pPr>
      <w:r w:rsidRPr="00EB3AF3">
        <w:t>future capping arrangements</w:t>
      </w:r>
      <w:r w:rsidR="00A44234" w:rsidRPr="00EB3AF3">
        <w:t>;</w:t>
      </w:r>
    </w:p>
    <w:p w:rsidR="00EC0C10" w:rsidRPr="00EB3AF3" w:rsidRDefault="00EC0C10" w:rsidP="00EC0C10">
      <w:pPr>
        <w:widowControl/>
        <w:numPr>
          <w:ilvl w:val="0"/>
          <w:numId w:val="28"/>
        </w:numPr>
        <w:ind w:left="1434" w:hanging="357"/>
      </w:pPr>
      <w:r w:rsidRPr="00EB3AF3">
        <w:t xml:space="preserve">possible means of identifying </w:t>
      </w:r>
      <w:r w:rsidR="00AE311A" w:rsidRPr="00EB3AF3">
        <w:t>rare CNV</w:t>
      </w:r>
      <w:r w:rsidRPr="00EB3AF3">
        <w:t xml:space="preserve"> usage separate of AMD and RVO usage (such as separate PBS item numbers for each indication)</w:t>
      </w:r>
      <w:r w:rsidR="00A44234" w:rsidRPr="00EB3AF3">
        <w:t>;</w:t>
      </w:r>
    </w:p>
    <w:p w:rsidR="00EC0C10" w:rsidRPr="00EB3AF3" w:rsidRDefault="00EC0C10" w:rsidP="006510A9">
      <w:pPr>
        <w:widowControl/>
        <w:numPr>
          <w:ilvl w:val="0"/>
          <w:numId w:val="28"/>
        </w:numPr>
        <w:spacing w:after="160"/>
        <w:ind w:left="1434" w:hanging="357"/>
      </w:pPr>
      <w:r w:rsidRPr="00EB3AF3">
        <w:t xml:space="preserve">ways in which ranibizumab usage in </w:t>
      </w:r>
      <w:r w:rsidR="00AE311A" w:rsidRPr="00EB3AF3">
        <w:t>rare CNV</w:t>
      </w:r>
      <w:r w:rsidRPr="00EB3AF3">
        <w:t xml:space="preserve"> can be differentiated from aflibercept usage which currently shares the same expenditure cap.</w:t>
      </w:r>
    </w:p>
    <w:p w:rsidR="00636B27" w:rsidRDefault="00636B27" w:rsidP="00636B27">
      <w:pPr>
        <w:pStyle w:val="ListParagraph"/>
        <w:widowControl/>
        <w:rPr>
          <w:i/>
        </w:rPr>
      </w:pPr>
      <w:r w:rsidRPr="006A08E2">
        <w:rPr>
          <w:i/>
        </w:rPr>
        <w:t>For more detail on PBAC’s view, see section 7 PBAC outcome.</w:t>
      </w:r>
    </w:p>
    <w:p w:rsidR="00257608" w:rsidRPr="004F1B17" w:rsidRDefault="00433290" w:rsidP="004F1B17">
      <w:pPr>
        <w:pStyle w:val="PBACHeading1"/>
      </w:pPr>
      <w:r w:rsidRPr="004F1B17">
        <w:t>PBAC o</w:t>
      </w:r>
      <w:r w:rsidR="00257608" w:rsidRPr="004F1B17">
        <w:t>utcome</w:t>
      </w:r>
    </w:p>
    <w:p w:rsidR="00AE0749" w:rsidRPr="00AE0749" w:rsidRDefault="00AE0749" w:rsidP="003A434F">
      <w:pPr>
        <w:pStyle w:val="ListParagraph"/>
        <w:numPr>
          <w:ilvl w:val="1"/>
          <w:numId w:val="2"/>
        </w:numPr>
        <w:rPr>
          <w:rFonts w:asciiTheme="minorHAnsi" w:hAnsiTheme="minorHAnsi"/>
          <w:bCs/>
          <w:lang w:val="en-GB"/>
        </w:rPr>
      </w:pPr>
      <w:r w:rsidRPr="00AE0749">
        <w:rPr>
          <w:rFonts w:asciiTheme="minorHAnsi" w:hAnsiTheme="minorHAnsi"/>
          <w:bCs/>
          <w:lang w:val="en-GB"/>
        </w:rPr>
        <w:t xml:space="preserve">The PBAC recommended extending the listing of ranibizumab as an Authority required benefit to include treatment of subfoveal choroidal neovascularisation (CNV) due to rare causes (rare CNV). The PBAC was satisfied that ranibizumab provides, for some patients, a significant improvement in efficacy compared with sham </w:t>
      </w:r>
      <w:r w:rsidR="00712AFD">
        <w:rPr>
          <w:rFonts w:asciiTheme="minorHAnsi" w:hAnsiTheme="minorHAnsi"/>
          <w:bCs/>
          <w:lang w:val="en-GB"/>
        </w:rPr>
        <w:t xml:space="preserve">injection </w:t>
      </w:r>
      <w:r w:rsidRPr="00AE0749">
        <w:rPr>
          <w:rFonts w:asciiTheme="minorHAnsi" w:hAnsiTheme="minorHAnsi"/>
          <w:bCs/>
          <w:lang w:val="en-GB"/>
        </w:rPr>
        <w:t>(</w:t>
      </w:r>
      <w:r w:rsidR="00712AFD">
        <w:rPr>
          <w:rFonts w:asciiTheme="minorHAnsi" w:hAnsiTheme="minorHAnsi"/>
          <w:bCs/>
          <w:lang w:val="en-GB"/>
        </w:rPr>
        <w:t xml:space="preserve">as a proxy for </w:t>
      </w:r>
      <w:r w:rsidRPr="00AE0749">
        <w:rPr>
          <w:rFonts w:asciiTheme="minorHAnsi" w:hAnsiTheme="minorHAnsi"/>
          <w:bCs/>
          <w:lang w:val="en-GB"/>
        </w:rPr>
        <w:t xml:space="preserve">no active treatment). The PBAC’s recommendation for listing was </w:t>
      </w:r>
      <w:r w:rsidR="00433290">
        <w:rPr>
          <w:rFonts w:asciiTheme="minorHAnsi" w:hAnsiTheme="minorHAnsi"/>
          <w:bCs/>
          <w:lang w:val="en-GB"/>
        </w:rPr>
        <w:t xml:space="preserve">primarily </w:t>
      </w:r>
      <w:r w:rsidRPr="00AE0749">
        <w:rPr>
          <w:rFonts w:asciiTheme="minorHAnsi" w:hAnsiTheme="minorHAnsi"/>
          <w:bCs/>
          <w:lang w:val="en-GB"/>
        </w:rPr>
        <w:t>base</w:t>
      </w:r>
      <w:r w:rsidR="00433290">
        <w:rPr>
          <w:rFonts w:asciiTheme="minorHAnsi" w:hAnsiTheme="minorHAnsi"/>
          <w:bCs/>
          <w:lang w:val="en-GB"/>
        </w:rPr>
        <w:t>d</w:t>
      </w:r>
      <w:r w:rsidRPr="00AE0749">
        <w:rPr>
          <w:rFonts w:asciiTheme="minorHAnsi" w:hAnsiTheme="minorHAnsi"/>
          <w:bCs/>
          <w:lang w:val="en-GB"/>
        </w:rPr>
        <w:t xml:space="preserve"> on its assessment that the cost-effectiveness of ranibizumab would be acceptable at the price proposed in the submission</w:t>
      </w:r>
      <w:r w:rsidR="00433290">
        <w:rPr>
          <w:rFonts w:asciiTheme="minorHAnsi" w:hAnsiTheme="minorHAnsi"/>
          <w:bCs/>
          <w:lang w:val="en-GB"/>
        </w:rPr>
        <w:t xml:space="preserve"> across a wide range of scenario and sensitivity analyses.</w:t>
      </w:r>
    </w:p>
    <w:p w:rsidR="00011DE6" w:rsidRPr="00AE0749" w:rsidRDefault="009F207F" w:rsidP="003A434F">
      <w:pPr>
        <w:numPr>
          <w:ilvl w:val="1"/>
          <w:numId w:val="2"/>
        </w:numPr>
        <w:spacing w:after="160"/>
        <w:rPr>
          <w:rFonts w:asciiTheme="minorHAnsi" w:hAnsiTheme="minorHAnsi"/>
          <w:bCs/>
          <w:lang w:val="en-GB"/>
        </w:rPr>
      </w:pPr>
      <w:r w:rsidRPr="00AE0749">
        <w:rPr>
          <w:rFonts w:asciiTheme="minorHAnsi" w:hAnsiTheme="minorHAnsi"/>
          <w:bCs/>
          <w:lang w:val="en-GB"/>
        </w:rPr>
        <w:t>The PBAC considered there was a clinical need for PBS subsidised treatments for rare CNV noting that there are currently no PBS listed therapies for t</w:t>
      </w:r>
      <w:r w:rsidR="00433290">
        <w:rPr>
          <w:rFonts w:asciiTheme="minorHAnsi" w:hAnsiTheme="minorHAnsi"/>
          <w:bCs/>
          <w:lang w:val="en-GB"/>
        </w:rPr>
        <w:t>he treatment of this condition.</w:t>
      </w:r>
    </w:p>
    <w:p w:rsidR="009D15C9" w:rsidRDefault="009D15C9" w:rsidP="003A434F">
      <w:pPr>
        <w:numPr>
          <w:ilvl w:val="1"/>
          <w:numId w:val="2"/>
        </w:numPr>
        <w:spacing w:after="160"/>
        <w:rPr>
          <w:rFonts w:asciiTheme="minorHAnsi" w:hAnsiTheme="minorHAnsi"/>
          <w:bCs/>
          <w:lang w:val="en-GB"/>
        </w:rPr>
      </w:pPr>
      <w:r w:rsidRPr="00AE0749">
        <w:rPr>
          <w:rFonts w:asciiTheme="minorHAnsi" w:hAnsiTheme="minorHAnsi"/>
          <w:bCs/>
          <w:lang w:val="en-GB"/>
        </w:rPr>
        <w:t xml:space="preserve">The </w:t>
      </w:r>
      <w:r w:rsidR="00D04B61" w:rsidRPr="00AE0749">
        <w:rPr>
          <w:rFonts w:asciiTheme="minorHAnsi" w:hAnsiTheme="minorHAnsi"/>
          <w:bCs/>
          <w:lang w:val="en-GB"/>
        </w:rPr>
        <w:t xml:space="preserve">PBAC considered that consistent with existing administrative arrangements for ranibizumab and aflibercept in subfoveal CNV due to age-related macular degeneration (AMD), authority applications would be appropriate. The PBAC </w:t>
      </w:r>
      <w:r w:rsidR="00433290">
        <w:rPr>
          <w:rFonts w:asciiTheme="minorHAnsi" w:hAnsiTheme="minorHAnsi"/>
          <w:bCs/>
          <w:lang w:val="en-GB"/>
        </w:rPr>
        <w:t xml:space="preserve">advised that </w:t>
      </w:r>
      <w:r w:rsidR="00D04B61" w:rsidRPr="00AE0749">
        <w:rPr>
          <w:rFonts w:asciiTheme="minorHAnsi" w:hAnsiTheme="minorHAnsi"/>
          <w:bCs/>
          <w:lang w:val="en-GB"/>
        </w:rPr>
        <w:t xml:space="preserve">the current PBS listing for CNV due to AMD could be amended to allow for a single listing of CNV (due to AMD, PM or rare causes – see also PSD Item 6.04 ranibizumab, March 2018 PBAC meeting). </w:t>
      </w:r>
      <w:r w:rsidR="00433290">
        <w:rPr>
          <w:rFonts w:asciiTheme="minorHAnsi" w:hAnsiTheme="minorHAnsi"/>
          <w:bCs/>
          <w:lang w:val="en-GB"/>
        </w:rPr>
        <w:t>The PBAC also noted that appropriate coordination was in place to amend the MBS item for the codependent technology of OCT</w:t>
      </w:r>
      <w:r w:rsidR="00433290">
        <w:t>.</w:t>
      </w:r>
      <w:r w:rsidR="00433290" w:rsidRPr="00AE0749" w:rsidDel="00433290">
        <w:rPr>
          <w:rFonts w:asciiTheme="minorHAnsi" w:hAnsiTheme="minorHAnsi"/>
          <w:bCs/>
          <w:lang w:val="en-GB"/>
        </w:rPr>
        <w:t xml:space="preserve"> </w:t>
      </w:r>
    </w:p>
    <w:p w:rsidR="00712AFD" w:rsidRDefault="00712AFD" w:rsidP="003A434F">
      <w:pPr>
        <w:numPr>
          <w:ilvl w:val="1"/>
          <w:numId w:val="2"/>
        </w:numPr>
        <w:spacing w:after="160"/>
        <w:rPr>
          <w:rFonts w:asciiTheme="minorHAnsi" w:hAnsiTheme="minorHAnsi"/>
          <w:bCs/>
          <w:lang w:val="en-GB"/>
        </w:rPr>
      </w:pPr>
      <w:r>
        <w:rPr>
          <w:rFonts w:asciiTheme="minorHAnsi" w:hAnsiTheme="minorHAnsi"/>
          <w:bCs/>
          <w:lang w:val="en-GB"/>
        </w:rPr>
        <w:t>The PBAC considered the nominated comparator of sham injection (as a proxy for no active treatment)</w:t>
      </w:r>
      <w:r w:rsidR="00433290">
        <w:rPr>
          <w:rFonts w:asciiTheme="minorHAnsi" w:hAnsiTheme="minorHAnsi"/>
          <w:bCs/>
          <w:lang w:val="en-GB"/>
        </w:rPr>
        <w:t xml:space="preserve"> was appropriate.</w:t>
      </w:r>
    </w:p>
    <w:p w:rsidR="00E27064" w:rsidRDefault="003A434F" w:rsidP="00AE0749">
      <w:pPr>
        <w:numPr>
          <w:ilvl w:val="1"/>
          <w:numId w:val="2"/>
        </w:numPr>
        <w:spacing w:after="120"/>
        <w:rPr>
          <w:rFonts w:asciiTheme="minorHAnsi" w:hAnsiTheme="minorHAnsi"/>
          <w:bCs/>
          <w:lang w:val="en-GB"/>
        </w:rPr>
      </w:pPr>
      <w:r>
        <w:rPr>
          <w:rFonts w:asciiTheme="minorHAnsi" w:hAnsiTheme="minorHAnsi"/>
          <w:bCs/>
          <w:lang w:val="en-GB"/>
        </w:rPr>
        <w:lastRenderedPageBreak/>
        <w:t xml:space="preserve">The PBAC noted that the submission was based on one head-to-head randomised trial, MINERVA, which compared ranibizumab </w:t>
      </w:r>
      <w:r w:rsidR="00211096">
        <w:rPr>
          <w:rFonts w:asciiTheme="minorHAnsi" w:hAnsiTheme="minorHAnsi"/>
          <w:bCs/>
          <w:lang w:val="en-GB"/>
        </w:rPr>
        <w:t xml:space="preserve">treatment guided by disease activity </w:t>
      </w:r>
      <w:r>
        <w:rPr>
          <w:rFonts w:asciiTheme="minorHAnsi" w:hAnsiTheme="minorHAnsi"/>
          <w:bCs/>
          <w:lang w:val="en-GB"/>
        </w:rPr>
        <w:t xml:space="preserve">with sham </w:t>
      </w:r>
      <w:r w:rsidR="009432B2">
        <w:rPr>
          <w:rFonts w:asciiTheme="minorHAnsi" w:hAnsiTheme="minorHAnsi"/>
          <w:bCs/>
          <w:lang w:val="en-GB"/>
        </w:rPr>
        <w:t>injection</w:t>
      </w:r>
      <w:r>
        <w:rPr>
          <w:rFonts w:asciiTheme="minorHAnsi" w:hAnsiTheme="minorHAnsi"/>
          <w:bCs/>
          <w:lang w:val="en-GB"/>
        </w:rPr>
        <w:t xml:space="preserve"> </w:t>
      </w:r>
      <w:r w:rsidR="00211096">
        <w:rPr>
          <w:rFonts w:asciiTheme="minorHAnsi" w:hAnsiTheme="minorHAnsi"/>
          <w:bCs/>
          <w:lang w:val="en-GB"/>
        </w:rPr>
        <w:t xml:space="preserve">in patients with rare CNV. </w:t>
      </w:r>
      <w:r w:rsidR="00F73BF6">
        <w:rPr>
          <w:rFonts w:asciiTheme="minorHAnsi" w:hAnsiTheme="minorHAnsi"/>
          <w:bCs/>
          <w:lang w:val="en-GB"/>
        </w:rPr>
        <w:t xml:space="preserve">The PBAC noted that there </w:t>
      </w:r>
      <w:r w:rsidR="00433290">
        <w:rPr>
          <w:rFonts w:asciiTheme="minorHAnsi" w:hAnsiTheme="minorHAnsi"/>
          <w:bCs/>
          <w:lang w:val="en-GB"/>
        </w:rPr>
        <w:t>wa</w:t>
      </w:r>
      <w:r w:rsidR="00F73BF6">
        <w:rPr>
          <w:rFonts w:asciiTheme="minorHAnsi" w:hAnsiTheme="minorHAnsi"/>
          <w:bCs/>
          <w:lang w:val="en-GB"/>
        </w:rPr>
        <w:t>s only 2 months of randomised comparative data available due to the majority of patients in the sham therapy arm switchin</w:t>
      </w:r>
      <w:r w:rsidR="00931290">
        <w:rPr>
          <w:rFonts w:asciiTheme="minorHAnsi" w:hAnsiTheme="minorHAnsi"/>
          <w:bCs/>
          <w:lang w:val="en-GB"/>
        </w:rPr>
        <w:t>g to ranibizumab at the end of M</w:t>
      </w:r>
      <w:r w:rsidR="00433290">
        <w:rPr>
          <w:rFonts w:asciiTheme="minorHAnsi" w:hAnsiTheme="minorHAnsi"/>
          <w:bCs/>
          <w:lang w:val="en-GB"/>
        </w:rPr>
        <w:t>onth 2.</w:t>
      </w:r>
    </w:p>
    <w:p w:rsidR="00EC3FE6" w:rsidRPr="009405CC" w:rsidRDefault="009432B2" w:rsidP="009405CC">
      <w:pPr>
        <w:numPr>
          <w:ilvl w:val="1"/>
          <w:numId w:val="2"/>
        </w:numPr>
        <w:spacing w:after="120"/>
        <w:rPr>
          <w:rFonts w:asciiTheme="minorHAnsi" w:hAnsiTheme="minorHAnsi"/>
          <w:bCs/>
          <w:lang w:val="en-GB"/>
        </w:rPr>
      </w:pPr>
      <w:r>
        <w:rPr>
          <w:rFonts w:asciiTheme="minorHAnsi" w:hAnsiTheme="minorHAnsi"/>
          <w:bCs/>
          <w:lang w:val="en-GB"/>
        </w:rPr>
        <w:t>The PBAC</w:t>
      </w:r>
      <w:r w:rsidR="0017504A">
        <w:rPr>
          <w:rFonts w:asciiTheme="minorHAnsi" w:hAnsiTheme="minorHAnsi"/>
          <w:bCs/>
          <w:lang w:val="en-GB"/>
        </w:rPr>
        <w:t xml:space="preserve"> </w:t>
      </w:r>
      <w:r w:rsidR="00F30220">
        <w:rPr>
          <w:rFonts w:asciiTheme="minorHAnsi" w:hAnsiTheme="minorHAnsi"/>
          <w:bCs/>
          <w:lang w:val="en-GB"/>
        </w:rPr>
        <w:t xml:space="preserve">noted </w:t>
      </w:r>
      <w:r w:rsidR="00407058">
        <w:rPr>
          <w:rFonts w:asciiTheme="minorHAnsi" w:hAnsiTheme="minorHAnsi"/>
          <w:bCs/>
          <w:lang w:val="en-GB"/>
        </w:rPr>
        <w:t xml:space="preserve">that </w:t>
      </w:r>
      <w:r w:rsidR="0017504A">
        <w:rPr>
          <w:rFonts w:asciiTheme="minorHAnsi" w:hAnsiTheme="minorHAnsi"/>
          <w:bCs/>
          <w:lang w:val="en-GB"/>
        </w:rPr>
        <w:t xml:space="preserve">the </w:t>
      </w:r>
      <w:r w:rsidR="00407058">
        <w:rPr>
          <w:rFonts w:asciiTheme="minorHAnsi" w:hAnsiTheme="minorHAnsi"/>
          <w:bCs/>
          <w:lang w:val="en-GB"/>
        </w:rPr>
        <w:t xml:space="preserve">mean difference in mean average change from baseline to Month 2 </w:t>
      </w:r>
      <w:r w:rsidR="00E44F05">
        <w:rPr>
          <w:rFonts w:asciiTheme="minorHAnsi" w:hAnsiTheme="minorHAnsi"/>
          <w:bCs/>
          <w:lang w:val="en-GB"/>
        </w:rPr>
        <w:t>in</w:t>
      </w:r>
      <w:r w:rsidR="00EA1B9F">
        <w:rPr>
          <w:rFonts w:asciiTheme="minorHAnsi" w:hAnsiTheme="minorHAnsi"/>
          <w:bCs/>
          <w:lang w:val="en-GB"/>
        </w:rPr>
        <w:t xml:space="preserve"> </w:t>
      </w:r>
      <w:r w:rsidR="0017504A">
        <w:rPr>
          <w:rFonts w:asciiTheme="minorHAnsi" w:hAnsiTheme="minorHAnsi"/>
          <w:bCs/>
          <w:lang w:val="en-GB"/>
        </w:rPr>
        <w:t xml:space="preserve">best corrected visual acuity (BCVA) </w:t>
      </w:r>
      <w:r w:rsidR="00407058">
        <w:rPr>
          <w:rFonts w:asciiTheme="minorHAnsi" w:hAnsiTheme="minorHAnsi"/>
          <w:bCs/>
          <w:lang w:val="en-GB"/>
        </w:rPr>
        <w:t xml:space="preserve">for ranibizumab over sham injection of 9.94 </w:t>
      </w:r>
      <w:r w:rsidR="00407058" w:rsidRPr="00F30220">
        <w:rPr>
          <w:rFonts w:asciiTheme="minorHAnsi" w:hAnsiTheme="minorHAnsi"/>
          <w:bCs/>
          <w:lang w:val="en-GB"/>
        </w:rPr>
        <w:t>letters (95% CI: 6.97, 12.91)</w:t>
      </w:r>
      <w:r w:rsidR="00407058">
        <w:rPr>
          <w:rFonts w:asciiTheme="minorHAnsi" w:hAnsiTheme="minorHAnsi"/>
          <w:bCs/>
          <w:lang w:val="en-GB"/>
        </w:rPr>
        <w:t xml:space="preserve">, derived from </w:t>
      </w:r>
      <w:r w:rsidR="00F30220">
        <w:rPr>
          <w:rFonts w:asciiTheme="minorHAnsi" w:hAnsiTheme="minorHAnsi"/>
          <w:bCs/>
          <w:lang w:val="en-GB"/>
        </w:rPr>
        <w:t>9</w:t>
      </w:r>
      <w:r w:rsidR="00407058">
        <w:rPr>
          <w:rFonts w:asciiTheme="minorHAnsi" w:hAnsiTheme="minorHAnsi"/>
          <w:bCs/>
          <w:lang w:val="en-GB"/>
        </w:rPr>
        <w:t>.5</w:t>
      </w:r>
      <w:r w:rsidR="0017504A">
        <w:rPr>
          <w:rFonts w:asciiTheme="minorHAnsi" w:hAnsiTheme="minorHAnsi"/>
          <w:bCs/>
          <w:lang w:val="en-GB"/>
        </w:rPr>
        <w:t xml:space="preserve"> </w:t>
      </w:r>
      <w:r w:rsidR="00F30220">
        <w:rPr>
          <w:rFonts w:asciiTheme="minorHAnsi" w:hAnsiTheme="minorHAnsi"/>
          <w:bCs/>
          <w:lang w:val="en-GB"/>
        </w:rPr>
        <w:t>letters (</w:t>
      </w:r>
      <w:r w:rsidR="0017504A">
        <w:rPr>
          <w:rFonts w:asciiTheme="minorHAnsi" w:hAnsiTheme="minorHAnsi"/>
          <w:bCs/>
          <w:lang w:val="en-GB"/>
        </w:rPr>
        <w:t>95% CI: 6.97, 12.91)</w:t>
      </w:r>
      <w:r w:rsidR="00F30220">
        <w:rPr>
          <w:rFonts w:asciiTheme="minorHAnsi" w:hAnsiTheme="minorHAnsi"/>
          <w:bCs/>
          <w:lang w:val="en-GB"/>
        </w:rPr>
        <w:t xml:space="preserve"> </w:t>
      </w:r>
      <w:r w:rsidR="00061E07">
        <w:rPr>
          <w:rFonts w:asciiTheme="minorHAnsi" w:hAnsiTheme="minorHAnsi"/>
          <w:bCs/>
          <w:lang w:val="en-GB"/>
        </w:rPr>
        <w:t>in</w:t>
      </w:r>
      <w:r w:rsidR="00EA1B9F">
        <w:rPr>
          <w:rFonts w:asciiTheme="minorHAnsi" w:hAnsiTheme="minorHAnsi"/>
          <w:bCs/>
          <w:lang w:val="en-GB"/>
        </w:rPr>
        <w:t xml:space="preserve"> the ranibizumab treatment arm </w:t>
      </w:r>
      <w:r w:rsidR="00F30220">
        <w:rPr>
          <w:rFonts w:asciiTheme="minorHAnsi" w:hAnsiTheme="minorHAnsi"/>
          <w:bCs/>
          <w:lang w:val="en-GB"/>
        </w:rPr>
        <w:t xml:space="preserve">compared </w:t>
      </w:r>
      <w:r w:rsidR="00061E07">
        <w:rPr>
          <w:rFonts w:asciiTheme="minorHAnsi" w:hAnsiTheme="minorHAnsi"/>
          <w:bCs/>
          <w:lang w:val="en-GB"/>
        </w:rPr>
        <w:t>to no change (-0.4</w:t>
      </w:r>
      <w:r w:rsidR="00407058">
        <w:rPr>
          <w:rFonts w:asciiTheme="minorHAnsi" w:hAnsiTheme="minorHAnsi"/>
          <w:bCs/>
          <w:lang w:val="en-GB"/>
        </w:rPr>
        <w:t xml:space="preserve"> letters</w:t>
      </w:r>
      <w:r w:rsidR="00061E07">
        <w:rPr>
          <w:rFonts w:asciiTheme="minorHAnsi" w:hAnsiTheme="minorHAnsi"/>
          <w:bCs/>
          <w:lang w:val="en-GB"/>
        </w:rPr>
        <w:t>, 95% CI: -2.8, 1.9) in the sham injection arm</w:t>
      </w:r>
      <w:r w:rsidR="00EA1B9F">
        <w:rPr>
          <w:rFonts w:asciiTheme="minorHAnsi" w:hAnsiTheme="minorHAnsi"/>
          <w:bCs/>
          <w:lang w:val="en-GB"/>
        </w:rPr>
        <w:t xml:space="preserve">. </w:t>
      </w:r>
      <w:r w:rsidR="00061E07">
        <w:rPr>
          <w:rFonts w:asciiTheme="minorHAnsi" w:hAnsiTheme="minorHAnsi"/>
          <w:bCs/>
          <w:lang w:val="en-GB"/>
        </w:rPr>
        <w:t>The PBAC considered the magnitude of treatment effect in the ranibizumab treatment arm over the first 2 months to be clinically meaningful</w:t>
      </w:r>
      <w:r w:rsidR="00931290">
        <w:rPr>
          <w:rFonts w:asciiTheme="minorHAnsi" w:hAnsiTheme="minorHAnsi"/>
          <w:bCs/>
          <w:lang w:val="en-GB"/>
        </w:rPr>
        <w:t xml:space="preserve"> also noting that ≥ 40% of patients in the ranibizumab treatment arm gained ≥ 10 letters or reached 84 letters at Month 2</w:t>
      </w:r>
      <w:r w:rsidR="00061E07">
        <w:rPr>
          <w:rFonts w:asciiTheme="minorHAnsi" w:hAnsiTheme="minorHAnsi"/>
          <w:bCs/>
          <w:lang w:val="en-GB"/>
        </w:rPr>
        <w:t>.</w:t>
      </w:r>
      <w:r w:rsidR="00835748">
        <w:rPr>
          <w:rFonts w:asciiTheme="minorHAnsi" w:hAnsiTheme="minorHAnsi"/>
          <w:bCs/>
          <w:lang w:val="en-GB"/>
        </w:rPr>
        <w:t xml:space="preserve"> The PBAC further noted that the CNV baseline aetiology subgroup analyses were indicative of a treatment benefit with ranibizumab for all causes of rare CNV</w:t>
      </w:r>
      <w:r w:rsidR="009405CC">
        <w:rPr>
          <w:rFonts w:asciiTheme="minorHAnsi" w:hAnsiTheme="minorHAnsi"/>
          <w:bCs/>
          <w:lang w:val="en-GB"/>
        </w:rPr>
        <w:t>,</w:t>
      </w:r>
      <w:r w:rsidR="00835748">
        <w:rPr>
          <w:rFonts w:asciiTheme="minorHAnsi" w:hAnsiTheme="minorHAnsi"/>
          <w:bCs/>
          <w:lang w:val="en-GB"/>
        </w:rPr>
        <w:t xml:space="preserve"> though the patient numbers were too small to accurately determine any true differences in treatment effect between each group. </w:t>
      </w:r>
      <w:r w:rsidR="00F30220" w:rsidRPr="00F30220">
        <w:rPr>
          <w:rFonts w:asciiTheme="minorHAnsi" w:hAnsiTheme="minorHAnsi"/>
          <w:bCs/>
          <w:lang w:val="en-GB"/>
        </w:rPr>
        <w:t>The PBAC recalled that it previously recommended extending the listing of ranibizumab to include treatment of diabetic macula oedema (DME) on the basis of an improvement of 5 letters or more. The PBAC also recalled that it previously considered that the overall clinical meaningfulness of an improvement of 5 or more letters in the treated eye will depend on the baseline visual acuity of the patient in both eyes and on the subsequent overall visual acuity during and after treatment.</w:t>
      </w:r>
      <w:r w:rsidR="00E44F05">
        <w:rPr>
          <w:rFonts w:asciiTheme="minorHAnsi" w:hAnsiTheme="minorHAnsi"/>
          <w:bCs/>
          <w:lang w:val="en-GB"/>
        </w:rPr>
        <w:t xml:space="preserve"> On the basis of evidence presented, the PBAC accepted the submission’s proposed minimal clinically important difference of at least 5 letters, noting that mean BCVA in the MINERVA trial was at baseline was 6</w:t>
      </w:r>
      <w:r w:rsidR="00433290">
        <w:rPr>
          <w:rFonts w:asciiTheme="minorHAnsi" w:hAnsiTheme="minorHAnsi"/>
          <w:bCs/>
          <w:lang w:val="en-GB"/>
        </w:rPr>
        <w:t>2 letters.</w:t>
      </w:r>
    </w:p>
    <w:p w:rsidR="00FD6FF7" w:rsidRDefault="00FD6FF7" w:rsidP="00F30220">
      <w:pPr>
        <w:numPr>
          <w:ilvl w:val="1"/>
          <w:numId w:val="2"/>
        </w:numPr>
        <w:spacing w:after="120"/>
        <w:rPr>
          <w:rFonts w:asciiTheme="minorHAnsi" w:hAnsiTheme="minorHAnsi"/>
          <w:bCs/>
          <w:lang w:val="en-GB"/>
        </w:rPr>
      </w:pPr>
      <w:r>
        <w:rPr>
          <w:rFonts w:asciiTheme="minorHAnsi" w:hAnsiTheme="minorHAnsi"/>
          <w:bCs/>
          <w:lang w:val="en-GB"/>
        </w:rPr>
        <w:t>The PBAC considered that</w:t>
      </w:r>
      <w:r w:rsidR="00433290">
        <w:rPr>
          <w:rFonts w:asciiTheme="minorHAnsi" w:hAnsiTheme="minorHAnsi"/>
          <w:bCs/>
          <w:lang w:val="en-GB"/>
        </w:rPr>
        <w:t>,</w:t>
      </w:r>
      <w:r>
        <w:rPr>
          <w:rFonts w:asciiTheme="minorHAnsi" w:hAnsiTheme="minorHAnsi"/>
          <w:bCs/>
          <w:lang w:val="en-GB"/>
        </w:rPr>
        <w:t xml:space="preserve"> while the improvement in BCVA in the sham injection arm did not reach the same level of improvement as the ranibizumab arm after switching to ranibizumab at Month 2, </w:t>
      </w:r>
      <w:r w:rsidR="00EC3FE6">
        <w:rPr>
          <w:rFonts w:asciiTheme="minorHAnsi" w:hAnsiTheme="minorHAnsi"/>
          <w:bCs/>
          <w:lang w:val="en-GB"/>
        </w:rPr>
        <w:t>this was not sufficient to support</w:t>
      </w:r>
      <w:r>
        <w:rPr>
          <w:rFonts w:asciiTheme="minorHAnsi" w:hAnsiTheme="minorHAnsi"/>
          <w:bCs/>
          <w:lang w:val="en-GB"/>
        </w:rPr>
        <w:t xml:space="preserve"> a benefit of earlier treatment </w:t>
      </w:r>
      <w:r w:rsidR="00EC3FE6">
        <w:rPr>
          <w:rFonts w:asciiTheme="minorHAnsi" w:hAnsiTheme="minorHAnsi"/>
          <w:bCs/>
          <w:lang w:val="en-GB"/>
        </w:rPr>
        <w:t>given the</w:t>
      </w:r>
      <w:r>
        <w:rPr>
          <w:rFonts w:asciiTheme="minorHAnsi" w:hAnsiTheme="minorHAnsi"/>
          <w:bCs/>
          <w:lang w:val="en-GB"/>
        </w:rPr>
        <w:t xml:space="preserve"> substantial overlap in the CIs between the two arms </w:t>
      </w:r>
      <w:r w:rsidR="00433290">
        <w:rPr>
          <w:rFonts w:asciiTheme="minorHAnsi" w:hAnsiTheme="minorHAnsi"/>
          <w:bCs/>
          <w:lang w:val="en-GB"/>
        </w:rPr>
        <w:t>(see Figure 2).</w:t>
      </w:r>
    </w:p>
    <w:p w:rsidR="00737E06" w:rsidRDefault="00737E06" w:rsidP="00737E06">
      <w:pPr>
        <w:numPr>
          <w:ilvl w:val="1"/>
          <w:numId w:val="2"/>
        </w:numPr>
        <w:spacing w:after="120"/>
        <w:rPr>
          <w:rFonts w:asciiTheme="minorHAnsi" w:hAnsiTheme="minorHAnsi"/>
          <w:bCs/>
          <w:lang w:val="en-GB"/>
        </w:rPr>
      </w:pPr>
      <w:r>
        <w:rPr>
          <w:rFonts w:asciiTheme="minorHAnsi" w:hAnsiTheme="minorHAnsi"/>
          <w:bCs/>
          <w:lang w:val="en-GB"/>
        </w:rPr>
        <w:t xml:space="preserve">The PBAC </w:t>
      </w:r>
      <w:r w:rsidR="00433290">
        <w:rPr>
          <w:rFonts w:asciiTheme="minorHAnsi" w:hAnsiTheme="minorHAnsi"/>
          <w:bCs/>
          <w:lang w:val="en-GB"/>
        </w:rPr>
        <w:t xml:space="preserve">therefore </w:t>
      </w:r>
      <w:r>
        <w:rPr>
          <w:rFonts w:asciiTheme="minorHAnsi" w:hAnsiTheme="minorHAnsi"/>
          <w:bCs/>
          <w:lang w:val="en-GB"/>
        </w:rPr>
        <w:t xml:space="preserve">considered </w:t>
      </w:r>
      <w:r w:rsidR="00433290">
        <w:rPr>
          <w:rFonts w:asciiTheme="minorHAnsi" w:hAnsiTheme="minorHAnsi"/>
          <w:bCs/>
          <w:lang w:val="en-GB"/>
        </w:rPr>
        <w:t xml:space="preserve">that </w:t>
      </w:r>
      <w:r>
        <w:rPr>
          <w:rFonts w:asciiTheme="minorHAnsi" w:hAnsiTheme="minorHAnsi"/>
          <w:bCs/>
          <w:lang w:val="en-GB"/>
        </w:rPr>
        <w:t xml:space="preserve">the claim of superior efficacy </w:t>
      </w:r>
      <w:r w:rsidR="00433290">
        <w:rPr>
          <w:rFonts w:asciiTheme="minorHAnsi" w:hAnsiTheme="minorHAnsi"/>
          <w:bCs/>
          <w:lang w:val="en-GB"/>
        </w:rPr>
        <w:t>over</w:t>
      </w:r>
      <w:r>
        <w:rPr>
          <w:rFonts w:asciiTheme="minorHAnsi" w:hAnsiTheme="minorHAnsi"/>
          <w:bCs/>
          <w:lang w:val="en-GB"/>
        </w:rPr>
        <w:t xml:space="preserve"> sham injection was </w:t>
      </w:r>
      <w:r w:rsidR="00433290">
        <w:rPr>
          <w:rFonts w:asciiTheme="minorHAnsi" w:hAnsiTheme="minorHAnsi"/>
          <w:bCs/>
          <w:lang w:val="en-GB"/>
        </w:rPr>
        <w:t>reasonable</w:t>
      </w:r>
      <w:r>
        <w:rPr>
          <w:rFonts w:asciiTheme="minorHAnsi" w:hAnsiTheme="minorHAnsi"/>
          <w:bCs/>
          <w:lang w:val="en-GB"/>
        </w:rPr>
        <w:t xml:space="preserve">. </w:t>
      </w:r>
    </w:p>
    <w:p w:rsidR="009405CC" w:rsidRPr="009405CC" w:rsidRDefault="009405CC" w:rsidP="009405CC">
      <w:pPr>
        <w:pStyle w:val="ListParagraph"/>
        <w:numPr>
          <w:ilvl w:val="1"/>
          <w:numId w:val="2"/>
        </w:numPr>
        <w:rPr>
          <w:rFonts w:asciiTheme="minorHAnsi" w:hAnsiTheme="minorHAnsi"/>
          <w:bCs/>
          <w:lang w:val="en-GB"/>
        </w:rPr>
      </w:pPr>
      <w:r w:rsidRPr="009405CC">
        <w:rPr>
          <w:rFonts w:asciiTheme="minorHAnsi" w:hAnsiTheme="minorHAnsi"/>
          <w:bCs/>
          <w:lang w:val="en-GB"/>
        </w:rPr>
        <w:t xml:space="preserve">The PBAC noted there was insufficient data to adequately evaluate the safety of ranibizumab compared </w:t>
      </w:r>
      <w:r>
        <w:rPr>
          <w:rFonts w:asciiTheme="minorHAnsi" w:hAnsiTheme="minorHAnsi"/>
          <w:bCs/>
          <w:lang w:val="en-GB"/>
        </w:rPr>
        <w:t>with sham injection</w:t>
      </w:r>
      <w:r w:rsidRPr="009405CC">
        <w:rPr>
          <w:rFonts w:asciiTheme="minorHAnsi" w:hAnsiTheme="minorHAnsi"/>
          <w:bCs/>
          <w:lang w:val="en-GB"/>
        </w:rPr>
        <w:t>. However, the PBAC noted there were no major safety signals in the trials and that the adverse event profile of ranibizumab was consistent with its profile for current indications.</w:t>
      </w:r>
    </w:p>
    <w:p w:rsidR="009405CC" w:rsidRDefault="00041D18" w:rsidP="00F30220">
      <w:pPr>
        <w:numPr>
          <w:ilvl w:val="1"/>
          <w:numId w:val="2"/>
        </w:numPr>
        <w:spacing w:after="120"/>
        <w:rPr>
          <w:rFonts w:asciiTheme="minorHAnsi" w:hAnsiTheme="minorHAnsi"/>
          <w:bCs/>
          <w:lang w:val="en-GB"/>
        </w:rPr>
      </w:pPr>
      <w:r>
        <w:rPr>
          <w:rFonts w:asciiTheme="minorHAnsi" w:hAnsiTheme="minorHAnsi"/>
          <w:bCs/>
          <w:lang w:val="en-GB"/>
        </w:rPr>
        <w:t>The PBAC noted there was considerable variation in the number of ranibizumab inject</w:t>
      </w:r>
      <w:r w:rsidR="0034067E">
        <w:rPr>
          <w:rFonts w:asciiTheme="minorHAnsi" w:hAnsiTheme="minorHAnsi"/>
          <w:bCs/>
          <w:lang w:val="en-GB"/>
        </w:rPr>
        <w:t xml:space="preserve">ions across aetiology subgroups with CNV due to angioid streaks (AS) receiving a mean of </w:t>
      </w:r>
      <w:r w:rsidR="004C5EA1">
        <w:rPr>
          <w:rFonts w:asciiTheme="minorHAnsi" w:hAnsiTheme="minorHAnsi"/>
          <w:bCs/>
          <w:noProof/>
          <w:color w:val="000000"/>
          <w:highlight w:val="black"/>
          <w:lang w:val="en-GB"/>
        </w:rPr>
        <w:t>''''''</w:t>
      </w:r>
      <w:r w:rsidR="0034067E">
        <w:rPr>
          <w:rFonts w:asciiTheme="minorHAnsi" w:hAnsiTheme="minorHAnsi"/>
          <w:bCs/>
          <w:lang w:val="en-GB"/>
        </w:rPr>
        <w:t xml:space="preserve"> injections and CNV due to central serous chorioretinopathy (CSC) receiving an average of </w:t>
      </w:r>
      <w:r w:rsidR="004C5EA1">
        <w:rPr>
          <w:rFonts w:asciiTheme="minorHAnsi" w:hAnsiTheme="minorHAnsi"/>
          <w:bCs/>
          <w:noProof/>
          <w:color w:val="000000"/>
          <w:highlight w:val="black"/>
          <w:lang w:val="en-GB"/>
        </w:rPr>
        <w:t>'''''''</w:t>
      </w:r>
      <w:r w:rsidR="0034067E">
        <w:rPr>
          <w:rFonts w:asciiTheme="minorHAnsi" w:hAnsiTheme="minorHAnsi"/>
          <w:bCs/>
          <w:lang w:val="en-GB"/>
        </w:rPr>
        <w:t xml:space="preserve"> injections</w:t>
      </w:r>
      <w:r w:rsidR="00A33CC7">
        <w:rPr>
          <w:rFonts w:asciiTheme="minorHAnsi" w:hAnsiTheme="minorHAnsi"/>
          <w:bCs/>
          <w:lang w:val="en-GB"/>
        </w:rPr>
        <w:t>. The PBAC noted that the submission stated that</w:t>
      </w:r>
      <w:r w:rsidR="00407058">
        <w:rPr>
          <w:rFonts w:asciiTheme="minorHAnsi" w:hAnsiTheme="minorHAnsi"/>
          <w:bCs/>
          <w:lang w:val="en-GB"/>
        </w:rPr>
        <w:t>,</w:t>
      </w:r>
      <w:r w:rsidR="00A33CC7">
        <w:rPr>
          <w:rFonts w:asciiTheme="minorHAnsi" w:hAnsiTheme="minorHAnsi"/>
          <w:bCs/>
          <w:lang w:val="en-GB"/>
        </w:rPr>
        <w:t xml:space="preserve"> based on expert opinion, a small number of patients will receive one additional </w:t>
      </w:r>
      <w:r w:rsidR="00A33CC7">
        <w:rPr>
          <w:rFonts w:asciiTheme="minorHAnsi" w:hAnsiTheme="minorHAnsi"/>
          <w:bCs/>
          <w:lang w:val="en-GB"/>
        </w:rPr>
        <w:lastRenderedPageBreak/>
        <w:t>injection after the first year though no details on how this estimate was derived was provided.</w:t>
      </w:r>
      <w:r w:rsidR="00E06603">
        <w:rPr>
          <w:rFonts w:asciiTheme="minorHAnsi" w:hAnsiTheme="minorHAnsi"/>
          <w:bCs/>
          <w:lang w:val="en-GB"/>
        </w:rPr>
        <w:t xml:space="preserve"> Further, the PBAC noted there is a lack of data for the distribution of underlying aetiologies among the rare CNV patients in Australian clinical practice.</w:t>
      </w:r>
      <w:r w:rsidR="00A33CC7">
        <w:rPr>
          <w:rFonts w:asciiTheme="minorHAnsi" w:hAnsiTheme="minorHAnsi"/>
          <w:bCs/>
          <w:lang w:val="en-GB"/>
        </w:rPr>
        <w:t xml:space="preserve"> Taken together with the lack of long-term data beyond the 12 month duration of the trial, </w:t>
      </w:r>
      <w:r w:rsidR="0003704D">
        <w:rPr>
          <w:rFonts w:asciiTheme="minorHAnsi" w:hAnsiTheme="minorHAnsi"/>
          <w:bCs/>
          <w:lang w:val="en-GB"/>
        </w:rPr>
        <w:t>the PBAC considered there was some uncertainty in the average number of ranibizumab injections for the treatment of rare CNV which would be administered in clinical practice.</w:t>
      </w:r>
    </w:p>
    <w:p w:rsidR="0003704D" w:rsidRDefault="0003704D" w:rsidP="00F30220">
      <w:pPr>
        <w:numPr>
          <w:ilvl w:val="1"/>
          <w:numId w:val="2"/>
        </w:numPr>
        <w:spacing w:after="120"/>
        <w:rPr>
          <w:rFonts w:asciiTheme="minorHAnsi" w:hAnsiTheme="minorHAnsi"/>
          <w:bCs/>
          <w:lang w:val="en-GB"/>
        </w:rPr>
      </w:pPr>
      <w:r>
        <w:rPr>
          <w:rFonts w:asciiTheme="minorHAnsi" w:hAnsiTheme="minorHAnsi"/>
          <w:bCs/>
          <w:lang w:val="en-GB"/>
        </w:rPr>
        <w:t>The PBAC considered the transition probabilities between visual acuity health states applied in the economic model to be uncertain because:</w:t>
      </w:r>
    </w:p>
    <w:p w:rsidR="006375FA" w:rsidRDefault="006375FA" w:rsidP="0003704D">
      <w:pPr>
        <w:pStyle w:val="ListParagraph"/>
        <w:numPr>
          <w:ilvl w:val="0"/>
          <w:numId w:val="33"/>
        </w:numPr>
        <w:spacing w:after="120"/>
        <w:rPr>
          <w:rFonts w:asciiTheme="minorHAnsi" w:hAnsiTheme="minorHAnsi"/>
          <w:bCs/>
          <w:lang w:val="en-GB"/>
        </w:rPr>
      </w:pPr>
      <w:r>
        <w:rPr>
          <w:rFonts w:asciiTheme="minorHAnsi" w:hAnsiTheme="minorHAnsi"/>
          <w:bCs/>
          <w:lang w:val="en-GB"/>
        </w:rPr>
        <w:t>The submission assumed that transition probabilities between visual acuity health states are the same for patients treated in the better or worse seeingeye or bilaterally.</w:t>
      </w:r>
    </w:p>
    <w:p w:rsidR="00C11B3F" w:rsidRDefault="00C84EE9" w:rsidP="0003704D">
      <w:pPr>
        <w:pStyle w:val="ListParagraph"/>
        <w:numPr>
          <w:ilvl w:val="0"/>
          <w:numId w:val="33"/>
        </w:numPr>
        <w:spacing w:after="120"/>
        <w:rPr>
          <w:rFonts w:asciiTheme="minorHAnsi" w:hAnsiTheme="minorHAnsi"/>
          <w:bCs/>
          <w:lang w:val="en-GB"/>
        </w:rPr>
      </w:pPr>
      <w:r>
        <w:rPr>
          <w:rFonts w:asciiTheme="minorHAnsi" w:hAnsiTheme="minorHAnsi"/>
          <w:bCs/>
          <w:lang w:val="en-GB"/>
        </w:rPr>
        <w:t>The transition probabilities for the sham injection arm were based on assumptions rather than changes in BCVA observed in the MINERVA trial or natural history data. The submission assumed patients would stay in the same health state as baseline in the first year.</w:t>
      </w:r>
    </w:p>
    <w:p w:rsidR="0003704D" w:rsidRDefault="00C11B3F" w:rsidP="0003704D">
      <w:pPr>
        <w:pStyle w:val="ListParagraph"/>
        <w:numPr>
          <w:ilvl w:val="0"/>
          <w:numId w:val="33"/>
        </w:numPr>
        <w:spacing w:after="120"/>
        <w:rPr>
          <w:rFonts w:asciiTheme="minorHAnsi" w:hAnsiTheme="minorHAnsi"/>
          <w:bCs/>
          <w:lang w:val="en-GB"/>
        </w:rPr>
      </w:pPr>
      <w:r>
        <w:rPr>
          <w:rFonts w:asciiTheme="minorHAnsi" w:hAnsiTheme="minorHAnsi"/>
          <w:bCs/>
          <w:lang w:val="en-GB"/>
        </w:rPr>
        <w:t>The same yearly transition probabilities were assumed beyond Month 12 for the entire time horizon. These were estimated using short term probabilities observed from the MINERVA trial assuming a constant rate for both improving</w:t>
      </w:r>
      <w:r w:rsidR="00407058">
        <w:rPr>
          <w:rFonts w:asciiTheme="minorHAnsi" w:hAnsiTheme="minorHAnsi"/>
          <w:bCs/>
          <w:lang w:val="en-GB"/>
        </w:rPr>
        <w:t xml:space="preserve"> and worsening beyond Month 12.</w:t>
      </w:r>
    </w:p>
    <w:p w:rsidR="008761A4" w:rsidRPr="006375FA" w:rsidRDefault="006375FA" w:rsidP="008761A4">
      <w:pPr>
        <w:spacing w:after="120"/>
        <w:ind w:left="720"/>
        <w:rPr>
          <w:rFonts w:asciiTheme="minorHAnsi" w:hAnsiTheme="minorHAnsi"/>
          <w:bCs/>
          <w:lang w:val="en-GB"/>
        </w:rPr>
      </w:pPr>
      <w:r>
        <w:rPr>
          <w:rFonts w:asciiTheme="minorHAnsi" w:hAnsiTheme="minorHAnsi"/>
          <w:bCs/>
          <w:lang w:val="en-GB"/>
        </w:rPr>
        <w:t xml:space="preserve">However, the PBAC considered that the estimated transition probabilities </w:t>
      </w:r>
      <w:r w:rsidR="00407058">
        <w:rPr>
          <w:rFonts w:asciiTheme="minorHAnsi" w:hAnsiTheme="minorHAnsi"/>
          <w:bCs/>
          <w:lang w:val="en-GB"/>
        </w:rPr>
        <w:t>we</w:t>
      </w:r>
      <w:r>
        <w:rPr>
          <w:rFonts w:asciiTheme="minorHAnsi" w:hAnsiTheme="minorHAnsi"/>
          <w:bCs/>
          <w:lang w:val="en-GB"/>
        </w:rPr>
        <w:t xml:space="preserve">re likely to </w:t>
      </w:r>
      <w:r w:rsidR="00407058">
        <w:rPr>
          <w:rFonts w:asciiTheme="minorHAnsi" w:hAnsiTheme="minorHAnsi"/>
          <w:bCs/>
          <w:lang w:val="en-GB"/>
        </w:rPr>
        <w:t>represent a</w:t>
      </w:r>
      <w:r>
        <w:rPr>
          <w:rFonts w:asciiTheme="minorHAnsi" w:hAnsiTheme="minorHAnsi"/>
          <w:bCs/>
          <w:lang w:val="en-GB"/>
        </w:rPr>
        <w:t xml:space="preserve"> conservative </w:t>
      </w:r>
      <w:r w:rsidR="00407058">
        <w:rPr>
          <w:rFonts w:asciiTheme="minorHAnsi" w:hAnsiTheme="minorHAnsi"/>
          <w:bCs/>
          <w:lang w:val="en-GB"/>
        </w:rPr>
        <w:t xml:space="preserve">approach in the modelling </w:t>
      </w:r>
      <w:r>
        <w:rPr>
          <w:rFonts w:asciiTheme="minorHAnsi" w:hAnsiTheme="minorHAnsi"/>
          <w:bCs/>
          <w:lang w:val="en-GB"/>
        </w:rPr>
        <w:t>as the overall effect of the extrapolated transition probabilities result</w:t>
      </w:r>
      <w:r w:rsidR="00407058">
        <w:rPr>
          <w:rFonts w:asciiTheme="minorHAnsi" w:hAnsiTheme="minorHAnsi"/>
          <w:bCs/>
          <w:lang w:val="en-GB"/>
        </w:rPr>
        <w:t>ed</w:t>
      </w:r>
      <w:r>
        <w:rPr>
          <w:rFonts w:asciiTheme="minorHAnsi" w:hAnsiTheme="minorHAnsi"/>
          <w:bCs/>
          <w:lang w:val="en-GB"/>
        </w:rPr>
        <w:t xml:space="preserve"> in a </w:t>
      </w:r>
      <w:r w:rsidR="00407058">
        <w:rPr>
          <w:rFonts w:asciiTheme="minorHAnsi" w:hAnsiTheme="minorHAnsi"/>
          <w:bCs/>
          <w:lang w:val="en-GB"/>
        </w:rPr>
        <w:t>net decline</w:t>
      </w:r>
      <w:r w:rsidR="00135130">
        <w:rPr>
          <w:rFonts w:asciiTheme="minorHAnsi" w:hAnsiTheme="minorHAnsi"/>
          <w:bCs/>
          <w:lang w:val="en-GB"/>
        </w:rPr>
        <w:t xml:space="preserve"> </w:t>
      </w:r>
      <w:r>
        <w:rPr>
          <w:rFonts w:asciiTheme="minorHAnsi" w:hAnsiTheme="minorHAnsi"/>
          <w:bCs/>
          <w:lang w:val="en-GB"/>
        </w:rPr>
        <w:t>in visual acuity over time</w:t>
      </w:r>
      <w:r w:rsidR="00407058">
        <w:rPr>
          <w:rFonts w:asciiTheme="minorHAnsi" w:hAnsiTheme="minorHAnsi"/>
          <w:bCs/>
          <w:lang w:val="en-GB"/>
        </w:rPr>
        <w:t xml:space="preserve"> in both arms of the model</w:t>
      </w:r>
      <w:r>
        <w:rPr>
          <w:rFonts w:asciiTheme="minorHAnsi" w:hAnsiTheme="minorHAnsi"/>
          <w:bCs/>
          <w:lang w:val="en-GB"/>
        </w:rPr>
        <w:t>.</w:t>
      </w:r>
    </w:p>
    <w:p w:rsidR="008761A4" w:rsidRDefault="008761A4" w:rsidP="008761A4">
      <w:pPr>
        <w:pStyle w:val="ListParagraph"/>
        <w:numPr>
          <w:ilvl w:val="1"/>
          <w:numId w:val="2"/>
        </w:numPr>
        <w:rPr>
          <w:rFonts w:asciiTheme="minorHAnsi" w:hAnsiTheme="minorHAnsi"/>
          <w:bCs/>
          <w:lang w:val="en-GB"/>
        </w:rPr>
      </w:pPr>
      <w:r w:rsidRPr="008761A4">
        <w:rPr>
          <w:rFonts w:asciiTheme="minorHAnsi" w:hAnsiTheme="minorHAnsi"/>
          <w:bCs/>
          <w:lang w:val="en-GB"/>
        </w:rPr>
        <w:t xml:space="preserve">The PBAC agreed with its ESC that the submission’s approach to include both cost of falls and cost of blindness in the economic evaluation </w:t>
      </w:r>
      <w:r w:rsidR="00407058">
        <w:rPr>
          <w:rFonts w:asciiTheme="minorHAnsi" w:hAnsiTheme="minorHAnsi"/>
          <w:bCs/>
          <w:lang w:val="en-GB"/>
        </w:rPr>
        <w:t xml:space="preserve">represented </w:t>
      </w:r>
      <w:r w:rsidRPr="008761A4">
        <w:rPr>
          <w:rFonts w:asciiTheme="minorHAnsi" w:hAnsiTheme="minorHAnsi"/>
          <w:bCs/>
          <w:lang w:val="en-GB"/>
        </w:rPr>
        <w:t>double counting the cost of falls. The PBAC recalled that</w:t>
      </w:r>
      <w:r w:rsidR="00407058">
        <w:rPr>
          <w:rFonts w:asciiTheme="minorHAnsi" w:hAnsiTheme="minorHAnsi"/>
          <w:bCs/>
          <w:lang w:val="en-GB"/>
        </w:rPr>
        <w:t>,</w:t>
      </w:r>
      <w:r w:rsidRPr="008761A4">
        <w:rPr>
          <w:rFonts w:asciiTheme="minorHAnsi" w:hAnsiTheme="minorHAnsi"/>
          <w:bCs/>
          <w:lang w:val="en-GB"/>
        </w:rPr>
        <w:t xml:space="preserve"> at its July 2014 consideration of ranibizumab for the treatment of </w:t>
      </w:r>
      <w:r w:rsidR="004F7C78">
        <w:rPr>
          <w:rFonts w:asciiTheme="minorHAnsi" w:hAnsiTheme="minorHAnsi"/>
          <w:bCs/>
          <w:lang w:val="en-GB"/>
        </w:rPr>
        <w:t>retinal vein occlusion (</w:t>
      </w:r>
      <w:r w:rsidRPr="008761A4">
        <w:rPr>
          <w:rFonts w:asciiTheme="minorHAnsi" w:hAnsiTheme="minorHAnsi"/>
          <w:bCs/>
          <w:lang w:val="en-GB"/>
        </w:rPr>
        <w:t>RVO</w:t>
      </w:r>
      <w:r w:rsidR="004F7C78">
        <w:rPr>
          <w:rFonts w:asciiTheme="minorHAnsi" w:hAnsiTheme="minorHAnsi"/>
          <w:bCs/>
          <w:lang w:val="en-GB"/>
        </w:rPr>
        <w:t>)</w:t>
      </w:r>
      <w:r w:rsidRPr="008761A4">
        <w:rPr>
          <w:rFonts w:asciiTheme="minorHAnsi" w:hAnsiTheme="minorHAnsi"/>
          <w:bCs/>
          <w:lang w:val="en-GB"/>
        </w:rPr>
        <w:t xml:space="preserve"> and DME, it had accepted a base case in both instances which did not include the cost of falls. However, the estimated consequences for falls </w:t>
      </w:r>
      <w:r w:rsidR="00BB1CC3">
        <w:rPr>
          <w:rFonts w:asciiTheme="minorHAnsi" w:hAnsiTheme="minorHAnsi"/>
          <w:bCs/>
          <w:lang w:val="en-GB"/>
        </w:rPr>
        <w:t>had little effect on the ICER.</w:t>
      </w:r>
    </w:p>
    <w:p w:rsidR="007A09A0" w:rsidRPr="00F415BD" w:rsidRDefault="00F56787" w:rsidP="007A09A0">
      <w:pPr>
        <w:pStyle w:val="ListParagraph"/>
        <w:numPr>
          <w:ilvl w:val="1"/>
          <w:numId w:val="2"/>
        </w:numPr>
        <w:rPr>
          <w:rFonts w:asciiTheme="minorHAnsi" w:hAnsiTheme="minorHAnsi"/>
          <w:bCs/>
          <w:lang w:val="en-GB"/>
        </w:rPr>
      </w:pPr>
      <w:r>
        <w:rPr>
          <w:rFonts w:asciiTheme="minorHAnsi" w:hAnsiTheme="minorHAnsi"/>
          <w:bCs/>
          <w:lang w:val="en-GB"/>
        </w:rPr>
        <w:t xml:space="preserve">The PBAC noted the modelled analysis resulted in a base-case ICER of </w:t>
      </w:r>
      <w:r w:rsidR="00A21532">
        <w:rPr>
          <w:rFonts w:asciiTheme="minorHAnsi" w:hAnsiTheme="minorHAnsi"/>
          <w:bCs/>
          <w:lang w:val="en-GB"/>
        </w:rPr>
        <w:t>less than $15,000</w:t>
      </w:r>
      <w:r>
        <w:rPr>
          <w:rFonts w:asciiTheme="minorHAnsi" w:hAnsiTheme="minorHAnsi"/>
          <w:bCs/>
          <w:lang w:val="en-GB"/>
        </w:rPr>
        <w:t xml:space="preserve"> per QALY gained. </w:t>
      </w:r>
      <w:r w:rsidR="00880EB4" w:rsidRPr="007A09A0">
        <w:rPr>
          <w:rFonts w:asciiTheme="minorHAnsi" w:hAnsiTheme="minorHAnsi"/>
          <w:bCs/>
          <w:lang w:val="en-GB"/>
        </w:rPr>
        <w:t xml:space="preserve">The PBAC noted that </w:t>
      </w:r>
      <w:r w:rsidR="003F7735">
        <w:rPr>
          <w:rFonts w:asciiTheme="minorHAnsi" w:hAnsiTheme="minorHAnsi"/>
          <w:bCs/>
          <w:lang w:val="en-GB"/>
        </w:rPr>
        <w:t xml:space="preserve">the further </w:t>
      </w:r>
      <w:r w:rsidR="00880EB4" w:rsidRPr="007A09A0">
        <w:rPr>
          <w:rFonts w:asciiTheme="minorHAnsi" w:hAnsiTheme="minorHAnsi"/>
          <w:bCs/>
          <w:lang w:val="en-GB"/>
        </w:rPr>
        <w:t>sensitivity anal</w:t>
      </w:r>
      <w:r w:rsidR="00F6529A" w:rsidRPr="007A09A0">
        <w:rPr>
          <w:rFonts w:asciiTheme="minorHAnsi" w:hAnsiTheme="minorHAnsi"/>
          <w:bCs/>
          <w:lang w:val="en-GB"/>
        </w:rPr>
        <w:t>yses pr</w:t>
      </w:r>
      <w:r w:rsidR="003F7735">
        <w:rPr>
          <w:rFonts w:asciiTheme="minorHAnsi" w:hAnsiTheme="minorHAnsi"/>
          <w:bCs/>
          <w:lang w:val="en-GB"/>
        </w:rPr>
        <w:t>ovid</w:t>
      </w:r>
      <w:r w:rsidR="00F6529A" w:rsidRPr="007A09A0">
        <w:rPr>
          <w:rFonts w:asciiTheme="minorHAnsi" w:hAnsiTheme="minorHAnsi"/>
          <w:bCs/>
          <w:lang w:val="en-GB"/>
        </w:rPr>
        <w:t>ed by its ESC (see T</w:t>
      </w:r>
      <w:r w:rsidR="00880EB4" w:rsidRPr="007A09A0">
        <w:rPr>
          <w:rFonts w:asciiTheme="minorHAnsi" w:hAnsiTheme="minorHAnsi"/>
          <w:bCs/>
          <w:lang w:val="en-GB"/>
        </w:rPr>
        <w:t>able</w:t>
      </w:r>
      <w:r w:rsidR="00F6529A" w:rsidRPr="007A09A0">
        <w:rPr>
          <w:rFonts w:asciiTheme="minorHAnsi" w:hAnsiTheme="minorHAnsi"/>
          <w:bCs/>
          <w:lang w:val="en-GB"/>
        </w:rPr>
        <w:t xml:space="preserve"> 11</w:t>
      </w:r>
      <w:r w:rsidR="00880EB4" w:rsidRPr="007A09A0">
        <w:rPr>
          <w:rFonts w:asciiTheme="minorHAnsi" w:hAnsiTheme="minorHAnsi"/>
          <w:bCs/>
          <w:lang w:val="en-GB"/>
        </w:rPr>
        <w:t>)</w:t>
      </w:r>
      <w:r w:rsidR="003F7735">
        <w:rPr>
          <w:rFonts w:asciiTheme="minorHAnsi" w:hAnsiTheme="minorHAnsi"/>
          <w:bCs/>
          <w:lang w:val="en-GB"/>
        </w:rPr>
        <w:t>,</w:t>
      </w:r>
      <w:r w:rsidR="00880EB4" w:rsidRPr="007A09A0">
        <w:rPr>
          <w:rFonts w:asciiTheme="minorHAnsi" w:hAnsiTheme="minorHAnsi"/>
          <w:bCs/>
          <w:lang w:val="en-GB"/>
        </w:rPr>
        <w:t xml:space="preserve"> which tested the effect of the number of </w:t>
      </w:r>
      <w:r w:rsidR="003F7735">
        <w:rPr>
          <w:rFonts w:asciiTheme="minorHAnsi" w:hAnsiTheme="minorHAnsi"/>
          <w:bCs/>
          <w:lang w:val="en-GB"/>
        </w:rPr>
        <w:t xml:space="preserve">ranibizumab </w:t>
      </w:r>
      <w:r w:rsidR="00880EB4" w:rsidRPr="007A09A0">
        <w:rPr>
          <w:rFonts w:asciiTheme="minorHAnsi" w:hAnsiTheme="minorHAnsi"/>
          <w:bCs/>
          <w:lang w:val="en-GB"/>
        </w:rPr>
        <w:t xml:space="preserve">injections and duration of therapy </w:t>
      </w:r>
      <w:r w:rsidR="003F7735">
        <w:rPr>
          <w:rFonts w:asciiTheme="minorHAnsi" w:hAnsiTheme="minorHAnsi"/>
          <w:bCs/>
          <w:lang w:val="en-GB"/>
        </w:rPr>
        <w:t xml:space="preserve">per patient </w:t>
      </w:r>
      <w:r w:rsidR="00880EB4" w:rsidRPr="007A09A0">
        <w:rPr>
          <w:rFonts w:asciiTheme="minorHAnsi" w:hAnsiTheme="minorHAnsi"/>
          <w:bCs/>
          <w:lang w:val="en-GB"/>
        </w:rPr>
        <w:t xml:space="preserve">on the overall cost-effectiveness of ranibizumab for the treatment of rare CNV, indicated that the model was sensitive to the </w:t>
      </w:r>
      <w:r w:rsidR="003F7735">
        <w:rPr>
          <w:rFonts w:asciiTheme="minorHAnsi" w:hAnsiTheme="minorHAnsi"/>
          <w:bCs/>
          <w:lang w:val="en-GB"/>
        </w:rPr>
        <w:t xml:space="preserve">overall </w:t>
      </w:r>
      <w:r w:rsidR="00880EB4" w:rsidRPr="007A09A0">
        <w:rPr>
          <w:rFonts w:asciiTheme="minorHAnsi" w:hAnsiTheme="minorHAnsi"/>
          <w:bCs/>
          <w:lang w:val="en-GB"/>
        </w:rPr>
        <w:t>number of ranibizumab injections</w:t>
      </w:r>
      <w:r w:rsidR="003F7735">
        <w:rPr>
          <w:rFonts w:asciiTheme="minorHAnsi" w:hAnsiTheme="minorHAnsi"/>
          <w:bCs/>
          <w:lang w:val="en-GB"/>
        </w:rPr>
        <w:t xml:space="preserve"> per patient</w:t>
      </w:r>
      <w:r w:rsidR="00880EB4" w:rsidRPr="007A09A0">
        <w:rPr>
          <w:rFonts w:asciiTheme="minorHAnsi" w:hAnsiTheme="minorHAnsi"/>
          <w:bCs/>
          <w:lang w:val="en-GB"/>
        </w:rPr>
        <w:t xml:space="preserve">. </w:t>
      </w:r>
      <w:r w:rsidR="007A09A0" w:rsidRPr="007A09A0">
        <w:rPr>
          <w:rFonts w:asciiTheme="minorHAnsi" w:hAnsiTheme="minorHAnsi"/>
          <w:bCs/>
          <w:lang w:val="en-GB"/>
        </w:rPr>
        <w:t xml:space="preserve">When the average number of ranibizumab injections </w:t>
      </w:r>
      <w:r w:rsidR="003F7735">
        <w:rPr>
          <w:rFonts w:asciiTheme="minorHAnsi" w:hAnsiTheme="minorHAnsi"/>
          <w:bCs/>
          <w:lang w:val="en-GB"/>
        </w:rPr>
        <w:t xml:space="preserve">per patient </w:t>
      </w:r>
      <w:r w:rsidR="007A09A0" w:rsidRPr="007A09A0">
        <w:rPr>
          <w:rFonts w:asciiTheme="minorHAnsi" w:hAnsiTheme="minorHAnsi"/>
          <w:bCs/>
          <w:lang w:val="en-GB"/>
        </w:rPr>
        <w:t>applied in the model was increased to the average number of injections of ranibizumab administered in treating AMD found in the June 2015 DUSC utilisation review (8.4 injections in the first year and 7.1 injections in subsequent years), the ICER</w:t>
      </w:r>
      <w:r w:rsidR="007A09A0">
        <w:rPr>
          <w:rFonts w:asciiTheme="minorHAnsi" w:hAnsiTheme="minorHAnsi"/>
          <w:bCs/>
          <w:lang w:val="en-GB"/>
        </w:rPr>
        <w:t xml:space="preserve"> increased substantially to </w:t>
      </w:r>
      <w:r w:rsidR="00A21532">
        <w:rPr>
          <w:rFonts w:asciiTheme="minorHAnsi" w:hAnsiTheme="minorHAnsi"/>
          <w:bCs/>
          <w:lang w:val="en-GB"/>
        </w:rPr>
        <w:lastRenderedPageBreak/>
        <w:t>$105,000/QALY - $200,000/QALY</w:t>
      </w:r>
      <w:r w:rsidR="007A09A0" w:rsidRPr="007A09A0">
        <w:rPr>
          <w:rFonts w:asciiTheme="minorHAnsi" w:hAnsiTheme="minorHAnsi"/>
          <w:bCs/>
          <w:lang w:val="en-GB"/>
        </w:rPr>
        <w:t xml:space="preserve"> gained. The PBAC therefore considered that ranibizumab would not be cost-effective for the treatment </w:t>
      </w:r>
      <w:r w:rsidR="007A09A0">
        <w:rPr>
          <w:rFonts w:asciiTheme="minorHAnsi" w:hAnsiTheme="minorHAnsi"/>
          <w:bCs/>
          <w:lang w:val="en-GB"/>
        </w:rPr>
        <w:t>of rare CNV</w:t>
      </w:r>
      <w:r w:rsidR="007A09A0" w:rsidRPr="007A09A0">
        <w:rPr>
          <w:rFonts w:asciiTheme="minorHAnsi" w:hAnsiTheme="minorHAnsi"/>
          <w:bCs/>
          <w:lang w:val="en-GB"/>
        </w:rPr>
        <w:t xml:space="preserve"> if the number of injections per year approached those similar to the number of injections of ranibizumab for the treatment of AMD. However, the PBAC considered that an ICER of ≥$</w:t>
      </w:r>
      <w:r w:rsidR="007A09A0">
        <w:rPr>
          <w:rFonts w:asciiTheme="minorHAnsi" w:hAnsiTheme="minorHAnsi"/>
          <w:bCs/>
          <w:lang w:val="en-GB"/>
        </w:rPr>
        <w:t xml:space="preserve">100,000 </w:t>
      </w:r>
      <w:r w:rsidR="007A09A0" w:rsidRPr="007A09A0">
        <w:rPr>
          <w:rFonts w:asciiTheme="minorHAnsi" w:hAnsiTheme="minorHAnsi"/>
          <w:bCs/>
          <w:lang w:val="en-GB"/>
        </w:rPr>
        <w:t>per QALY was representative of a ‘worst-case’ scenario and that</w:t>
      </w:r>
      <w:r w:rsidR="003F7735">
        <w:rPr>
          <w:rFonts w:asciiTheme="minorHAnsi" w:hAnsiTheme="minorHAnsi"/>
          <w:bCs/>
          <w:lang w:val="en-GB"/>
        </w:rPr>
        <w:t>,</w:t>
      </w:r>
      <w:r w:rsidR="007A09A0" w:rsidRPr="007A09A0">
        <w:rPr>
          <w:rFonts w:asciiTheme="minorHAnsi" w:hAnsiTheme="minorHAnsi"/>
          <w:bCs/>
          <w:lang w:val="en-GB"/>
        </w:rPr>
        <w:t xml:space="preserve"> based on the available evidence, the number of injections in clinical practice would likely be lower. The PBAC considered that any risk associated with </w:t>
      </w:r>
      <w:r w:rsidR="007A09A0" w:rsidRPr="00F415BD">
        <w:rPr>
          <w:rFonts w:asciiTheme="minorHAnsi" w:hAnsiTheme="minorHAnsi"/>
          <w:bCs/>
          <w:lang w:val="en-GB"/>
        </w:rPr>
        <w:t>uncertainty around the number of ranibizumab injections may be adequately managed if the requested indication was included in the existing Deed of Agreeme</w:t>
      </w:r>
      <w:r w:rsidR="003F7735" w:rsidRPr="00F415BD">
        <w:rPr>
          <w:rFonts w:asciiTheme="minorHAnsi" w:hAnsiTheme="minorHAnsi"/>
          <w:bCs/>
          <w:lang w:val="en-GB"/>
        </w:rPr>
        <w:t>nt for ranibizumab used in AMD.</w:t>
      </w:r>
    </w:p>
    <w:p w:rsidR="003F7735" w:rsidRPr="00A81B56" w:rsidRDefault="003F7735" w:rsidP="003F7735">
      <w:pPr>
        <w:pStyle w:val="ListParagraph"/>
        <w:numPr>
          <w:ilvl w:val="1"/>
          <w:numId w:val="2"/>
        </w:numPr>
        <w:rPr>
          <w:rFonts w:asciiTheme="minorHAnsi" w:hAnsiTheme="minorHAnsi"/>
          <w:bCs/>
          <w:lang w:val="en-GB"/>
        </w:rPr>
      </w:pPr>
      <w:r>
        <w:rPr>
          <w:rFonts w:asciiTheme="minorHAnsi" w:hAnsiTheme="minorHAnsi"/>
          <w:bCs/>
          <w:lang w:val="en-GB"/>
        </w:rPr>
        <w:t>The PBAC considered that the estimated number of prevalent patients was uncertain noting the limited available epidemiological data available for rare CNV. However, the PBAC considered that the number of patients was likely to be small overall and so the financial implications of listing would unlikely be substantial.</w:t>
      </w:r>
    </w:p>
    <w:p w:rsidR="003F7735" w:rsidRDefault="003F7735" w:rsidP="003F7735">
      <w:pPr>
        <w:numPr>
          <w:ilvl w:val="1"/>
          <w:numId w:val="2"/>
        </w:numPr>
        <w:spacing w:after="120"/>
        <w:rPr>
          <w:rFonts w:asciiTheme="minorHAnsi" w:hAnsiTheme="minorHAnsi"/>
          <w:bCs/>
          <w:lang w:val="en-GB"/>
        </w:rPr>
      </w:pPr>
      <w:r>
        <w:rPr>
          <w:rFonts w:asciiTheme="minorHAnsi" w:hAnsiTheme="minorHAnsi"/>
          <w:bCs/>
          <w:lang w:val="en-GB"/>
        </w:rPr>
        <w:t>The PBAC considered that although it was possible that a proportion of patients with rare subfoveal CNV are currently receiving PBS-subsidised VEGF inhibitor therapy outside the PBS restriction for subfoveal CNV due to AMD, it was not justified to include cost offsets for this utilisation without any substantive evidence quantifying the extent of this occurrence.</w:t>
      </w:r>
    </w:p>
    <w:p w:rsidR="00A81B56" w:rsidRPr="000A69D2" w:rsidRDefault="00D53673" w:rsidP="000A69D2">
      <w:pPr>
        <w:pStyle w:val="ListParagraph"/>
        <w:numPr>
          <w:ilvl w:val="1"/>
          <w:numId w:val="2"/>
        </w:numPr>
        <w:rPr>
          <w:rFonts w:asciiTheme="minorHAnsi" w:hAnsiTheme="minorHAnsi"/>
          <w:bCs/>
          <w:noProof/>
          <w:color w:val="000000"/>
          <w:lang w:val="en-GB"/>
        </w:rPr>
      </w:pPr>
      <w:r w:rsidRPr="000A69D2">
        <w:rPr>
          <w:rFonts w:asciiTheme="minorHAnsi" w:hAnsiTheme="minorHAnsi"/>
          <w:bCs/>
          <w:lang w:val="en-GB"/>
        </w:rPr>
        <w:t xml:space="preserve">The PBAC considered that the estimated financial implications (without cost offsets due to use of PBS-listed drugs outside the PBS restriction) of </w:t>
      </w:r>
      <w:r w:rsidR="00DB7B72" w:rsidRPr="000A69D2">
        <w:rPr>
          <w:rFonts w:asciiTheme="minorHAnsi" w:hAnsiTheme="minorHAnsi"/>
          <w:bCs/>
          <w:lang w:val="en-GB"/>
        </w:rPr>
        <w:t xml:space="preserve">substantially </w:t>
      </w:r>
      <w:r w:rsidR="00A21532" w:rsidRPr="000A69D2">
        <w:rPr>
          <w:rFonts w:asciiTheme="minorHAnsi" w:hAnsiTheme="minorHAnsi"/>
          <w:bCs/>
          <w:lang w:val="en-GB"/>
        </w:rPr>
        <w:t>less than $10 million per year</w:t>
      </w:r>
      <w:r w:rsidRPr="000A69D2">
        <w:rPr>
          <w:rFonts w:asciiTheme="minorHAnsi" w:hAnsiTheme="minorHAnsi"/>
          <w:bCs/>
          <w:lang w:val="en-GB"/>
        </w:rPr>
        <w:t xml:space="preserve"> in Year 6 was reasonable and there was a low risk of use outside the approved indication. The PBAC </w:t>
      </w:r>
      <w:r w:rsidR="003D44EF" w:rsidRPr="000A69D2">
        <w:rPr>
          <w:rFonts w:asciiTheme="minorHAnsi" w:hAnsiTheme="minorHAnsi"/>
          <w:bCs/>
          <w:lang w:val="en-GB"/>
        </w:rPr>
        <w:t xml:space="preserve">advised </w:t>
      </w:r>
      <w:r w:rsidRPr="000A69D2">
        <w:rPr>
          <w:rFonts w:asciiTheme="minorHAnsi" w:hAnsiTheme="minorHAnsi"/>
          <w:bCs/>
          <w:lang w:val="en-GB"/>
        </w:rPr>
        <w:t xml:space="preserve">that the inclusion of the </w:t>
      </w:r>
      <w:r w:rsidR="0071653F" w:rsidRPr="000A69D2">
        <w:rPr>
          <w:rFonts w:asciiTheme="minorHAnsi" w:hAnsiTheme="minorHAnsi"/>
          <w:bCs/>
          <w:lang w:val="en-GB"/>
        </w:rPr>
        <w:t xml:space="preserve">extended indication as part of </w:t>
      </w:r>
      <w:r w:rsidRPr="000A69D2">
        <w:rPr>
          <w:rFonts w:asciiTheme="minorHAnsi" w:hAnsiTheme="minorHAnsi"/>
          <w:bCs/>
          <w:lang w:val="en-GB"/>
        </w:rPr>
        <w:t xml:space="preserve">the existing Deed of Agreement </w:t>
      </w:r>
      <w:r w:rsidR="0071653F" w:rsidRPr="000A69D2">
        <w:rPr>
          <w:rFonts w:asciiTheme="minorHAnsi" w:hAnsiTheme="minorHAnsi"/>
          <w:bCs/>
          <w:lang w:val="en-GB"/>
        </w:rPr>
        <w:t xml:space="preserve">for CNV, </w:t>
      </w:r>
      <w:r w:rsidR="004C5EA1" w:rsidRPr="000A69D2">
        <w:rPr>
          <w:rFonts w:asciiTheme="minorHAnsi" w:hAnsiTheme="minorHAnsi"/>
          <w:bCs/>
          <w:noProof/>
          <w:color w:val="000000"/>
          <w:highlight w:val="black"/>
          <w:lang w:val="en-GB"/>
        </w:rPr>
        <w:t>'''''''''''''' ''''''''''''''''''' ''''''' '''''''''''''''''''''' '''''''' ''''' '''''''''''''''''</w:t>
      </w:r>
      <w:r w:rsidR="0071653F" w:rsidRPr="000A69D2">
        <w:rPr>
          <w:rFonts w:asciiTheme="minorHAnsi" w:hAnsiTheme="minorHAnsi"/>
          <w:bCs/>
          <w:lang w:val="en-GB"/>
        </w:rPr>
        <w:t xml:space="preserve">, was essential to containing the overall cost of ranibizumab in CNV. </w:t>
      </w:r>
      <w:r w:rsidR="004C5EA1" w:rsidRPr="000A69D2">
        <w:rPr>
          <w:rFonts w:asciiTheme="minorHAnsi" w:hAnsiTheme="minorHAnsi"/>
          <w:bCs/>
          <w:noProof/>
          <w:color w:val="000000"/>
          <w:highlight w:val="black"/>
          <w:lang w:val="en-GB"/>
        </w:rPr>
        <w:t>'''''' ''''''''''' '''''''''''' ''''''''''''''''''' '''''''' ''''''''' ''''' ''''''''''''''''''''''' '''''''''''' ''''''''''' '''' ''''' ''''''''''''''''''''' ''''''''' '''''''''' ''''''''''''''''' '''''''''''' ''''' '''''' ''''''''''' '''''''''''' ''''''''''''''''''''' ''''' '''''' '''''''''''''''''' ''''' '''''''''''' ''''' '''''''''''''''''''''''''' ''''''''''' ''''''''''''''' ''''''' ''''''''' ''''''''''''''''''''''''''' '''''''''''''''''''''' ''''''''' ''''''' ''''''''' ''''''''''' '''''''' ''' '''''''' ''''''''''' ''''''' ''''''''''''''''''''''''''''''' ''''''''''''''' ''''' ''''''''''' '''''''''''''''''</w:t>
      </w:r>
      <w:r w:rsidR="000A69D2" w:rsidRPr="000A69D2">
        <w:t xml:space="preserve"> </w:t>
      </w:r>
      <w:r w:rsidR="000A69D2" w:rsidRPr="000A69D2">
        <w:rPr>
          <w:rFonts w:asciiTheme="minorHAnsi" w:hAnsiTheme="minorHAnsi"/>
          <w:bCs/>
          <w:noProof/>
          <w:color w:val="000000"/>
          <w:lang w:val="en-GB"/>
        </w:rPr>
        <w:t xml:space="preserve">As such, the PBAC considered that an alternative arrangement </w:t>
      </w:r>
      <w:r w:rsidR="00D20955">
        <w:rPr>
          <w:rFonts w:asciiTheme="minorHAnsi" w:hAnsiTheme="minorHAnsi"/>
          <w:bCs/>
          <w:noProof/>
          <w:color w:val="000000"/>
          <w:highlight w:val="black"/>
          <w:lang w:val="en-GB"/>
        </w:rPr>
        <w:t>''''''''''' ''''''''' ''''''' ''''''''' ''''''' ''''''''''' '''' '''''''''''''''''''' '''''' '''''''''''''''''''''''' '''''''' '''''''''''' '''''' ''''''''''''''' ''''''''''' ''''' ''''''''''''''''''' '''''' '''''''''</w:t>
      </w:r>
      <w:r w:rsidR="000A69D2" w:rsidRPr="000A69D2">
        <w:rPr>
          <w:rFonts w:asciiTheme="minorHAnsi" w:hAnsiTheme="minorHAnsi"/>
          <w:bCs/>
          <w:noProof/>
          <w:color w:val="000000"/>
          <w:lang w:val="en-GB"/>
        </w:rPr>
        <w:t xml:space="preserve"> would also be appropriate.</w:t>
      </w:r>
    </w:p>
    <w:p w:rsidR="003528AC" w:rsidRPr="00F415BD" w:rsidRDefault="003528AC" w:rsidP="0071653F">
      <w:pPr>
        <w:numPr>
          <w:ilvl w:val="1"/>
          <w:numId w:val="2"/>
        </w:numPr>
        <w:spacing w:after="120"/>
        <w:rPr>
          <w:rFonts w:asciiTheme="minorHAnsi" w:hAnsiTheme="minorHAnsi"/>
          <w:bCs/>
          <w:lang w:val="en-GB"/>
        </w:rPr>
      </w:pPr>
      <w:r w:rsidRPr="00F415BD">
        <w:rPr>
          <w:rFonts w:asciiTheme="minorHAnsi" w:hAnsiTheme="minorHAnsi"/>
          <w:bCs/>
          <w:lang w:val="en-GB"/>
        </w:rPr>
        <w:t xml:space="preserve">The PBAC noted that it had also made a positive recommendation for the listing of ranibizumab secondary to pathologic myopia. </w:t>
      </w:r>
      <w:r w:rsidR="0071653F" w:rsidRPr="00F415BD">
        <w:rPr>
          <w:rFonts w:asciiTheme="minorHAnsi" w:hAnsiTheme="minorHAnsi"/>
          <w:bCs/>
          <w:lang w:val="en-GB"/>
        </w:rPr>
        <w:t>The PBAC considered that it may be appropriate to amend the existing restriction for ranibizumab for the treatment of subfoveal CNV due to AMD to include these two additional patient populations if the indications were included in the existing Deed of Agreement for CNV.</w:t>
      </w:r>
    </w:p>
    <w:p w:rsidR="0083032A" w:rsidRDefault="0083032A" w:rsidP="00F30220">
      <w:pPr>
        <w:numPr>
          <w:ilvl w:val="1"/>
          <w:numId w:val="2"/>
        </w:numPr>
        <w:spacing w:after="120"/>
        <w:rPr>
          <w:rFonts w:asciiTheme="minorHAnsi" w:hAnsiTheme="minorHAnsi"/>
          <w:bCs/>
          <w:lang w:val="en-GB"/>
        </w:rPr>
      </w:pPr>
      <w:r>
        <w:rPr>
          <w:rFonts w:asciiTheme="minorHAnsi" w:hAnsiTheme="minorHAnsi"/>
          <w:bCs/>
          <w:lang w:val="en-GB"/>
        </w:rPr>
        <w:t xml:space="preserve">The PBAC </w:t>
      </w:r>
      <w:r w:rsidR="003F7735">
        <w:rPr>
          <w:rFonts w:asciiTheme="minorHAnsi" w:hAnsiTheme="minorHAnsi"/>
          <w:bCs/>
          <w:lang w:val="en-GB"/>
        </w:rPr>
        <w:t>confirmed</w:t>
      </w:r>
      <w:r>
        <w:rPr>
          <w:rFonts w:asciiTheme="minorHAnsi" w:hAnsiTheme="minorHAnsi"/>
          <w:bCs/>
          <w:lang w:val="en-GB"/>
        </w:rPr>
        <w:t xml:space="preserve"> that ranibizumab is not suitable for prescribing by nurse practitioners.</w:t>
      </w:r>
    </w:p>
    <w:p w:rsidR="0083032A" w:rsidRDefault="0083032A" w:rsidP="0083032A">
      <w:pPr>
        <w:numPr>
          <w:ilvl w:val="1"/>
          <w:numId w:val="2"/>
        </w:numPr>
        <w:spacing w:after="120"/>
        <w:rPr>
          <w:rFonts w:asciiTheme="minorHAnsi" w:hAnsiTheme="minorHAnsi"/>
          <w:bCs/>
          <w:lang w:val="en-GB"/>
        </w:rPr>
      </w:pPr>
      <w:r>
        <w:rPr>
          <w:rFonts w:asciiTheme="minorHAnsi" w:hAnsiTheme="minorHAnsi"/>
          <w:bCs/>
          <w:lang w:val="en-GB"/>
        </w:rPr>
        <w:lastRenderedPageBreak/>
        <w:t xml:space="preserve">The PBAC </w:t>
      </w:r>
      <w:r w:rsidR="003F7735">
        <w:rPr>
          <w:rFonts w:asciiTheme="minorHAnsi" w:hAnsiTheme="minorHAnsi"/>
          <w:bCs/>
          <w:lang w:val="en-GB"/>
        </w:rPr>
        <w:t>confirmed</w:t>
      </w:r>
      <w:r>
        <w:rPr>
          <w:rFonts w:asciiTheme="minorHAnsi" w:hAnsiTheme="minorHAnsi"/>
          <w:bCs/>
          <w:lang w:val="en-GB"/>
        </w:rPr>
        <w:t xml:space="preserve"> that the Early Supply Rule should not apply to ranibizumab.</w:t>
      </w:r>
    </w:p>
    <w:p w:rsidR="0083032A" w:rsidRDefault="0083032A" w:rsidP="0083032A">
      <w:pPr>
        <w:numPr>
          <w:ilvl w:val="1"/>
          <w:numId w:val="2"/>
        </w:numPr>
        <w:spacing w:after="120"/>
        <w:rPr>
          <w:rFonts w:asciiTheme="minorHAnsi" w:hAnsiTheme="minorHAnsi"/>
          <w:bCs/>
          <w:lang w:val="en-GB"/>
        </w:rPr>
      </w:pPr>
      <w:r>
        <w:rPr>
          <w:rFonts w:asciiTheme="minorHAnsi" w:hAnsiTheme="minorHAnsi"/>
          <w:bCs/>
          <w:lang w:val="en-GB"/>
        </w:rPr>
        <w:t>The PBAC noted that this submission is not eligible for an Independent Review because the PBAC has made a positive recommendation.</w:t>
      </w:r>
    </w:p>
    <w:p w:rsidR="0034729E" w:rsidRDefault="00257608" w:rsidP="00257608">
      <w:pPr>
        <w:rPr>
          <w:rFonts w:asciiTheme="minorHAnsi" w:hAnsiTheme="minorHAnsi"/>
          <w:b/>
          <w:bCs/>
          <w:lang w:val="en-GB"/>
        </w:rPr>
      </w:pPr>
      <w:r w:rsidRPr="0076427F">
        <w:rPr>
          <w:rFonts w:asciiTheme="minorHAnsi" w:hAnsiTheme="minorHAnsi"/>
          <w:b/>
          <w:bCs/>
          <w:lang w:val="en-GB"/>
        </w:rPr>
        <w:t>Outcome:</w:t>
      </w:r>
      <w:r w:rsidR="00FB1389">
        <w:rPr>
          <w:rFonts w:asciiTheme="minorHAnsi" w:hAnsiTheme="minorHAnsi"/>
          <w:b/>
          <w:bCs/>
          <w:lang w:val="en-GB"/>
        </w:rPr>
        <w:t xml:space="preserve"> </w:t>
      </w:r>
    </w:p>
    <w:p w:rsidR="00257608" w:rsidRPr="0034729E" w:rsidRDefault="00FB1389" w:rsidP="00257608">
      <w:pPr>
        <w:rPr>
          <w:rFonts w:asciiTheme="minorHAnsi" w:hAnsiTheme="minorHAnsi"/>
          <w:bCs/>
          <w:lang w:val="en-GB"/>
        </w:rPr>
      </w:pPr>
      <w:r w:rsidRPr="0076427F">
        <w:rPr>
          <w:rFonts w:asciiTheme="minorHAnsi" w:hAnsiTheme="minorHAnsi"/>
          <w:bCs/>
          <w:lang w:val="en-GB"/>
        </w:rPr>
        <w:t xml:space="preserve">Recommended </w:t>
      </w:r>
    </w:p>
    <w:p w:rsidR="0034729E" w:rsidRPr="0034729E" w:rsidRDefault="0034729E" w:rsidP="004F1B17">
      <w:pPr>
        <w:pStyle w:val="PBACHeading1"/>
        <w:rPr>
          <w:snapToGrid/>
        </w:rPr>
      </w:pPr>
      <w:r w:rsidRPr="0034729E">
        <w:rPr>
          <w:snapToGrid/>
        </w:rPr>
        <w:t>Recommended listing</w:t>
      </w:r>
    </w:p>
    <w:p w:rsidR="002B61F2" w:rsidRPr="002B61F2" w:rsidRDefault="002B61F2" w:rsidP="002B61F2">
      <w:pPr>
        <w:numPr>
          <w:ilvl w:val="1"/>
          <w:numId w:val="2"/>
        </w:numPr>
        <w:spacing w:after="120"/>
        <w:rPr>
          <w:rFonts w:asciiTheme="minorHAnsi" w:hAnsiTheme="minorHAnsi"/>
          <w:bCs/>
        </w:rPr>
      </w:pPr>
      <w:r>
        <w:rPr>
          <w:rFonts w:asciiTheme="minorHAnsi" w:hAnsiTheme="minorHAnsi"/>
          <w:bCs/>
        </w:rPr>
        <w:t>Extend the existing listing to include</w:t>
      </w:r>
      <w:r w:rsidRPr="00345437">
        <w:rPr>
          <w:rFonts w:asciiTheme="minorHAnsi" w:hAnsiTheme="minorHAnsi"/>
          <w:bCs/>
        </w:rPr>
        <w:t>:</w:t>
      </w:r>
    </w:p>
    <w:tbl>
      <w:tblPr>
        <w:tblW w:w="8363" w:type="dxa"/>
        <w:tblInd w:w="817" w:type="dxa"/>
        <w:tblLayout w:type="fixed"/>
        <w:tblLook w:val="04A0" w:firstRow="1" w:lastRow="0" w:firstColumn="1" w:lastColumn="0" w:noHBand="0" w:noVBand="1"/>
      </w:tblPr>
      <w:tblGrid>
        <w:gridCol w:w="2125"/>
        <w:gridCol w:w="1135"/>
        <w:gridCol w:w="993"/>
        <w:gridCol w:w="850"/>
        <w:gridCol w:w="1559"/>
        <w:gridCol w:w="1701"/>
      </w:tblGrid>
      <w:tr w:rsidR="002B61F2" w:rsidRPr="004C3366" w:rsidTr="003621ED">
        <w:trPr>
          <w:trHeight w:val="471"/>
        </w:trPr>
        <w:tc>
          <w:tcPr>
            <w:tcW w:w="3260" w:type="dxa"/>
            <w:gridSpan w:val="2"/>
            <w:tcBorders>
              <w:top w:val="nil"/>
              <w:left w:val="nil"/>
              <w:bottom w:val="single" w:sz="4" w:space="0" w:color="auto"/>
              <w:right w:val="nil"/>
            </w:tcBorders>
          </w:tcPr>
          <w:p w:rsidR="002B61F2" w:rsidRPr="004C3366" w:rsidRDefault="002B61F2" w:rsidP="003621ED">
            <w:pPr>
              <w:keepNext/>
              <w:ind w:left="-108"/>
              <w:rPr>
                <w:rFonts w:ascii="Arial Narrow" w:hAnsi="Arial Narrow"/>
                <w:sz w:val="20"/>
                <w:szCs w:val="20"/>
              </w:rPr>
            </w:pPr>
            <w:r w:rsidRPr="004C3366">
              <w:rPr>
                <w:rFonts w:ascii="Arial Narrow" w:hAnsi="Arial Narrow"/>
                <w:sz w:val="20"/>
                <w:szCs w:val="20"/>
              </w:rPr>
              <w:t>Name, Restriction,</w:t>
            </w:r>
          </w:p>
          <w:p w:rsidR="002B61F2" w:rsidRPr="004C3366" w:rsidRDefault="002B61F2" w:rsidP="003621ED">
            <w:pPr>
              <w:keepNext/>
              <w:ind w:left="-108"/>
              <w:rPr>
                <w:rFonts w:ascii="Arial Narrow" w:hAnsi="Arial Narrow"/>
                <w:sz w:val="20"/>
                <w:szCs w:val="20"/>
              </w:rPr>
            </w:pPr>
            <w:r w:rsidRPr="004C3366">
              <w:rPr>
                <w:rFonts w:ascii="Arial Narrow" w:hAnsi="Arial Narrow"/>
                <w:sz w:val="20"/>
                <w:szCs w:val="20"/>
              </w:rPr>
              <w:t>Manner of administration and form</w:t>
            </w:r>
          </w:p>
        </w:tc>
        <w:tc>
          <w:tcPr>
            <w:tcW w:w="993" w:type="dxa"/>
            <w:tcBorders>
              <w:top w:val="nil"/>
              <w:left w:val="nil"/>
              <w:bottom w:val="single" w:sz="4" w:space="0" w:color="auto"/>
              <w:right w:val="nil"/>
            </w:tcBorders>
            <w:hideMark/>
          </w:tcPr>
          <w:p w:rsidR="002B61F2" w:rsidRPr="004C3366" w:rsidRDefault="002B61F2" w:rsidP="003621ED">
            <w:pPr>
              <w:keepNext/>
              <w:ind w:left="-108"/>
              <w:jc w:val="center"/>
              <w:rPr>
                <w:rFonts w:ascii="Arial Narrow" w:hAnsi="Arial Narrow"/>
                <w:sz w:val="20"/>
                <w:szCs w:val="20"/>
              </w:rPr>
            </w:pPr>
            <w:r w:rsidRPr="004C3366">
              <w:rPr>
                <w:rFonts w:ascii="Arial Narrow" w:hAnsi="Arial Narrow"/>
                <w:sz w:val="20"/>
                <w:szCs w:val="20"/>
              </w:rPr>
              <w:t>Max.</w:t>
            </w:r>
          </w:p>
          <w:p w:rsidR="002B61F2" w:rsidRPr="004C3366" w:rsidRDefault="002B61F2" w:rsidP="003621ED">
            <w:pPr>
              <w:keepNext/>
              <w:ind w:left="-108"/>
              <w:jc w:val="center"/>
              <w:rPr>
                <w:rFonts w:ascii="Arial Narrow" w:hAnsi="Arial Narrow"/>
                <w:sz w:val="20"/>
                <w:szCs w:val="20"/>
              </w:rPr>
            </w:pPr>
            <w:r w:rsidRPr="004C3366">
              <w:rPr>
                <w:rFonts w:ascii="Arial Narrow" w:hAnsi="Arial Narrow"/>
                <w:sz w:val="20"/>
                <w:szCs w:val="20"/>
              </w:rPr>
              <w:t>Qty</w:t>
            </w:r>
          </w:p>
        </w:tc>
        <w:tc>
          <w:tcPr>
            <w:tcW w:w="850" w:type="dxa"/>
            <w:tcBorders>
              <w:top w:val="nil"/>
              <w:left w:val="nil"/>
              <w:bottom w:val="single" w:sz="4" w:space="0" w:color="auto"/>
              <w:right w:val="nil"/>
            </w:tcBorders>
            <w:hideMark/>
          </w:tcPr>
          <w:p w:rsidR="002B61F2" w:rsidRPr="004C3366" w:rsidRDefault="002B61F2" w:rsidP="003621ED">
            <w:pPr>
              <w:keepNext/>
              <w:ind w:left="-108"/>
              <w:jc w:val="center"/>
              <w:rPr>
                <w:rFonts w:ascii="Arial Narrow" w:hAnsi="Arial Narrow"/>
                <w:sz w:val="20"/>
                <w:szCs w:val="20"/>
              </w:rPr>
            </w:pPr>
            <w:r w:rsidRPr="004C3366">
              <w:rPr>
                <w:rFonts w:ascii="Arial Narrow" w:hAnsi="Arial Narrow"/>
                <w:sz w:val="20"/>
                <w:szCs w:val="20"/>
              </w:rPr>
              <w:t>№.of</w:t>
            </w:r>
          </w:p>
          <w:p w:rsidR="002B61F2" w:rsidRPr="004C3366" w:rsidRDefault="002B61F2" w:rsidP="003621ED">
            <w:pPr>
              <w:keepNext/>
              <w:ind w:left="-108"/>
              <w:jc w:val="center"/>
              <w:rPr>
                <w:rFonts w:ascii="Arial Narrow" w:hAnsi="Arial Narrow"/>
                <w:sz w:val="20"/>
                <w:szCs w:val="20"/>
              </w:rPr>
            </w:pPr>
            <w:r w:rsidRPr="004C3366">
              <w:rPr>
                <w:rFonts w:ascii="Arial Narrow" w:hAnsi="Arial Narrow"/>
                <w:sz w:val="20"/>
                <w:szCs w:val="20"/>
              </w:rPr>
              <w:t>Rpts</w:t>
            </w:r>
          </w:p>
        </w:tc>
        <w:tc>
          <w:tcPr>
            <w:tcW w:w="3260" w:type="dxa"/>
            <w:gridSpan w:val="2"/>
            <w:tcBorders>
              <w:top w:val="nil"/>
              <w:left w:val="nil"/>
              <w:bottom w:val="single" w:sz="4" w:space="0" w:color="auto"/>
              <w:right w:val="nil"/>
            </w:tcBorders>
            <w:hideMark/>
          </w:tcPr>
          <w:p w:rsidR="002B61F2" w:rsidRPr="004C3366" w:rsidRDefault="002B61F2" w:rsidP="003621ED">
            <w:pPr>
              <w:keepNext/>
              <w:rPr>
                <w:rFonts w:ascii="Arial Narrow" w:hAnsi="Arial Narrow"/>
                <w:sz w:val="20"/>
                <w:szCs w:val="20"/>
                <w:lang w:val="fr-FR"/>
              </w:rPr>
            </w:pPr>
            <w:r w:rsidRPr="004C3366">
              <w:rPr>
                <w:rFonts w:ascii="Arial Narrow" w:hAnsi="Arial Narrow"/>
                <w:sz w:val="20"/>
                <w:szCs w:val="20"/>
              </w:rPr>
              <w:t>Proprietary Name and Manufacturer</w:t>
            </w:r>
          </w:p>
        </w:tc>
      </w:tr>
      <w:tr w:rsidR="002B61F2" w:rsidRPr="004C3366" w:rsidTr="003621ED">
        <w:trPr>
          <w:trHeight w:val="577"/>
        </w:trPr>
        <w:tc>
          <w:tcPr>
            <w:tcW w:w="3260" w:type="dxa"/>
            <w:gridSpan w:val="2"/>
          </w:tcPr>
          <w:p w:rsidR="002B61F2" w:rsidRPr="004C3366" w:rsidRDefault="002B61F2" w:rsidP="003621ED">
            <w:pPr>
              <w:keepNext/>
              <w:ind w:left="-108"/>
              <w:rPr>
                <w:rFonts w:ascii="Arial Narrow" w:hAnsi="Arial Narrow"/>
                <w:sz w:val="20"/>
                <w:szCs w:val="20"/>
              </w:rPr>
            </w:pPr>
            <w:r w:rsidRPr="004C3366">
              <w:rPr>
                <w:rFonts w:ascii="Arial Narrow" w:hAnsi="Arial Narrow"/>
                <w:smallCaps/>
                <w:sz w:val="20"/>
                <w:szCs w:val="20"/>
              </w:rPr>
              <w:t>RANIBIZUMAB</w:t>
            </w:r>
          </w:p>
          <w:p w:rsidR="002B61F2" w:rsidRDefault="002B61F2" w:rsidP="003621ED">
            <w:pPr>
              <w:keepNext/>
              <w:ind w:left="-108"/>
              <w:rPr>
                <w:rFonts w:ascii="Arial Narrow" w:hAnsi="Arial Narrow"/>
                <w:sz w:val="20"/>
                <w:szCs w:val="20"/>
              </w:rPr>
            </w:pPr>
            <w:r w:rsidRPr="004C3366">
              <w:rPr>
                <w:rFonts w:ascii="Arial Narrow" w:hAnsi="Arial Narrow"/>
                <w:sz w:val="20"/>
                <w:szCs w:val="20"/>
              </w:rPr>
              <w:t>2.3 mg/0.23 mL injection, 1 x 0.23 mL vial</w:t>
            </w:r>
          </w:p>
          <w:p w:rsidR="002B61F2" w:rsidRDefault="002B61F2" w:rsidP="003621ED">
            <w:pPr>
              <w:keepNext/>
              <w:ind w:left="-108"/>
              <w:rPr>
                <w:rFonts w:ascii="Arial Narrow" w:hAnsi="Arial Narrow"/>
                <w:sz w:val="20"/>
                <w:szCs w:val="20"/>
              </w:rPr>
            </w:pPr>
          </w:p>
          <w:p w:rsidR="002B61F2" w:rsidRPr="004C3366" w:rsidRDefault="002B61F2" w:rsidP="003621ED">
            <w:pPr>
              <w:keepNext/>
              <w:ind w:left="-108"/>
              <w:rPr>
                <w:rFonts w:ascii="Arial Narrow" w:hAnsi="Arial Narrow"/>
                <w:sz w:val="20"/>
                <w:szCs w:val="20"/>
              </w:rPr>
            </w:pPr>
            <w:r w:rsidRPr="004C3366">
              <w:rPr>
                <w:rFonts w:ascii="Arial Narrow" w:hAnsi="Arial Narrow"/>
                <w:sz w:val="20"/>
                <w:szCs w:val="20"/>
              </w:rPr>
              <w:t xml:space="preserve">1.65 mg/0.165 mL injection, </w:t>
            </w:r>
          </w:p>
          <w:p w:rsidR="002B61F2" w:rsidRPr="004C3366" w:rsidRDefault="002B61F2" w:rsidP="003621ED">
            <w:pPr>
              <w:keepNext/>
              <w:ind w:left="-108"/>
              <w:rPr>
                <w:rFonts w:ascii="Arial Narrow" w:hAnsi="Arial Narrow"/>
                <w:sz w:val="20"/>
                <w:szCs w:val="20"/>
              </w:rPr>
            </w:pPr>
            <w:r w:rsidRPr="004C3366">
              <w:rPr>
                <w:rFonts w:ascii="Arial Narrow" w:hAnsi="Arial Narrow"/>
                <w:sz w:val="20"/>
                <w:szCs w:val="20"/>
              </w:rPr>
              <w:t>1 x 0.165 mL syringe</w:t>
            </w:r>
            <w:r>
              <w:rPr>
                <w:rFonts w:ascii="Arial Narrow" w:hAnsi="Arial Narrow"/>
                <w:sz w:val="20"/>
                <w:szCs w:val="20"/>
              </w:rPr>
              <w:t xml:space="preserve"> </w:t>
            </w:r>
          </w:p>
          <w:p w:rsidR="002B61F2" w:rsidRPr="004C3366" w:rsidRDefault="002B61F2" w:rsidP="003621ED">
            <w:pPr>
              <w:keepNext/>
              <w:ind w:left="-108"/>
              <w:rPr>
                <w:rFonts w:ascii="Arial Narrow" w:hAnsi="Arial Narrow"/>
                <w:sz w:val="20"/>
                <w:szCs w:val="20"/>
              </w:rPr>
            </w:pPr>
          </w:p>
        </w:tc>
        <w:tc>
          <w:tcPr>
            <w:tcW w:w="993" w:type="dxa"/>
          </w:tcPr>
          <w:p w:rsidR="002B61F2" w:rsidRPr="004C3366" w:rsidRDefault="002B61F2" w:rsidP="003621ED">
            <w:pPr>
              <w:keepNext/>
              <w:ind w:left="-108"/>
              <w:jc w:val="center"/>
              <w:rPr>
                <w:rFonts w:ascii="Arial Narrow" w:hAnsi="Arial Narrow"/>
                <w:sz w:val="20"/>
                <w:szCs w:val="20"/>
              </w:rPr>
            </w:pPr>
          </w:p>
          <w:p w:rsidR="002B61F2" w:rsidRPr="004C3366" w:rsidRDefault="002B61F2" w:rsidP="003621ED">
            <w:pPr>
              <w:keepNext/>
              <w:ind w:left="-108"/>
              <w:jc w:val="center"/>
              <w:rPr>
                <w:rFonts w:ascii="Arial Narrow" w:hAnsi="Arial Narrow"/>
                <w:sz w:val="20"/>
                <w:szCs w:val="20"/>
              </w:rPr>
            </w:pPr>
            <w:r w:rsidRPr="004C3366">
              <w:rPr>
                <w:rFonts w:ascii="Arial Narrow" w:hAnsi="Arial Narrow"/>
                <w:sz w:val="20"/>
                <w:szCs w:val="20"/>
              </w:rPr>
              <w:t>1</w:t>
            </w:r>
          </w:p>
        </w:tc>
        <w:tc>
          <w:tcPr>
            <w:tcW w:w="850" w:type="dxa"/>
          </w:tcPr>
          <w:p w:rsidR="002B61F2" w:rsidRPr="004C3366" w:rsidRDefault="002B61F2" w:rsidP="003621ED">
            <w:pPr>
              <w:keepNext/>
              <w:ind w:left="-108"/>
              <w:jc w:val="center"/>
              <w:rPr>
                <w:rFonts w:ascii="Arial Narrow" w:hAnsi="Arial Narrow"/>
                <w:sz w:val="20"/>
                <w:szCs w:val="20"/>
              </w:rPr>
            </w:pPr>
          </w:p>
          <w:p w:rsidR="002B61F2" w:rsidRPr="004C3366" w:rsidRDefault="002B61F2" w:rsidP="003621ED">
            <w:pPr>
              <w:keepNext/>
              <w:ind w:left="-108"/>
              <w:jc w:val="center"/>
              <w:rPr>
                <w:rFonts w:ascii="Arial Narrow" w:hAnsi="Arial Narrow"/>
                <w:sz w:val="20"/>
                <w:szCs w:val="20"/>
              </w:rPr>
            </w:pPr>
            <w:r w:rsidRPr="004C3366">
              <w:rPr>
                <w:rFonts w:ascii="Arial Narrow" w:hAnsi="Arial Narrow"/>
                <w:sz w:val="20"/>
                <w:szCs w:val="20"/>
              </w:rPr>
              <w:t>2</w:t>
            </w:r>
          </w:p>
        </w:tc>
        <w:tc>
          <w:tcPr>
            <w:tcW w:w="1559" w:type="dxa"/>
          </w:tcPr>
          <w:p w:rsidR="002B61F2" w:rsidRPr="004C3366" w:rsidRDefault="002B61F2" w:rsidP="003621ED">
            <w:pPr>
              <w:keepNext/>
              <w:rPr>
                <w:rFonts w:ascii="Arial Narrow" w:hAnsi="Arial Narrow"/>
                <w:sz w:val="20"/>
                <w:szCs w:val="20"/>
              </w:rPr>
            </w:pPr>
          </w:p>
          <w:p w:rsidR="002B61F2" w:rsidRPr="004C3366" w:rsidRDefault="002B61F2" w:rsidP="003621ED">
            <w:pPr>
              <w:keepNext/>
              <w:rPr>
                <w:rFonts w:ascii="Arial Narrow" w:hAnsi="Arial Narrow"/>
                <w:sz w:val="20"/>
                <w:szCs w:val="20"/>
              </w:rPr>
            </w:pPr>
            <w:r w:rsidRPr="004C3366">
              <w:rPr>
                <w:rFonts w:ascii="Arial Narrow" w:hAnsi="Arial Narrow"/>
                <w:sz w:val="20"/>
                <w:szCs w:val="20"/>
              </w:rPr>
              <w:t>Lucentis®</w:t>
            </w:r>
          </w:p>
        </w:tc>
        <w:tc>
          <w:tcPr>
            <w:tcW w:w="1701" w:type="dxa"/>
          </w:tcPr>
          <w:p w:rsidR="002B61F2" w:rsidRPr="004C3366" w:rsidRDefault="002B61F2" w:rsidP="003621ED">
            <w:pPr>
              <w:keepNext/>
              <w:rPr>
                <w:rFonts w:ascii="Arial Narrow" w:hAnsi="Arial Narrow"/>
                <w:sz w:val="20"/>
                <w:szCs w:val="20"/>
              </w:rPr>
            </w:pPr>
          </w:p>
          <w:p w:rsidR="002B61F2" w:rsidRPr="004C3366" w:rsidRDefault="002B61F2" w:rsidP="003621ED">
            <w:pPr>
              <w:keepNext/>
              <w:rPr>
                <w:rFonts w:ascii="Arial Narrow" w:hAnsi="Arial Narrow"/>
                <w:sz w:val="20"/>
                <w:szCs w:val="20"/>
              </w:rPr>
            </w:pPr>
            <w:r w:rsidRPr="004C3366">
              <w:rPr>
                <w:rFonts w:ascii="Arial Narrow" w:hAnsi="Arial Narrow"/>
                <w:sz w:val="20"/>
                <w:szCs w:val="20"/>
              </w:rPr>
              <w:t>Novartis Australia Pty. Ltd.</w:t>
            </w:r>
          </w:p>
        </w:tc>
      </w:tr>
      <w:tr w:rsidR="002B61F2" w:rsidRPr="004C3366" w:rsidTr="003621ED">
        <w:trPr>
          <w:trHeight w:val="360"/>
        </w:trPr>
        <w:tc>
          <w:tcPr>
            <w:tcW w:w="2125" w:type="dxa"/>
            <w:tcBorders>
              <w:top w:val="single" w:sz="4" w:space="0" w:color="auto"/>
              <w:left w:val="single" w:sz="4" w:space="0" w:color="auto"/>
              <w:bottom w:val="single" w:sz="4" w:space="0" w:color="auto"/>
              <w:right w:val="single" w:sz="4" w:space="0" w:color="auto"/>
            </w:tcBorders>
            <w:hideMark/>
          </w:tcPr>
          <w:p w:rsidR="002B61F2" w:rsidRPr="004C3366" w:rsidRDefault="002B61F2" w:rsidP="003621ED">
            <w:pPr>
              <w:rPr>
                <w:rFonts w:ascii="Arial Narrow" w:hAnsi="Arial Narrow"/>
                <w:b/>
                <w:sz w:val="20"/>
                <w:szCs w:val="20"/>
              </w:rPr>
            </w:pPr>
            <w:r w:rsidRPr="004C3366">
              <w:rPr>
                <w:rFonts w:ascii="Arial Narrow" w:hAnsi="Arial Narrow"/>
                <w:b/>
                <w:sz w:val="20"/>
                <w:szCs w:val="20"/>
              </w:rPr>
              <w:t>Condition:</w:t>
            </w:r>
          </w:p>
        </w:tc>
        <w:tc>
          <w:tcPr>
            <w:tcW w:w="6238" w:type="dxa"/>
            <w:gridSpan w:val="5"/>
            <w:tcBorders>
              <w:top w:val="single" w:sz="4" w:space="0" w:color="auto"/>
              <w:left w:val="single" w:sz="4" w:space="0" w:color="auto"/>
              <w:bottom w:val="single" w:sz="4" w:space="0" w:color="auto"/>
              <w:right w:val="single" w:sz="4" w:space="0" w:color="auto"/>
            </w:tcBorders>
            <w:hideMark/>
          </w:tcPr>
          <w:p w:rsidR="002B61F2" w:rsidRPr="004C3366" w:rsidRDefault="002B61F2" w:rsidP="003621ED">
            <w:pPr>
              <w:rPr>
                <w:rFonts w:ascii="Arial Narrow" w:hAnsi="Arial Narrow"/>
                <w:sz w:val="20"/>
                <w:szCs w:val="20"/>
              </w:rPr>
            </w:pPr>
            <w:r>
              <w:rPr>
                <w:rFonts w:ascii="Arial Narrow" w:hAnsi="Arial Narrow"/>
                <w:sz w:val="20"/>
                <w:szCs w:val="20"/>
              </w:rPr>
              <w:t>Subfoveal choroidal neovascularisation</w:t>
            </w:r>
          </w:p>
        </w:tc>
      </w:tr>
      <w:tr w:rsidR="002B61F2" w:rsidRPr="004C3366" w:rsidTr="003621ED">
        <w:trPr>
          <w:trHeight w:val="360"/>
        </w:trPr>
        <w:tc>
          <w:tcPr>
            <w:tcW w:w="2125" w:type="dxa"/>
            <w:tcBorders>
              <w:top w:val="single" w:sz="4" w:space="0" w:color="auto"/>
              <w:left w:val="single" w:sz="4" w:space="0" w:color="auto"/>
              <w:bottom w:val="single" w:sz="4" w:space="0" w:color="auto"/>
              <w:right w:val="single" w:sz="4" w:space="0" w:color="auto"/>
            </w:tcBorders>
          </w:tcPr>
          <w:p w:rsidR="002B61F2" w:rsidRPr="004C3366" w:rsidRDefault="002B61F2" w:rsidP="003621ED">
            <w:pPr>
              <w:rPr>
                <w:rFonts w:ascii="Arial Narrow" w:hAnsi="Arial Narrow"/>
                <w:i/>
                <w:sz w:val="20"/>
                <w:szCs w:val="20"/>
              </w:rPr>
            </w:pPr>
            <w:r w:rsidRPr="004C3366">
              <w:rPr>
                <w:rFonts w:ascii="Arial Narrow" w:hAnsi="Arial Narrow"/>
                <w:b/>
                <w:sz w:val="20"/>
                <w:szCs w:val="20"/>
              </w:rPr>
              <w:t>Treatment phase:</w:t>
            </w:r>
          </w:p>
        </w:tc>
        <w:tc>
          <w:tcPr>
            <w:tcW w:w="6238" w:type="dxa"/>
            <w:gridSpan w:val="5"/>
            <w:tcBorders>
              <w:top w:val="single" w:sz="4" w:space="0" w:color="auto"/>
              <w:left w:val="single" w:sz="4" w:space="0" w:color="auto"/>
              <w:bottom w:val="single" w:sz="4" w:space="0" w:color="auto"/>
              <w:right w:val="single" w:sz="4" w:space="0" w:color="auto"/>
            </w:tcBorders>
            <w:hideMark/>
          </w:tcPr>
          <w:p w:rsidR="002B61F2" w:rsidRPr="004C3366" w:rsidRDefault="002B61F2" w:rsidP="003621ED">
            <w:pPr>
              <w:rPr>
                <w:rFonts w:ascii="Arial Narrow" w:hAnsi="Arial Narrow"/>
                <w:sz w:val="20"/>
                <w:szCs w:val="20"/>
              </w:rPr>
            </w:pPr>
            <w:r w:rsidRPr="004C3366">
              <w:rPr>
                <w:rFonts w:ascii="Arial Narrow" w:hAnsi="Arial Narrow"/>
                <w:sz w:val="20"/>
                <w:szCs w:val="20"/>
              </w:rPr>
              <w:t>Initial treatment</w:t>
            </w:r>
          </w:p>
        </w:tc>
      </w:tr>
      <w:tr w:rsidR="002B61F2" w:rsidRPr="004C3366" w:rsidTr="003621ED">
        <w:trPr>
          <w:trHeight w:val="360"/>
        </w:trPr>
        <w:tc>
          <w:tcPr>
            <w:tcW w:w="2125" w:type="dxa"/>
            <w:tcBorders>
              <w:top w:val="single" w:sz="4" w:space="0" w:color="auto"/>
              <w:left w:val="single" w:sz="4" w:space="0" w:color="auto"/>
              <w:bottom w:val="single" w:sz="4" w:space="0" w:color="auto"/>
              <w:right w:val="single" w:sz="4" w:space="0" w:color="auto"/>
            </w:tcBorders>
          </w:tcPr>
          <w:p w:rsidR="002B61F2" w:rsidRPr="004C3366" w:rsidRDefault="002B61F2" w:rsidP="003621ED">
            <w:pPr>
              <w:rPr>
                <w:rFonts w:ascii="Arial Narrow" w:hAnsi="Arial Narrow"/>
                <w:sz w:val="20"/>
                <w:szCs w:val="20"/>
              </w:rPr>
            </w:pPr>
            <w:r w:rsidRPr="004C3366">
              <w:rPr>
                <w:rFonts w:ascii="Arial Narrow" w:hAnsi="Arial Narrow"/>
                <w:b/>
                <w:sz w:val="20"/>
                <w:szCs w:val="20"/>
              </w:rPr>
              <w:t>Restriction</w:t>
            </w:r>
            <w:r>
              <w:rPr>
                <w:rFonts w:ascii="Arial Narrow" w:hAnsi="Arial Narrow"/>
                <w:b/>
                <w:sz w:val="20"/>
                <w:szCs w:val="20"/>
              </w:rPr>
              <w:t xml:space="preserve"> Level / Method</w:t>
            </w:r>
            <w:r w:rsidRPr="004C3366">
              <w:rPr>
                <w:rFonts w:ascii="Arial Narrow" w:hAnsi="Arial Narrow"/>
                <w:b/>
                <w:sz w:val="20"/>
                <w:szCs w:val="20"/>
              </w:rPr>
              <w:t>:</w:t>
            </w:r>
          </w:p>
        </w:tc>
        <w:tc>
          <w:tcPr>
            <w:tcW w:w="6238" w:type="dxa"/>
            <w:gridSpan w:val="5"/>
            <w:tcBorders>
              <w:top w:val="single" w:sz="4" w:space="0" w:color="auto"/>
              <w:left w:val="single" w:sz="4" w:space="0" w:color="auto"/>
              <w:bottom w:val="single" w:sz="4" w:space="0" w:color="auto"/>
              <w:right w:val="single" w:sz="4" w:space="0" w:color="auto"/>
            </w:tcBorders>
            <w:hideMark/>
          </w:tcPr>
          <w:p w:rsidR="002B61F2" w:rsidRPr="00707F1D" w:rsidRDefault="002B61F2" w:rsidP="003621ED">
            <w:pPr>
              <w:widowControl/>
              <w:jc w:val="left"/>
              <w:rPr>
                <w:snapToGrid/>
                <w:sz w:val="20"/>
                <w:szCs w:val="20"/>
                <w:lang w:eastAsia="en-AU"/>
              </w:rPr>
            </w:pPr>
            <w:r w:rsidRPr="00707F1D">
              <w:rPr>
                <w:snapToGrid/>
                <w:sz w:val="20"/>
                <w:szCs w:val="20"/>
                <w:lang w:eastAsia="en-AU"/>
              </w:rPr>
              <w:fldChar w:fldCharType="begin">
                <w:ffData>
                  <w:name w:val="Check1"/>
                  <w:enabled/>
                  <w:calcOnExit w:val="0"/>
                  <w:checkBox>
                    <w:sizeAuto/>
                    <w:default w:val="0"/>
                  </w:checkBox>
                </w:ffData>
              </w:fldChar>
            </w:r>
            <w:r w:rsidRPr="00707F1D">
              <w:rPr>
                <w:snapToGrid/>
                <w:sz w:val="20"/>
                <w:szCs w:val="20"/>
                <w:lang w:eastAsia="en-AU"/>
              </w:rPr>
              <w:instrText xml:space="preserve"> FORMCHECKBOX </w:instrText>
            </w:r>
            <w:r w:rsidR="00D20955">
              <w:rPr>
                <w:snapToGrid/>
                <w:sz w:val="20"/>
                <w:szCs w:val="20"/>
                <w:lang w:eastAsia="en-AU"/>
              </w:rPr>
            </w:r>
            <w:r w:rsidR="00D20955">
              <w:rPr>
                <w:snapToGrid/>
                <w:sz w:val="20"/>
                <w:szCs w:val="20"/>
                <w:lang w:eastAsia="en-AU"/>
              </w:rPr>
              <w:fldChar w:fldCharType="separate"/>
            </w:r>
            <w:r w:rsidRPr="00707F1D">
              <w:rPr>
                <w:snapToGrid/>
                <w:sz w:val="20"/>
                <w:szCs w:val="20"/>
                <w:lang w:eastAsia="en-AU"/>
              </w:rPr>
              <w:fldChar w:fldCharType="end"/>
            </w:r>
            <w:r w:rsidRPr="00707F1D">
              <w:rPr>
                <w:snapToGrid/>
                <w:sz w:val="20"/>
                <w:szCs w:val="20"/>
                <w:lang w:eastAsia="en-AU"/>
              </w:rPr>
              <w:t>Restricted benefit</w:t>
            </w:r>
          </w:p>
          <w:p w:rsidR="002B61F2" w:rsidRPr="00707F1D" w:rsidRDefault="002B61F2" w:rsidP="003621ED">
            <w:pPr>
              <w:widowControl/>
              <w:jc w:val="left"/>
              <w:rPr>
                <w:snapToGrid/>
                <w:sz w:val="20"/>
                <w:szCs w:val="20"/>
                <w:lang w:eastAsia="en-AU"/>
              </w:rPr>
            </w:pPr>
            <w:r w:rsidRPr="00707F1D">
              <w:rPr>
                <w:snapToGrid/>
                <w:sz w:val="20"/>
                <w:szCs w:val="20"/>
                <w:lang w:eastAsia="en-AU"/>
              </w:rPr>
              <w:fldChar w:fldCharType="begin">
                <w:ffData>
                  <w:name w:val=""/>
                  <w:enabled/>
                  <w:calcOnExit w:val="0"/>
                  <w:checkBox>
                    <w:sizeAuto/>
                    <w:default w:val="1"/>
                  </w:checkBox>
                </w:ffData>
              </w:fldChar>
            </w:r>
            <w:r w:rsidRPr="00707F1D">
              <w:rPr>
                <w:snapToGrid/>
                <w:sz w:val="20"/>
                <w:szCs w:val="20"/>
                <w:lang w:eastAsia="en-AU"/>
              </w:rPr>
              <w:instrText xml:space="preserve"> FORMCHECKBOX </w:instrText>
            </w:r>
            <w:r w:rsidR="00D20955">
              <w:rPr>
                <w:snapToGrid/>
                <w:sz w:val="20"/>
                <w:szCs w:val="20"/>
                <w:lang w:eastAsia="en-AU"/>
              </w:rPr>
            </w:r>
            <w:r w:rsidR="00D20955">
              <w:rPr>
                <w:snapToGrid/>
                <w:sz w:val="20"/>
                <w:szCs w:val="20"/>
                <w:lang w:eastAsia="en-AU"/>
              </w:rPr>
              <w:fldChar w:fldCharType="separate"/>
            </w:r>
            <w:r w:rsidRPr="00707F1D">
              <w:rPr>
                <w:snapToGrid/>
                <w:sz w:val="20"/>
                <w:szCs w:val="20"/>
                <w:lang w:eastAsia="en-AU"/>
              </w:rPr>
              <w:fldChar w:fldCharType="end"/>
            </w:r>
            <w:r w:rsidRPr="00707F1D">
              <w:rPr>
                <w:snapToGrid/>
                <w:sz w:val="20"/>
                <w:szCs w:val="20"/>
                <w:lang w:eastAsia="en-AU"/>
              </w:rPr>
              <w:t>Authority Required - In Writing</w:t>
            </w:r>
          </w:p>
          <w:p w:rsidR="002B61F2" w:rsidRPr="00707F1D" w:rsidRDefault="002B61F2" w:rsidP="003621ED">
            <w:pPr>
              <w:widowControl/>
              <w:jc w:val="left"/>
              <w:rPr>
                <w:snapToGrid/>
                <w:sz w:val="20"/>
                <w:szCs w:val="20"/>
                <w:lang w:eastAsia="en-AU"/>
              </w:rPr>
            </w:pPr>
            <w:r>
              <w:rPr>
                <w:snapToGrid/>
                <w:sz w:val="20"/>
                <w:szCs w:val="20"/>
                <w:lang w:eastAsia="en-AU"/>
              </w:rPr>
              <w:fldChar w:fldCharType="begin">
                <w:ffData>
                  <w:name w:val="Check3"/>
                  <w:enabled/>
                  <w:calcOnExit w:val="0"/>
                  <w:checkBox>
                    <w:sizeAuto/>
                    <w:default w:val="1"/>
                  </w:checkBox>
                </w:ffData>
              </w:fldChar>
            </w:r>
            <w:bookmarkStart w:id="32" w:name="Check3"/>
            <w:r>
              <w:rPr>
                <w:snapToGrid/>
                <w:sz w:val="20"/>
                <w:szCs w:val="20"/>
                <w:lang w:eastAsia="en-AU"/>
              </w:rPr>
              <w:instrText xml:space="preserve"> FORMCHECKBOX </w:instrText>
            </w:r>
            <w:r w:rsidR="00D20955">
              <w:rPr>
                <w:snapToGrid/>
                <w:sz w:val="20"/>
                <w:szCs w:val="20"/>
                <w:lang w:eastAsia="en-AU"/>
              </w:rPr>
            </w:r>
            <w:r w:rsidR="00D20955">
              <w:rPr>
                <w:snapToGrid/>
                <w:sz w:val="20"/>
                <w:szCs w:val="20"/>
                <w:lang w:eastAsia="en-AU"/>
              </w:rPr>
              <w:fldChar w:fldCharType="separate"/>
            </w:r>
            <w:r>
              <w:rPr>
                <w:snapToGrid/>
                <w:sz w:val="20"/>
                <w:szCs w:val="20"/>
                <w:lang w:eastAsia="en-AU"/>
              </w:rPr>
              <w:fldChar w:fldCharType="end"/>
            </w:r>
            <w:bookmarkEnd w:id="32"/>
            <w:r w:rsidRPr="00707F1D">
              <w:rPr>
                <w:snapToGrid/>
                <w:sz w:val="20"/>
                <w:szCs w:val="20"/>
                <w:lang w:eastAsia="en-AU"/>
              </w:rPr>
              <w:t>Authority Required - Telephone</w:t>
            </w:r>
          </w:p>
          <w:p w:rsidR="002B61F2" w:rsidRPr="00707F1D" w:rsidRDefault="002B61F2" w:rsidP="003621ED">
            <w:pPr>
              <w:widowControl/>
              <w:jc w:val="left"/>
              <w:rPr>
                <w:snapToGrid/>
                <w:sz w:val="20"/>
                <w:szCs w:val="20"/>
                <w:lang w:eastAsia="en-AU"/>
              </w:rPr>
            </w:pPr>
            <w:r w:rsidRPr="00707F1D">
              <w:rPr>
                <w:snapToGrid/>
                <w:sz w:val="20"/>
                <w:szCs w:val="20"/>
                <w:lang w:eastAsia="en-AU"/>
              </w:rPr>
              <w:fldChar w:fldCharType="begin">
                <w:ffData>
                  <w:name w:val=""/>
                  <w:enabled/>
                  <w:calcOnExit w:val="0"/>
                  <w:checkBox>
                    <w:sizeAuto/>
                    <w:default w:val="0"/>
                  </w:checkBox>
                </w:ffData>
              </w:fldChar>
            </w:r>
            <w:r w:rsidRPr="00707F1D">
              <w:rPr>
                <w:snapToGrid/>
                <w:sz w:val="20"/>
                <w:szCs w:val="20"/>
                <w:lang w:eastAsia="en-AU"/>
              </w:rPr>
              <w:instrText xml:space="preserve"> FORMCHECKBOX </w:instrText>
            </w:r>
            <w:r w:rsidR="00D20955">
              <w:rPr>
                <w:snapToGrid/>
                <w:sz w:val="20"/>
                <w:szCs w:val="20"/>
                <w:lang w:eastAsia="en-AU"/>
              </w:rPr>
            </w:r>
            <w:r w:rsidR="00D20955">
              <w:rPr>
                <w:snapToGrid/>
                <w:sz w:val="20"/>
                <w:szCs w:val="20"/>
                <w:lang w:eastAsia="en-AU"/>
              </w:rPr>
              <w:fldChar w:fldCharType="separate"/>
            </w:r>
            <w:r w:rsidRPr="00707F1D">
              <w:rPr>
                <w:snapToGrid/>
                <w:sz w:val="20"/>
                <w:szCs w:val="20"/>
                <w:lang w:eastAsia="en-AU"/>
              </w:rPr>
              <w:fldChar w:fldCharType="end"/>
            </w:r>
            <w:r w:rsidRPr="00707F1D">
              <w:rPr>
                <w:snapToGrid/>
                <w:sz w:val="20"/>
                <w:szCs w:val="20"/>
                <w:lang w:eastAsia="en-AU"/>
              </w:rPr>
              <w:t>Authority Required - Emergency</w:t>
            </w:r>
          </w:p>
          <w:p w:rsidR="002B61F2" w:rsidRPr="00707F1D" w:rsidRDefault="002B61F2" w:rsidP="003621ED">
            <w:pPr>
              <w:widowControl/>
              <w:jc w:val="left"/>
              <w:rPr>
                <w:snapToGrid/>
                <w:sz w:val="20"/>
                <w:szCs w:val="20"/>
                <w:lang w:eastAsia="en-AU"/>
              </w:rPr>
            </w:pPr>
            <w:r w:rsidRPr="00707F1D">
              <w:rPr>
                <w:snapToGrid/>
                <w:sz w:val="20"/>
                <w:szCs w:val="20"/>
                <w:lang w:eastAsia="en-AU"/>
              </w:rPr>
              <w:fldChar w:fldCharType="begin">
                <w:ffData>
                  <w:name w:val="Check5"/>
                  <w:enabled/>
                  <w:calcOnExit w:val="0"/>
                  <w:checkBox>
                    <w:sizeAuto/>
                    <w:default w:val="0"/>
                  </w:checkBox>
                </w:ffData>
              </w:fldChar>
            </w:r>
            <w:r w:rsidRPr="00707F1D">
              <w:rPr>
                <w:snapToGrid/>
                <w:sz w:val="20"/>
                <w:szCs w:val="20"/>
                <w:lang w:eastAsia="en-AU"/>
              </w:rPr>
              <w:instrText xml:space="preserve"> FORMCHECKBOX </w:instrText>
            </w:r>
            <w:r w:rsidR="00D20955">
              <w:rPr>
                <w:snapToGrid/>
                <w:sz w:val="20"/>
                <w:szCs w:val="20"/>
                <w:lang w:eastAsia="en-AU"/>
              </w:rPr>
            </w:r>
            <w:r w:rsidR="00D20955">
              <w:rPr>
                <w:snapToGrid/>
                <w:sz w:val="20"/>
                <w:szCs w:val="20"/>
                <w:lang w:eastAsia="en-AU"/>
              </w:rPr>
              <w:fldChar w:fldCharType="separate"/>
            </w:r>
            <w:r w:rsidRPr="00707F1D">
              <w:rPr>
                <w:snapToGrid/>
                <w:sz w:val="20"/>
                <w:szCs w:val="20"/>
                <w:lang w:eastAsia="en-AU"/>
              </w:rPr>
              <w:fldChar w:fldCharType="end"/>
            </w:r>
            <w:r w:rsidRPr="00707F1D">
              <w:rPr>
                <w:snapToGrid/>
                <w:sz w:val="20"/>
                <w:szCs w:val="20"/>
                <w:lang w:eastAsia="en-AU"/>
              </w:rPr>
              <w:t>Authority Required - Electronic</w:t>
            </w:r>
          </w:p>
          <w:p w:rsidR="002B61F2" w:rsidRPr="004C3366" w:rsidRDefault="002B61F2" w:rsidP="003621ED">
            <w:pPr>
              <w:rPr>
                <w:rFonts w:ascii="Arial Narrow" w:hAnsi="Arial Narrow"/>
                <w:sz w:val="20"/>
                <w:szCs w:val="20"/>
              </w:rPr>
            </w:pPr>
            <w:r w:rsidRPr="00707F1D">
              <w:rPr>
                <w:snapToGrid/>
                <w:sz w:val="20"/>
                <w:szCs w:val="20"/>
                <w:lang w:eastAsia="en-AU"/>
              </w:rPr>
              <w:fldChar w:fldCharType="begin">
                <w:ffData>
                  <w:name w:val="Check5"/>
                  <w:enabled/>
                  <w:calcOnExit w:val="0"/>
                  <w:checkBox>
                    <w:sizeAuto/>
                    <w:default w:val="0"/>
                  </w:checkBox>
                </w:ffData>
              </w:fldChar>
            </w:r>
            <w:r w:rsidRPr="00707F1D">
              <w:rPr>
                <w:snapToGrid/>
                <w:sz w:val="20"/>
                <w:szCs w:val="20"/>
                <w:lang w:eastAsia="en-AU"/>
              </w:rPr>
              <w:instrText xml:space="preserve"> FORMCHECKBOX </w:instrText>
            </w:r>
            <w:r w:rsidR="00D20955">
              <w:rPr>
                <w:snapToGrid/>
                <w:sz w:val="20"/>
                <w:szCs w:val="20"/>
                <w:lang w:eastAsia="en-AU"/>
              </w:rPr>
            </w:r>
            <w:r w:rsidR="00D20955">
              <w:rPr>
                <w:snapToGrid/>
                <w:sz w:val="20"/>
                <w:szCs w:val="20"/>
                <w:lang w:eastAsia="en-AU"/>
              </w:rPr>
              <w:fldChar w:fldCharType="separate"/>
            </w:r>
            <w:r w:rsidRPr="00707F1D">
              <w:rPr>
                <w:snapToGrid/>
                <w:sz w:val="20"/>
                <w:szCs w:val="20"/>
                <w:lang w:eastAsia="en-AU"/>
              </w:rPr>
              <w:fldChar w:fldCharType="end"/>
            </w:r>
            <w:r w:rsidRPr="00707F1D">
              <w:rPr>
                <w:snapToGrid/>
                <w:sz w:val="20"/>
                <w:szCs w:val="20"/>
                <w:lang w:eastAsia="en-AU"/>
              </w:rPr>
              <w:t>Streamlined</w:t>
            </w:r>
          </w:p>
        </w:tc>
      </w:tr>
      <w:tr w:rsidR="002B61F2" w:rsidRPr="004C3366" w:rsidTr="003621ED">
        <w:trPr>
          <w:trHeight w:val="360"/>
        </w:trPr>
        <w:tc>
          <w:tcPr>
            <w:tcW w:w="2125" w:type="dxa"/>
            <w:tcBorders>
              <w:top w:val="single" w:sz="4" w:space="0" w:color="auto"/>
              <w:left w:val="single" w:sz="4" w:space="0" w:color="auto"/>
              <w:bottom w:val="single" w:sz="4" w:space="0" w:color="auto"/>
              <w:right w:val="single" w:sz="4" w:space="0" w:color="auto"/>
            </w:tcBorders>
          </w:tcPr>
          <w:p w:rsidR="002B61F2" w:rsidRPr="004C3366" w:rsidRDefault="002B61F2" w:rsidP="003621ED">
            <w:pPr>
              <w:rPr>
                <w:rFonts w:ascii="Arial Narrow" w:hAnsi="Arial Narrow"/>
                <w:sz w:val="20"/>
                <w:szCs w:val="20"/>
              </w:rPr>
            </w:pPr>
            <w:r w:rsidRPr="004C3366">
              <w:rPr>
                <w:rFonts w:ascii="Arial Narrow" w:hAnsi="Arial Narrow"/>
                <w:b/>
                <w:sz w:val="20"/>
                <w:szCs w:val="20"/>
              </w:rPr>
              <w:t>Treatment criteria:</w:t>
            </w:r>
          </w:p>
        </w:tc>
        <w:tc>
          <w:tcPr>
            <w:tcW w:w="6238" w:type="dxa"/>
            <w:gridSpan w:val="5"/>
            <w:tcBorders>
              <w:top w:val="single" w:sz="4" w:space="0" w:color="auto"/>
              <w:left w:val="single" w:sz="4" w:space="0" w:color="auto"/>
              <w:bottom w:val="single" w:sz="4" w:space="0" w:color="auto"/>
              <w:right w:val="single" w:sz="4" w:space="0" w:color="auto"/>
            </w:tcBorders>
          </w:tcPr>
          <w:p w:rsidR="002B61F2" w:rsidRPr="004C3366" w:rsidRDefault="002B61F2" w:rsidP="003621ED">
            <w:pPr>
              <w:rPr>
                <w:rFonts w:ascii="Arial Narrow" w:hAnsi="Arial Narrow"/>
                <w:sz w:val="20"/>
                <w:szCs w:val="20"/>
              </w:rPr>
            </w:pPr>
            <w:r w:rsidRPr="004C3366">
              <w:rPr>
                <w:rFonts w:ascii="Arial Narrow" w:hAnsi="Arial Narrow"/>
                <w:sz w:val="20"/>
                <w:szCs w:val="20"/>
              </w:rPr>
              <w:t>Must be treated by an ophthalmologist</w:t>
            </w:r>
            <w:r>
              <w:rPr>
                <w:rFonts w:ascii="Arial Narrow" w:hAnsi="Arial Narrow"/>
                <w:sz w:val="20"/>
                <w:szCs w:val="20"/>
              </w:rPr>
              <w:t xml:space="preserve"> </w:t>
            </w:r>
            <w:r w:rsidRPr="001F2667">
              <w:rPr>
                <w:rFonts w:ascii="Arial Narrow" w:hAnsi="Arial Narrow"/>
                <w:sz w:val="20"/>
                <w:szCs w:val="20"/>
              </w:rPr>
              <w:t>or in consultation with an ophthalmologist.</w:t>
            </w:r>
          </w:p>
        </w:tc>
      </w:tr>
      <w:tr w:rsidR="002B61F2" w:rsidRPr="004C3366" w:rsidTr="003621ED">
        <w:trPr>
          <w:trHeight w:val="360"/>
        </w:trPr>
        <w:tc>
          <w:tcPr>
            <w:tcW w:w="2125" w:type="dxa"/>
            <w:tcBorders>
              <w:top w:val="single" w:sz="4" w:space="0" w:color="auto"/>
              <w:left w:val="single" w:sz="4" w:space="0" w:color="auto"/>
              <w:bottom w:val="single" w:sz="4" w:space="0" w:color="auto"/>
              <w:right w:val="single" w:sz="4" w:space="0" w:color="auto"/>
            </w:tcBorders>
          </w:tcPr>
          <w:p w:rsidR="002B61F2" w:rsidRPr="004C3366" w:rsidRDefault="002B61F2" w:rsidP="003621ED">
            <w:pPr>
              <w:rPr>
                <w:rFonts w:ascii="Arial Narrow" w:hAnsi="Arial Narrow"/>
                <w:sz w:val="20"/>
                <w:szCs w:val="20"/>
              </w:rPr>
            </w:pPr>
            <w:r w:rsidRPr="004C3366">
              <w:rPr>
                <w:rFonts w:ascii="Arial Narrow" w:hAnsi="Arial Narrow"/>
                <w:b/>
                <w:sz w:val="20"/>
                <w:szCs w:val="20"/>
              </w:rPr>
              <w:t>Clinical criteria:</w:t>
            </w:r>
          </w:p>
        </w:tc>
        <w:tc>
          <w:tcPr>
            <w:tcW w:w="6238" w:type="dxa"/>
            <w:gridSpan w:val="5"/>
            <w:tcBorders>
              <w:top w:val="single" w:sz="4" w:space="0" w:color="auto"/>
              <w:left w:val="single" w:sz="4" w:space="0" w:color="auto"/>
              <w:bottom w:val="single" w:sz="4" w:space="0" w:color="auto"/>
              <w:right w:val="single" w:sz="4" w:space="0" w:color="auto"/>
            </w:tcBorders>
          </w:tcPr>
          <w:p w:rsidR="002B61F2" w:rsidRDefault="002B61F2" w:rsidP="003621ED">
            <w:pPr>
              <w:rPr>
                <w:rFonts w:ascii="Arial Narrow" w:hAnsi="Arial Narrow"/>
                <w:sz w:val="20"/>
                <w:szCs w:val="20"/>
              </w:rPr>
            </w:pPr>
            <w:r>
              <w:rPr>
                <w:rFonts w:ascii="Arial Narrow" w:hAnsi="Arial Narrow"/>
                <w:sz w:val="20"/>
                <w:szCs w:val="20"/>
              </w:rPr>
              <w:t xml:space="preserve">The condition must not be due to pathologic myopia </w:t>
            </w:r>
          </w:p>
          <w:p w:rsidR="002B61F2" w:rsidRDefault="002B61F2" w:rsidP="003621ED">
            <w:pPr>
              <w:rPr>
                <w:rFonts w:ascii="Arial Narrow" w:hAnsi="Arial Narrow"/>
                <w:sz w:val="20"/>
                <w:szCs w:val="20"/>
              </w:rPr>
            </w:pPr>
          </w:p>
          <w:p w:rsidR="002B61F2" w:rsidRDefault="002B61F2" w:rsidP="003621ED">
            <w:pPr>
              <w:rPr>
                <w:rFonts w:ascii="Arial Narrow" w:hAnsi="Arial Narrow"/>
                <w:sz w:val="20"/>
                <w:szCs w:val="20"/>
              </w:rPr>
            </w:pPr>
            <w:r>
              <w:rPr>
                <w:rFonts w:ascii="Arial Narrow" w:hAnsi="Arial Narrow"/>
                <w:sz w:val="20"/>
                <w:szCs w:val="20"/>
              </w:rPr>
              <w:t>AND</w:t>
            </w:r>
          </w:p>
          <w:p w:rsidR="002B61F2" w:rsidRDefault="002B61F2" w:rsidP="003621ED">
            <w:pPr>
              <w:rPr>
                <w:rFonts w:ascii="Arial Narrow" w:hAnsi="Arial Narrow"/>
                <w:sz w:val="20"/>
                <w:szCs w:val="20"/>
              </w:rPr>
            </w:pPr>
          </w:p>
          <w:p w:rsidR="002B61F2" w:rsidRDefault="002B61F2" w:rsidP="003621ED">
            <w:pPr>
              <w:rPr>
                <w:rFonts w:ascii="Arial Narrow" w:hAnsi="Arial Narrow"/>
                <w:sz w:val="20"/>
                <w:szCs w:val="20"/>
              </w:rPr>
            </w:pPr>
            <w:r>
              <w:rPr>
                <w:rFonts w:ascii="Arial Narrow" w:hAnsi="Arial Narrow"/>
                <w:sz w:val="20"/>
                <w:szCs w:val="20"/>
              </w:rPr>
              <w:t>The condition must not be due to age-related macular degeneration,</w:t>
            </w:r>
          </w:p>
          <w:p w:rsidR="002B61F2" w:rsidRDefault="002B61F2" w:rsidP="003621ED">
            <w:pPr>
              <w:rPr>
                <w:rFonts w:ascii="Arial Narrow" w:hAnsi="Arial Narrow"/>
                <w:sz w:val="20"/>
                <w:szCs w:val="20"/>
              </w:rPr>
            </w:pPr>
          </w:p>
          <w:p w:rsidR="002B61F2" w:rsidRDefault="002B61F2" w:rsidP="003621ED">
            <w:pPr>
              <w:rPr>
                <w:rFonts w:ascii="Arial Narrow" w:hAnsi="Arial Narrow"/>
                <w:sz w:val="20"/>
                <w:szCs w:val="20"/>
              </w:rPr>
            </w:pPr>
            <w:r>
              <w:rPr>
                <w:rFonts w:ascii="Arial Narrow" w:hAnsi="Arial Narrow"/>
                <w:sz w:val="20"/>
                <w:szCs w:val="20"/>
              </w:rPr>
              <w:t>AND</w:t>
            </w:r>
          </w:p>
          <w:p w:rsidR="002B61F2" w:rsidRPr="004C3366" w:rsidRDefault="002B61F2" w:rsidP="003621ED">
            <w:pPr>
              <w:rPr>
                <w:rFonts w:ascii="Arial Narrow" w:hAnsi="Arial Narrow"/>
                <w:sz w:val="20"/>
                <w:szCs w:val="20"/>
              </w:rPr>
            </w:pPr>
          </w:p>
          <w:p w:rsidR="002B61F2" w:rsidRPr="004C3366" w:rsidRDefault="002B61F2" w:rsidP="003621ED">
            <w:pPr>
              <w:rPr>
                <w:rFonts w:ascii="Arial Narrow" w:hAnsi="Arial Narrow"/>
                <w:sz w:val="20"/>
                <w:szCs w:val="20"/>
              </w:rPr>
            </w:pPr>
            <w:r w:rsidRPr="00A524CA">
              <w:rPr>
                <w:rFonts w:ascii="Arial Narrow" w:hAnsi="Arial Narrow"/>
                <w:sz w:val="20"/>
                <w:szCs w:val="20"/>
              </w:rPr>
              <w:t>The condition must be diagnosed by optical coherence tomography; OR</w:t>
            </w:r>
          </w:p>
          <w:p w:rsidR="002B61F2" w:rsidRDefault="002B61F2" w:rsidP="003621ED">
            <w:pPr>
              <w:rPr>
                <w:rFonts w:ascii="Arial Narrow" w:hAnsi="Arial Narrow"/>
                <w:sz w:val="20"/>
                <w:szCs w:val="20"/>
              </w:rPr>
            </w:pPr>
            <w:r w:rsidRPr="00A524CA">
              <w:rPr>
                <w:rFonts w:ascii="Arial Narrow" w:hAnsi="Arial Narrow"/>
                <w:sz w:val="20"/>
                <w:szCs w:val="20"/>
              </w:rPr>
              <w:t>The condition must be diagnosed by fluorescein angiography,</w:t>
            </w:r>
          </w:p>
          <w:p w:rsidR="002B61F2" w:rsidRDefault="002B61F2" w:rsidP="003621ED">
            <w:pPr>
              <w:rPr>
                <w:rFonts w:ascii="Arial Narrow" w:hAnsi="Arial Narrow"/>
                <w:sz w:val="20"/>
                <w:szCs w:val="20"/>
              </w:rPr>
            </w:pPr>
          </w:p>
          <w:p w:rsidR="002B61F2" w:rsidRDefault="002B61F2" w:rsidP="003621ED">
            <w:pPr>
              <w:rPr>
                <w:rFonts w:ascii="Arial Narrow" w:hAnsi="Arial Narrow"/>
                <w:sz w:val="20"/>
                <w:szCs w:val="20"/>
              </w:rPr>
            </w:pPr>
            <w:r>
              <w:rPr>
                <w:rFonts w:ascii="Arial Narrow" w:hAnsi="Arial Narrow"/>
                <w:sz w:val="20"/>
                <w:szCs w:val="20"/>
              </w:rPr>
              <w:t>AND</w:t>
            </w:r>
          </w:p>
          <w:p w:rsidR="002B61F2" w:rsidRDefault="002B61F2" w:rsidP="003621ED">
            <w:pPr>
              <w:rPr>
                <w:rFonts w:ascii="Arial Narrow" w:hAnsi="Arial Narrow"/>
                <w:sz w:val="20"/>
                <w:szCs w:val="20"/>
              </w:rPr>
            </w:pPr>
          </w:p>
          <w:p w:rsidR="002B61F2" w:rsidRPr="004C3366" w:rsidRDefault="002B61F2" w:rsidP="003621ED">
            <w:pPr>
              <w:rPr>
                <w:rFonts w:ascii="Arial Narrow" w:hAnsi="Arial Narrow"/>
                <w:sz w:val="20"/>
                <w:szCs w:val="20"/>
              </w:rPr>
            </w:pPr>
            <w:r w:rsidRPr="00A524CA">
              <w:rPr>
                <w:rFonts w:ascii="Arial Narrow" w:hAnsi="Arial Narrow"/>
                <w:sz w:val="20"/>
                <w:szCs w:val="20"/>
              </w:rPr>
              <w:t>The treatment must be the sole PBS-subsidised therapy for this condition.</w:t>
            </w:r>
          </w:p>
        </w:tc>
      </w:tr>
      <w:tr w:rsidR="002B61F2" w:rsidRPr="004C3366" w:rsidTr="003621ED">
        <w:trPr>
          <w:trHeight w:val="360"/>
        </w:trPr>
        <w:tc>
          <w:tcPr>
            <w:tcW w:w="2125" w:type="dxa"/>
            <w:tcBorders>
              <w:top w:val="single" w:sz="4" w:space="0" w:color="auto"/>
              <w:left w:val="single" w:sz="4" w:space="0" w:color="auto"/>
              <w:bottom w:val="single" w:sz="4" w:space="0" w:color="auto"/>
              <w:right w:val="single" w:sz="4" w:space="0" w:color="auto"/>
            </w:tcBorders>
          </w:tcPr>
          <w:p w:rsidR="002B61F2" w:rsidRPr="004C3366" w:rsidRDefault="002B61F2" w:rsidP="003621ED">
            <w:pPr>
              <w:rPr>
                <w:rFonts w:ascii="Arial Narrow" w:hAnsi="Arial Narrow"/>
                <w:sz w:val="20"/>
                <w:szCs w:val="20"/>
              </w:rPr>
            </w:pPr>
            <w:r w:rsidRPr="004C3366">
              <w:rPr>
                <w:rFonts w:ascii="Arial Narrow" w:hAnsi="Arial Narrow"/>
                <w:b/>
                <w:sz w:val="20"/>
                <w:szCs w:val="20"/>
              </w:rPr>
              <w:t>Prescriber Instructions</w:t>
            </w:r>
          </w:p>
        </w:tc>
        <w:tc>
          <w:tcPr>
            <w:tcW w:w="6238" w:type="dxa"/>
            <w:gridSpan w:val="5"/>
            <w:tcBorders>
              <w:top w:val="single" w:sz="4" w:space="0" w:color="auto"/>
              <w:left w:val="single" w:sz="4" w:space="0" w:color="auto"/>
              <w:bottom w:val="single" w:sz="4" w:space="0" w:color="auto"/>
              <w:right w:val="single" w:sz="4" w:space="0" w:color="auto"/>
            </w:tcBorders>
          </w:tcPr>
          <w:p w:rsidR="002B61F2" w:rsidRDefault="002B61F2" w:rsidP="003621ED">
            <w:pPr>
              <w:rPr>
                <w:rFonts w:ascii="Arial Narrow" w:hAnsi="Arial Narrow"/>
                <w:sz w:val="20"/>
                <w:szCs w:val="20"/>
              </w:rPr>
            </w:pPr>
            <w:r w:rsidRPr="00997BD5">
              <w:rPr>
                <w:rFonts w:ascii="Arial Narrow" w:hAnsi="Arial Narrow"/>
                <w:sz w:val="20"/>
                <w:szCs w:val="20"/>
              </w:rPr>
              <w:t>Authority approval for initial treatment of each eye must be sought.</w:t>
            </w:r>
          </w:p>
          <w:p w:rsidR="002B61F2" w:rsidRDefault="002B61F2" w:rsidP="003621ED">
            <w:pPr>
              <w:rPr>
                <w:rFonts w:ascii="Arial Narrow" w:hAnsi="Arial Narrow"/>
                <w:sz w:val="20"/>
                <w:szCs w:val="20"/>
              </w:rPr>
            </w:pPr>
          </w:p>
          <w:p w:rsidR="002B61F2" w:rsidRPr="00A759E3" w:rsidRDefault="002B61F2" w:rsidP="003621ED">
            <w:pPr>
              <w:rPr>
                <w:rFonts w:ascii="Arial Narrow" w:hAnsi="Arial Narrow"/>
                <w:sz w:val="20"/>
                <w:szCs w:val="20"/>
              </w:rPr>
            </w:pPr>
            <w:r w:rsidRPr="00A759E3">
              <w:rPr>
                <w:rFonts w:ascii="Arial Narrow" w:hAnsi="Arial Narrow"/>
                <w:sz w:val="20"/>
                <w:szCs w:val="20"/>
              </w:rPr>
              <w:t>The first authority application for each eye must be made in writing or by telephone.</w:t>
            </w:r>
          </w:p>
          <w:p w:rsidR="002B61F2" w:rsidRPr="00A759E3" w:rsidRDefault="002B61F2" w:rsidP="003621ED">
            <w:pPr>
              <w:rPr>
                <w:rFonts w:ascii="Arial Narrow" w:hAnsi="Arial Narrow"/>
                <w:sz w:val="20"/>
                <w:szCs w:val="20"/>
              </w:rPr>
            </w:pPr>
          </w:p>
          <w:p w:rsidR="002B61F2" w:rsidRPr="00A759E3" w:rsidRDefault="002B61F2" w:rsidP="003621ED">
            <w:pPr>
              <w:rPr>
                <w:rFonts w:ascii="Arial Narrow" w:hAnsi="Arial Narrow"/>
                <w:sz w:val="20"/>
                <w:szCs w:val="20"/>
              </w:rPr>
            </w:pPr>
            <w:r w:rsidRPr="00A759E3">
              <w:rPr>
                <w:rFonts w:ascii="Arial Narrow" w:hAnsi="Arial Narrow"/>
                <w:sz w:val="20"/>
                <w:szCs w:val="20"/>
              </w:rPr>
              <w:t>A written application must include:</w:t>
            </w:r>
          </w:p>
          <w:p w:rsidR="002B61F2" w:rsidRPr="00A759E3" w:rsidRDefault="002B61F2" w:rsidP="003621ED">
            <w:pPr>
              <w:rPr>
                <w:rFonts w:ascii="Arial Narrow" w:hAnsi="Arial Narrow"/>
                <w:sz w:val="20"/>
                <w:szCs w:val="20"/>
              </w:rPr>
            </w:pPr>
          </w:p>
          <w:p w:rsidR="002B61F2" w:rsidRPr="00A759E3" w:rsidRDefault="002B61F2" w:rsidP="003621ED">
            <w:pPr>
              <w:rPr>
                <w:rFonts w:ascii="Arial Narrow" w:hAnsi="Arial Narrow"/>
                <w:sz w:val="20"/>
                <w:szCs w:val="20"/>
              </w:rPr>
            </w:pPr>
            <w:r w:rsidRPr="00A759E3">
              <w:rPr>
                <w:rFonts w:ascii="Arial Narrow" w:hAnsi="Arial Narrow"/>
                <w:sz w:val="20"/>
                <w:szCs w:val="20"/>
              </w:rPr>
              <w:t>a) a completed authority prescription form;</w:t>
            </w:r>
          </w:p>
          <w:p w:rsidR="002B61F2" w:rsidRPr="00A759E3" w:rsidRDefault="002B61F2" w:rsidP="003621ED">
            <w:pPr>
              <w:rPr>
                <w:rFonts w:ascii="Arial Narrow" w:hAnsi="Arial Narrow"/>
                <w:sz w:val="20"/>
                <w:szCs w:val="20"/>
              </w:rPr>
            </w:pPr>
          </w:p>
          <w:p w:rsidR="002B61F2" w:rsidRPr="00A759E3" w:rsidRDefault="002B61F2" w:rsidP="003621ED">
            <w:pPr>
              <w:rPr>
                <w:rFonts w:ascii="Arial Narrow" w:hAnsi="Arial Narrow"/>
                <w:sz w:val="20"/>
                <w:szCs w:val="20"/>
              </w:rPr>
            </w:pPr>
            <w:r w:rsidRPr="00A759E3">
              <w:rPr>
                <w:rFonts w:ascii="Arial Narrow" w:hAnsi="Arial Narrow"/>
                <w:sz w:val="20"/>
                <w:szCs w:val="20"/>
              </w:rPr>
              <w:t xml:space="preserve">b) a completed Subfoveal Choroidal Neovascularisation (CNV) - PBS Supporting </w:t>
            </w:r>
            <w:r w:rsidRPr="00A759E3">
              <w:rPr>
                <w:rFonts w:ascii="Arial Narrow" w:hAnsi="Arial Narrow"/>
                <w:sz w:val="20"/>
                <w:szCs w:val="20"/>
              </w:rPr>
              <w:lastRenderedPageBreak/>
              <w:t>Information Form; and</w:t>
            </w:r>
          </w:p>
          <w:p w:rsidR="002B61F2" w:rsidRPr="00A759E3" w:rsidRDefault="002B61F2" w:rsidP="003621ED">
            <w:pPr>
              <w:rPr>
                <w:rFonts w:ascii="Arial Narrow" w:hAnsi="Arial Narrow"/>
                <w:sz w:val="20"/>
                <w:szCs w:val="20"/>
              </w:rPr>
            </w:pPr>
          </w:p>
          <w:p w:rsidR="002B61F2" w:rsidRPr="00A759E3" w:rsidRDefault="002B61F2" w:rsidP="003621ED">
            <w:pPr>
              <w:rPr>
                <w:rFonts w:ascii="Arial Narrow" w:hAnsi="Arial Narrow"/>
                <w:sz w:val="20"/>
                <w:szCs w:val="20"/>
              </w:rPr>
            </w:pPr>
            <w:r w:rsidRPr="00A759E3">
              <w:rPr>
                <w:rFonts w:ascii="Arial Narrow" w:hAnsi="Arial Narrow"/>
                <w:sz w:val="20"/>
                <w:szCs w:val="20"/>
              </w:rPr>
              <w:t>c) a copy of the optical coherence tomography or fluorescein angiogram report.</w:t>
            </w:r>
          </w:p>
          <w:p w:rsidR="002B61F2" w:rsidRPr="00A759E3" w:rsidRDefault="002B61F2" w:rsidP="003621ED">
            <w:pPr>
              <w:rPr>
                <w:rFonts w:ascii="Arial Narrow" w:hAnsi="Arial Narrow"/>
                <w:sz w:val="20"/>
                <w:szCs w:val="20"/>
              </w:rPr>
            </w:pPr>
          </w:p>
          <w:p w:rsidR="002B61F2" w:rsidRPr="004C3366" w:rsidRDefault="002B61F2" w:rsidP="003621ED">
            <w:pPr>
              <w:rPr>
                <w:rFonts w:ascii="Arial Narrow" w:hAnsi="Arial Narrow"/>
                <w:sz w:val="20"/>
                <w:szCs w:val="20"/>
              </w:rPr>
            </w:pPr>
            <w:r w:rsidRPr="00A759E3">
              <w:rPr>
                <w:rFonts w:ascii="Arial Narrow" w:hAnsi="Arial Narrow"/>
                <w:sz w:val="20"/>
                <w:szCs w:val="20"/>
              </w:rPr>
              <w:t>A telephone application must be made following submission by facsimile of a copy of a completed Subfoveal Choroidal Neovascularisation (CNV) - PBS Supporting Information Form and a copy of the optical coherence tomography or fluorescein angiogram report.</w:t>
            </w:r>
          </w:p>
        </w:tc>
      </w:tr>
      <w:tr w:rsidR="002B61F2" w:rsidRPr="004C3366" w:rsidTr="003621ED">
        <w:trPr>
          <w:trHeight w:val="360"/>
        </w:trPr>
        <w:tc>
          <w:tcPr>
            <w:tcW w:w="2125" w:type="dxa"/>
            <w:tcBorders>
              <w:top w:val="single" w:sz="4" w:space="0" w:color="auto"/>
              <w:left w:val="single" w:sz="4" w:space="0" w:color="auto"/>
              <w:bottom w:val="single" w:sz="4" w:space="0" w:color="auto"/>
              <w:right w:val="single" w:sz="4" w:space="0" w:color="auto"/>
            </w:tcBorders>
          </w:tcPr>
          <w:p w:rsidR="002B61F2" w:rsidRPr="004C3366" w:rsidRDefault="002B61F2" w:rsidP="003621ED">
            <w:pPr>
              <w:rPr>
                <w:rFonts w:ascii="Arial Narrow" w:hAnsi="Arial Narrow"/>
                <w:sz w:val="20"/>
                <w:szCs w:val="20"/>
              </w:rPr>
            </w:pPr>
            <w:r w:rsidRPr="004C3366">
              <w:rPr>
                <w:rFonts w:ascii="Arial Narrow" w:hAnsi="Arial Narrow"/>
                <w:b/>
                <w:sz w:val="20"/>
                <w:szCs w:val="20"/>
              </w:rPr>
              <w:lastRenderedPageBreak/>
              <w:t>Administrative Advice</w:t>
            </w:r>
          </w:p>
        </w:tc>
        <w:tc>
          <w:tcPr>
            <w:tcW w:w="6238" w:type="dxa"/>
            <w:gridSpan w:val="5"/>
            <w:tcBorders>
              <w:top w:val="single" w:sz="4" w:space="0" w:color="auto"/>
              <w:left w:val="single" w:sz="4" w:space="0" w:color="auto"/>
              <w:bottom w:val="single" w:sz="4" w:space="0" w:color="auto"/>
              <w:right w:val="single" w:sz="4" w:space="0" w:color="auto"/>
            </w:tcBorders>
          </w:tcPr>
          <w:p w:rsidR="002B61F2" w:rsidRDefault="002B61F2" w:rsidP="003621ED">
            <w:pPr>
              <w:rPr>
                <w:rFonts w:ascii="Arial Narrow" w:hAnsi="Arial Narrow"/>
                <w:sz w:val="20"/>
                <w:szCs w:val="20"/>
              </w:rPr>
            </w:pPr>
            <w:r w:rsidRPr="00A759E3">
              <w:rPr>
                <w:rFonts w:ascii="Arial Narrow" w:hAnsi="Arial Narrow"/>
                <w:sz w:val="20"/>
                <w:szCs w:val="20"/>
              </w:rPr>
              <w:t>The first authority application may be faxed to the Department of Human Services on 1300 093 177 (hours of operation 8 a.m. to 5 p.m. EST Monday to Friday). The Department will then contact the prescriber by telephone.</w:t>
            </w:r>
          </w:p>
          <w:p w:rsidR="002B61F2" w:rsidRDefault="002B61F2" w:rsidP="003621ED">
            <w:pPr>
              <w:rPr>
                <w:rFonts w:ascii="Arial Narrow" w:hAnsi="Arial Narrow"/>
                <w:sz w:val="20"/>
                <w:szCs w:val="20"/>
              </w:rPr>
            </w:pPr>
          </w:p>
          <w:p w:rsidR="002B61F2" w:rsidRPr="00A759E3" w:rsidRDefault="002B61F2" w:rsidP="003621ED">
            <w:pPr>
              <w:rPr>
                <w:rFonts w:ascii="Arial Narrow" w:hAnsi="Arial Narrow"/>
                <w:sz w:val="20"/>
                <w:szCs w:val="20"/>
              </w:rPr>
            </w:pPr>
            <w:r w:rsidRPr="00A759E3">
              <w:rPr>
                <w:rFonts w:ascii="Arial Narrow" w:hAnsi="Arial Narrow"/>
                <w:sz w:val="20"/>
                <w:szCs w:val="20"/>
              </w:rPr>
              <w:t>Any queries concerning the arrangements to prescribe may be directed to the Department of Human Services on 1800 700 270 (hours of operation 8 a.m. to 5 p.m. EST Monday to Friday).</w:t>
            </w:r>
          </w:p>
          <w:p w:rsidR="002B61F2" w:rsidRPr="00A759E3" w:rsidRDefault="002B61F2" w:rsidP="003621ED">
            <w:pPr>
              <w:rPr>
                <w:rFonts w:ascii="Arial Narrow" w:hAnsi="Arial Narrow"/>
                <w:sz w:val="20"/>
                <w:szCs w:val="20"/>
              </w:rPr>
            </w:pPr>
          </w:p>
          <w:p w:rsidR="002B61F2" w:rsidRPr="00A759E3" w:rsidRDefault="002B61F2" w:rsidP="003621ED">
            <w:pPr>
              <w:rPr>
                <w:rFonts w:ascii="Arial Narrow" w:hAnsi="Arial Narrow"/>
                <w:sz w:val="20"/>
                <w:szCs w:val="20"/>
              </w:rPr>
            </w:pPr>
            <w:r w:rsidRPr="00A759E3">
              <w:rPr>
                <w:rFonts w:ascii="Arial Narrow" w:hAnsi="Arial Narrow"/>
                <w:sz w:val="20"/>
                <w:szCs w:val="20"/>
              </w:rPr>
              <w:t>Prescribing information (including Authority Application forms and other relevant documentation as applicable) is available on the Department of Human Services website at www.humanservices.gov.au</w:t>
            </w:r>
          </w:p>
          <w:p w:rsidR="002B61F2" w:rsidRPr="00A759E3" w:rsidRDefault="002B61F2" w:rsidP="003621ED">
            <w:pPr>
              <w:rPr>
                <w:rFonts w:ascii="Arial Narrow" w:hAnsi="Arial Narrow"/>
                <w:sz w:val="20"/>
                <w:szCs w:val="20"/>
              </w:rPr>
            </w:pPr>
          </w:p>
          <w:p w:rsidR="002B61F2" w:rsidRPr="00A759E3" w:rsidRDefault="002B61F2" w:rsidP="003621ED">
            <w:pPr>
              <w:rPr>
                <w:rFonts w:ascii="Arial Narrow" w:hAnsi="Arial Narrow"/>
                <w:sz w:val="20"/>
                <w:szCs w:val="20"/>
              </w:rPr>
            </w:pPr>
            <w:r w:rsidRPr="00A759E3">
              <w:rPr>
                <w:rFonts w:ascii="Arial Narrow" w:hAnsi="Arial Narrow"/>
                <w:sz w:val="20"/>
                <w:szCs w:val="20"/>
              </w:rPr>
              <w:t>Applications for authority to prescribe should be forwarded to:</w:t>
            </w:r>
          </w:p>
          <w:p w:rsidR="002B61F2" w:rsidRPr="00A759E3" w:rsidRDefault="002B61F2" w:rsidP="003621ED">
            <w:pPr>
              <w:rPr>
                <w:rFonts w:ascii="Arial Narrow" w:hAnsi="Arial Narrow"/>
                <w:sz w:val="20"/>
                <w:szCs w:val="20"/>
              </w:rPr>
            </w:pPr>
          </w:p>
          <w:p w:rsidR="002B61F2" w:rsidRPr="00A759E3" w:rsidRDefault="002B61F2" w:rsidP="003621ED">
            <w:pPr>
              <w:rPr>
                <w:rFonts w:ascii="Arial Narrow" w:hAnsi="Arial Narrow"/>
                <w:sz w:val="20"/>
                <w:szCs w:val="20"/>
              </w:rPr>
            </w:pPr>
            <w:r w:rsidRPr="00A759E3">
              <w:rPr>
                <w:rFonts w:ascii="Arial Narrow" w:hAnsi="Arial Narrow"/>
                <w:sz w:val="20"/>
                <w:szCs w:val="20"/>
              </w:rPr>
              <w:t>Department of Human Services</w:t>
            </w:r>
          </w:p>
          <w:p w:rsidR="002B61F2" w:rsidRPr="00A759E3" w:rsidRDefault="002B61F2" w:rsidP="003621ED">
            <w:pPr>
              <w:rPr>
                <w:rFonts w:ascii="Arial Narrow" w:hAnsi="Arial Narrow"/>
                <w:sz w:val="20"/>
                <w:szCs w:val="20"/>
              </w:rPr>
            </w:pPr>
          </w:p>
          <w:p w:rsidR="002B61F2" w:rsidRPr="00A759E3" w:rsidRDefault="002B61F2" w:rsidP="003621ED">
            <w:pPr>
              <w:rPr>
                <w:rFonts w:ascii="Arial Narrow" w:hAnsi="Arial Narrow"/>
                <w:sz w:val="20"/>
                <w:szCs w:val="20"/>
              </w:rPr>
            </w:pPr>
            <w:r w:rsidRPr="00A759E3">
              <w:rPr>
                <w:rFonts w:ascii="Arial Narrow" w:hAnsi="Arial Narrow"/>
                <w:sz w:val="20"/>
                <w:szCs w:val="20"/>
              </w:rPr>
              <w:t>Complex Drugs</w:t>
            </w:r>
          </w:p>
          <w:p w:rsidR="002B61F2" w:rsidRPr="00A759E3" w:rsidRDefault="002B61F2" w:rsidP="003621ED">
            <w:pPr>
              <w:rPr>
                <w:rFonts w:ascii="Arial Narrow" w:hAnsi="Arial Narrow"/>
                <w:sz w:val="20"/>
                <w:szCs w:val="20"/>
              </w:rPr>
            </w:pPr>
          </w:p>
          <w:p w:rsidR="002B61F2" w:rsidRPr="00A759E3" w:rsidRDefault="002B61F2" w:rsidP="003621ED">
            <w:pPr>
              <w:rPr>
                <w:rFonts w:ascii="Arial Narrow" w:hAnsi="Arial Narrow"/>
                <w:sz w:val="20"/>
                <w:szCs w:val="20"/>
              </w:rPr>
            </w:pPr>
            <w:r w:rsidRPr="00A759E3">
              <w:rPr>
                <w:rFonts w:ascii="Arial Narrow" w:hAnsi="Arial Narrow"/>
                <w:sz w:val="20"/>
                <w:szCs w:val="20"/>
              </w:rPr>
              <w:t>Reply Paid 9826</w:t>
            </w:r>
          </w:p>
          <w:p w:rsidR="002B61F2" w:rsidRPr="00A759E3" w:rsidRDefault="002B61F2" w:rsidP="003621ED">
            <w:pPr>
              <w:rPr>
                <w:rFonts w:ascii="Arial Narrow" w:hAnsi="Arial Narrow"/>
                <w:sz w:val="20"/>
                <w:szCs w:val="20"/>
              </w:rPr>
            </w:pPr>
          </w:p>
          <w:p w:rsidR="002B61F2" w:rsidRDefault="002B61F2" w:rsidP="003621ED">
            <w:pPr>
              <w:rPr>
                <w:rFonts w:ascii="Arial Narrow" w:hAnsi="Arial Narrow"/>
                <w:sz w:val="20"/>
                <w:szCs w:val="20"/>
              </w:rPr>
            </w:pPr>
            <w:r w:rsidRPr="00A759E3">
              <w:rPr>
                <w:rFonts w:ascii="Arial Narrow" w:hAnsi="Arial Narrow"/>
                <w:sz w:val="20"/>
                <w:szCs w:val="20"/>
              </w:rPr>
              <w:t>HOBART TAS 7001</w:t>
            </w:r>
          </w:p>
          <w:p w:rsidR="002B61F2" w:rsidRDefault="002B61F2" w:rsidP="003621ED">
            <w:pPr>
              <w:rPr>
                <w:rFonts w:ascii="Arial Narrow" w:hAnsi="Arial Narrow"/>
                <w:sz w:val="20"/>
                <w:szCs w:val="20"/>
              </w:rPr>
            </w:pPr>
          </w:p>
          <w:p w:rsidR="002B61F2" w:rsidRDefault="002B61F2" w:rsidP="003621ED">
            <w:pPr>
              <w:rPr>
                <w:rFonts w:ascii="Arial Narrow" w:hAnsi="Arial Narrow"/>
                <w:sz w:val="20"/>
                <w:szCs w:val="20"/>
              </w:rPr>
            </w:pPr>
            <w:r w:rsidRPr="00A759E3">
              <w:rPr>
                <w:rFonts w:ascii="Arial Narrow" w:hAnsi="Arial Narrow"/>
                <w:sz w:val="20"/>
                <w:szCs w:val="20"/>
              </w:rPr>
              <w:t>Special Pricing Arrangements apply.</w:t>
            </w:r>
          </w:p>
          <w:p w:rsidR="002B61F2" w:rsidRDefault="002B61F2" w:rsidP="003621ED">
            <w:pPr>
              <w:rPr>
                <w:rFonts w:ascii="Arial Narrow" w:hAnsi="Arial Narrow"/>
                <w:sz w:val="20"/>
                <w:szCs w:val="20"/>
              </w:rPr>
            </w:pPr>
          </w:p>
          <w:p w:rsidR="002B61F2" w:rsidRPr="004C3366" w:rsidRDefault="002B61F2" w:rsidP="003621ED">
            <w:pPr>
              <w:rPr>
                <w:rFonts w:ascii="Arial Narrow" w:hAnsi="Arial Narrow"/>
                <w:sz w:val="20"/>
                <w:szCs w:val="20"/>
              </w:rPr>
            </w:pPr>
            <w:r w:rsidRPr="00A759E3">
              <w:rPr>
                <w:rFonts w:ascii="Arial Narrow" w:hAnsi="Arial Narrow"/>
                <w:sz w:val="20"/>
                <w:szCs w:val="20"/>
              </w:rPr>
              <w:t>Pharmaceutical benefits that have the form ranibizumab 0.165 mL injection syringe and pharmaceutical benefits that have the form ranibizumab 0.23 mL injection vial are equivalent for the purposes of substituti</w:t>
            </w:r>
            <w:r>
              <w:rPr>
                <w:rFonts w:ascii="Arial Narrow" w:hAnsi="Arial Narrow"/>
                <w:sz w:val="20"/>
                <w:szCs w:val="20"/>
              </w:rPr>
              <w:t>on.</w:t>
            </w:r>
          </w:p>
        </w:tc>
      </w:tr>
    </w:tbl>
    <w:p w:rsidR="002B61F2" w:rsidRPr="004C3366" w:rsidRDefault="002B61F2" w:rsidP="002B61F2"/>
    <w:tbl>
      <w:tblPr>
        <w:tblW w:w="8363" w:type="dxa"/>
        <w:tblInd w:w="817" w:type="dxa"/>
        <w:tblLayout w:type="fixed"/>
        <w:tblLook w:val="04A0" w:firstRow="1" w:lastRow="0" w:firstColumn="1" w:lastColumn="0" w:noHBand="0" w:noVBand="1"/>
      </w:tblPr>
      <w:tblGrid>
        <w:gridCol w:w="2125"/>
        <w:gridCol w:w="1135"/>
        <w:gridCol w:w="993"/>
        <w:gridCol w:w="850"/>
        <w:gridCol w:w="1559"/>
        <w:gridCol w:w="1701"/>
      </w:tblGrid>
      <w:tr w:rsidR="002B61F2" w:rsidRPr="004C3366" w:rsidTr="003621ED">
        <w:trPr>
          <w:trHeight w:val="471"/>
        </w:trPr>
        <w:tc>
          <w:tcPr>
            <w:tcW w:w="3260" w:type="dxa"/>
            <w:gridSpan w:val="2"/>
            <w:tcBorders>
              <w:top w:val="nil"/>
              <w:left w:val="nil"/>
              <w:bottom w:val="single" w:sz="4" w:space="0" w:color="auto"/>
              <w:right w:val="nil"/>
            </w:tcBorders>
          </w:tcPr>
          <w:p w:rsidR="002B61F2" w:rsidRPr="004C3366" w:rsidRDefault="002B61F2" w:rsidP="003621ED">
            <w:pPr>
              <w:keepNext/>
              <w:ind w:left="-108"/>
              <w:rPr>
                <w:rFonts w:ascii="Arial Narrow" w:hAnsi="Arial Narrow"/>
                <w:sz w:val="20"/>
                <w:szCs w:val="20"/>
              </w:rPr>
            </w:pPr>
            <w:r w:rsidRPr="004C3366">
              <w:rPr>
                <w:rFonts w:ascii="Arial Narrow" w:hAnsi="Arial Narrow"/>
                <w:sz w:val="20"/>
                <w:szCs w:val="20"/>
              </w:rPr>
              <w:t>Name, Restriction,</w:t>
            </w:r>
          </w:p>
          <w:p w:rsidR="002B61F2" w:rsidRPr="004C3366" w:rsidRDefault="002B61F2" w:rsidP="003621ED">
            <w:pPr>
              <w:keepNext/>
              <w:ind w:left="-108"/>
              <w:rPr>
                <w:rFonts w:ascii="Arial Narrow" w:hAnsi="Arial Narrow"/>
                <w:sz w:val="20"/>
                <w:szCs w:val="20"/>
              </w:rPr>
            </w:pPr>
            <w:r w:rsidRPr="004C3366">
              <w:rPr>
                <w:rFonts w:ascii="Arial Narrow" w:hAnsi="Arial Narrow"/>
                <w:sz w:val="20"/>
                <w:szCs w:val="20"/>
              </w:rPr>
              <w:t>Manner of administration and form</w:t>
            </w:r>
          </w:p>
        </w:tc>
        <w:tc>
          <w:tcPr>
            <w:tcW w:w="993" w:type="dxa"/>
            <w:tcBorders>
              <w:top w:val="nil"/>
              <w:left w:val="nil"/>
              <w:bottom w:val="single" w:sz="4" w:space="0" w:color="auto"/>
              <w:right w:val="nil"/>
            </w:tcBorders>
            <w:hideMark/>
          </w:tcPr>
          <w:p w:rsidR="002B61F2" w:rsidRPr="004C3366" w:rsidRDefault="002B61F2" w:rsidP="003621ED">
            <w:pPr>
              <w:keepNext/>
              <w:ind w:left="-108"/>
              <w:jc w:val="center"/>
              <w:rPr>
                <w:rFonts w:ascii="Arial Narrow" w:hAnsi="Arial Narrow"/>
                <w:sz w:val="20"/>
                <w:szCs w:val="20"/>
              </w:rPr>
            </w:pPr>
            <w:r w:rsidRPr="004C3366">
              <w:rPr>
                <w:rFonts w:ascii="Arial Narrow" w:hAnsi="Arial Narrow"/>
                <w:sz w:val="20"/>
                <w:szCs w:val="20"/>
              </w:rPr>
              <w:t>Max.</w:t>
            </w:r>
          </w:p>
          <w:p w:rsidR="002B61F2" w:rsidRPr="004C3366" w:rsidRDefault="002B61F2" w:rsidP="003621ED">
            <w:pPr>
              <w:keepNext/>
              <w:ind w:left="-108"/>
              <w:jc w:val="center"/>
              <w:rPr>
                <w:rFonts w:ascii="Arial Narrow" w:hAnsi="Arial Narrow"/>
                <w:sz w:val="20"/>
                <w:szCs w:val="20"/>
              </w:rPr>
            </w:pPr>
            <w:r w:rsidRPr="004C3366">
              <w:rPr>
                <w:rFonts w:ascii="Arial Narrow" w:hAnsi="Arial Narrow"/>
                <w:sz w:val="20"/>
                <w:szCs w:val="20"/>
              </w:rPr>
              <w:t>Qty</w:t>
            </w:r>
          </w:p>
        </w:tc>
        <w:tc>
          <w:tcPr>
            <w:tcW w:w="850" w:type="dxa"/>
            <w:tcBorders>
              <w:top w:val="nil"/>
              <w:left w:val="nil"/>
              <w:bottom w:val="single" w:sz="4" w:space="0" w:color="auto"/>
              <w:right w:val="nil"/>
            </w:tcBorders>
            <w:hideMark/>
          </w:tcPr>
          <w:p w:rsidR="002B61F2" w:rsidRPr="004C3366" w:rsidRDefault="002B61F2" w:rsidP="003621ED">
            <w:pPr>
              <w:keepNext/>
              <w:ind w:left="-108"/>
              <w:jc w:val="center"/>
              <w:rPr>
                <w:rFonts w:ascii="Arial Narrow" w:hAnsi="Arial Narrow"/>
                <w:sz w:val="20"/>
                <w:szCs w:val="20"/>
              </w:rPr>
            </w:pPr>
            <w:r w:rsidRPr="004C3366">
              <w:rPr>
                <w:rFonts w:ascii="Arial Narrow" w:hAnsi="Arial Narrow"/>
                <w:sz w:val="20"/>
                <w:szCs w:val="20"/>
              </w:rPr>
              <w:t>№.of</w:t>
            </w:r>
          </w:p>
          <w:p w:rsidR="002B61F2" w:rsidRPr="004C3366" w:rsidRDefault="002B61F2" w:rsidP="003621ED">
            <w:pPr>
              <w:keepNext/>
              <w:ind w:left="-108"/>
              <w:jc w:val="center"/>
              <w:rPr>
                <w:rFonts w:ascii="Arial Narrow" w:hAnsi="Arial Narrow"/>
                <w:sz w:val="20"/>
                <w:szCs w:val="20"/>
              </w:rPr>
            </w:pPr>
            <w:r w:rsidRPr="004C3366">
              <w:rPr>
                <w:rFonts w:ascii="Arial Narrow" w:hAnsi="Arial Narrow"/>
                <w:sz w:val="20"/>
                <w:szCs w:val="20"/>
              </w:rPr>
              <w:t>Rpts</w:t>
            </w:r>
          </w:p>
        </w:tc>
        <w:tc>
          <w:tcPr>
            <w:tcW w:w="3260" w:type="dxa"/>
            <w:gridSpan w:val="2"/>
            <w:tcBorders>
              <w:top w:val="nil"/>
              <w:left w:val="nil"/>
              <w:bottom w:val="single" w:sz="4" w:space="0" w:color="auto"/>
              <w:right w:val="nil"/>
            </w:tcBorders>
            <w:hideMark/>
          </w:tcPr>
          <w:p w:rsidR="002B61F2" w:rsidRPr="004C3366" w:rsidRDefault="002B61F2" w:rsidP="003621ED">
            <w:pPr>
              <w:keepNext/>
              <w:rPr>
                <w:rFonts w:ascii="Arial Narrow" w:hAnsi="Arial Narrow"/>
                <w:sz w:val="20"/>
                <w:szCs w:val="20"/>
                <w:lang w:val="fr-FR"/>
              </w:rPr>
            </w:pPr>
            <w:r w:rsidRPr="004C3366">
              <w:rPr>
                <w:rFonts w:ascii="Arial Narrow" w:hAnsi="Arial Narrow"/>
                <w:sz w:val="20"/>
                <w:szCs w:val="20"/>
              </w:rPr>
              <w:t>Proprietary Name and Manufacturer</w:t>
            </w:r>
          </w:p>
        </w:tc>
      </w:tr>
      <w:tr w:rsidR="002B61F2" w:rsidRPr="004C3366" w:rsidTr="003621ED">
        <w:trPr>
          <w:trHeight w:val="577"/>
        </w:trPr>
        <w:tc>
          <w:tcPr>
            <w:tcW w:w="3260" w:type="dxa"/>
            <w:gridSpan w:val="2"/>
          </w:tcPr>
          <w:p w:rsidR="002B61F2" w:rsidRPr="004C3366" w:rsidRDefault="002B61F2" w:rsidP="003621ED">
            <w:pPr>
              <w:keepNext/>
              <w:ind w:left="-108"/>
              <w:rPr>
                <w:rFonts w:ascii="Arial Narrow" w:hAnsi="Arial Narrow"/>
                <w:sz w:val="20"/>
                <w:szCs w:val="20"/>
              </w:rPr>
            </w:pPr>
            <w:r w:rsidRPr="004C3366">
              <w:rPr>
                <w:rFonts w:ascii="Arial Narrow" w:hAnsi="Arial Narrow"/>
                <w:smallCaps/>
                <w:sz w:val="20"/>
                <w:szCs w:val="20"/>
              </w:rPr>
              <w:t>RANIBIZUMAB</w:t>
            </w:r>
          </w:p>
          <w:p w:rsidR="002B61F2" w:rsidRDefault="002B61F2" w:rsidP="003621ED">
            <w:pPr>
              <w:keepNext/>
              <w:ind w:left="-108"/>
              <w:rPr>
                <w:rFonts w:ascii="Arial Narrow" w:hAnsi="Arial Narrow"/>
                <w:sz w:val="20"/>
                <w:szCs w:val="20"/>
              </w:rPr>
            </w:pPr>
            <w:r w:rsidRPr="004C3366">
              <w:rPr>
                <w:rFonts w:ascii="Arial Narrow" w:hAnsi="Arial Narrow"/>
                <w:sz w:val="20"/>
                <w:szCs w:val="20"/>
              </w:rPr>
              <w:t>2.3 mg/0.23 mL injection, 1 x 0.23 mL vial</w:t>
            </w:r>
          </w:p>
          <w:p w:rsidR="002B61F2" w:rsidRDefault="002B61F2" w:rsidP="003621ED">
            <w:pPr>
              <w:keepNext/>
              <w:ind w:left="-108"/>
              <w:rPr>
                <w:rFonts w:ascii="Arial Narrow" w:hAnsi="Arial Narrow"/>
                <w:sz w:val="20"/>
                <w:szCs w:val="20"/>
              </w:rPr>
            </w:pPr>
          </w:p>
          <w:p w:rsidR="002B61F2" w:rsidRPr="004C3366" w:rsidRDefault="002B61F2" w:rsidP="003621ED">
            <w:pPr>
              <w:keepNext/>
              <w:ind w:left="-108"/>
              <w:rPr>
                <w:rFonts w:ascii="Arial Narrow" w:hAnsi="Arial Narrow"/>
                <w:sz w:val="20"/>
                <w:szCs w:val="20"/>
              </w:rPr>
            </w:pPr>
            <w:r w:rsidRPr="004C3366">
              <w:rPr>
                <w:rFonts w:ascii="Arial Narrow" w:hAnsi="Arial Narrow"/>
                <w:sz w:val="20"/>
                <w:szCs w:val="20"/>
              </w:rPr>
              <w:t xml:space="preserve">1.65 mg/0.165 mL injection, </w:t>
            </w:r>
          </w:p>
          <w:p w:rsidR="002B61F2" w:rsidRPr="004C3366" w:rsidRDefault="002B61F2" w:rsidP="003621ED">
            <w:pPr>
              <w:keepNext/>
              <w:ind w:left="-108"/>
              <w:rPr>
                <w:rFonts w:ascii="Arial Narrow" w:hAnsi="Arial Narrow"/>
                <w:sz w:val="20"/>
                <w:szCs w:val="20"/>
              </w:rPr>
            </w:pPr>
            <w:r w:rsidRPr="004C3366">
              <w:rPr>
                <w:rFonts w:ascii="Arial Narrow" w:hAnsi="Arial Narrow"/>
                <w:sz w:val="20"/>
                <w:szCs w:val="20"/>
              </w:rPr>
              <w:t>1 x 0.165 mL syringe</w:t>
            </w:r>
            <w:r>
              <w:rPr>
                <w:rFonts w:ascii="Arial Narrow" w:hAnsi="Arial Narrow"/>
                <w:sz w:val="20"/>
                <w:szCs w:val="20"/>
              </w:rPr>
              <w:t xml:space="preserve"> </w:t>
            </w:r>
          </w:p>
          <w:p w:rsidR="002B61F2" w:rsidRPr="004C3366" w:rsidRDefault="002B61F2" w:rsidP="003621ED">
            <w:pPr>
              <w:keepNext/>
              <w:ind w:left="-108"/>
              <w:rPr>
                <w:rFonts w:ascii="Arial Narrow" w:hAnsi="Arial Narrow"/>
                <w:sz w:val="20"/>
                <w:szCs w:val="20"/>
              </w:rPr>
            </w:pPr>
          </w:p>
        </w:tc>
        <w:tc>
          <w:tcPr>
            <w:tcW w:w="993" w:type="dxa"/>
          </w:tcPr>
          <w:p w:rsidR="002B61F2" w:rsidRPr="004C3366" w:rsidRDefault="002B61F2" w:rsidP="003621ED">
            <w:pPr>
              <w:keepNext/>
              <w:ind w:left="-108"/>
              <w:jc w:val="center"/>
              <w:rPr>
                <w:rFonts w:ascii="Arial Narrow" w:hAnsi="Arial Narrow"/>
                <w:sz w:val="20"/>
                <w:szCs w:val="20"/>
              </w:rPr>
            </w:pPr>
          </w:p>
          <w:p w:rsidR="002B61F2" w:rsidRPr="004C3366" w:rsidRDefault="002B61F2" w:rsidP="003621ED">
            <w:pPr>
              <w:keepNext/>
              <w:ind w:left="-108"/>
              <w:jc w:val="center"/>
              <w:rPr>
                <w:rFonts w:ascii="Arial Narrow" w:hAnsi="Arial Narrow"/>
                <w:sz w:val="20"/>
                <w:szCs w:val="20"/>
              </w:rPr>
            </w:pPr>
            <w:r w:rsidRPr="004C3366">
              <w:rPr>
                <w:rFonts w:ascii="Arial Narrow" w:hAnsi="Arial Narrow"/>
                <w:sz w:val="20"/>
                <w:szCs w:val="20"/>
              </w:rPr>
              <w:t>1</w:t>
            </w:r>
          </w:p>
        </w:tc>
        <w:tc>
          <w:tcPr>
            <w:tcW w:w="850" w:type="dxa"/>
          </w:tcPr>
          <w:p w:rsidR="002B61F2" w:rsidRPr="004C3366" w:rsidRDefault="002B61F2" w:rsidP="003621ED">
            <w:pPr>
              <w:keepNext/>
              <w:ind w:left="-108"/>
              <w:jc w:val="center"/>
              <w:rPr>
                <w:rFonts w:ascii="Arial Narrow" w:hAnsi="Arial Narrow"/>
                <w:sz w:val="20"/>
                <w:szCs w:val="20"/>
              </w:rPr>
            </w:pPr>
          </w:p>
          <w:p w:rsidR="002B61F2" w:rsidRPr="004C3366" w:rsidRDefault="002B61F2" w:rsidP="003621ED">
            <w:pPr>
              <w:keepNext/>
              <w:ind w:left="-108"/>
              <w:jc w:val="center"/>
              <w:rPr>
                <w:rFonts w:ascii="Arial Narrow" w:hAnsi="Arial Narrow"/>
                <w:sz w:val="20"/>
                <w:szCs w:val="20"/>
              </w:rPr>
            </w:pPr>
            <w:r w:rsidRPr="004C3366">
              <w:rPr>
                <w:rFonts w:ascii="Arial Narrow" w:hAnsi="Arial Narrow"/>
                <w:sz w:val="20"/>
                <w:szCs w:val="20"/>
              </w:rPr>
              <w:t>2</w:t>
            </w:r>
          </w:p>
        </w:tc>
        <w:tc>
          <w:tcPr>
            <w:tcW w:w="1559" w:type="dxa"/>
          </w:tcPr>
          <w:p w:rsidR="002B61F2" w:rsidRPr="004C3366" w:rsidRDefault="002B61F2" w:rsidP="003621ED">
            <w:pPr>
              <w:keepNext/>
              <w:rPr>
                <w:rFonts w:ascii="Arial Narrow" w:hAnsi="Arial Narrow"/>
                <w:sz w:val="20"/>
                <w:szCs w:val="20"/>
              </w:rPr>
            </w:pPr>
          </w:p>
          <w:p w:rsidR="002B61F2" w:rsidRPr="004C3366" w:rsidRDefault="002B61F2" w:rsidP="003621ED">
            <w:pPr>
              <w:keepNext/>
              <w:rPr>
                <w:rFonts w:ascii="Arial Narrow" w:hAnsi="Arial Narrow"/>
                <w:sz w:val="20"/>
                <w:szCs w:val="20"/>
              </w:rPr>
            </w:pPr>
            <w:r w:rsidRPr="004C3366">
              <w:rPr>
                <w:rFonts w:ascii="Arial Narrow" w:hAnsi="Arial Narrow"/>
                <w:sz w:val="20"/>
                <w:szCs w:val="20"/>
              </w:rPr>
              <w:t>Lucentis®</w:t>
            </w:r>
          </w:p>
        </w:tc>
        <w:tc>
          <w:tcPr>
            <w:tcW w:w="1701" w:type="dxa"/>
          </w:tcPr>
          <w:p w:rsidR="002B61F2" w:rsidRPr="004C3366" w:rsidRDefault="002B61F2" w:rsidP="003621ED">
            <w:pPr>
              <w:keepNext/>
              <w:rPr>
                <w:rFonts w:ascii="Arial Narrow" w:hAnsi="Arial Narrow"/>
                <w:sz w:val="20"/>
                <w:szCs w:val="20"/>
              </w:rPr>
            </w:pPr>
          </w:p>
          <w:p w:rsidR="002B61F2" w:rsidRPr="004C3366" w:rsidRDefault="002B61F2" w:rsidP="003621ED">
            <w:pPr>
              <w:keepNext/>
              <w:rPr>
                <w:rFonts w:ascii="Arial Narrow" w:hAnsi="Arial Narrow"/>
                <w:sz w:val="20"/>
                <w:szCs w:val="20"/>
              </w:rPr>
            </w:pPr>
            <w:r w:rsidRPr="004C3366">
              <w:rPr>
                <w:rFonts w:ascii="Arial Narrow" w:hAnsi="Arial Narrow"/>
                <w:sz w:val="20"/>
                <w:szCs w:val="20"/>
              </w:rPr>
              <w:t>Novartis Australia Pty. Ltd.</w:t>
            </w:r>
          </w:p>
        </w:tc>
      </w:tr>
      <w:tr w:rsidR="002B61F2" w:rsidRPr="004C3366" w:rsidTr="003621ED">
        <w:trPr>
          <w:cantSplit/>
          <w:trHeight w:val="360"/>
        </w:trPr>
        <w:tc>
          <w:tcPr>
            <w:tcW w:w="2125" w:type="dxa"/>
            <w:tcBorders>
              <w:top w:val="single" w:sz="4" w:space="0" w:color="auto"/>
              <w:left w:val="single" w:sz="4" w:space="0" w:color="auto"/>
              <w:bottom w:val="single" w:sz="4" w:space="0" w:color="auto"/>
              <w:right w:val="single" w:sz="4" w:space="0" w:color="auto"/>
            </w:tcBorders>
            <w:hideMark/>
          </w:tcPr>
          <w:p w:rsidR="002B61F2" w:rsidRPr="004C3366" w:rsidRDefault="002B61F2" w:rsidP="003621ED">
            <w:pPr>
              <w:rPr>
                <w:rFonts w:ascii="Arial Narrow" w:hAnsi="Arial Narrow"/>
                <w:b/>
                <w:sz w:val="20"/>
                <w:szCs w:val="20"/>
              </w:rPr>
            </w:pPr>
            <w:r w:rsidRPr="004C3366">
              <w:rPr>
                <w:rFonts w:ascii="Arial Narrow" w:hAnsi="Arial Narrow"/>
                <w:b/>
                <w:sz w:val="20"/>
                <w:szCs w:val="20"/>
              </w:rPr>
              <w:t>Condition:</w:t>
            </w:r>
          </w:p>
        </w:tc>
        <w:tc>
          <w:tcPr>
            <w:tcW w:w="6238" w:type="dxa"/>
            <w:gridSpan w:val="5"/>
            <w:tcBorders>
              <w:top w:val="single" w:sz="4" w:space="0" w:color="auto"/>
              <w:left w:val="single" w:sz="4" w:space="0" w:color="auto"/>
              <w:bottom w:val="single" w:sz="4" w:space="0" w:color="auto"/>
              <w:right w:val="single" w:sz="4" w:space="0" w:color="auto"/>
            </w:tcBorders>
            <w:hideMark/>
          </w:tcPr>
          <w:p w:rsidR="002B61F2" w:rsidRPr="004C3366" w:rsidRDefault="002B61F2" w:rsidP="003621ED">
            <w:pPr>
              <w:rPr>
                <w:rFonts w:ascii="Arial Narrow" w:hAnsi="Arial Narrow"/>
                <w:sz w:val="20"/>
                <w:szCs w:val="20"/>
              </w:rPr>
            </w:pPr>
            <w:r>
              <w:rPr>
                <w:rFonts w:ascii="Arial Narrow" w:hAnsi="Arial Narrow"/>
                <w:sz w:val="20"/>
                <w:szCs w:val="20"/>
              </w:rPr>
              <w:t xml:space="preserve"> Subfoveal choroidal neovascularisation</w:t>
            </w:r>
          </w:p>
        </w:tc>
      </w:tr>
      <w:tr w:rsidR="002B61F2" w:rsidRPr="004C3366" w:rsidTr="003621ED">
        <w:trPr>
          <w:cantSplit/>
          <w:trHeight w:val="360"/>
        </w:trPr>
        <w:tc>
          <w:tcPr>
            <w:tcW w:w="2125" w:type="dxa"/>
            <w:tcBorders>
              <w:top w:val="single" w:sz="4" w:space="0" w:color="auto"/>
              <w:left w:val="single" w:sz="4" w:space="0" w:color="auto"/>
              <w:bottom w:val="single" w:sz="4" w:space="0" w:color="auto"/>
              <w:right w:val="single" w:sz="4" w:space="0" w:color="auto"/>
            </w:tcBorders>
          </w:tcPr>
          <w:p w:rsidR="002B61F2" w:rsidRPr="004C3366" w:rsidRDefault="002B61F2" w:rsidP="003621ED">
            <w:pPr>
              <w:rPr>
                <w:rFonts w:ascii="Arial Narrow" w:hAnsi="Arial Narrow"/>
                <w:i/>
                <w:sz w:val="20"/>
                <w:szCs w:val="20"/>
              </w:rPr>
            </w:pPr>
            <w:r w:rsidRPr="004C3366">
              <w:rPr>
                <w:rFonts w:ascii="Arial Narrow" w:hAnsi="Arial Narrow"/>
                <w:b/>
                <w:sz w:val="20"/>
                <w:szCs w:val="20"/>
              </w:rPr>
              <w:t>Treatment phase:</w:t>
            </w:r>
          </w:p>
        </w:tc>
        <w:tc>
          <w:tcPr>
            <w:tcW w:w="6238" w:type="dxa"/>
            <w:gridSpan w:val="5"/>
            <w:tcBorders>
              <w:top w:val="single" w:sz="4" w:space="0" w:color="auto"/>
              <w:left w:val="single" w:sz="4" w:space="0" w:color="auto"/>
              <w:bottom w:val="single" w:sz="4" w:space="0" w:color="auto"/>
              <w:right w:val="single" w:sz="4" w:space="0" w:color="auto"/>
            </w:tcBorders>
            <w:hideMark/>
          </w:tcPr>
          <w:p w:rsidR="002B61F2" w:rsidRPr="004C3366" w:rsidRDefault="002B61F2" w:rsidP="003621ED">
            <w:pPr>
              <w:rPr>
                <w:rFonts w:ascii="Arial Narrow" w:hAnsi="Arial Narrow"/>
                <w:sz w:val="20"/>
                <w:szCs w:val="20"/>
              </w:rPr>
            </w:pPr>
            <w:r w:rsidRPr="004C3366">
              <w:rPr>
                <w:rFonts w:ascii="Arial Narrow" w:hAnsi="Arial Narrow"/>
                <w:sz w:val="20"/>
                <w:szCs w:val="20"/>
              </w:rPr>
              <w:t>Continuing treatment</w:t>
            </w:r>
          </w:p>
        </w:tc>
      </w:tr>
      <w:tr w:rsidR="002B61F2" w:rsidRPr="004C3366" w:rsidTr="003621ED">
        <w:trPr>
          <w:cantSplit/>
          <w:trHeight w:val="360"/>
        </w:trPr>
        <w:tc>
          <w:tcPr>
            <w:tcW w:w="2125" w:type="dxa"/>
            <w:tcBorders>
              <w:top w:val="single" w:sz="4" w:space="0" w:color="auto"/>
              <w:left w:val="single" w:sz="4" w:space="0" w:color="auto"/>
              <w:bottom w:val="single" w:sz="4" w:space="0" w:color="auto"/>
              <w:right w:val="single" w:sz="4" w:space="0" w:color="auto"/>
            </w:tcBorders>
          </w:tcPr>
          <w:p w:rsidR="002B61F2" w:rsidRPr="00FC7CB1" w:rsidRDefault="002B61F2" w:rsidP="003621ED">
            <w:pPr>
              <w:rPr>
                <w:rFonts w:ascii="Arial Narrow" w:hAnsi="Arial Narrow"/>
                <w:b/>
                <w:sz w:val="20"/>
                <w:szCs w:val="20"/>
              </w:rPr>
            </w:pPr>
            <w:r w:rsidRPr="004C3366">
              <w:rPr>
                <w:rFonts w:ascii="Arial Narrow" w:hAnsi="Arial Narrow"/>
                <w:b/>
                <w:sz w:val="20"/>
                <w:szCs w:val="20"/>
              </w:rPr>
              <w:t>Restriction</w:t>
            </w:r>
            <w:r>
              <w:rPr>
                <w:rFonts w:ascii="Arial Narrow" w:hAnsi="Arial Narrow"/>
                <w:b/>
                <w:sz w:val="20"/>
                <w:szCs w:val="20"/>
              </w:rPr>
              <w:t xml:space="preserve"> Level / Method:</w:t>
            </w:r>
          </w:p>
        </w:tc>
        <w:tc>
          <w:tcPr>
            <w:tcW w:w="6238" w:type="dxa"/>
            <w:gridSpan w:val="5"/>
            <w:tcBorders>
              <w:top w:val="single" w:sz="4" w:space="0" w:color="auto"/>
              <w:left w:val="single" w:sz="4" w:space="0" w:color="auto"/>
              <w:bottom w:val="single" w:sz="4" w:space="0" w:color="auto"/>
              <w:right w:val="single" w:sz="4" w:space="0" w:color="auto"/>
            </w:tcBorders>
            <w:hideMark/>
          </w:tcPr>
          <w:p w:rsidR="002B61F2" w:rsidRPr="00707F1D" w:rsidRDefault="002B61F2" w:rsidP="003621ED">
            <w:pPr>
              <w:widowControl/>
              <w:jc w:val="left"/>
              <w:rPr>
                <w:snapToGrid/>
                <w:sz w:val="20"/>
                <w:szCs w:val="20"/>
                <w:lang w:eastAsia="en-AU"/>
              </w:rPr>
            </w:pPr>
            <w:r w:rsidRPr="00707F1D">
              <w:rPr>
                <w:snapToGrid/>
                <w:sz w:val="20"/>
                <w:szCs w:val="20"/>
                <w:lang w:eastAsia="en-AU"/>
              </w:rPr>
              <w:fldChar w:fldCharType="begin">
                <w:ffData>
                  <w:name w:val="Check1"/>
                  <w:enabled/>
                  <w:calcOnExit w:val="0"/>
                  <w:checkBox>
                    <w:sizeAuto/>
                    <w:default w:val="0"/>
                  </w:checkBox>
                </w:ffData>
              </w:fldChar>
            </w:r>
            <w:r w:rsidRPr="00707F1D">
              <w:rPr>
                <w:snapToGrid/>
                <w:sz w:val="20"/>
                <w:szCs w:val="20"/>
                <w:lang w:eastAsia="en-AU"/>
              </w:rPr>
              <w:instrText xml:space="preserve"> FORMCHECKBOX </w:instrText>
            </w:r>
            <w:r w:rsidR="00D20955">
              <w:rPr>
                <w:snapToGrid/>
                <w:sz w:val="20"/>
                <w:szCs w:val="20"/>
                <w:lang w:eastAsia="en-AU"/>
              </w:rPr>
            </w:r>
            <w:r w:rsidR="00D20955">
              <w:rPr>
                <w:snapToGrid/>
                <w:sz w:val="20"/>
                <w:szCs w:val="20"/>
                <w:lang w:eastAsia="en-AU"/>
              </w:rPr>
              <w:fldChar w:fldCharType="separate"/>
            </w:r>
            <w:r w:rsidRPr="00707F1D">
              <w:rPr>
                <w:snapToGrid/>
                <w:sz w:val="20"/>
                <w:szCs w:val="20"/>
                <w:lang w:eastAsia="en-AU"/>
              </w:rPr>
              <w:fldChar w:fldCharType="end"/>
            </w:r>
            <w:r w:rsidRPr="00707F1D">
              <w:rPr>
                <w:snapToGrid/>
                <w:sz w:val="20"/>
                <w:szCs w:val="20"/>
                <w:lang w:eastAsia="en-AU"/>
              </w:rPr>
              <w:t>Restricted benefit</w:t>
            </w:r>
          </w:p>
          <w:p w:rsidR="002B61F2" w:rsidRPr="00707F1D" w:rsidRDefault="002B61F2" w:rsidP="003621ED">
            <w:pPr>
              <w:widowControl/>
              <w:jc w:val="left"/>
              <w:rPr>
                <w:snapToGrid/>
                <w:sz w:val="20"/>
                <w:szCs w:val="20"/>
                <w:lang w:eastAsia="en-AU"/>
              </w:rPr>
            </w:pPr>
            <w:r>
              <w:rPr>
                <w:snapToGrid/>
                <w:sz w:val="20"/>
                <w:szCs w:val="20"/>
                <w:lang w:eastAsia="en-AU"/>
              </w:rPr>
              <w:fldChar w:fldCharType="begin">
                <w:ffData>
                  <w:name w:val=""/>
                  <w:enabled/>
                  <w:calcOnExit w:val="0"/>
                  <w:checkBox>
                    <w:sizeAuto/>
                    <w:default w:val="1"/>
                  </w:checkBox>
                </w:ffData>
              </w:fldChar>
            </w:r>
            <w:r>
              <w:rPr>
                <w:snapToGrid/>
                <w:sz w:val="20"/>
                <w:szCs w:val="20"/>
                <w:lang w:eastAsia="en-AU"/>
              </w:rPr>
              <w:instrText xml:space="preserve"> FORMCHECKBOX </w:instrText>
            </w:r>
            <w:r w:rsidR="00D20955">
              <w:rPr>
                <w:snapToGrid/>
                <w:sz w:val="20"/>
                <w:szCs w:val="20"/>
                <w:lang w:eastAsia="en-AU"/>
              </w:rPr>
            </w:r>
            <w:r w:rsidR="00D20955">
              <w:rPr>
                <w:snapToGrid/>
                <w:sz w:val="20"/>
                <w:szCs w:val="20"/>
                <w:lang w:eastAsia="en-AU"/>
              </w:rPr>
              <w:fldChar w:fldCharType="separate"/>
            </w:r>
            <w:r>
              <w:rPr>
                <w:snapToGrid/>
                <w:sz w:val="20"/>
                <w:szCs w:val="20"/>
                <w:lang w:eastAsia="en-AU"/>
              </w:rPr>
              <w:fldChar w:fldCharType="end"/>
            </w:r>
            <w:r w:rsidRPr="00707F1D">
              <w:rPr>
                <w:snapToGrid/>
                <w:sz w:val="20"/>
                <w:szCs w:val="20"/>
                <w:lang w:eastAsia="en-AU"/>
              </w:rPr>
              <w:t>Authority Required - In Writing</w:t>
            </w:r>
          </w:p>
          <w:p w:rsidR="002B61F2" w:rsidRPr="00707F1D" w:rsidRDefault="002B61F2" w:rsidP="003621ED">
            <w:pPr>
              <w:widowControl/>
              <w:jc w:val="left"/>
              <w:rPr>
                <w:snapToGrid/>
                <w:sz w:val="20"/>
                <w:szCs w:val="20"/>
                <w:lang w:eastAsia="en-AU"/>
              </w:rPr>
            </w:pPr>
            <w:r>
              <w:rPr>
                <w:snapToGrid/>
                <w:sz w:val="20"/>
                <w:szCs w:val="20"/>
                <w:lang w:eastAsia="en-AU"/>
              </w:rPr>
              <w:fldChar w:fldCharType="begin">
                <w:ffData>
                  <w:name w:val="Check3"/>
                  <w:enabled/>
                  <w:calcOnExit w:val="0"/>
                  <w:checkBox>
                    <w:sizeAuto/>
                    <w:default w:val="1"/>
                  </w:checkBox>
                </w:ffData>
              </w:fldChar>
            </w:r>
            <w:r>
              <w:rPr>
                <w:snapToGrid/>
                <w:sz w:val="20"/>
                <w:szCs w:val="20"/>
                <w:lang w:eastAsia="en-AU"/>
              </w:rPr>
              <w:instrText xml:space="preserve"> FORMCHECKBOX </w:instrText>
            </w:r>
            <w:r w:rsidR="00D20955">
              <w:rPr>
                <w:snapToGrid/>
                <w:sz w:val="20"/>
                <w:szCs w:val="20"/>
                <w:lang w:eastAsia="en-AU"/>
              </w:rPr>
            </w:r>
            <w:r w:rsidR="00D20955">
              <w:rPr>
                <w:snapToGrid/>
                <w:sz w:val="20"/>
                <w:szCs w:val="20"/>
                <w:lang w:eastAsia="en-AU"/>
              </w:rPr>
              <w:fldChar w:fldCharType="separate"/>
            </w:r>
            <w:r>
              <w:rPr>
                <w:snapToGrid/>
                <w:sz w:val="20"/>
                <w:szCs w:val="20"/>
                <w:lang w:eastAsia="en-AU"/>
              </w:rPr>
              <w:fldChar w:fldCharType="end"/>
            </w:r>
            <w:r w:rsidRPr="00707F1D">
              <w:rPr>
                <w:snapToGrid/>
                <w:sz w:val="20"/>
                <w:szCs w:val="20"/>
                <w:lang w:eastAsia="en-AU"/>
              </w:rPr>
              <w:t>Authority Required - Telephone</w:t>
            </w:r>
          </w:p>
          <w:p w:rsidR="002B61F2" w:rsidRPr="00707F1D" w:rsidRDefault="002B61F2" w:rsidP="003621ED">
            <w:pPr>
              <w:widowControl/>
              <w:jc w:val="left"/>
              <w:rPr>
                <w:snapToGrid/>
                <w:sz w:val="20"/>
                <w:szCs w:val="20"/>
                <w:lang w:eastAsia="en-AU"/>
              </w:rPr>
            </w:pPr>
            <w:r w:rsidRPr="00707F1D">
              <w:rPr>
                <w:snapToGrid/>
                <w:sz w:val="20"/>
                <w:szCs w:val="20"/>
                <w:lang w:eastAsia="en-AU"/>
              </w:rPr>
              <w:fldChar w:fldCharType="begin">
                <w:ffData>
                  <w:name w:val=""/>
                  <w:enabled/>
                  <w:calcOnExit w:val="0"/>
                  <w:checkBox>
                    <w:sizeAuto/>
                    <w:default w:val="0"/>
                  </w:checkBox>
                </w:ffData>
              </w:fldChar>
            </w:r>
            <w:r w:rsidRPr="00707F1D">
              <w:rPr>
                <w:snapToGrid/>
                <w:sz w:val="20"/>
                <w:szCs w:val="20"/>
                <w:lang w:eastAsia="en-AU"/>
              </w:rPr>
              <w:instrText xml:space="preserve"> FORMCHECKBOX </w:instrText>
            </w:r>
            <w:r w:rsidR="00D20955">
              <w:rPr>
                <w:snapToGrid/>
                <w:sz w:val="20"/>
                <w:szCs w:val="20"/>
                <w:lang w:eastAsia="en-AU"/>
              </w:rPr>
            </w:r>
            <w:r w:rsidR="00D20955">
              <w:rPr>
                <w:snapToGrid/>
                <w:sz w:val="20"/>
                <w:szCs w:val="20"/>
                <w:lang w:eastAsia="en-AU"/>
              </w:rPr>
              <w:fldChar w:fldCharType="separate"/>
            </w:r>
            <w:r w:rsidRPr="00707F1D">
              <w:rPr>
                <w:snapToGrid/>
                <w:sz w:val="20"/>
                <w:szCs w:val="20"/>
                <w:lang w:eastAsia="en-AU"/>
              </w:rPr>
              <w:fldChar w:fldCharType="end"/>
            </w:r>
            <w:r w:rsidRPr="00707F1D">
              <w:rPr>
                <w:snapToGrid/>
                <w:sz w:val="20"/>
                <w:szCs w:val="20"/>
                <w:lang w:eastAsia="en-AU"/>
              </w:rPr>
              <w:t>Authority Required - Emergency</w:t>
            </w:r>
          </w:p>
          <w:p w:rsidR="002B61F2" w:rsidRPr="00707F1D" w:rsidRDefault="002B61F2" w:rsidP="003621ED">
            <w:pPr>
              <w:widowControl/>
              <w:jc w:val="left"/>
              <w:rPr>
                <w:snapToGrid/>
                <w:sz w:val="20"/>
                <w:szCs w:val="20"/>
                <w:lang w:eastAsia="en-AU"/>
              </w:rPr>
            </w:pPr>
            <w:r w:rsidRPr="00707F1D">
              <w:rPr>
                <w:snapToGrid/>
                <w:sz w:val="20"/>
                <w:szCs w:val="20"/>
                <w:lang w:eastAsia="en-AU"/>
              </w:rPr>
              <w:fldChar w:fldCharType="begin">
                <w:ffData>
                  <w:name w:val="Check5"/>
                  <w:enabled/>
                  <w:calcOnExit w:val="0"/>
                  <w:checkBox>
                    <w:sizeAuto/>
                    <w:default w:val="0"/>
                  </w:checkBox>
                </w:ffData>
              </w:fldChar>
            </w:r>
            <w:r w:rsidRPr="00707F1D">
              <w:rPr>
                <w:snapToGrid/>
                <w:sz w:val="20"/>
                <w:szCs w:val="20"/>
                <w:lang w:eastAsia="en-AU"/>
              </w:rPr>
              <w:instrText xml:space="preserve"> FORMCHECKBOX </w:instrText>
            </w:r>
            <w:r w:rsidR="00D20955">
              <w:rPr>
                <w:snapToGrid/>
                <w:sz w:val="20"/>
                <w:szCs w:val="20"/>
                <w:lang w:eastAsia="en-AU"/>
              </w:rPr>
            </w:r>
            <w:r w:rsidR="00D20955">
              <w:rPr>
                <w:snapToGrid/>
                <w:sz w:val="20"/>
                <w:szCs w:val="20"/>
                <w:lang w:eastAsia="en-AU"/>
              </w:rPr>
              <w:fldChar w:fldCharType="separate"/>
            </w:r>
            <w:r w:rsidRPr="00707F1D">
              <w:rPr>
                <w:snapToGrid/>
                <w:sz w:val="20"/>
                <w:szCs w:val="20"/>
                <w:lang w:eastAsia="en-AU"/>
              </w:rPr>
              <w:fldChar w:fldCharType="end"/>
            </w:r>
            <w:r w:rsidRPr="00707F1D">
              <w:rPr>
                <w:snapToGrid/>
                <w:sz w:val="20"/>
                <w:szCs w:val="20"/>
                <w:lang w:eastAsia="en-AU"/>
              </w:rPr>
              <w:t>Authority Required - Electronic</w:t>
            </w:r>
          </w:p>
          <w:p w:rsidR="002B61F2" w:rsidRPr="004C3366" w:rsidRDefault="002B61F2" w:rsidP="003621ED">
            <w:pPr>
              <w:rPr>
                <w:rFonts w:ascii="Arial Narrow" w:hAnsi="Arial Narrow"/>
                <w:sz w:val="20"/>
                <w:szCs w:val="20"/>
              </w:rPr>
            </w:pPr>
            <w:r w:rsidRPr="00707F1D">
              <w:rPr>
                <w:snapToGrid/>
                <w:sz w:val="20"/>
                <w:szCs w:val="20"/>
                <w:lang w:eastAsia="en-AU"/>
              </w:rPr>
              <w:fldChar w:fldCharType="begin">
                <w:ffData>
                  <w:name w:val="Check5"/>
                  <w:enabled/>
                  <w:calcOnExit w:val="0"/>
                  <w:checkBox>
                    <w:sizeAuto/>
                    <w:default w:val="0"/>
                  </w:checkBox>
                </w:ffData>
              </w:fldChar>
            </w:r>
            <w:r w:rsidRPr="00707F1D">
              <w:rPr>
                <w:snapToGrid/>
                <w:sz w:val="20"/>
                <w:szCs w:val="20"/>
                <w:lang w:eastAsia="en-AU"/>
              </w:rPr>
              <w:instrText xml:space="preserve"> FORMCHECKBOX </w:instrText>
            </w:r>
            <w:r w:rsidR="00D20955">
              <w:rPr>
                <w:snapToGrid/>
                <w:sz w:val="20"/>
                <w:szCs w:val="20"/>
                <w:lang w:eastAsia="en-AU"/>
              </w:rPr>
            </w:r>
            <w:r w:rsidR="00D20955">
              <w:rPr>
                <w:snapToGrid/>
                <w:sz w:val="20"/>
                <w:szCs w:val="20"/>
                <w:lang w:eastAsia="en-AU"/>
              </w:rPr>
              <w:fldChar w:fldCharType="separate"/>
            </w:r>
            <w:r w:rsidRPr="00707F1D">
              <w:rPr>
                <w:snapToGrid/>
                <w:sz w:val="20"/>
                <w:szCs w:val="20"/>
                <w:lang w:eastAsia="en-AU"/>
              </w:rPr>
              <w:fldChar w:fldCharType="end"/>
            </w:r>
            <w:r w:rsidRPr="00707F1D">
              <w:rPr>
                <w:snapToGrid/>
                <w:sz w:val="20"/>
                <w:szCs w:val="20"/>
                <w:lang w:eastAsia="en-AU"/>
              </w:rPr>
              <w:t>Streamlined</w:t>
            </w:r>
            <w:r>
              <w:rPr>
                <w:snapToGrid/>
                <w:sz w:val="20"/>
                <w:szCs w:val="20"/>
                <w:lang w:eastAsia="en-AU"/>
              </w:rPr>
              <w:t xml:space="preserve"> </w:t>
            </w:r>
          </w:p>
        </w:tc>
      </w:tr>
      <w:tr w:rsidR="002B61F2" w:rsidRPr="004C3366" w:rsidTr="003621ED">
        <w:trPr>
          <w:cantSplit/>
          <w:trHeight w:val="360"/>
        </w:trPr>
        <w:tc>
          <w:tcPr>
            <w:tcW w:w="2125" w:type="dxa"/>
            <w:tcBorders>
              <w:top w:val="single" w:sz="4" w:space="0" w:color="auto"/>
              <w:left w:val="single" w:sz="4" w:space="0" w:color="auto"/>
              <w:bottom w:val="single" w:sz="4" w:space="0" w:color="auto"/>
              <w:right w:val="single" w:sz="4" w:space="0" w:color="auto"/>
            </w:tcBorders>
          </w:tcPr>
          <w:p w:rsidR="002B61F2" w:rsidRPr="004C3366" w:rsidRDefault="002B61F2" w:rsidP="003621ED">
            <w:pPr>
              <w:rPr>
                <w:rFonts w:ascii="Arial Narrow" w:hAnsi="Arial Narrow"/>
                <w:sz w:val="20"/>
                <w:szCs w:val="20"/>
              </w:rPr>
            </w:pPr>
            <w:r w:rsidRPr="004C3366">
              <w:rPr>
                <w:rFonts w:ascii="Arial Narrow" w:hAnsi="Arial Narrow"/>
                <w:b/>
                <w:sz w:val="20"/>
                <w:szCs w:val="20"/>
              </w:rPr>
              <w:t>Treatment criteria:</w:t>
            </w:r>
          </w:p>
        </w:tc>
        <w:tc>
          <w:tcPr>
            <w:tcW w:w="6238" w:type="dxa"/>
            <w:gridSpan w:val="5"/>
            <w:tcBorders>
              <w:top w:val="single" w:sz="4" w:space="0" w:color="auto"/>
              <w:left w:val="single" w:sz="4" w:space="0" w:color="auto"/>
              <w:bottom w:val="single" w:sz="4" w:space="0" w:color="auto"/>
              <w:right w:val="single" w:sz="4" w:space="0" w:color="auto"/>
            </w:tcBorders>
            <w:hideMark/>
          </w:tcPr>
          <w:p w:rsidR="002B61F2" w:rsidRPr="004C3366" w:rsidRDefault="002B61F2" w:rsidP="003621ED">
            <w:pPr>
              <w:rPr>
                <w:rFonts w:ascii="Arial Narrow" w:hAnsi="Arial Narrow"/>
                <w:sz w:val="20"/>
                <w:szCs w:val="20"/>
              </w:rPr>
            </w:pPr>
            <w:r w:rsidRPr="004C3366">
              <w:rPr>
                <w:rFonts w:ascii="Arial Narrow" w:hAnsi="Arial Narrow"/>
                <w:sz w:val="20"/>
                <w:szCs w:val="20"/>
              </w:rPr>
              <w:t>Must be treated by an ophthalmologist</w:t>
            </w:r>
            <w:r>
              <w:rPr>
                <w:rFonts w:ascii="Arial Narrow" w:hAnsi="Arial Narrow"/>
                <w:sz w:val="20"/>
                <w:szCs w:val="20"/>
              </w:rPr>
              <w:t xml:space="preserve"> </w:t>
            </w:r>
            <w:r w:rsidRPr="001F2667">
              <w:rPr>
                <w:rFonts w:ascii="Arial Narrow" w:hAnsi="Arial Narrow"/>
                <w:sz w:val="20"/>
                <w:szCs w:val="20"/>
              </w:rPr>
              <w:t>or in consultation with an ophthalmologist.</w:t>
            </w:r>
          </w:p>
        </w:tc>
      </w:tr>
      <w:tr w:rsidR="002B61F2" w:rsidRPr="004C3366" w:rsidTr="003621ED">
        <w:trPr>
          <w:cantSplit/>
          <w:trHeight w:val="360"/>
        </w:trPr>
        <w:tc>
          <w:tcPr>
            <w:tcW w:w="2125" w:type="dxa"/>
            <w:tcBorders>
              <w:top w:val="single" w:sz="4" w:space="0" w:color="auto"/>
              <w:left w:val="single" w:sz="4" w:space="0" w:color="auto"/>
              <w:bottom w:val="single" w:sz="4" w:space="0" w:color="auto"/>
              <w:right w:val="single" w:sz="4" w:space="0" w:color="auto"/>
            </w:tcBorders>
          </w:tcPr>
          <w:p w:rsidR="002B61F2" w:rsidRPr="004C3366" w:rsidRDefault="002B61F2" w:rsidP="003621ED">
            <w:pPr>
              <w:rPr>
                <w:rFonts w:ascii="Arial Narrow" w:hAnsi="Arial Narrow"/>
                <w:sz w:val="20"/>
                <w:szCs w:val="20"/>
              </w:rPr>
            </w:pPr>
            <w:r w:rsidRPr="004C3366">
              <w:rPr>
                <w:rFonts w:ascii="Arial Narrow" w:hAnsi="Arial Narrow"/>
                <w:b/>
                <w:sz w:val="20"/>
                <w:szCs w:val="20"/>
              </w:rPr>
              <w:lastRenderedPageBreak/>
              <w:t>Clinical criteria:</w:t>
            </w:r>
          </w:p>
        </w:tc>
        <w:tc>
          <w:tcPr>
            <w:tcW w:w="6238" w:type="dxa"/>
            <w:gridSpan w:val="5"/>
            <w:tcBorders>
              <w:top w:val="single" w:sz="4" w:space="0" w:color="auto"/>
              <w:left w:val="single" w:sz="4" w:space="0" w:color="auto"/>
              <w:bottom w:val="single" w:sz="4" w:space="0" w:color="auto"/>
              <w:right w:val="single" w:sz="4" w:space="0" w:color="auto"/>
            </w:tcBorders>
          </w:tcPr>
          <w:p w:rsidR="002B61F2" w:rsidRDefault="002B61F2" w:rsidP="003621ED">
            <w:pPr>
              <w:rPr>
                <w:rFonts w:ascii="Arial Narrow" w:hAnsi="Arial Narrow"/>
                <w:sz w:val="20"/>
                <w:szCs w:val="20"/>
              </w:rPr>
            </w:pPr>
            <w:r>
              <w:rPr>
                <w:rFonts w:ascii="Arial Narrow" w:hAnsi="Arial Narrow"/>
                <w:sz w:val="20"/>
                <w:szCs w:val="20"/>
              </w:rPr>
              <w:t xml:space="preserve">The condition must not be due to pathologic myopia </w:t>
            </w:r>
          </w:p>
          <w:p w:rsidR="002B61F2" w:rsidRDefault="002B61F2" w:rsidP="003621ED">
            <w:pPr>
              <w:rPr>
                <w:rFonts w:ascii="Arial Narrow" w:hAnsi="Arial Narrow"/>
                <w:sz w:val="20"/>
                <w:szCs w:val="20"/>
              </w:rPr>
            </w:pPr>
          </w:p>
          <w:p w:rsidR="002B61F2" w:rsidRDefault="002B61F2" w:rsidP="003621ED">
            <w:pPr>
              <w:rPr>
                <w:rFonts w:ascii="Arial Narrow" w:hAnsi="Arial Narrow"/>
                <w:sz w:val="20"/>
                <w:szCs w:val="20"/>
              </w:rPr>
            </w:pPr>
            <w:r>
              <w:rPr>
                <w:rFonts w:ascii="Arial Narrow" w:hAnsi="Arial Narrow"/>
                <w:sz w:val="20"/>
                <w:szCs w:val="20"/>
              </w:rPr>
              <w:t>AND</w:t>
            </w:r>
          </w:p>
          <w:p w:rsidR="002B61F2" w:rsidRDefault="002B61F2" w:rsidP="003621ED">
            <w:pPr>
              <w:rPr>
                <w:rFonts w:ascii="Arial Narrow" w:hAnsi="Arial Narrow"/>
                <w:sz w:val="20"/>
                <w:szCs w:val="20"/>
              </w:rPr>
            </w:pPr>
          </w:p>
          <w:p w:rsidR="002B61F2" w:rsidRDefault="002B61F2" w:rsidP="003621ED">
            <w:pPr>
              <w:rPr>
                <w:rFonts w:ascii="Arial Narrow" w:hAnsi="Arial Narrow"/>
                <w:sz w:val="20"/>
                <w:szCs w:val="20"/>
              </w:rPr>
            </w:pPr>
            <w:r>
              <w:rPr>
                <w:rFonts w:ascii="Arial Narrow" w:hAnsi="Arial Narrow"/>
                <w:sz w:val="20"/>
                <w:szCs w:val="20"/>
              </w:rPr>
              <w:t>The condition must not be due to age-related macular degeneration,</w:t>
            </w:r>
          </w:p>
          <w:p w:rsidR="002B61F2" w:rsidRPr="00997BD5" w:rsidRDefault="002B61F2" w:rsidP="003621ED">
            <w:pPr>
              <w:rPr>
                <w:rFonts w:ascii="Arial Narrow" w:hAnsi="Arial Narrow"/>
                <w:sz w:val="20"/>
                <w:szCs w:val="20"/>
              </w:rPr>
            </w:pPr>
          </w:p>
          <w:p w:rsidR="002B61F2" w:rsidRDefault="002B61F2" w:rsidP="003621ED">
            <w:pPr>
              <w:rPr>
                <w:rFonts w:ascii="Arial Narrow" w:hAnsi="Arial Narrow"/>
                <w:sz w:val="20"/>
                <w:szCs w:val="20"/>
              </w:rPr>
            </w:pPr>
            <w:r w:rsidRPr="00997BD5">
              <w:rPr>
                <w:rFonts w:ascii="Arial Narrow" w:hAnsi="Arial Narrow"/>
                <w:sz w:val="20"/>
                <w:szCs w:val="20"/>
              </w:rPr>
              <w:t>AND</w:t>
            </w:r>
          </w:p>
          <w:p w:rsidR="002B61F2" w:rsidRPr="004C3366" w:rsidRDefault="002B61F2" w:rsidP="003621ED">
            <w:pPr>
              <w:rPr>
                <w:rFonts w:ascii="Arial Narrow" w:hAnsi="Arial Narrow"/>
                <w:sz w:val="20"/>
                <w:szCs w:val="20"/>
              </w:rPr>
            </w:pPr>
          </w:p>
          <w:p w:rsidR="002B61F2" w:rsidRDefault="002B61F2" w:rsidP="003621ED">
            <w:pPr>
              <w:rPr>
                <w:rFonts w:ascii="Arial Narrow" w:hAnsi="Arial Narrow"/>
                <w:sz w:val="20"/>
                <w:szCs w:val="20"/>
              </w:rPr>
            </w:pPr>
            <w:r w:rsidRPr="00FE366B">
              <w:rPr>
                <w:rFonts w:ascii="Arial Narrow" w:hAnsi="Arial Narrow"/>
                <w:sz w:val="20"/>
                <w:szCs w:val="20"/>
              </w:rPr>
              <w:t>The treatment must be the sole PBS-subsidised therapy for this condition,</w:t>
            </w:r>
          </w:p>
          <w:p w:rsidR="002B61F2" w:rsidRPr="004C3366" w:rsidRDefault="002B61F2" w:rsidP="003621ED">
            <w:pPr>
              <w:rPr>
                <w:rFonts w:ascii="Arial Narrow" w:hAnsi="Arial Narrow"/>
                <w:sz w:val="20"/>
                <w:szCs w:val="20"/>
              </w:rPr>
            </w:pPr>
          </w:p>
          <w:p w:rsidR="002B61F2" w:rsidRPr="004C3366" w:rsidRDefault="002B61F2" w:rsidP="003621ED">
            <w:pPr>
              <w:rPr>
                <w:rFonts w:ascii="Arial Narrow" w:hAnsi="Arial Narrow"/>
                <w:sz w:val="20"/>
                <w:szCs w:val="20"/>
              </w:rPr>
            </w:pPr>
            <w:r w:rsidRPr="004C3366">
              <w:rPr>
                <w:rFonts w:ascii="Arial Narrow" w:hAnsi="Arial Narrow"/>
                <w:sz w:val="20"/>
                <w:szCs w:val="20"/>
              </w:rPr>
              <w:t>AND</w:t>
            </w:r>
          </w:p>
          <w:p w:rsidR="002B61F2" w:rsidRPr="004C3366" w:rsidRDefault="002B61F2" w:rsidP="003621ED">
            <w:pPr>
              <w:rPr>
                <w:rFonts w:ascii="Arial Narrow" w:hAnsi="Arial Narrow"/>
                <w:sz w:val="20"/>
                <w:szCs w:val="20"/>
              </w:rPr>
            </w:pPr>
          </w:p>
          <w:p w:rsidR="002B61F2" w:rsidRPr="004C3366" w:rsidRDefault="002B61F2" w:rsidP="003621ED">
            <w:pPr>
              <w:rPr>
                <w:rFonts w:ascii="Arial Narrow" w:hAnsi="Arial Narrow"/>
                <w:i/>
                <w:sz w:val="20"/>
                <w:szCs w:val="20"/>
              </w:rPr>
            </w:pPr>
            <w:r w:rsidRPr="004C3366">
              <w:rPr>
                <w:rFonts w:ascii="Arial Narrow" w:hAnsi="Arial Narrow"/>
                <w:sz w:val="20"/>
                <w:szCs w:val="20"/>
              </w:rPr>
              <w:t xml:space="preserve">Patient must have previously </w:t>
            </w:r>
            <w:r>
              <w:rPr>
                <w:rFonts w:ascii="Arial Narrow" w:hAnsi="Arial Narrow"/>
                <w:sz w:val="20"/>
                <w:szCs w:val="20"/>
              </w:rPr>
              <w:t>received PBS-subsidised treatment with this drug for this condition for the same eye.</w:t>
            </w:r>
          </w:p>
        </w:tc>
      </w:tr>
      <w:tr w:rsidR="002B61F2" w:rsidRPr="004C3366" w:rsidTr="003621ED">
        <w:trPr>
          <w:cantSplit/>
          <w:trHeight w:val="360"/>
        </w:trPr>
        <w:tc>
          <w:tcPr>
            <w:tcW w:w="2125" w:type="dxa"/>
            <w:tcBorders>
              <w:top w:val="single" w:sz="4" w:space="0" w:color="auto"/>
              <w:left w:val="single" w:sz="4" w:space="0" w:color="auto"/>
              <w:bottom w:val="single" w:sz="4" w:space="0" w:color="auto"/>
              <w:right w:val="single" w:sz="4" w:space="0" w:color="auto"/>
            </w:tcBorders>
          </w:tcPr>
          <w:p w:rsidR="002B61F2" w:rsidRPr="004C3366" w:rsidRDefault="002B61F2" w:rsidP="003621ED">
            <w:pPr>
              <w:rPr>
                <w:rFonts w:ascii="Arial Narrow" w:hAnsi="Arial Narrow"/>
                <w:b/>
                <w:sz w:val="20"/>
                <w:szCs w:val="20"/>
              </w:rPr>
            </w:pPr>
            <w:r w:rsidRPr="004C3366">
              <w:rPr>
                <w:rFonts w:ascii="Arial Narrow" w:hAnsi="Arial Narrow"/>
                <w:b/>
                <w:sz w:val="20"/>
                <w:szCs w:val="20"/>
              </w:rPr>
              <w:t>Administrative Advice</w:t>
            </w:r>
          </w:p>
          <w:p w:rsidR="002B61F2" w:rsidRPr="004C3366" w:rsidRDefault="002B61F2" w:rsidP="003621ED">
            <w:pPr>
              <w:rPr>
                <w:rFonts w:ascii="Arial Narrow" w:hAnsi="Arial Narrow"/>
                <w:i/>
                <w:sz w:val="20"/>
                <w:szCs w:val="20"/>
              </w:rPr>
            </w:pPr>
          </w:p>
        </w:tc>
        <w:tc>
          <w:tcPr>
            <w:tcW w:w="6238" w:type="dxa"/>
            <w:gridSpan w:val="5"/>
            <w:tcBorders>
              <w:top w:val="single" w:sz="4" w:space="0" w:color="auto"/>
              <w:left w:val="single" w:sz="4" w:space="0" w:color="auto"/>
              <w:bottom w:val="single" w:sz="4" w:space="0" w:color="auto"/>
              <w:right w:val="single" w:sz="4" w:space="0" w:color="auto"/>
            </w:tcBorders>
          </w:tcPr>
          <w:p w:rsidR="002B61F2" w:rsidRDefault="002B61F2" w:rsidP="003621ED">
            <w:pPr>
              <w:rPr>
                <w:rFonts w:ascii="Arial Narrow" w:hAnsi="Arial Narrow"/>
                <w:sz w:val="20"/>
                <w:szCs w:val="20"/>
              </w:rPr>
            </w:pPr>
            <w:r w:rsidRPr="005B1754">
              <w:rPr>
                <w:rFonts w:ascii="Arial Narrow" w:hAnsi="Arial Narrow"/>
                <w:sz w:val="20"/>
                <w:szCs w:val="20"/>
              </w:rPr>
              <w:t>Authority applications for continuing treatment in the same eye may be made by telephone on 1800 700 270 (hours of operation 8 a.m. to 5 p.m. EST Monday to Friday).</w:t>
            </w:r>
          </w:p>
          <w:p w:rsidR="002B61F2" w:rsidRDefault="002B61F2" w:rsidP="003621ED">
            <w:pPr>
              <w:rPr>
                <w:rFonts w:ascii="Arial Narrow" w:hAnsi="Arial Narrow"/>
                <w:sz w:val="20"/>
                <w:szCs w:val="20"/>
              </w:rPr>
            </w:pPr>
          </w:p>
          <w:p w:rsidR="002B61F2" w:rsidRDefault="002B61F2" w:rsidP="003621ED">
            <w:pPr>
              <w:rPr>
                <w:rFonts w:ascii="Arial Narrow" w:hAnsi="Arial Narrow"/>
                <w:sz w:val="20"/>
                <w:szCs w:val="20"/>
              </w:rPr>
            </w:pPr>
            <w:r w:rsidRPr="005B1754">
              <w:rPr>
                <w:rFonts w:ascii="Arial Narrow" w:hAnsi="Arial Narrow"/>
                <w:sz w:val="20"/>
                <w:szCs w:val="20"/>
              </w:rPr>
              <w:t>Special Pricing Arrangements apply.</w:t>
            </w:r>
          </w:p>
          <w:p w:rsidR="002B61F2" w:rsidRDefault="002B61F2" w:rsidP="003621ED">
            <w:pPr>
              <w:rPr>
                <w:rFonts w:ascii="Arial Narrow" w:hAnsi="Arial Narrow"/>
                <w:sz w:val="20"/>
                <w:szCs w:val="20"/>
              </w:rPr>
            </w:pPr>
          </w:p>
          <w:p w:rsidR="002B61F2" w:rsidRPr="004C3366" w:rsidRDefault="002B61F2" w:rsidP="003621ED">
            <w:pPr>
              <w:rPr>
                <w:rFonts w:ascii="Arial Narrow" w:hAnsi="Arial Narrow"/>
                <w:sz w:val="20"/>
                <w:szCs w:val="20"/>
              </w:rPr>
            </w:pPr>
            <w:r w:rsidRPr="005B1754">
              <w:rPr>
                <w:rFonts w:ascii="Arial Narrow" w:hAnsi="Arial Narrow"/>
                <w:sz w:val="20"/>
                <w:szCs w:val="20"/>
              </w:rPr>
              <w:t>Pharmaceutical benefits that have the form ranibizumab 0.165 mL injection syringe and pharmaceutical benefits that have the form ranibizumab 0.23 mL injection vial are equivalent for the purposes of substitution.</w:t>
            </w:r>
          </w:p>
        </w:tc>
      </w:tr>
    </w:tbl>
    <w:p w:rsidR="002B61F2" w:rsidRPr="00345437" w:rsidRDefault="002B61F2" w:rsidP="002B61F2">
      <w:pPr>
        <w:spacing w:after="120"/>
        <w:ind w:left="720"/>
        <w:rPr>
          <w:rFonts w:asciiTheme="minorHAnsi" w:hAnsiTheme="minorHAnsi"/>
          <w:bCs/>
        </w:rPr>
      </w:pPr>
    </w:p>
    <w:p w:rsidR="002B61F2" w:rsidRDefault="002B61F2" w:rsidP="002B61F2">
      <w:pPr>
        <w:contextualSpacing/>
        <w:rPr>
          <w:rFonts w:asciiTheme="minorHAnsi" w:hAnsiTheme="minorHAnsi"/>
          <w:bCs/>
          <w:i/>
        </w:rPr>
      </w:pPr>
    </w:p>
    <w:p w:rsidR="004040BA" w:rsidRPr="00B92BD3" w:rsidRDefault="004040BA" w:rsidP="004F1B17">
      <w:pPr>
        <w:pStyle w:val="PBACHeading1"/>
        <w:rPr>
          <w:rFonts w:eastAsiaTheme="minorHAnsi"/>
          <w:snapToGrid/>
        </w:rPr>
      </w:pPr>
      <w:r w:rsidRPr="00B92BD3">
        <w:rPr>
          <w:rFonts w:eastAsiaTheme="minorHAnsi"/>
          <w:snapToGrid/>
        </w:rPr>
        <w:t>Context for Decision</w:t>
      </w:r>
    </w:p>
    <w:p w:rsidR="004040BA" w:rsidRPr="00B92BD3" w:rsidRDefault="004040BA" w:rsidP="0034729E">
      <w:pPr>
        <w:widowControl/>
        <w:rPr>
          <w:rFonts w:asciiTheme="minorHAnsi" w:eastAsiaTheme="minorHAnsi" w:hAnsiTheme="minorHAnsi"/>
          <w:snapToGrid/>
        </w:rPr>
      </w:pPr>
      <w:r w:rsidRPr="00B92BD3">
        <w:rPr>
          <w:rFonts w:asciiTheme="minorHAnsi" w:eastAsiaTheme="minorHAnsi" w:hAnsiTheme="minorHAnsi"/>
          <w:snapToGrid/>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4040BA" w:rsidRPr="00B92BD3" w:rsidRDefault="004040BA" w:rsidP="00076F67">
      <w:pPr>
        <w:pStyle w:val="PBACHeading1"/>
        <w:keepNext/>
        <w:rPr>
          <w:rFonts w:eastAsiaTheme="minorHAnsi"/>
          <w:snapToGrid/>
        </w:rPr>
      </w:pPr>
      <w:r w:rsidRPr="00B92BD3">
        <w:rPr>
          <w:rFonts w:eastAsiaTheme="minorHAnsi"/>
          <w:snapToGrid/>
        </w:rPr>
        <w:t xml:space="preserve"> Sponsor’s Comment</w:t>
      </w:r>
    </w:p>
    <w:p w:rsidR="006510A9" w:rsidRPr="0034729E" w:rsidRDefault="004040BA" w:rsidP="0034729E">
      <w:pPr>
        <w:widowControl/>
        <w:spacing w:after="120" w:line="276" w:lineRule="auto"/>
        <w:rPr>
          <w:rFonts w:asciiTheme="minorHAnsi" w:eastAsiaTheme="minorHAnsi" w:hAnsiTheme="minorHAnsi"/>
          <w:bCs/>
          <w:snapToGrid/>
        </w:rPr>
      </w:pPr>
      <w:r w:rsidRPr="00BE33E8">
        <w:rPr>
          <w:rFonts w:asciiTheme="minorHAnsi" w:eastAsiaTheme="minorHAnsi" w:hAnsiTheme="minorHAnsi"/>
          <w:bCs/>
          <w:snapToGrid/>
        </w:rPr>
        <w:t>The sponsor had no comment.</w:t>
      </w:r>
    </w:p>
    <w:sectPr w:rsidR="006510A9" w:rsidRPr="0034729E" w:rsidSect="00BF2DAD">
      <w:headerReference w:type="even" r:id="rId12"/>
      <w:headerReference w:type="default" r:id="rId13"/>
      <w:footerReference w:type="even" r:id="rId14"/>
      <w:footerReference w:type="default" r:id="rId15"/>
      <w:headerReference w:type="first" r:id="rId16"/>
      <w:footerReference w:type="first" r:id="rId17"/>
      <w:footnotePr>
        <w:numFmt w:val="chicago"/>
      </w:footnotePr>
      <w:pgSz w:w="11907" w:h="16840" w:code="9"/>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1E4108E" w15:done="0"/>
  <w15:commentEx w15:paraId="55BACEB2" w15:done="0"/>
  <w15:commentEx w15:paraId="711E04BA" w15:done="0"/>
  <w15:commentEx w15:paraId="309B9380" w15:done="0"/>
  <w15:commentEx w15:paraId="525A5E6F" w15:done="0"/>
  <w15:commentEx w15:paraId="0ACAEECD" w15:done="0"/>
  <w15:commentEx w15:paraId="0A177EA0" w15:done="0"/>
  <w15:commentEx w15:paraId="2F1EBE11" w15:done="0"/>
  <w15:commentEx w15:paraId="1C622F15" w15:done="0"/>
  <w15:commentEx w15:paraId="7953DC17" w15:done="0"/>
  <w15:commentEx w15:paraId="0BAD7CD3" w15:done="0"/>
  <w15:commentEx w15:paraId="58DF8987" w15:done="0"/>
  <w15:commentEx w15:paraId="453FE4F8" w15:done="0"/>
  <w15:commentEx w15:paraId="2B2D80E4" w15:done="0"/>
  <w15:commentEx w15:paraId="1A2885D8" w15:done="0"/>
  <w15:commentEx w15:paraId="0D0D9801" w15:done="0"/>
  <w15:commentEx w15:paraId="3D4683CB" w15:done="0"/>
  <w15:commentEx w15:paraId="75F9ECFA" w15:paraIdParent="3D4683CB" w15:done="0"/>
  <w15:commentEx w15:paraId="2FF2FFE8" w15:done="0"/>
  <w15:commentEx w15:paraId="74CDFEA0" w15:paraIdParent="2FF2FFE8" w15:done="0"/>
  <w15:commentEx w15:paraId="28E6A851" w15:done="0"/>
  <w15:commentEx w15:paraId="109C2DE8" w15:paraIdParent="28E6A851" w15:done="0"/>
  <w15:commentEx w15:paraId="4855E4FD" w15:done="0"/>
  <w15:commentEx w15:paraId="6F79DAE2" w15:paraIdParent="4855E4FD" w15:done="0"/>
  <w15:commentEx w15:paraId="4AAEE722" w15:done="0"/>
  <w15:commentEx w15:paraId="32B7CDE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0955" w:rsidRDefault="00D20955" w:rsidP="00124A51">
      <w:r>
        <w:separator/>
      </w:r>
    </w:p>
    <w:p w:rsidR="00D20955" w:rsidRDefault="00D20955"/>
  </w:endnote>
  <w:endnote w:type="continuationSeparator" w:id="0">
    <w:p w:rsidR="00D20955" w:rsidRDefault="00D20955" w:rsidP="00124A51">
      <w:r>
        <w:continuationSeparator/>
      </w:r>
    </w:p>
    <w:p w:rsidR="00D20955" w:rsidRDefault="00D209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5EA1" w:rsidRDefault="004C5EA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b/>
      </w:rPr>
      <w:id w:val="-2081197927"/>
      <w:docPartObj>
        <w:docPartGallery w:val="Page Numbers (Bottom of Page)"/>
        <w:docPartUnique/>
      </w:docPartObj>
    </w:sdtPr>
    <w:sdtEndPr>
      <w:rPr>
        <w:noProof/>
      </w:rPr>
    </w:sdtEndPr>
    <w:sdtContent>
      <w:p w:rsidR="004F1B17" w:rsidRPr="0022181E" w:rsidRDefault="004F1B17">
        <w:pPr>
          <w:pStyle w:val="Footer"/>
          <w:jc w:val="center"/>
          <w:rPr>
            <w:b/>
          </w:rPr>
        </w:pPr>
        <w:r w:rsidRPr="0022181E">
          <w:rPr>
            <w:b/>
          </w:rPr>
          <w:fldChar w:fldCharType="begin"/>
        </w:r>
        <w:r w:rsidRPr="0022181E">
          <w:rPr>
            <w:b/>
          </w:rPr>
          <w:instrText xml:space="preserve"> PAGE   \* MERGEFORMAT </w:instrText>
        </w:r>
        <w:r w:rsidRPr="0022181E">
          <w:rPr>
            <w:b/>
          </w:rPr>
          <w:fldChar w:fldCharType="separate"/>
        </w:r>
        <w:r w:rsidR="00D20955">
          <w:rPr>
            <w:b/>
            <w:noProof/>
          </w:rPr>
          <w:t>1</w:t>
        </w:r>
        <w:r w:rsidRPr="0022181E">
          <w:rPr>
            <w:b/>
            <w:noProof/>
          </w:rPr>
          <w:fldChar w:fldCharType="end"/>
        </w:r>
      </w:p>
    </w:sdtContent>
  </w:sdt>
  <w:p w:rsidR="004F1B17" w:rsidRPr="00745FE5" w:rsidRDefault="004F1B17" w:rsidP="00745FE5">
    <w:pPr>
      <w:pStyle w:val="Footer"/>
      <w:jc w:val="center"/>
      <w:rPr>
        <w: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5EA1" w:rsidRDefault="004C5EA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0955" w:rsidRDefault="00D20955" w:rsidP="00124A51">
      <w:r>
        <w:separator/>
      </w:r>
    </w:p>
    <w:p w:rsidR="00D20955" w:rsidRDefault="00D20955"/>
  </w:footnote>
  <w:footnote w:type="continuationSeparator" w:id="0">
    <w:p w:rsidR="00D20955" w:rsidRDefault="00D20955" w:rsidP="00124A51">
      <w:r>
        <w:continuationSeparator/>
      </w:r>
    </w:p>
    <w:p w:rsidR="00D20955" w:rsidRDefault="00D20955"/>
  </w:footnote>
  <w:footnote w:id="1">
    <w:p w:rsidR="004F1B17" w:rsidRDefault="004F1B17" w:rsidP="000F1DE4">
      <w:pPr>
        <w:pStyle w:val="FootnoteText"/>
      </w:pPr>
      <w:r>
        <w:rPr>
          <w:rStyle w:val="FootnoteReference"/>
        </w:rPr>
        <w:footnoteRef/>
      </w:r>
      <w:r>
        <w:t xml:space="preserve"> </w:t>
      </w:r>
      <w:r w:rsidRPr="00062137">
        <w:t xml:space="preserve">Campochiaro PA. Molecular pathogenesis of retinal and choroidal vascular diseases. </w:t>
      </w:r>
      <w:r w:rsidRPr="00062137">
        <w:rPr>
          <w:i/>
        </w:rPr>
        <w:t>Prog Retin Eye Res</w:t>
      </w:r>
      <w:r w:rsidRPr="00062137">
        <w:t>. 2015; 49:67-81.</w:t>
      </w:r>
    </w:p>
  </w:footnote>
  <w:footnote w:id="2">
    <w:p w:rsidR="004F1B17" w:rsidRDefault="004F1B17" w:rsidP="00A5577C">
      <w:pPr>
        <w:pStyle w:val="FootnoteText"/>
      </w:pPr>
      <w:r>
        <w:rPr>
          <w:rStyle w:val="FootnoteReference"/>
        </w:rPr>
        <w:footnoteRef/>
      </w:r>
      <w:r>
        <w:t xml:space="preserve"> Staurenghi, G. Lai, T.Y.Y. Mitchell P. Wolf S. Wenzel A. Li, J. Bhaumik, A. and Hykin, P.G. 2018 ‘Efficacy and Safety of Ranibizumab 0.5 mg for the Treatment of Macular Edema Resulting from Uncommon Causes’  </w:t>
      </w:r>
      <w:r w:rsidRPr="00A5577C">
        <w:rPr>
          <w:i/>
        </w:rPr>
        <w:t xml:space="preserve">Ophthalmology </w:t>
      </w:r>
      <w:r>
        <w:t>DOI · 10.1016/j.ophtha.2017.12.002</w:t>
      </w:r>
    </w:p>
    <w:p w:rsidR="004F1B17" w:rsidRDefault="004F1B17" w:rsidP="00A5577C">
      <w:pPr>
        <w:pStyle w:val="FootnoteText"/>
      </w:pPr>
    </w:p>
  </w:footnote>
  <w:footnote w:id="3">
    <w:p w:rsidR="004F1B17" w:rsidRDefault="004F1B17">
      <w:pPr>
        <w:pStyle w:val="FootnoteText"/>
      </w:pPr>
      <w:r>
        <w:rPr>
          <w:rStyle w:val="FootnoteReference"/>
        </w:rPr>
        <w:footnoteRef/>
      </w:r>
      <w:r>
        <w:t xml:space="preserve"> </w:t>
      </w:r>
      <w:r w:rsidRPr="008618D2">
        <w:t>Mimoun G, Ebran JM, et al. Ranibizumab for choroidal neovascularization secondary to pseudoxanthoma elasticum: 4-year results from the PIXEL study in France. Graefes Arch Clin Exp Ophthalmol. 2017; 255 (8):1651-60.</w:t>
      </w:r>
    </w:p>
  </w:footnote>
  <w:footnote w:id="4">
    <w:p w:rsidR="004F1B17" w:rsidRDefault="004F1B17">
      <w:pPr>
        <w:pStyle w:val="FootnoteText"/>
      </w:pPr>
      <w:r>
        <w:rPr>
          <w:rStyle w:val="FootnoteReference"/>
        </w:rPr>
        <w:footnoteRef/>
      </w:r>
      <w:r>
        <w:t xml:space="preserve"> </w:t>
      </w:r>
      <w:r w:rsidRPr="00B278E7">
        <w:t xml:space="preserve">Tilleul J, Mimoun G, Querques G, Puche N, Zerbib J, Lalloum F, Srour M, Souied EH. </w:t>
      </w:r>
      <w:r>
        <w:t xml:space="preserve">Intravitreal </w:t>
      </w:r>
      <w:r w:rsidRPr="00B278E7">
        <w:t>R</w:t>
      </w:r>
      <w:r>
        <w:t>anibizumab</w:t>
      </w:r>
      <w:r w:rsidRPr="00B278E7">
        <w:t xml:space="preserve"> </w:t>
      </w:r>
      <w:r>
        <w:t>for</w:t>
      </w:r>
      <w:r w:rsidRPr="00B278E7">
        <w:t xml:space="preserve"> </w:t>
      </w:r>
      <w:r>
        <w:t>Choroidal Neovascularisation</w:t>
      </w:r>
      <w:r w:rsidRPr="00B278E7">
        <w:t xml:space="preserve"> </w:t>
      </w:r>
      <w:r>
        <w:t>in Angioid Streaks</w:t>
      </w:r>
      <w:r w:rsidRPr="00B278E7">
        <w:t>: Four-Year Follow-up. Retina. 2016;36(3):483-91.</w:t>
      </w:r>
    </w:p>
  </w:footnote>
  <w:footnote w:id="5">
    <w:p w:rsidR="004F1B17" w:rsidRDefault="004F1B17" w:rsidP="00A7235F">
      <w:pPr>
        <w:pStyle w:val="FootnoteText"/>
      </w:pPr>
      <w:r>
        <w:rPr>
          <w:rStyle w:val="FootnoteReference"/>
        </w:rPr>
        <w:footnoteRef/>
      </w:r>
      <w:r>
        <w:t xml:space="preserve"> </w:t>
      </w:r>
      <w:r w:rsidRPr="00B760F6">
        <w:t>http://www.pbs.gov.au/info/industry/listing/participants/public-release-docs/aflibercept-ranibizumab-prd-2015-06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5EA1" w:rsidRDefault="004C5EA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1B17" w:rsidRPr="00F90A91" w:rsidRDefault="004F1B17" w:rsidP="0022181E">
    <w:pPr>
      <w:pStyle w:val="Header"/>
      <w:ind w:left="360"/>
      <w:jc w:val="center"/>
      <w:rPr>
        <w:rFonts w:asciiTheme="minorHAnsi" w:hAnsiTheme="minorHAnsi"/>
        <w:i/>
        <w:color w:val="808080"/>
        <w:sz w:val="22"/>
      </w:rPr>
    </w:pPr>
    <w:r>
      <w:rPr>
        <w:rFonts w:asciiTheme="minorHAnsi" w:hAnsiTheme="minorHAnsi"/>
        <w:i/>
        <w:color w:val="808080"/>
        <w:sz w:val="22"/>
      </w:rPr>
      <w:t>Public Summary Document</w:t>
    </w:r>
    <w:r w:rsidRPr="00F90A91">
      <w:rPr>
        <w:rFonts w:asciiTheme="minorHAnsi" w:hAnsiTheme="minorHAnsi"/>
        <w:i/>
        <w:color w:val="808080"/>
        <w:sz w:val="22"/>
      </w:rPr>
      <w:t xml:space="preserve"> – </w:t>
    </w:r>
    <w:r>
      <w:rPr>
        <w:rFonts w:asciiTheme="minorHAnsi" w:hAnsiTheme="minorHAnsi"/>
        <w:i/>
        <w:color w:val="808080"/>
        <w:sz w:val="22"/>
      </w:rPr>
      <w:t>March 2018</w:t>
    </w:r>
    <w:r w:rsidRPr="00F90A91">
      <w:rPr>
        <w:rFonts w:asciiTheme="minorHAnsi" w:hAnsiTheme="minorHAnsi"/>
        <w:i/>
        <w:color w:val="808080"/>
        <w:sz w:val="22"/>
      </w:rPr>
      <w:t xml:space="preserve"> PBAC Meeting</w:t>
    </w:r>
  </w:p>
  <w:p w:rsidR="004F1B17" w:rsidRPr="0022181E" w:rsidRDefault="004F1B17" w:rsidP="0022181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5EA1" w:rsidRDefault="004C5EA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6105138"/>
    <w:multiLevelType w:val="hybridMultilevel"/>
    <w:tmpl w:val="CA2CA0CE"/>
    <w:lvl w:ilvl="0" w:tplc="842865A6">
      <w:start w:val="1"/>
      <w:numFmt w:val="bullet"/>
      <w:pStyle w:val="Dash0"/>
      <w:lvlText w:val="–"/>
      <w:lvlJc w:val="left"/>
      <w:pPr>
        <w:tabs>
          <w:tab w:val="num" w:pos="216"/>
        </w:tabs>
        <w:ind w:left="360" w:firstLine="0"/>
      </w:pPr>
      <w:rPr>
        <w:rFonts w:ascii="Times New Roman" w:hAnsi="Times New Roman" w:cs="Times New Roman" w:hint="default"/>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nsid w:val="086C5A9F"/>
    <w:multiLevelType w:val="hybridMultilevel"/>
    <w:tmpl w:val="B748BB94"/>
    <w:lvl w:ilvl="0" w:tplc="0C090001">
      <w:start w:val="1"/>
      <w:numFmt w:val="bullet"/>
      <w:lvlText w:val=""/>
      <w:lvlJc w:val="left"/>
      <w:pPr>
        <w:ind w:left="720" w:hanging="360"/>
      </w:pPr>
      <w:rPr>
        <w:rFonts w:ascii="Symbol" w:hAnsi="Symbol" w:hint="default"/>
      </w:rPr>
    </w:lvl>
    <w:lvl w:ilvl="1" w:tplc="64AA2AD6">
      <w:start w:val="1"/>
      <w:numFmt w:val="bullet"/>
      <w:lvlText w:val="-"/>
      <w:lvlJc w:val="left"/>
      <w:pPr>
        <w:ind w:left="1440" w:hanging="360"/>
      </w:pPr>
      <w:rPr>
        <w:rFonts w:ascii="Arial" w:hAnsi="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11B87EEA"/>
    <w:multiLevelType w:val="hybridMultilevel"/>
    <w:tmpl w:val="2C227EF6"/>
    <w:lvl w:ilvl="0" w:tplc="0C090001">
      <w:start w:val="1"/>
      <w:numFmt w:val="bullet"/>
      <w:lvlText w:val=""/>
      <w:lvlJc w:val="left"/>
      <w:pPr>
        <w:ind w:left="720" w:hanging="360"/>
      </w:pPr>
      <w:rPr>
        <w:rFonts w:ascii="Symbol" w:hAnsi="Symbol" w:hint="default"/>
      </w:rPr>
    </w:lvl>
    <w:lvl w:ilvl="1" w:tplc="0C090017">
      <w:start w:val="1"/>
      <w:numFmt w:val="lowerLetter"/>
      <w:lvlText w:val="%2)"/>
      <w:lvlJc w:val="left"/>
      <w:pPr>
        <w:ind w:left="1440" w:hanging="360"/>
      </w:pPr>
      <w:rPr>
        <w:rFont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43C7B75"/>
    <w:multiLevelType w:val="hybridMultilevel"/>
    <w:tmpl w:val="1408B42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nsid w:val="163F24B1"/>
    <w:multiLevelType w:val="hybridMultilevel"/>
    <w:tmpl w:val="9A86A20E"/>
    <w:lvl w:ilvl="0" w:tplc="C324F4FC">
      <w:start w:val="1"/>
      <w:numFmt w:val="bullet"/>
      <w:lvlText w:val=""/>
      <w:lvlJc w:val="left"/>
      <w:pPr>
        <w:ind w:left="720" w:hanging="360"/>
      </w:pPr>
      <w:rPr>
        <w:rFonts w:ascii="Symbol" w:hAnsi="Symbol" w:hint="default"/>
      </w:rPr>
    </w:lvl>
    <w:lvl w:ilvl="1" w:tplc="AFA87132">
      <w:start w:val="1"/>
      <w:numFmt w:val="bullet"/>
      <w:lvlText w:val="o"/>
      <w:lvlJc w:val="left"/>
      <w:pPr>
        <w:ind w:left="964" w:hanging="397"/>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64E6478"/>
    <w:multiLevelType w:val="hybridMultilevel"/>
    <w:tmpl w:val="E462062A"/>
    <w:lvl w:ilvl="0" w:tplc="C18498C0">
      <w:start w:val="1"/>
      <w:numFmt w:val="bullet"/>
      <w:pStyle w:val="Bullet12"/>
      <w:lvlText w:val=""/>
      <w:lvlJc w:val="left"/>
      <w:pPr>
        <w:ind w:left="720" w:hanging="360"/>
      </w:pPr>
      <w:rPr>
        <w:rFonts w:ascii="Symbol" w:hAnsi="Symbol" w:hint="default"/>
        <w:spacing w:val="0"/>
        <w:w w:val="100"/>
        <w:position w:val="0"/>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20B57AE8"/>
    <w:multiLevelType w:val="hybridMultilevel"/>
    <w:tmpl w:val="AF0E31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344A2C9F"/>
    <w:multiLevelType w:val="hybridMultilevel"/>
    <w:tmpl w:val="2CD2B9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34751D35"/>
    <w:multiLevelType w:val="hybridMultilevel"/>
    <w:tmpl w:val="7004C1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3690672D"/>
    <w:multiLevelType w:val="hybridMultilevel"/>
    <w:tmpl w:val="FFE831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3B7C34E2"/>
    <w:multiLevelType w:val="hybridMultilevel"/>
    <w:tmpl w:val="B928C1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3F641FB2"/>
    <w:multiLevelType w:val="hybridMultilevel"/>
    <w:tmpl w:val="6AD04DD2"/>
    <w:lvl w:ilvl="0" w:tplc="D3CCF494">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40387779"/>
    <w:multiLevelType w:val="hybridMultilevel"/>
    <w:tmpl w:val="57DAC06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nsid w:val="40FC3AA3"/>
    <w:multiLevelType w:val="hybridMultilevel"/>
    <w:tmpl w:val="65B68848"/>
    <w:lvl w:ilvl="0" w:tplc="2ECE06EC">
      <w:start w:val="1"/>
      <w:numFmt w:val="lowerRoman"/>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47B5EC5"/>
    <w:multiLevelType w:val="hybridMultilevel"/>
    <w:tmpl w:val="E362AD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4A0445F4"/>
    <w:multiLevelType w:val="multilevel"/>
    <w:tmpl w:val="24401002"/>
    <w:styleLink w:val="Lists"/>
    <w:lvl w:ilvl="0">
      <w:start w:val="1"/>
      <w:numFmt w:val="none"/>
      <w:suff w:val="nothing"/>
      <w:lvlText w:val="%1"/>
      <w:lvlJc w:val="left"/>
      <w:pPr>
        <w:ind w:left="0" w:firstLine="0"/>
      </w:pPr>
      <w:rPr>
        <w:rFonts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decimal"/>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0">
    <w:nsid w:val="4AD34CD8"/>
    <w:multiLevelType w:val="hybridMultilevel"/>
    <w:tmpl w:val="87622B5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1">
    <w:nsid w:val="506F757B"/>
    <w:multiLevelType w:val="hybridMultilevel"/>
    <w:tmpl w:val="E9C012EE"/>
    <w:lvl w:ilvl="0" w:tplc="2ECE06EC">
      <w:start w:val="1"/>
      <w:numFmt w:val="lowerRoman"/>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nsid w:val="53F64FF3"/>
    <w:multiLevelType w:val="hybridMultilevel"/>
    <w:tmpl w:val="AC4A3C7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637679AF"/>
    <w:multiLevelType w:val="hybridMultilevel"/>
    <w:tmpl w:val="23C47842"/>
    <w:lvl w:ilvl="0" w:tplc="FE44402E">
      <w:start w:val="1"/>
      <w:numFmt w:val="bullet"/>
      <w:lvlText w:val=""/>
      <w:lvlJc w:val="left"/>
      <w:pPr>
        <w:ind w:left="720" w:hanging="360"/>
      </w:pPr>
      <w:rPr>
        <w:rFonts w:ascii="Symbol" w:hAnsi="Symbol" w:hint="default"/>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6A1F71FB"/>
    <w:multiLevelType w:val="hybridMultilevel"/>
    <w:tmpl w:val="008EC19E"/>
    <w:lvl w:ilvl="0" w:tplc="3D6E17D0">
      <w:start w:val="1"/>
      <w:numFmt w:val="bullet"/>
      <w:lvlText w:val=""/>
      <w:lvlJc w:val="left"/>
      <w:pPr>
        <w:ind w:left="624" w:hanging="340"/>
      </w:pPr>
      <w:rPr>
        <w:rFonts w:ascii="Symbol" w:hAnsi="Symbol" w:hint="default"/>
      </w:rPr>
    </w:lvl>
    <w:lvl w:ilvl="1" w:tplc="AFA87132">
      <w:start w:val="1"/>
      <w:numFmt w:val="bullet"/>
      <w:lvlText w:val="o"/>
      <w:lvlJc w:val="left"/>
      <w:pPr>
        <w:ind w:left="964" w:hanging="397"/>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A644B4D"/>
    <w:multiLevelType w:val="hybridMultilevel"/>
    <w:tmpl w:val="06869E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6AC85AC5"/>
    <w:multiLevelType w:val="hybridMultilevel"/>
    <w:tmpl w:val="81700FB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6BDD4631"/>
    <w:multiLevelType w:val="hybridMultilevel"/>
    <w:tmpl w:val="2BEC771A"/>
    <w:lvl w:ilvl="0" w:tplc="0C09000F">
      <w:start w:val="1"/>
      <w:numFmt w:val="decimal"/>
      <w:lvlText w:val="%1."/>
      <w:lvlJc w:val="left"/>
      <w:pPr>
        <w:ind w:left="360" w:hanging="360"/>
      </w:pPr>
      <w:rPr>
        <w:rFonts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nsid w:val="6E0A4FCF"/>
    <w:multiLevelType w:val="hybridMultilevel"/>
    <w:tmpl w:val="0E32123E"/>
    <w:lvl w:ilvl="0" w:tplc="C6F43014">
      <w:start w:val="1"/>
      <w:numFmt w:val="decimal"/>
      <w:lvlText w:val="%1."/>
      <w:lvlJc w:val="left"/>
      <w:pPr>
        <w:ind w:left="720" w:hanging="360"/>
      </w:pPr>
      <w:rPr>
        <w:rFonts w:hint="default"/>
        <w:b/>
        <w: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nsid w:val="70827FF5"/>
    <w:multiLevelType w:val="hybridMultilevel"/>
    <w:tmpl w:val="550036B0"/>
    <w:lvl w:ilvl="0" w:tplc="D3CCF494">
      <w:start w:val="1"/>
      <w:numFmt w:val="bullet"/>
      <w:lvlText w:val=""/>
      <w:lvlJc w:val="left"/>
      <w:pPr>
        <w:ind w:left="720" w:hanging="360"/>
      </w:pPr>
      <w:rPr>
        <w:rFonts w:ascii="Symbol" w:hAnsi="Symbol" w:hint="default"/>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71C02754"/>
    <w:multiLevelType w:val="hybridMultilevel"/>
    <w:tmpl w:val="D146F3EA"/>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2">
    <w:nsid w:val="784D033C"/>
    <w:multiLevelType w:val="multilevel"/>
    <w:tmpl w:val="F8E864BC"/>
    <w:lvl w:ilvl="0">
      <w:start w:val="1"/>
      <w:numFmt w:val="decimal"/>
      <w:pStyle w:val="PBACHeading1"/>
      <w:lvlText w:val="%1"/>
      <w:lvlJc w:val="left"/>
      <w:pPr>
        <w:ind w:left="720" w:hanging="720"/>
      </w:pPr>
      <w:rPr>
        <w:rFonts w:hint="default"/>
        <w:b/>
        <w:i w:val="0"/>
        <w:sz w:val="32"/>
        <w:szCs w:val="32"/>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3"/>
  </w:num>
  <w:num w:numId="2">
    <w:abstractNumId w:val="32"/>
  </w:num>
  <w:num w:numId="3">
    <w:abstractNumId w:val="17"/>
  </w:num>
  <w:num w:numId="4">
    <w:abstractNumId w:val="16"/>
  </w:num>
  <w:num w:numId="5">
    <w:abstractNumId w:val="20"/>
  </w:num>
  <w:num w:numId="6">
    <w:abstractNumId w:val="26"/>
  </w:num>
  <w:num w:numId="7">
    <w:abstractNumId w:val="4"/>
  </w:num>
  <w:num w:numId="8">
    <w:abstractNumId w:val="6"/>
  </w:num>
  <w:num w:numId="9">
    <w:abstractNumId w:val="1"/>
  </w:num>
  <w:num w:numId="10">
    <w:abstractNumId w:val="12"/>
  </w:num>
  <w:num w:numId="11">
    <w:abstractNumId w:val="14"/>
  </w:num>
  <w:num w:numId="12">
    <w:abstractNumId w:val="30"/>
  </w:num>
  <w:num w:numId="13">
    <w:abstractNumId w:val="24"/>
  </w:num>
  <w:num w:numId="14">
    <w:abstractNumId w:val="10"/>
  </w:num>
  <w:num w:numId="15">
    <w:abstractNumId w:val="27"/>
  </w:num>
  <w:num w:numId="16">
    <w:abstractNumId w:val="2"/>
  </w:num>
  <w:num w:numId="17">
    <w:abstractNumId w:val="21"/>
  </w:num>
  <w:num w:numId="18">
    <w:abstractNumId w:val="31"/>
  </w:num>
  <w:num w:numId="19">
    <w:abstractNumId w:val="15"/>
  </w:num>
  <w:num w:numId="20">
    <w:abstractNumId w:val="25"/>
  </w:num>
  <w:num w:numId="21">
    <w:abstractNumId w:val="19"/>
  </w:num>
  <w:num w:numId="22">
    <w:abstractNumId w:val="28"/>
  </w:num>
  <w:num w:numId="23">
    <w:abstractNumId w:val="7"/>
  </w:num>
  <w:num w:numId="24">
    <w:abstractNumId w:val="18"/>
  </w:num>
  <w:num w:numId="25">
    <w:abstractNumId w:val="11"/>
  </w:num>
  <w:num w:numId="26">
    <w:abstractNumId w:val="5"/>
  </w:num>
  <w:num w:numId="27">
    <w:abstractNumId w:val="29"/>
  </w:num>
  <w:num w:numId="28">
    <w:abstractNumId w:val="8"/>
  </w:num>
  <w:num w:numId="29">
    <w:abstractNumId w:val="23"/>
  </w:num>
  <w:num w:numId="30">
    <w:abstractNumId w:val="3"/>
  </w:num>
  <w:num w:numId="31">
    <w:abstractNumId w:val="0"/>
  </w:num>
  <w:num w:numId="32">
    <w:abstractNumId w:val="9"/>
  </w:num>
  <w:num w:numId="33">
    <w:abstractNumId w:val="22"/>
  </w:num>
  <w:numIdMacAtCleanup w:val="2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G">
    <w15:presenceInfo w15:providerId="None" w15:userId="DG"/>
  </w15:person>
  <w15:person w15:author="Leesa Lerrel Pridham">
    <w15:presenceInfo w15:providerId="AD" w15:userId="S-1-5-21-1390582872-192029990-4074164785-2438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ctiveWritingStyle w:appName="MSWord" w:lang="fr-FR" w:vendorID="64" w:dllVersion="131078" w:nlCheck="1" w:checkStyle="0"/>
  <w:activeWritingStyle w:appName="MSWord" w:lang="en-AU" w:vendorID="64" w:dllVersion="131078" w:nlCheck="1" w:checkStyle="1"/>
  <w:activeWritingStyle w:appName="MSWord" w:lang="en-US" w:vendorID="64" w:dllVersion="131078" w:nlCheck="1" w:checkStyle="1"/>
  <w:activeWritingStyle w:appName="MSWord" w:lang="en-GB" w:vendorID="64" w:dllVersion="131078" w:nlCheck="1" w:checkStyle="1"/>
  <w:doNotTrackFormatting/>
  <w:defaultTabStop w:val="720"/>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Vancouver modifi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xvzdwaxa5ze9ueertmxx20hwfpzasz5rf9e&quot;&gt;CNV&lt;record-ids&gt;&lt;item&gt;1&lt;/item&gt;&lt;item&gt;17&lt;/item&gt;&lt;item&gt;18&lt;/item&gt;&lt;item&gt;20&lt;/item&gt;&lt;item&gt;21&lt;/item&gt;&lt;item&gt;33&lt;/item&gt;&lt;item&gt;70&lt;/item&gt;&lt;item&gt;87&lt;/item&gt;&lt;item&gt;88&lt;/item&gt;&lt;item&gt;90&lt;/item&gt;&lt;item&gt;92&lt;/item&gt;&lt;item&gt;99&lt;/item&gt;&lt;item&gt;132&lt;/item&gt;&lt;item&gt;133&lt;/item&gt;&lt;item&gt;136&lt;/item&gt;&lt;item&gt;139&lt;/item&gt;&lt;item&gt;144&lt;/item&gt;&lt;item&gt;145&lt;/item&gt;&lt;item&gt;146&lt;/item&gt;&lt;/record-ids&gt;&lt;/item&gt;&lt;/Libraries&gt;"/>
  </w:docVars>
  <w:rsids>
    <w:rsidRoot w:val="00E65E79"/>
    <w:rsid w:val="00000790"/>
    <w:rsid w:val="0000110B"/>
    <w:rsid w:val="00001BA5"/>
    <w:rsid w:val="00001DC7"/>
    <w:rsid w:val="00003499"/>
    <w:rsid w:val="000039B7"/>
    <w:rsid w:val="00004E7C"/>
    <w:rsid w:val="000055A5"/>
    <w:rsid w:val="00007613"/>
    <w:rsid w:val="0001162B"/>
    <w:rsid w:val="00011DE6"/>
    <w:rsid w:val="00013247"/>
    <w:rsid w:val="0001342B"/>
    <w:rsid w:val="00013552"/>
    <w:rsid w:val="00014A4D"/>
    <w:rsid w:val="00015886"/>
    <w:rsid w:val="000162EF"/>
    <w:rsid w:val="00016F84"/>
    <w:rsid w:val="00017190"/>
    <w:rsid w:val="000176F4"/>
    <w:rsid w:val="0002225F"/>
    <w:rsid w:val="00023763"/>
    <w:rsid w:val="00033541"/>
    <w:rsid w:val="00033863"/>
    <w:rsid w:val="00034D6A"/>
    <w:rsid w:val="00035DC0"/>
    <w:rsid w:val="00036274"/>
    <w:rsid w:val="00036829"/>
    <w:rsid w:val="00036BD9"/>
    <w:rsid w:val="00036FF4"/>
    <w:rsid w:val="0003704D"/>
    <w:rsid w:val="00037A0E"/>
    <w:rsid w:val="000400A3"/>
    <w:rsid w:val="00040895"/>
    <w:rsid w:val="000411D6"/>
    <w:rsid w:val="00041D18"/>
    <w:rsid w:val="00043C37"/>
    <w:rsid w:val="00044ACB"/>
    <w:rsid w:val="00045017"/>
    <w:rsid w:val="00045A2B"/>
    <w:rsid w:val="00046851"/>
    <w:rsid w:val="0004698F"/>
    <w:rsid w:val="00047DCB"/>
    <w:rsid w:val="000513EA"/>
    <w:rsid w:val="000539D0"/>
    <w:rsid w:val="00054621"/>
    <w:rsid w:val="000546D7"/>
    <w:rsid w:val="000551CF"/>
    <w:rsid w:val="000558C2"/>
    <w:rsid w:val="0005601F"/>
    <w:rsid w:val="00061E07"/>
    <w:rsid w:val="00062137"/>
    <w:rsid w:val="00062975"/>
    <w:rsid w:val="00064DB8"/>
    <w:rsid w:val="00066360"/>
    <w:rsid w:val="000674DC"/>
    <w:rsid w:val="00070AB2"/>
    <w:rsid w:val="00071221"/>
    <w:rsid w:val="00071248"/>
    <w:rsid w:val="000717EB"/>
    <w:rsid w:val="000720B9"/>
    <w:rsid w:val="00072DE2"/>
    <w:rsid w:val="000732DB"/>
    <w:rsid w:val="000737F7"/>
    <w:rsid w:val="00073B19"/>
    <w:rsid w:val="0007672F"/>
    <w:rsid w:val="00076F67"/>
    <w:rsid w:val="000774F0"/>
    <w:rsid w:val="00080882"/>
    <w:rsid w:val="00080909"/>
    <w:rsid w:val="000812CA"/>
    <w:rsid w:val="00081A92"/>
    <w:rsid w:val="0008258D"/>
    <w:rsid w:val="00083A51"/>
    <w:rsid w:val="00083E99"/>
    <w:rsid w:val="000856C5"/>
    <w:rsid w:val="00085776"/>
    <w:rsid w:val="00087A42"/>
    <w:rsid w:val="00090C7E"/>
    <w:rsid w:val="0009256E"/>
    <w:rsid w:val="00092600"/>
    <w:rsid w:val="0009262B"/>
    <w:rsid w:val="00092CED"/>
    <w:rsid w:val="00093310"/>
    <w:rsid w:val="0009445C"/>
    <w:rsid w:val="00095054"/>
    <w:rsid w:val="00095FE5"/>
    <w:rsid w:val="00096284"/>
    <w:rsid w:val="000964F0"/>
    <w:rsid w:val="000A0875"/>
    <w:rsid w:val="000A405D"/>
    <w:rsid w:val="000A423E"/>
    <w:rsid w:val="000A5C84"/>
    <w:rsid w:val="000A5D9E"/>
    <w:rsid w:val="000A69D2"/>
    <w:rsid w:val="000A7D08"/>
    <w:rsid w:val="000B0670"/>
    <w:rsid w:val="000B0E75"/>
    <w:rsid w:val="000B0EA2"/>
    <w:rsid w:val="000B1262"/>
    <w:rsid w:val="000B5608"/>
    <w:rsid w:val="000B5D5B"/>
    <w:rsid w:val="000B622D"/>
    <w:rsid w:val="000B6CAC"/>
    <w:rsid w:val="000B7612"/>
    <w:rsid w:val="000C282C"/>
    <w:rsid w:val="000C3DF9"/>
    <w:rsid w:val="000C3F7C"/>
    <w:rsid w:val="000C4294"/>
    <w:rsid w:val="000C4987"/>
    <w:rsid w:val="000C4F06"/>
    <w:rsid w:val="000C5CBE"/>
    <w:rsid w:val="000C6713"/>
    <w:rsid w:val="000D0B4B"/>
    <w:rsid w:val="000D0F7B"/>
    <w:rsid w:val="000D1BFC"/>
    <w:rsid w:val="000D281A"/>
    <w:rsid w:val="000D2E8E"/>
    <w:rsid w:val="000D326A"/>
    <w:rsid w:val="000D3281"/>
    <w:rsid w:val="000D51FB"/>
    <w:rsid w:val="000D5B96"/>
    <w:rsid w:val="000D5D07"/>
    <w:rsid w:val="000D657D"/>
    <w:rsid w:val="000D6B2F"/>
    <w:rsid w:val="000E01AD"/>
    <w:rsid w:val="000E135D"/>
    <w:rsid w:val="000E215A"/>
    <w:rsid w:val="000E3AFD"/>
    <w:rsid w:val="000E44A9"/>
    <w:rsid w:val="000E50ED"/>
    <w:rsid w:val="000E5B56"/>
    <w:rsid w:val="000E6098"/>
    <w:rsid w:val="000E6589"/>
    <w:rsid w:val="000E6D85"/>
    <w:rsid w:val="000E7EA5"/>
    <w:rsid w:val="000F00BA"/>
    <w:rsid w:val="000F0CFD"/>
    <w:rsid w:val="000F1DE4"/>
    <w:rsid w:val="000F1F2B"/>
    <w:rsid w:val="000F316A"/>
    <w:rsid w:val="000F3C74"/>
    <w:rsid w:val="000F4BB8"/>
    <w:rsid w:val="000F5405"/>
    <w:rsid w:val="000F5F70"/>
    <w:rsid w:val="000F6886"/>
    <w:rsid w:val="000F7127"/>
    <w:rsid w:val="000F79C5"/>
    <w:rsid w:val="0010073F"/>
    <w:rsid w:val="001008D2"/>
    <w:rsid w:val="00100F8A"/>
    <w:rsid w:val="00102DA7"/>
    <w:rsid w:val="00103104"/>
    <w:rsid w:val="00104458"/>
    <w:rsid w:val="0010471A"/>
    <w:rsid w:val="0010543E"/>
    <w:rsid w:val="001056EC"/>
    <w:rsid w:val="00105AE2"/>
    <w:rsid w:val="00106B80"/>
    <w:rsid w:val="00107AEB"/>
    <w:rsid w:val="0011032E"/>
    <w:rsid w:val="00110828"/>
    <w:rsid w:val="001122ED"/>
    <w:rsid w:val="0011348B"/>
    <w:rsid w:val="0011387C"/>
    <w:rsid w:val="00115982"/>
    <w:rsid w:val="00116C53"/>
    <w:rsid w:val="0012056F"/>
    <w:rsid w:val="00121799"/>
    <w:rsid w:val="00121B71"/>
    <w:rsid w:val="00121F85"/>
    <w:rsid w:val="001222FC"/>
    <w:rsid w:val="001248A3"/>
    <w:rsid w:val="00124A51"/>
    <w:rsid w:val="001255A1"/>
    <w:rsid w:val="00126621"/>
    <w:rsid w:val="00126713"/>
    <w:rsid w:val="00126A02"/>
    <w:rsid w:val="00126BBB"/>
    <w:rsid w:val="00126CC3"/>
    <w:rsid w:val="00127259"/>
    <w:rsid w:val="00127E2B"/>
    <w:rsid w:val="001301E9"/>
    <w:rsid w:val="00130E7A"/>
    <w:rsid w:val="00131D82"/>
    <w:rsid w:val="001335CE"/>
    <w:rsid w:val="00133D36"/>
    <w:rsid w:val="00135130"/>
    <w:rsid w:val="001374AC"/>
    <w:rsid w:val="00137645"/>
    <w:rsid w:val="0014015A"/>
    <w:rsid w:val="00140E99"/>
    <w:rsid w:val="00141524"/>
    <w:rsid w:val="00144197"/>
    <w:rsid w:val="0014463D"/>
    <w:rsid w:val="00144FC8"/>
    <w:rsid w:val="00145540"/>
    <w:rsid w:val="001456B0"/>
    <w:rsid w:val="0014613E"/>
    <w:rsid w:val="00146C45"/>
    <w:rsid w:val="001476B7"/>
    <w:rsid w:val="0014791B"/>
    <w:rsid w:val="00152080"/>
    <w:rsid w:val="00152133"/>
    <w:rsid w:val="00157130"/>
    <w:rsid w:val="001576B1"/>
    <w:rsid w:val="00160564"/>
    <w:rsid w:val="001605BC"/>
    <w:rsid w:val="00160A4C"/>
    <w:rsid w:val="0016198F"/>
    <w:rsid w:val="00162913"/>
    <w:rsid w:val="00163EFF"/>
    <w:rsid w:val="0016563A"/>
    <w:rsid w:val="00165B5E"/>
    <w:rsid w:val="001661FB"/>
    <w:rsid w:val="001664D5"/>
    <w:rsid w:val="00167B2B"/>
    <w:rsid w:val="001708BC"/>
    <w:rsid w:val="00170E6C"/>
    <w:rsid w:val="0017285C"/>
    <w:rsid w:val="00173565"/>
    <w:rsid w:val="00173AF3"/>
    <w:rsid w:val="00173B07"/>
    <w:rsid w:val="00173B5B"/>
    <w:rsid w:val="0017504A"/>
    <w:rsid w:val="001800DA"/>
    <w:rsid w:val="001802CA"/>
    <w:rsid w:val="001810E2"/>
    <w:rsid w:val="001814BD"/>
    <w:rsid w:val="00181D9C"/>
    <w:rsid w:val="00182B3F"/>
    <w:rsid w:val="001833EC"/>
    <w:rsid w:val="001837BC"/>
    <w:rsid w:val="001858FC"/>
    <w:rsid w:val="0018671C"/>
    <w:rsid w:val="0018674E"/>
    <w:rsid w:val="00187176"/>
    <w:rsid w:val="00187453"/>
    <w:rsid w:val="0018752F"/>
    <w:rsid w:val="00190B56"/>
    <w:rsid w:val="0019229F"/>
    <w:rsid w:val="00192EDB"/>
    <w:rsid w:val="001945E0"/>
    <w:rsid w:val="00194CA9"/>
    <w:rsid w:val="00195222"/>
    <w:rsid w:val="00195DB2"/>
    <w:rsid w:val="00196DE0"/>
    <w:rsid w:val="001975D8"/>
    <w:rsid w:val="001A0015"/>
    <w:rsid w:val="001A2FA0"/>
    <w:rsid w:val="001A38E7"/>
    <w:rsid w:val="001A3E21"/>
    <w:rsid w:val="001A43FA"/>
    <w:rsid w:val="001A59FB"/>
    <w:rsid w:val="001A6354"/>
    <w:rsid w:val="001A7964"/>
    <w:rsid w:val="001A7AE8"/>
    <w:rsid w:val="001B0BE4"/>
    <w:rsid w:val="001B204E"/>
    <w:rsid w:val="001B2AF7"/>
    <w:rsid w:val="001B2CA7"/>
    <w:rsid w:val="001B3443"/>
    <w:rsid w:val="001B3FB8"/>
    <w:rsid w:val="001B4890"/>
    <w:rsid w:val="001B4D20"/>
    <w:rsid w:val="001B52BB"/>
    <w:rsid w:val="001B7A35"/>
    <w:rsid w:val="001B7E59"/>
    <w:rsid w:val="001C053A"/>
    <w:rsid w:val="001C0BEA"/>
    <w:rsid w:val="001C0C2C"/>
    <w:rsid w:val="001C0E32"/>
    <w:rsid w:val="001C2A9B"/>
    <w:rsid w:val="001C2DC2"/>
    <w:rsid w:val="001C3E4C"/>
    <w:rsid w:val="001C4299"/>
    <w:rsid w:val="001C5116"/>
    <w:rsid w:val="001C562B"/>
    <w:rsid w:val="001C5F94"/>
    <w:rsid w:val="001C6665"/>
    <w:rsid w:val="001C6E66"/>
    <w:rsid w:val="001C717A"/>
    <w:rsid w:val="001C7367"/>
    <w:rsid w:val="001D28B6"/>
    <w:rsid w:val="001D39AF"/>
    <w:rsid w:val="001D4DA1"/>
    <w:rsid w:val="001E04C2"/>
    <w:rsid w:val="001E15AF"/>
    <w:rsid w:val="001E238E"/>
    <w:rsid w:val="001E2483"/>
    <w:rsid w:val="001E2A10"/>
    <w:rsid w:val="001E2B1E"/>
    <w:rsid w:val="001E30D4"/>
    <w:rsid w:val="001E4909"/>
    <w:rsid w:val="001E52EB"/>
    <w:rsid w:val="001E61D2"/>
    <w:rsid w:val="001E740C"/>
    <w:rsid w:val="001F0C2B"/>
    <w:rsid w:val="001F1235"/>
    <w:rsid w:val="001F1CB3"/>
    <w:rsid w:val="001F1D10"/>
    <w:rsid w:val="001F38B5"/>
    <w:rsid w:val="001F7361"/>
    <w:rsid w:val="00200073"/>
    <w:rsid w:val="0020009D"/>
    <w:rsid w:val="002011B0"/>
    <w:rsid w:val="00202004"/>
    <w:rsid w:val="00203181"/>
    <w:rsid w:val="00203783"/>
    <w:rsid w:val="0020385F"/>
    <w:rsid w:val="0020484B"/>
    <w:rsid w:val="00204DCF"/>
    <w:rsid w:val="002057BE"/>
    <w:rsid w:val="00207021"/>
    <w:rsid w:val="0020732F"/>
    <w:rsid w:val="002074A0"/>
    <w:rsid w:val="002075A7"/>
    <w:rsid w:val="00207D00"/>
    <w:rsid w:val="002105C1"/>
    <w:rsid w:val="00211096"/>
    <w:rsid w:val="002152F4"/>
    <w:rsid w:val="00215652"/>
    <w:rsid w:val="002156A1"/>
    <w:rsid w:val="00215739"/>
    <w:rsid w:val="00220B4F"/>
    <w:rsid w:val="00220F7F"/>
    <w:rsid w:val="0022181E"/>
    <w:rsid w:val="00222DB1"/>
    <w:rsid w:val="00222FF4"/>
    <w:rsid w:val="00223B49"/>
    <w:rsid w:val="002243FE"/>
    <w:rsid w:val="00224DD4"/>
    <w:rsid w:val="00227853"/>
    <w:rsid w:val="00230347"/>
    <w:rsid w:val="002309CC"/>
    <w:rsid w:val="00230DE9"/>
    <w:rsid w:val="0023209F"/>
    <w:rsid w:val="002322A8"/>
    <w:rsid w:val="00232BB4"/>
    <w:rsid w:val="00236035"/>
    <w:rsid w:val="0023629D"/>
    <w:rsid w:val="00236D91"/>
    <w:rsid w:val="00237255"/>
    <w:rsid w:val="0024117F"/>
    <w:rsid w:val="00241A2C"/>
    <w:rsid w:val="00241EAC"/>
    <w:rsid w:val="00242225"/>
    <w:rsid w:val="002424AF"/>
    <w:rsid w:val="002439DC"/>
    <w:rsid w:val="002449A9"/>
    <w:rsid w:val="00244DC8"/>
    <w:rsid w:val="00245096"/>
    <w:rsid w:val="0024558B"/>
    <w:rsid w:val="0024566C"/>
    <w:rsid w:val="002458BA"/>
    <w:rsid w:val="0024636C"/>
    <w:rsid w:val="002478F9"/>
    <w:rsid w:val="00247925"/>
    <w:rsid w:val="00250F5D"/>
    <w:rsid w:val="0025102A"/>
    <w:rsid w:val="0025135F"/>
    <w:rsid w:val="00251629"/>
    <w:rsid w:val="0025243E"/>
    <w:rsid w:val="002542CB"/>
    <w:rsid w:val="00254B18"/>
    <w:rsid w:val="00254DCF"/>
    <w:rsid w:val="0025534B"/>
    <w:rsid w:val="00255BB7"/>
    <w:rsid w:val="00257541"/>
    <w:rsid w:val="00257608"/>
    <w:rsid w:val="0026065B"/>
    <w:rsid w:val="002611FA"/>
    <w:rsid w:val="00261760"/>
    <w:rsid w:val="00261A2B"/>
    <w:rsid w:val="00262A1A"/>
    <w:rsid w:val="00262A87"/>
    <w:rsid w:val="00263400"/>
    <w:rsid w:val="002638CB"/>
    <w:rsid w:val="00264D26"/>
    <w:rsid w:val="00265146"/>
    <w:rsid w:val="002654DD"/>
    <w:rsid w:val="00267642"/>
    <w:rsid w:val="00267AEA"/>
    <w:rsid w:val="002700E6"/>
    <w:rsid w:val="0027294B"/>
    <w:rsid w:val="00274A00"/>
    <w:rsid w:val="00274AB5"/>
    <w:rsid w:val="00274B26"/>
    <w:rsid w:val="00275C5A"/>
    <w:rsid w:val="00276C80"/>
    <w:rsid w:val="002779EB"/>
    <w:rsid w:val="00281014"/>
    <w:rsid w:val="00281296"/>
    <w:rsid w:val="00281387"/>
    <w:rsid w:val="00281D2B"/>
    <w:rsid w:val="002844F8"/>
    <w:rsid w:val="00285573"/>
    <w:rsid w:val="00286097"/>
    <w:rsid w:val="002869B4"/>
    <w:rsid w:val="00292231"/>
    <w:rsid w:val="0029401A"/>
    <w:rsid w:val="00296EC6"/>
    <w:rsid w:val="002A13EB"/>
    <w:rsid w:val="002A14AB"/>
    <w:rsid w:val="002A23D2"/>
    <w:rsid w:val="002A2F50"/>
    <w:rsid w:val="002A4740"/>
    <w:rsid w:val="002A615A"/>
    <w:rsid w:val="002A68EB"/>
    <w:rsid w:val="002A7DBA"/>
    <w:rsid w:val="002B09A4"/>
    <w:rsid w:val="002B1C1F"/>
    <w:rsid w:val="002B1C76"/>
    <w:rsid w:val="002B3E28"/>
    <w:rsid w:val="002B432F"/>
    <w:rsid w:val="002B5FE5"/>
    <w:rsid w:val="002B61F2"/>
    <w:rsid w:val="002B62B3"/>
    <w:rsid w:val="002B6614"/>
    <w:rsid w:val="002B6754"/>
    <w:rsid w:val="002B6CCE"/>
    <w:rsid w:val="002B6E0E"/>
    <w:rsid w:val="002C0FCE"/>
    <w:rsid w:val="002C2510"/>
    <w:rsid w:val="002C2775"/>
    <w:rsid w:val="002C27C1"/>
    <w:rsid w:val="002C298C"/>
    <w:rsid w:val="002C3FAD"/>
    <w:rsid w:val="002C5099"/>
    <w:rsid w:val="002C5889"/>
    <w:rsid w:val="002C71CE"/>
    <w:rsid w:val="002C720D"/>
    <w:rsid w:val="002C769F"/>
    <w:rsid w:val="002D0E72"/>
    <w:rsid w:val="002D2365"/>
    <w:rsid w:val="002D577C"/>
    <w:rsid w:val="002D5EFB"/>
    <w:rsid w:val="002D6A85"/>
    <w:rsid w:val="002D708F"/>
    <w:rsid w:val="002E15B9"/>
    <w:rsid w:val="002E2158"/>
    <w:rsid w:val="002E3DB9"/>
    <w:rsid w:val="002E5C5E"/>
    <w:rsid w:val="002E64BF"/>
    <w:rsid w:val="002E6D3F"/>
    <w:rsid w:val="002E72D5"/>
    <w:rsid w:val="002E7722"/>
    <w:rsid w:val="002F07BA"/>
    <w:rsid w:val="002F0DA9"/>
    <w:rsid w:val="002F267D"/>
    <w:rsid w:val="002F44B2"/>
    <w:rsid w:val="002F643C"/>
    <w:rsid w:val="002F6722"/>
    <w:rsid w:val="002F71C0"/>
    <w:rsid w:val="002F79E5"/>
    <w:rsid w:val="003001BD"/>
    <w:rsid w:val="0030028E"/>
    <w:rsid w:val="00301017"/>
    <w:rsid w:val="0030155F"/>
    <w:rsid w:val="0030587B"/>
    <w:rsid w:val="003063D0"/>
    <w:rsid w:val="00306D98"/>
    <w:rsid w:val="0030786C"/>
    <w:rsid w:val="0031031A"/>
    <w:rsid w:val="00310981"/>
    <w:rsid w:val="00311D7E"/>
    <w:rsid w:val="0031206E"/>
    <w:rsid w:val="00314ABA"/>
    <w:rsid w:val="00315498"/>
    <w:rsid w:val="00315B02"/>
    <w:rsid w:val="0031775E"/>
    <w:rsid w:val="00317FB3"/>
    <w:rsid w:val="003204B6"/>
    <w:rsid w:val="0032189F"/>
    <w:rsid w:val="00322107"/>
    <w:rsid w:val="00322846"/>
    <w:rsid w:val="00324D8C"/>
    <w:rsid w:val="00326DA7"/>
    <w:rsid w:val="003270E4"/>
    <w:rsid w:val="00330F5C"/>
    <w:rsid w:val="00333081"/>
    <w:rsid w:val="0033318B"/>
    <w:rsid w:val="00334325"/>
    <w:rsid w:val="00335B65"/>
    <w:rsid w:val="003360CD"/>
    <w:rsid w:val="00336355"/>
    <w:rsid w:val="003366C9"/>
    <w:rsid w:val="003371B0"/>
    <w:rsid w:val="00340316"/>
    <w:rsid w:val="0034067E"/>
    <w:rsid w:val="00340DF1"/>
    <w:rsid w:val="00341D47"/>
    <w:rsid w:val="003426F1"/>
    <w:rsid w:val="00344005"/>
    <w:rsid w:val="0034506F"/>
    <w:rsid w:val="00345437"/>
    <w:rsid w:val="00347268"/>
    <w:rsid w:val="0034729E"/>
    <w:rsid w:val="003477EB"/>
    <w:rsid w:val="003517F9"/>
    <w:rsid w:val="00351ECC"/>
    <w:rsid w:val="003528AC"/>
    <w:rsid w:val="003535C2"/>
    <w:rsid w:val="0035366B"/>
    <w:rsid w:val="00355CAB"/>
    <w:rsid w:val="00355DE8"/>
    <w:rsid w:val="0035620E"/>
    <w:rsid w:val="003624C4"/>
    <w:rsid w:val="00362F93"/>
    <w:rsid w:val="0036457F"/>
    <w:rsid w:val="003654AC"/>
    <w:rsid w:val="003675A4"/>
    <w:rsid w:val="00367BF2"/>
    <w:rsid w:val="003708FE"/>
    <w:rsid w:val="003710CF"/>
    <w:rsid w:val="0037162A"/>
    <w:rsid w:val="00373360"/>
    <w:rsid w:val="0037358A"/>
    <w:rsid w:val="00373C61"/>
    <w:rsid w:val="003750F6"/>
    <w:rsid w:val="003760FC"/>
    <w:rsid w:val="00377D33"/>
    <w:rsid w:val="0038060A"/>
    <w:rsid w:val="00382927"/>
    <w:rsid w:val="00382FF4"/>
    <w:rsid w:val="0038365C"/>
    <w:rsid w:val="0038369B"/>
    <w:rsid w:val="00383B09"/>
    <w:rsid w:val="00383B78"/>
    <w:rsid w:val="00384992"/>
    <w:rsid w:val="00385A9D"/>
    <w:rsid w:val="00386CF4"/>
    <w:rsid w:val="003902B1"/>
    <w:rsid w:val="00390824"/>
    <w:rsid w:val="00392C57"/>
    <w:rsid w:val="00392CAC"/>
    <w:rsid w:val="00396896"/>
    <w:rsid w:val="00396FD0"/>
    <w:rsid w:val="0039731B"/>
    <w:rsid w:val="00397408"/>
    <w:rsid w:val="003A1A7A"/>
    <w:rsid w:val="003A2392"/>
    <w:rsid w:val="003A23E6"/>
    <w:rsid w:val="003A2831"/>
    <w:rsid w:val="003A3ED1"/>
    <w:rsid w:val="003A3EEA"/>
    <w:rsid w:val="003A434F"/>
    <w:rsid w:val="003A4BCD"/>
    <w:rsid w:val="003B041C"/>
    <w:rsid w:val="003B1274"/>
    <w:rsid w:val="003B2AD8"/>
    <w:rsid w:val="003B396C"/>
    <w:rsid w:val="003B4B48"/>
    <w:rsid w:val="003B5B61"/>
    <w:rsid w:val="003B7855"/>
    <w:rsid w:val="003B7FB6"/>
    <w:rsid w:val="003C1654"/>
    <w:rsid w:val="003C3635"/>
    <w:rsid w:val="003C46A3"/>
    <w:rsid w:val="003C4EE7"/>
    <w:rsid w:val="003C74B1"/>
    <w:rsid w:val="003C7D19"/>
    <w:rsid w:val="003D1828"/>
    <w:rsid w:val="003D1DE4"/>
    <w:rsid w:val="003D2422"/>
    <w:rsid w:val="003D39A1"/>
    <w:rsid w:val="003D3FBF"/>
    <w:rsid w:val="003D44CC"/>
    <w:rsid w:val="003D44EF"/>
    <w:rsid w:val="003D4A30"/>
    <w:rsid w:val="003D54B2"/>
    <w:rsid w:val="003D594A"/>
    <w:rsid w:val="003D6C0A"/>
    <w:rsid w:val="003D754C"/>
    <w:rsid w:val="003D79BB"/>
    <w:rsid w:val="003D7C98"/>
    <w:rsid w:val="003E0543"/>
    <w:rsid w:val="003E0612"/>
    <w:rsid w:val="003E0DBA"/>
    <w:rsid w:val="003E4EED"/>
    <w:rsid w:val="003E542C"/>
    <w:rsid w:val="003E68A0"/>
    <w:rsid w:val="003E78B4"/>
    <w:rsid w:val="003F4156"/>
    <w:rsid w:val="003F4505"/>
    <w:rsid w:val="003F7735"/>
    <w:rsid w:val="003F7F52"/>
    <w:rsid w:val="0040068D"/>
    <w:rsid w:val="00400B29"/>
    <w:rsid w:val="004040BA"/>
    <w:rsid w:val="0040504B"/>
    <w:rsid w:val="0040590C"/>
    <w:rsid w:val="00407058"/>
    <w:rsid w:val="00407F29"/>
    <w:rsid w:val="00410708"/>
    <w:rsid w:val="00410C9E"/>
    <w:rsid w:val="00410EC7"/>
    <w:rsid w:val="00411037"/>
    <w:rsid w:val="00411B39"/>
    <w:rsid w:val="0041267B"/>
    <w:rsid w:val="00413A1E"/>
    <w:rsid w:val="004142AC"/>
    <w:rsid w:val="00414476"/>
    <w:rsid w:val="00414C2E"/>
    <w:rsid w:val="00414F9A"/>
    <w:rsid w:val="004151CF"/>
    <w:rsid w:val="00416364"/>
    <w:rsid w:val="004163CC"/>
    <w:rsid w:val="00420AA6"/>
    <w:rsid w:val="00420B9F"/>
    <w:rsid w:val="00422260"/>
    <w:rsid w:val="004224ED"/>
    <w:rsid w:val="0042413F"/>
    <w:rsid w:val="00424163"/>
    <w:rsid w:val="0042454A"/>
    <w:rsid w:val="00426A61"/>
    <w:rsid w:val="00427C68"/>
    <w:rsid w:val="0043092F"/>
    <w:rsid w:val="00430FF2"/>
    <w:rsid w:val="00431291"/>
    <w:rsid w:val="0043195A"/>
    <w:rsid w:val="004319F8"/>
    <w:rsid w:val="00431C60"/>
    <w:rsid w:val="00431D24"/>
    <w:rsid w:val="00431E55"/>
    <w:rsid w:val="00431FA4"/>
    <w:rsid w:val="004321F6"/>
    <w:rsid w:val="00432A5B"/>
    <w:rsid w:val="00433044"/>
    <w:rsid w:val="00433290"/>
    <w:rsid w:val="00434F9F"/>
    <w:rsid w:val="004375B9"/>
    <w:rsid w:val="00437F03"/>
    <w:rsid w:val="004428D0"/>
    <w:rsid w:val="004443A7"/>
    <w:rsid w:val="0044442C"/>
    <w:rsid w:val="004453C4"/>
    <w:rsid w:val="00445941"/>
    <w:rsid w:val="004460A7"/>
    <w:rsid w:val="004464EB"/>
    <w:rsid w:val="00447D26"/>
    <w:rsid w:val="00447F3F"/>
    <w:rsid w:val="00450CCC"/>
    <w:rsid w:val="00451627"/>
    <w:rsid w:val="00451C24"/>
    <w:rsid w:val="0045218C"/>
    <w:rsid w:val="00455D45"/>
    <w:rsid w:val="00455F82"/>
    <w:rsid w:val="0045629E"/>
    <w:rsid w:val="00457ADC"/>
    <w:rsid w:val="00460481"/>
    <w:rsid w:val="00460EDC"/>
    <w:rsid w:val="004612FA"/>
    <w:rsid w:val="00461BC4"/>
    <w:rsid w:val="0046260B"/>
    <w:rsid w:val="00462DA6"/>
    <w:rsid w:val="00464595"/>
    <w:rsid w:val="0046562E"/>
    <w:rsid w:val="0047115A"/>
    <w:rsid w:val="00472A79"/>
    <w:rsid w:val="00473A43"/>
    <w:rsid w:val="00473F19"/>
    <w:rsid w:val="004754EE"/>
    <w:rsid w:val="00475E22"/>
    <w:rsid w:val="00476F72"/>
    <w:rsid w:val="00477140"/>
    <w:rsid w:val="0048088E"/>
    <w:rsid w:val="00480C2E"/>
    <w:rsid w:val="00481575"/>
    <w:rsid w:val="00482720"/>
    <w:rsid w:val="004835E7"/>
    <w:rsid w:val="004837FE"/>
    <w:rsid w:val="004867E2"/>
    <w:rsid w:val="00486FD7"/>
    <w:rsid w:val="004910C9"/>
    <w:rsid w:val="00491B3A"/>
    <w:rsid w:val="00492CFD"/>
    <w:rsid w:val="00494592"/>
    <w:rsid w:val="00494DD5"/>
    <w:rsid w:val="004962D2"/>
    <w:rsid w:val="00496B79"/>
    <w:rsid w:val="004974FE"/>
    <w:rsid w:val="00497AAC"/>
    <w:rsid w:val="00497D95"/>
    <w:rsid w:val="004A0DA1"/>
    <w:rsid w:val="004A1730"/>
    <w:rsid w:val="004A3222"/>
    <w:rsid w:val="004A4678"/>
    <w:rsid w:val="004A4695"/>
    <w:rsid w:val="004A4742"/>
    <w:rsid w:val="004A52E9"/>
    <w:rsid w:val="004A6597"/>
    <w:rsid w:val="004A6829"/>
    <w:rsid w:val="004A705B"/>
    <w:rsid w:val="004A7848"/>
    <w:rsid w:val="004A7923"/>
    <w:rsid w:val="004A7ED3"/>
    <w:rsid w:val="004B05A6"/>
    <w:rsid w:val="004B1CB4"/>
    <w:rsid w:val="004B2F18"/>
    <w:rsid w:val="004B3820"/>
    <w:rsid w:val="004B3DDB"/>
    <w:rsid w:val="004B3F56"/>
    <w:rsid w:val="004B442D"/>
    <w:rsid w:val="004B44FD"/>
    <w:rsid w:val="004B5218"/>
    <w:rsid w:val="004B5CFC"/>
    <w:rsid w:val="004B5F86"/>
    <w:rsid w:val="004B744C"/>
    <w:rsid w:val="004B7591"/>
    <w:rsid w:val="004B774D"/>
    <w:rsid w:val="004C4AED"/>
    <w:rsid w:val="004C52AB"/>
    <w:rsid w:val="004C5EA1"/>
    <w:rsid w:val="004C6605"/>
    <w:rsid w:val="004C75D6"/>
    <w:rsid w:val="004D0862"/>
    <w:rsid w:val="004D10C9"/>
    <w:rsid w:val="004D2C2D"/>
    <w:rsid w:val="004D3A5A"/>
    <w:rsid w:val="004D5A33"/>
    <w:rsid w:val="004D6FCB"/>
    <w:rsid w:val="004D7227"/>
    <w:rsid w:val="004D7EC8"/>
    <w:rsid w:val="004E03F4"/>
    <w:rsid w:val="004E0415"/>
    <w:rsid w:val="004E0E7F"/>
    <w:rsid w:val="004E0EB8"/>
    <w:rsid w:val="004E1B91"/>
    <w:rsid w:val="004E2ADC"/>
    <w:rsid w:val="004E4017"/>
    <w:rsid w:val="004E43B2"/>
    <w:rsid w:val="004E4825"/>
    <w:rsid w:val="004E625E"/>
    <w:rsid w:val="004E6AD4"/>
    <w:rsid w:val="004F1B17"/>
    <w:rsid w:val="004F1B86"/>
    <w:rsid w:val="004F1C94"/>
    <w:rsid w:val="004F1CD6"/>
    <w:rsid w:val="004F1D02"/>
    <w:rsid w:val="004F2679"/>
    <w:rsid w:val="004F2E4A"/>
    <w:rsid w:val="004F2F21"/>
    <w:rsid w:val="004F3208"/>
    <w:rsid w:val="004F4653"/>
    <w:rsid w:val="004F4AB9"/>
    <w:rsid w:val="004F68E6"/>
    <w:rsid w:val="004F6913"/>
    <w:rsid w:val="004F7865"/>
    <w:rsid w:val="004F7C78"/>
    <w:rsid w:val="005012C2"/>
    <w:rsid w:val="0050219B"/>
    <w:rsid w:val="005039B5"/>
    <w:rsid w:val="00503ED5"/>
    <w:rsid w:val="00503F17"/>
    <w:rsid w:val="00506745"/>
    <w:rsid w:val="00506928"/>
    <w:rsid w:val="00506E93"/>
    <w:rsid w:val="005071B6"/>
    <w:rsid w:val="0051009F"/>
    <w:rsid w:val="00510779"/>
    <w:rsid w:val="00511F9D"/>
    <w:rsid w:val="00512273"/>
    <w:rsid w:val="00513527"/>
    <w:rsid w:val="005152B5"/>
    <w:rsid w:val="00515956"/>
    <w:rsid w:val="00516A7F"/>
    <w:rsid w:val="00516C45"/>
    <w:rsid w:val="00516F15"/>
    <w:rsid w:val="00521319"/>
    <w:rsid w:val="00522BC8"/>
    <w:rsid w:val="00522CFE"/>
    <w:rsid w:val="00523417"/>
    <w:rsid w:val="00523891"/>
    <w:rsid w:val="00523C28"/>
    <w:rsid w:val="00524B81"/>
    <w:rsid w:val="0052621D"/>
    <w:rsid w:val="00527833"/>
    <w:rsid w:val="0052798F"/>
    <w:rsid w:val="0053123B"/>
    <w:rsid w:val="00532600"/>
    <w:rsid w:val="00536729"/>
    <w:rsid w:val="00536F42"/>
    <w:rsid w:val="00537182"/>
    <w:rsid w:val="005377E5"/>
    <w:rsid w:val="005379E0"/>
    <w:rsid w:val="00542743"/>
    <w:rsid w:val="00542C2D"/>
    <w:rsid w:val="00543B54"/>
    <w:rsid w:val="0054578F"/>
    <w:rsid w:val="00550E19"/>
    <w:rsid w:val="00551985"/>
    <w:rsid w:val="00552BD3"/>
    <w:rsid w:val="00553472"/>
    <w:rsid w:val="00555109"/>
    <w:rsid w:val="00555D88"/>
    <w:rsid w:val="00556D8E"/>
    <w:rsid w:val="0056393F"/>
    <w:rsid w:val="00563FFF"/>
    <w:rsid w:val="005641C3"/>
    <w:rsid w:val="0056696F"/>
    <w:rsid w:val="00567B27"/>
    <w:rsid w:val="00572269"/>
    <w:rsid w:val="0057244A"/>
    <w:rsid w:val="00575626"/>
    <w:rsid w:val="00575D8D"/>
    <w:rsid w:val="00576972"/>
    <w:rsid w:val="00576B6C"/>
    <w:rsid w:val="005777DA"/>
    <w:rsid w:val="0058264C"/>
    <w:rsid w:val="00582E27"/>
    <w:rsid w:val="00583699"/>
    <w:rsid w:val="00583910"/>
    <w:rsid w:val="00585CDD"/>
    <w:rsid w:val="00587058"/>
    <w:rsid w:val="00591957"/>
    <w:rsid w:val="00591E17"/>
    <w:rsid w:val="00592761"/>
    <w:rsid w:val="00593687"/>
    <w:rsid w:val="005947CE"/>
    <w:rsid w:val="005972B0"/>
    <w:rsid w:val="00597BF9"/>
    <w:rsid w:val="005A1CFD"/>
    <w:rsid w:val="005A373D"/>
    <w:rsid w:val="005A4878"/>
    <w:rsid w:val="005A51DD"/>
    <w:rsid w:val="005A6ABA"/>
    <w:rsid w:val="005A6ABF"/>
    <w:rsid w:val="005B085A"/>
    <w:rsid w:val="005B5857"/>
    <w:rsid w:val="005B6715"/>
    <w:rsid w:val="005C12D0"/>
    <w:rsid w:val="005C1A9D"/>
    <w:rsid w:val="005C1B83"/>
    <w:rsid w:val="005C2D55"/>
    <w:rsid w:val="005C346B"/>
    <w:rsid w:val="005C4014"/>
    <w:rsid w:val="005C4C7C"/>
    <w:rsid w:val="005C4E1A"/>
    <w:rsid w:val="005C51E9"/>
    <w:rsid w:val="005C6652"/>
    <w:rsid w:val="005C6BF8"/>
    <w:rsid w:val="005C6D44"/>
    <w:rsid w:val="005D044D"/>
    <w:rsid w:val="005D0ABD"/>
    <w:rsid w:val="005D10FA"/>
    <w:rsid w:val="005D18AD"/>
    <w:rsid w:val="005D2489"/>
    <w:rsid w:val="005D26B4"/>
    <w:rsid w:val="005D2FDC"/>
    <w:rsid w:val="005D3BB6"/>
    <w:rsid w:val="005D3ECB"/>
    <w:rsid w:val="005D63A4"/>
    <w:rsid w:val="005E0EDD"/>
    <w:rsid w:val="005E2383"/>
    <w:rsid w:val="005E49FE"/>
    <w:rsid w:val="005E4B75"/>
    <w:rsid w:val="005E6ACE"/>
    <w:rsid w:val="005E6CBC"/>
    <w:rsid w:val="005E73C0"/>
    <w:rsid w:val="005E75B9"/>
    <w:rsid w:val="005F07BB"/>
    <w:rsid w:val="005F20AC"/>
    <w:rsid w:val="005F2706"/>
    <w:rsid w:val="005F46C9"/>
    <w:rsid w:val="005F6A8F"/>
    <w:rsid w:val="005F6CED"/>
    <w:rsid w:val="00600CC4"/>
    <w:rsid w:val="00601CC9"/>
    <w:rsid w:val="00603DB9"/>
    <w:rsid w:val="00606265"/>
    <w:rsid w:val="00607669"/>
    <w:rsid w:val="00607791"/>
    <w:rsid w:val="00607AFD"/>
    <w:rsid w:val="006110C9"/>
    <w:rsid w:val="0061157B"/>
    <w:rsid w:val="00612F97"/>
    <w:rsid w:val="0061345D"/>
    <w:rsid w:val="00613A18"/>
    <w:rsid w:val="00615688"/>
    <w:rsid w:val="00616802"/>
    <w:rsid w:val="00617E12"/>
    <w:rsid w:val="00621477"/>
    <w:rsid w:val="00624B4C"/>
    <w:rsid w:val="00625407"/>
    <w:rsid w:val="0062706C"/>
    <w:rsid w:val="006305A2"/>
    <w:rsid w:val="0063158F"/>
    <w:rsid w:val="00631D6B"/>
    <w:rsid w:val="00632F76"/>
    <w:rsid w:val="006330A1"/>
    <w:rsid w:val="006332C0"/>
    <w:rsid w:val="0063479F"/>
    <w:rsid w:val="00635226"/>
    <w:rsid w:val="006353F0"/>
    <w:rsid w:val="006364A1"/>
    <w:rsid w:val="00636B27"/>
    <w:rsid w:val="00636E00"/>
    <w:rsid w:val="006375FA"/>
    <w:rsid w:val="00637BFD"/>
    <w:rsid w:val="006419D7"/>
    <w:rsid w:val="00641C4E"/>
    <w:rsid w:val="00644C19"/>
    <w:rsid w:val="0064521E"/>
    <w:rsid w:val="00645E90"/>
    <w:rsid w:val="006463F1"/>
    <w:rsid w:val="00646E6F"/>
    <w:rsid w:val="00646E9E"/>
    <w:rsid w:val="006471CC"/>
    <w:rsid w:val="0065079F"/>
    <w:rsid w:val="00650AF2"/>
    <w:rsid w:val="006510A9"/>
    <w:rsid w:val="0065205E"/>
    <w:rsid w:val="0065379F"/>
    <w:rsid w:val="00654D7E"/>
    <w:rsid w:val="00654FB3"/>
    <w:rsid w:val="00657445"/>
    <w:rsid w:val="00657DBB"/>
    <w:rsid w:val="00661957"/>
    <w:rsid w:val="00661C6B"/>
    <w:rsid w:val="00661D91"/>
    <w:rsid w:val="00661F0F"/>
    <w:rsid w:val="00664BED"/>
    <w:rsid w:val="006653A2"/>
    <w:rsid w:val="006656C8"/>
    <w:rsid w:val="00665A7B"/>
    <w:rsid w:val="00665D6D"/>
    <w:rsid w:val="006669A3"/>
    <w:rsid w:val="006707D4"/>
    <w:rsid w:val="0067118F"/>
    <w:rsid w:val="006712EA"/>
    <w:rsid w:val="00673947"/>
    <w:rsid w:val="00673B71"/>
    <w:rsid w:val="00674E42"/>
    <w:rsid w:val="00677481"/>
    <w:rsid w:val="00680169"/>
    <w:rsid w:val="00681337"/>
    <w:rsid w:val="00681476"/>
    <w:rsid w:val="00682112"/>
    <w:rsid w:val="0068227D"/>
    <w:rsid w:val="00686957"/>
    <w:rsid w:val="006872BA"/>
    <w:rsid w:val="00691279"/>
    <w:rsid w:val="00691648"/>
    <w:rsid w:val="0069167E"/>
    <w:rsid w:val="006917D7"/>
    <w:rsid w:val="00692681"/>
    <w:rsid w:val="00694F44"/>
    <w:rsid w:val="00696C74"/>
    <w:rsid w:val="00697B7F"/>
    <w:rsid w:val="006A01DF"/>
    <w:rsid w:val="006A08E2"/>
    <w:rsid w:val="006A1840"/>
    <w:rsid w:val="006A4700"/>
    <w:rsid w:val="006A4BEE"/>
    <w:rsid w:val="006A6941"/>
    <w:rsid w:val="006A7614"/>
    <w:rsid w:val="006A768D"/>
    <w:rsid w:val="006A7E5F"/>
    <w:rsid w:val="006B23F5"/>
    <w:rsid w:val="006B261B"/>
    <w:rsid w:val="006B2C90"/>
    <w:rsid w:val="006B570D"/>
    <w:rsid w:val="006B59C4"/>
    <w:rsid w:val="006B5F99"/>
    <w:rsid w:val="006B6DD0"/>
    <w:rsid w:val="006B7837"/>
    <w:rsid w:val="006C1A13"/>
    <w:rsid w:val="006C27C4"/>
    <w:rsid w:val="006C2A8E"/>
    <w:rsid w:val="006C6428"/>
    <w:rsid w:val="006C670E"/>
    <w:rsid w:val="006C6AD7"/>
    <w:rsid w:val="006C78DA"/>
    <w:rsid w:val="006D1BB0"/>
    <w:rsid w:val="006D244D"/>
    <w:rsid w:val="006D3C7D"/>
    <w:rsid w:val="006D5D5F"/>
    <w:rsid w:val="006D7AC1"/>
    <w:rsid w:val="006E09E4"/>
    <w:rsid w:val="006E0F40"/>
    <w:rsid w:val="006E183B"/>
    <w:rsid w:val="006E34E2"/>
    <w:rsid w:val="006E4D01"/>
    <w:rsid w:val="006E561C"/>
    <w:rsid w:val="006E7FB8"/>
    <w:rsid w:val="006F100C"/>
    <w:rsid w:val="006F1B18"/>
    <w:rsid w:val="006F1FE0"/>
    <w:rsid w:val="006F306C"/>
    <w:rsid w:val="006F31AA"/>
    <w:rsid w:val="006F35A3"/>
    <w:rsid w:val="006F50A5"/>
    <w:rsid w:val="006F537F"/>
    <w:rsid w:val="006F63A5"/>
    <w:rsid w:val="00700C14"/>
    <w:rsid w:val="0070142B"/>
    <w:rsid w:val="007018BC"/>
    <w:rsid w:val="0070276E"/>
    <w:rsid w:val="00702F8F"/>
    <w:rsid w:val="0070329D"/>
    <w:rsid w:val="00703622"/>
    <w:rsid w:val="0070416D"/>
    <w:rsid w:val="00706EDC"/>
    <w:rsid w:val="00707063"/>
    <w:rsid w:val="0070755B"/>
    <w:rsid w:val="00707D32"/>
    <w:rsid w:val="00710CCB"/>
    <w:rsid w:val="00711A36"/>
    <w:rsid w:val="00712AFD"/>
    <w:rsid w:val="00712B0B"/>
    <w:rsid w:val="00713A99"/>
    <w:rsid w:val="00714F24"/>
    <w:rsid w:val="0071529C"/>
    <w:rsid w:val="00715E7A"/>
    <w:rsid w:val="0071653F"/>
    <w:rsid w:val="007169A5"/>
    <w:rsid w:val="007172AD"/>
    <w:rsid w:val="00717F60"/>
    <w:rsid w:val="007222C8"/>
    <w:rsid w:val="00722B1B"/>
    <w:rsid w:val="00723DF5"/>
    <w:rsid w:val="0072416F"/>
    <w:rsid w:val="007261D2"/>
    <w:rsid w:val="00727C94"/>
    <w:rsid w:val="00730715"/>
    <w:rsid w:val="0073097B"/>
    <w:rsid w:val="00730DD7"/>
    <w:rsid w:val="00731EAE"/>
    <w:rsid w:val="0073263F"/>
    <w:rsid w:val="00733051"/>
    <w:rsid w:val="00734631"/>
    <w:rsid w:val="00734808"/>
    <w:rsid w:val="00735033"/>
    <w:rsid w:val="00735328"/>
    <w:rsid w:val="0073685B"/>
    <w:rsid w:val="00736925"/>
    <w:rsid w:val="00736CA4"/>
    <w:rsid w:val="007372BA"/>
    <w:rsid w:val="00737563"/>
    <w:rsid w:val="00737E06"/>
    <w:rsid w:val="00740326"/>
    <w:rsid w:val="00740AA4"/>
    <w:rsid w:val="0074302E"/>
    <w:rsid w:val="00743F12"/>
    <w:rsid w:val="00745368"/>
    <w:rsid w:val="00745FE5"/>
    <w:rsid w:val="0074612E"/>
    <w:rsid w:val="00746C21"/>
    <w:rsid w:val="00747709"/>
    <w:rsid w:val="0075020D"/>
    <w:rsid w:val="00750742"/>
    <w:rsid w:val="00752142"/>
    <w:rsid w:val="007523F9"/>
    <w:rsid w:val="00753F24"/>
    <w:rsid w:val="00753FC8"/>
    <w:rsid w:val="00754F82"/>
    <w:rsid w:val="00755403"/>
    <w:rsid w:val="0075549F"/>
    <w:rsid w:val="00755E5E"/>
    <w:rsid w:val="00756288"/>
    <w:rsid w:val="00757238"/>
    <w:rsid w:val="007573E8"/>
    <w:rsid w:val="00757A02"/>
    <w:rsid w:val="00757B99"/>
    <w:rsid w:val="00760C4E"/>
    <w:rsid w:val="0076265F"/>
    <w:rsid w:val="00762E26"/>
    <w:rsid w:val="0076359C"/>
    <w:rsid w:val="00763CC3"/>
    <w:rsid w:val="00763E5F"/>
    <w:rsid w:val="0076427F"/>
    <w:rsid w:val="00765799"/>
    <w:rsid w:val="00765B1A"/>
    <w:rsid w:val="00766CAD"/>
    <w:rsid w:val="00766D90"/>
    <w:rsid w:val="00766FDC"/>
    <w:rsid w:val="00770758"/>
    <w:rsid w:val="007727E5"/>
    <w:rsid w:val="00772DC6"/>
    <w:rsid w:val="007733C2"/>
    <w:rsid w:val="00776FEC"/>
    <w:rsid w:val="00780E73"/>
    <w:rsid w:val="0078123F"/>
    <w:rsid w:val="00783FDB"/>
    <w:rsid w:val="007843F2"/>
    <w:rsid w:val="007914FA"/>
    <w:rsid w:val="00793959"/>
    <w:rsid w:val="00794494"/>
    <w:rsid w:val="00794E28"/>
    <w:rsid w:val="007953F3"/>
    <w:rsid w:val="00796411"/>
    <w:rsid w:val="007A09A0"/>
    <w:rsid w:val="007A0A12"/>
    <w:rsid w:val="007A132D"/>
    <w:rsid w:val="007A1FED"/>
    <w:rsid w:val="007A258C"/>
    <w:rsid w:val="007A38EA"/>
    <w:rsid w:val="007A4107"/>
    <w:rsid w:val="007A51A7"/>
    <w:rsid w:val="007B0D68"/>
    <w:rsid w:val="007B118D"/>
    <w:rsid w:val="007B251D"/>
    <w:rsid w:val="007B2D57"/>
    <w:rsid w:val="007B3E1F"/>
    <w:rsid w:val="007B42E7"/>
    <w:rsid w:val="007B4325"/>
    <w:rsid w:val="007B4F58"/>
    <w:rsid w:val="007B528D"/>
    <w:rsid w:val="007B6B74"/>
    <w:rsid w:val="007B6B97"/>
    <w:rsid w:val="007B77D1"/>
    <w:rsid w:val="007B7830"/>
    <w:rsid w:val="007C0A80"/>
    <w:rsid w:val="007C135B"/>
    <w:rsid w:val="007C19E6"/>
    <w:rsid w:val="007C1CD9"/>
    <w:rsid w:val="007C361D"/>
    <w:rsid w:val="007C4822"/>
    <w:rsid w:val="007C4B84"/>
    <w:rsid w:val="007C6752"/>
    <w:rsid w:val="007C6DF1"/>
    <w:rsid w:val="007C6F7E"/>
    <w:rsid w:val="007C72F7"/>
    <w:rsid w:val="007D004F"/>
    <w:rsid w:val="007D0A44"/>
    <w:rsid w:val="007D0B38"/>
    <w:rsid w:val="007D0BAA"/>
    <w:rsid w:val="007D1437"/>
    <w:rsid w:val="007D1AB7"/>
    <w:rsid w:val="007D33BD"/>
    <w:rsid w:val="007D4D49"/>
    <w:rsid w:val="007D4E32"/>
    <w:rsid w:val="007D5440"/>
    <w:rsid w:val="007D6597"/>
    <w:rsid w:val="007D773B"/>
    <w:rsid w:val="007E0B55"/>
    <w:rsid w:val="007E13CE"/>
    <w:rsid w:val="007E40FC"/>
    <w:rsid w:val="007E5F3E"/>
    <w:rsid w:val="007E7F48"/>
    <w:rsid w:val="007E7F98"/>
    <w:rsid w:val="007F1017"/>
    <w:rsid w:val="007F19DD"/>
    <w:rsid w:val="007F4A3F"/>
    <w:rsid w:val="007F4A61"/>
    <w:rsid w:val="007F4AE4"/>
    <w:rsid w:val="007F5C9A"/>
    <w:rsid w:val="007F61C2"/>
    <w:rsid w:val="007F6CD0"/>
    <w:rsid w:val="007F7A6E"/>
    <w:rsid w:val="008004A4"/>
    <w:rsid w:val="00804221"/>
    <w:rsid w:val="00804CF3"/>
    <w:rsid w:val="00805142"/>
    <w:rsid w:val="00805305"/>
    <w:rsid w:val="00807867"/>
    <w:rsid w:val="00807A8B"/>
    <w:rsid w:val="00810646"/>
    <w:rsid w:val="00811383"/>
    <w:rsid w:val="00811496"/>
    <w:rsid w:val="00811762"/>
    <w:rsid w:val="00812149"/>
    <w:rsid w:val="008126ED"/>
    <w:rsid w:val="00812CAC"/>
    <w:rsid w:val="00814087"/>
    <w:rsid w:val="008166EF"/>
    <w:rsid w:val="00817566"/>
    <w:rsid w:val="0082024A"/>
    <w:rsid w:val="008204D1"/>
    <w:rsid w:val="008210E2"/>
    <w:rsid w:val="00822AB2"/>
    <w:rsid w:val="00822B4E"/>
    <w:rsid w:val="00825751"/>
    <w:rsid w:val="00825A05"/>
    <w:rsid w:val="008260A9"/>
    <w:rsid w:val="0082626A"/>
    <w:rsid w:val="008264EB"/>
    <w:rsid w:val="00826E31"/>
    <w:rsid w:val="0083032A"/>
    <w:rsid w:val="00830A9D"/>
    <w:rsid w:val="00831BB6"/>
    <w:rsid w:val="00833B05"/>
    <w:rsid w:val="008348A5"/>
    <w:rsid w:val="00835748"/>
    <w:rsid w:val="008362B4"/>
    <w:rsid w:val="008368EA"/>
    <w:rsid w:val="00840CA2"/>
    <w:rsid w:val="008417D5"/>
    <w:rsid w:val="0084374F"/>
    <w:rsid w:val="008476C6"/>
    <w:rsid w:val="00847DF5"/>
    <w:rsid w:val="00851344"/>
    <w:rsid w:val="0085174F"/>
    <w:rsid w:val="008519EB"/>
    <w:rsid w:val="00851D66"/>
    <w:rsid w:val="0085309D"/>
    <w:rsid w:val="00856633"/>
    <w:rsid w:val="00856772"/>
    <w:rsid w:val="00856897"/>
    <w:rsid w:val="00856E9A"/>
    <w:rsid w:val="008570AD"/>
    <w:rsid w:val="0086075D"/>
    <w:rsid w:val="00861564"/>
    <w:rsid w:val="008618D2"/>
    <w:rsid w:val="00862502"/>
    <w:rsid w:val="00862674"/>
    <w:rsid w:val="008632AF"/>
    <w:rsid w:val="0086414F"/>
    <w:rsid w:val="00864185"/>
    <w:rsid w:val="00864E3D"/>
    <w:rsid w:val="008660D4"/>
    <w:rsid w:val="00866D0A"/>
    <w:rsid w:val="00871FA9"/>
    <w:rsid w:val="008728E9"/>
    <w:rsid w:val="008761A4"/>
    <w:rsid w:val="00880773"/>
    <w:rsid w:val="00880802"/>
    <w:rsid w:val="00880EB4"/>
    <w:rsid w:val="00880FB3"/>
    <w:rsid w:val="00881231"/>
    <w:rsid w:val="0088179B"/>
    <w:rsid w:val="00881C17"/>
    <w:rsid w:val="00882874"/>
    <w:rsid w:val="00882F50"/>
    <w:rsid w:val="00883787"/>
    <w:rsid w:val="00883F71"/>
    <w:rsid w:val="00884FA3"/>
    <w:rsid w:val="00886421"/>
    <w:rsid w:val="00886CD2"/>
    <w:rsid w:val="0089043E"/>
    <w:rsid w:val="00890658"/>
    <w:rsid w:val="00892A36"/>
    <w:rsid w:val="00893239"/>
    <w:rsid w:val="008935C9"/>
    <w:rsid w:val="00893CA8"/>
    <w:rsid w:val="00894489"/>
    <w:rsid w:val="00894B05"/>
    <w:rsid w:val="00894EA1"/>
    <w:rsid w:val="008963A5"/>
    <w:rsid w:val="00896570"/>
    <w:rsid w:val="00896748"/>
    <w:rsid w:val="008970A3"/>
    <w:rsid w:val="00897A9D"/>
    <w:rsid w:val="008A1B19"/>
    <w:rsid w:val="008A2D12"/>
    <w:rsid w:val="008A3363"/>
    <w:rsid w:val="008A3371"/>
    <w:rsid w:val="008A3C3E"/>
    <w:rsid w:val="008A4643"/>
    <w:rsid w:val="008A5ABA"/>
    <w:rsid w:val="008A5B5F"/>
    <w:rsid w:val="008A5F04"/>
    <w:rsid w:val="008A79DE"/>
    <w:rsid w:val="008B1757"/>
    <w:rsid w:val="008B3DF9"/>
    <w:rsid w:val="008B655B"/>
    <w:rsid w:val="008B6968"/>
    <w:rsid w:val="008B6BE1"/>
    <w:rsid w:val="008B7D7E"/>
    <w:rsid w:val="008C00E6"/>
    <w:rsid w:val="008C6567"/>
    <w:rsid w:val="008C7ECB"/>
    <w:rsid w:val="008D1410"/>
    <w:rsid w:val="008D4755"/>
    <w:rsid w:val="008D4C3D"/>
    <w:rsid w:val="008D59DA"/>
    <w:rsid w:val="008D5D42"/>
    <w:rsid w:val="008D7AD2"/>
    <w:rsid w:val="008E0D3C"/>
    <w:rsid w:val="008E1B9E"/>
    <w:rsid w:val="008E3D3E"/>
    <w:rsid w:val="008E4CF7"/>
    <w:rsid w:val="008E55AB"/>
    <w:rsid w:val="008E61F2"/>
    <w:rsid w:val="008E75B1"/>
    <w:rsid w:val="008F120A"/>
    <w:rsid w:val="008F2260"/>
    <w:rsid w:val="008F23BC"/>
    <w:rsid w:val="008F27E0"/>
    <w:rsid w:val="008F3BED"/>
    <w:rsid w:val="008F48EB"/>
    <w:rsid w:val="008F4F0B"/>
    <w:rsid w:val="008F500A"/>
    <w:rsid w:val="008F530E"/>
    <w:rsid w:val="008F6195"/>
    <w:rsid w:val="008F6A8B"/>
    <w:rsid w:val="008F7F0B"/>
    <w:rsid w:val="00900B94"/>
    <w:rsid w:val="00900C16"/>
    <w:rsid w:val="00902067"/>
    <w:rsid w:val="00903033"/>
    <w:rsid w:val="009046C4"/>
    <w:rsid w:val="009046DD"/>
    <w:rsid w:val="00905CA5"/>
    <w:rsid w:val="00906086"/>
    <w:rsid w:val="009062A5"/>
    <w:rsid w:val="00910208"/>
    <w:rsid w:val="00911272"/>
    <w:rsid w:val="00912907"/>
    <w:rsid w:val="009135D6"/>
    <w:rsid w:val="00913B2D"/>
    <w:rsid w:val="00913D72"/>
    <w:rsid w:val="00914AA6"/>
    <w:rsid w:val="00914C77"/>
    <w:rsid w:val="00914D02"/>
    <w:rsid w:val="00915F5F"/>
    <w:rsid w:val="0092369B"/>
    <w:rsid w:val="00924404"/>
    <w:rsid w:val="009262AF"/>
    <w:rsid w:val="00931290"/>
    <w:rsid w:val="009405CC"/>
    <w:rsid w:val="00940FE9"/>
    <w:rsid w:val="0094157C"/>
    <w:rsid w:val="009422A1"/>
    <w:rsid w:val="0094268A"/>
    <w:rsid w:val="0094310E"/>
    <w:rsid w:val="009432B2"/>
    <w:rsid w:val="00943CF4"/>
    <w:rsid w:val="009442CF"/>
    <w:rsid w:val="00944C3C"/>
    <w:rsid w:val="00945509"/>
    <w:rsid w:val="009464AA"/>
    <w:rsid w:val="00946A4E"/>
    <w:rsid w:val="009504CB"/>
    <w:rsid w:val="009510A2"/>
    <w:rsid w:val="00953087"/>
    <w:rsid w:val="00953257"/>
    <w:rsid w:val="00953435"/>
    <w:rsid w:val="0095504B"/>
    <w:rsid w:val="00957253"/>
    <w:rsid w:val="00957DD7"/>
    <w:rsid w:val="00961A11"/>
    <w:rsid w:val="00962C91"/>
    <w:rsid w:val="00962CB9"/>
    <w:rsid w:val="00964312"/>
    <w:rsid w:val="00965B8A"/>
    <w:rsid w:val="00966429"/>
    <w:rsid w:val="00966D45"/>
    <w:rsid w:val="00966F55"/>
    <w:rsid w:val="00966FF2"/>
    <w:rsid w:val="00967643"/>
    <w:rsid w:val="009717AC"/>
    <w:rsid w:val="00972093"/>
    <w:rsid w:val="009752BE"/>
    <w:rsid w:val="009768E2"/>
    <w:rsid w:val="00980EAD"/>
    <w:rsid w:val="00981662"/>
    <w:rsid w:val="00981986"/>
    <w:rsid w:val="0098318F"/>
    <w:rsid w:val="00983E57"/>
    <w:rsid w:val="00984D3F"/>
    <w:rsid w:val="00985973"/>
    <w:rsid w:val="0098675D"/>
    <w:rsid w:val="00986922"/>
    <w:rsid w:val="009912D4"/>
    <w:rsid w:val="00991E4C"/>
    <w:rsid w:val="00994281"/>
    <w:rsid w:val="00995085"/>
    <w:rsid w:val="0099559A"/>
    <w:rsid w:val="009963C3"/>
    <w:rsid w:val="00996B1A"/>
    <w:rsid w:val="009977D5"/>
    <w:rsid w:val="009979A0"/>
    <w:rsid w:val="009A035B"/>
    <w:rsid w:val="009A096C"/>
    <w:rsid w:val="009A1DB4"/>
    <w:rsid w:val="009A3BF5"/>
    <w:rsid w:val="009A4928"/>
    <w:rsid w:val="009A61E6"/>
    <w:rsid w:val="009A718B"/>
    <w:rsid w:val="009A7557"/>
    <w:rsid w:val="009A7F10"/>
    <w:rsid w:val="009B098B"/>
    <w:rsid w:val="009B123E"/>
    <w:rsid w:val="009B2178"/>
    <w:rsid w:val="009B2233"/>
    <w:rsid w:val="009B3E26"/>
    <w:rsid w:val="009B7B6E"/>
    <w:rsid w:val="009C208D"/>
    <w:rsid w:val="009C2B84"/>
    <w:rsid w:val="009C37B1"/>
    <w:rsid w:val="009C5DA0"/>
    <w:rsid w:val="009C6CEA"/>
    <w:rsid w:val="009C7B85"/>
    <w:rsid w:val="009D15C9"/>
    <w:rsid w:val="009D3DAA"/>
    <w:rsid w:val="009D4ABB"/>
    <w:rsid w:val="009D51B0"/>
    <w:rsid w:val="009D5B91"/>
    <w:rsid w:val="009D792E"/>
    <w:rsid w:val="009E0492"/>
    <w:rsid w:val="009E04D0"/>
    <w:rsid w:val="009E0873"/>
    <w:rsid w:val="009E0DFE"/>
    <w:rsid w:val="009E336D"/>
    <w:rsid w:val="009E4690"/>
    <w:rsid w:val="009E47FB"/>
    <w:rsid w:val="009E4C07"/>
    <w:rsid w:val="009E5E74"/>
    <w:rsid w:val="009E73CE"/>
    <w:rsid w:val="009E7804"/>
    <w:rsid w:val="009F045D"/>
    <w:rsid w:val="009F0F24"/>
    <w:rsid w:val="009F15AC"/>
    <w:rsid w:val="009F207F"/>
    <w:rsid w:val="009F3E10"/>
    <w:rsid w:val="009F522D"/>
    <w:rsid w:val="009F6322"/>
    <w:rsid w:val="00A01184"/>
    <w:rsid w:val="00A02C8D"/>
    <w:rsid w:val="00A03D43"/>
    <w:rsid w:val="00A04380"/>
    <w:rsid w:val="00A04496"/>
    <w:rsid w:val="00A04A84"/>
    <w:rsid w:val="00A05CBF"/>
    <w:rsid w:val="00A07850"/>
    <w:rsid w:val="00A079F8"/>
    <w:rsid w:val="00A11CD0"/>
    <w:rsid w:val="00A13948"/>
    <w:rsid w:val="00A14E24"/>
    <w:rsid w:val="00A1555B"/>
    <w:rsid w:val="00A155C5"/>
    <w:rsid w:val="00A15D37"/>
    <w:rsid w:val="00A1600E"/>
    <w:rsid w:val="00A16AD8"/>
    <w:rsid w:val="00A17F1F"/>
    <w:rsid w:val="00A21491"/>
    <w:rsid w:val="00A214A0"/>
    <w:rsid w:val="00A21532"/>
    <w:rsid w:val="00A21CF3"/>
    <w:rsid w:val="00A22737"/>
    <w:rsid w:val="00A24DED"/>
    <w:rsid w:val="00A2597A"/>
    <w:rsid w:val="00A26F25"/>
    <w:rsid w:val="00A27AEC"/>
    <w:rsid w:val="00A320DB"/>
    <w:rsid w:val="00A33CC7"/>
    <w:rsid w:val="00A34BD1"/>
    <w:rsid w:val="00A35D16"/>
    <w:rsid w:val="00A37BCD"/>
    <w:rsid w:val="00A41CC4"/>
    <w:rsid w:val="00A42E5D"/>
    <w:rsid w:val="00A43C59"/>
    <w:rsid w:val="00A441C4"/>
    <w:rsid w:val="00A44234"/>
    <w:rsid w:val="00A445E3"/>
    <w:rsid w:val="00A44FE3"/>
    <w:rsid w:val="00A462FF"/>
    <w:rsid w:val="00A47211"/>
    <w:rsid w:val="00A47EDE"/>
    <w:rsid w:val="00A50ECD"/>
    <w:rsid w:val="00A518F3"/>
    <w:rsid w:val="00A52729"/>
    <w:rsid w:val="00A53675"/>
    <w:rsid w:val="00A5577C"/>
    <w:rsid w:val="00A564D7"/>
    <w:rsid w:val="00A56B6A"/>
    <w:rsid w:val="00A578DC"/>
    <w:rsid w:val="00A57C69"/>
    <w:rsid w:val="00A6562E"/>
    <w:rsid w:val="00A667A4"/>
    <w:rsid w:val="00A66E50"/>
    <w:rsid w:val="00A6725B"/>
    <w:rsid w:val="00A67C28"/>
    <w:rsid w:val="00A67F3B"/>
    <w:rsid w:val="00A70605"/>
    <w:rsid w:val="00A70CE8"/>
    <w:rsid w:val="00A7235F"/>
    <w:rsid w:val="00A73134"/>
    <w:rsid w:val="00A7410A"/>
    <w:rsid w:val="00A75362"/>
    <w:rsid w:val="00A76C31"/>
    <w:rsid w:val="00A777B2"/>
    <w:rsid w:val="00A800EC"/>
    <w:rsid w:val="00A8163B"/>
    <w:rsid w:val="00A81B56"/>
    <w:rsid w:val="00A83D6B"/>
    <w:rsid w:val="00A8523A"/>
    <w:rsid w:val="00A86E8B"/>
    <w:rsid w:val="00A87164"/>
    <w:rsid w:val="00A87448"/>
    <w:rsid w:val="00A91C9E"/>
    <w:rsid w:val="00A93072"/>
    <w:rsid w:val="00A93826"/>
    <w:rsid w:val="00A93953"/>
    <w:rsid w:val="00A94094"/>
    <w:rsid w:val="00A9445F"/>
    <w:rsid w:val="00A95065"/>
    <w:rsid w:val="00A959D8"/>
    <w:rsid w:val="00A97C06"/>
    <w:rsid w:val="00A97DF1"/>
    <w:rsid w:val="00AA113D"/>
    <w:rsid w:val="00AA2BE8"/>
    <w:rsid w:val="00AA477C"/>
    <w:rsid w:val="00AA53D5"/>
    <w:rsid w:val="00AA6C7D"/>
    <w:rsid w:val="00AA7FD6"/>
    <w:rsid w:val="00AB0371"/>
    <w:rsid w:val="00AB042A"/>
    <w:rsid w:val="00AB2D34"/>
    <w:rsid w:val="00AB3430"/>
    <w:rsid w:val="00AB3B71"/>
    <w:rsid w:val="00AB4AD1"/>
    <w:rsid w:val="00AB6344"/>
    <w:rsid w:val="00AB7BBE"/>
    <w:rsid w:val="00AB7CFA"/>
    <w:rsid w:val="00AC1EF5"/>
    <w:rsid w:val="00AC3EFA"/>
    <w:rsid w:val="00AC5178"/>
    <w:rsid w:val="00AC5B48"/>
    <w:rsid w:val="00AD0033"/>
    <w:rsid w:val="00AD1AC3"/>
    <w:rsid w:val="00AD29CC"/>
    <w:rsid w:val="00AD38E6"/>
    <w:rsid w:val="00AD55AD"/>
    <w:rsid w:val="00AD5F76"/>
    <w:rsid w:val="00AD6502"/>
    <w:rsid w:val="00AD6D5A"/>
    <w:rsid w:val="00AE0749"/>
    <w:rsid w:val="00AE0A5B"/>
    <w:rsid w:val="00AE1109"/>
    <w:rsid w:val="00AE311A"/>
    <w:rsid w:val="00AE3207"/>
    <w:rsid w:val="00AE3AB0"/>
    <w:rsid w:val="00AE47EA"/>
    <w:rsid w:val="00AE4A07"/>
    <w:rsid w:val="00AE51AC"/>
    <w:rsid w:val="00AE75F1"/>
    <w:rsid w:val="00AE7F65"/>
    <w:rsid w:val="00AF1315"/>
    <w:rsid w:val="00AF16CD"/>
    <w:rsid w:val="00AF19BF"/>
    <w:rsid w:val="00AF2DC3"/>
    <w:rsid w:val="00AF3737"/>
    <w:rsid w:val="00AF37CA"/>
    <w:rsid w:val="00AF4258"/>
    <w:rsid w:val="00AF57E0"/>
    <w:rsid w:val="00AF5FF1"/>
    <w:rsid w:val="00AF609D"/>
    <w:rsid w:val="00AF65B6"/>
    <w:rsid w:val="00AF66F9"/>
    <w:rsid w:val="00AF7002"/>
    <w:rsid w:val="00B0008C"/>
    <w:rsid w:val="00B00568"/>
    <w:rsid w:val="00B02D1C"/>
    <w:rsid w:val="00B033E5"/>
    <w:rsid w:val="00B03A63"/>
    <w:rsid w:val="00B0539B"/>
    <w:rsid w:val="00B062EA"/>
    <w:rsid w:val="00B06FB4"/>
    <w:rsid w:val="00B07167"/>
    <w:rsid w:val="00B07449"/>
    <w:rsid w:val="00B0785E"/>
    <w:rsid w:val="00B10B1E"/>
    <w:rsid w:val="00B11F6F"/>
    <w:rsid w:val="00B12D1F"/>
    <w:rsid w:val="00B165ED"/>
    <w:rsid w:val="00B201A4"/>
    <w:rsid w:val="00B213A6"/>
    <w:rsid w:val="00B21659"/>
    <w:rsid w:val="00B21913"/>
    <w:rsid w:val="00B22829"/>
    <w:rsid w:val="00B241B3"/>
    <w:rsid w:val="00B24B56"/>
    <w:rsid w:val="00B24C11"/>
    <w:rsid w:val="00B24C4D"/>
    <w:rsid w:val="00B24DF6"/>
    <w:rsid w:val="00B278E7"/>
    <w:rsid w:val="00B3239B"/>
    <w:rsid w:val="00B328A2"/>
    <w:rsid w:val="00B32BF9"/>
    <w:rsid w:val="00B330C0"/>
    <w:rsid w:val="00B332B8"/>
    <w:rsid w:val="00B34644"/>
    <w:rsid w:val="00B34AAD"/>
    <w:rsid w:val="00B34FE2"/>
    <w:rsid w:val="00B35235"/>
    <w:rsid w:val="00B357D8"/>
    <w:rsid w:val="00B36C9D"/>
    <w:rsid w:val="00B37BFC"/>
    <w:rsid w:val="00B40358"/>
    <w:rsid w:val="00B403BF"/>
    <w:rsid w:val="00B40689"/>
    <w:rsid w:val="00B41614"/>
    <w:rsid w:val="00B42851"/>
    <w:rsid w:val="00B42F80"/>
    <w:rsid w:val="00B435CB"/>
    <w:rsid w:val="00B43809"/>
    <w:rsid w:val="00B45879"/>
    <w:rsid w:val="00B50DB8"/>
    <w:rsid w:val="00B518BC"/>
    <w:rsid w:val="00B51D54"/>
    <w:rsid w:val="00B52D24"/>
    <w:rsid w:val="00B53654"/>
    <w:rsid w:val="00B53905"/>
    <w:rsid w:val="00B54B5B"/>
    <w:rsid w:val="00B55465"/>
    <w:rsid w:val="00B5562E"/>
    <w:rsid w:val="00B55889"/>
    <w:rsid w:val="00B560FC"/>
    <w:rsid w:val="00B56269"/>
    <w:rsid w:val="00B57000"/>
    <w:rsid w:val="00B60939"/>
    <w:rsid w:val="00B60AFD"/>
    <w:rsid w:val="00B615C8"/>
    <w:rsid w:val="00B62715"/>
    <w:rsid w:val="00B63110"/>
    <w:rsid w:val="00B655AA"/>
    <w:rsid w:val="00B67911"/>
    <w:rsid w:val="00B701FC"/>
    <w:rsid w:val="00B71326"/>
    <w:rsid w:val="00B71767"/>
    <w:rsid w:val="00B718C0"/>
    <w:rsid w:val="00B71C05"/>
    <w:rsid w:val="00B71C12"/>
    <w:rsid w:val="00B733C1"/>
    <w:rsid w:val="00B736E5"/>
    <w:rsid w:val="00B80860"/>
    <w:rsid w:val="00B81810"/>
    <w:rsid w:val="00B818A4"/>
    <w:rsid w:val="00B84117"/>
    <w:rsid w:val="00B8536F"/>
    <w:rsid w:val="00B85AA2"/>
    <w:rsid w:val="00B8649C"/>
    <w:rsid w:val="00B86D23"/>
    <w:rsid w:val="00B87F0A"/>
    <w:rsid w:val="00B9002B"/>
    <w:rsid w:val="00B9031F"/>
    <w:rsid w:val="00B926D2"/>
    <w:rsid w:val="00B92D0B"/>
    <w:rsid w:val="00B94945"/>
    <w:rsid w:val="00B96603"/>
    <w:rsid w:val="00BA0842"/>
    <w:rsid w:val="00BA322D"/>
    <w:rsid w:val="00BA3F48"/>
    <w:rsid w:val="00BA487D"/>
    <w:rsid w:val="00BA62CA"/>
    <w:rsid w:val="00BA697A"/>
    <w:rsid w:val="00BA6A11"/>
    <w:rsid w:val="00BA7BCE"/>
    <w:rsid w:val="00BB0BDD"/>
    <w:rsid w:val="00BB1CC3"/>
    <w:rsid w:val="00BB28BE"/>
    <w:rsid w:val="00BB2A73"/>
    <w:rsid w:val="00BB39C8"/>
    <w:rsid w:val="00BB4ACC"/>
    <w:rsid w:val="00BB60C1"/>
    <w:rsid w:val="00BB6D2B"/>
    <w:rsid w:val="00BB703E"/>
    <w:rsid w:val="00BB7351"/>
    <w:rsid w:val="00BB7405"/>
    <w:rsid w:val="00BC1E80"/>
    <w:rsid w:val="00BC3631"/>
    <w:rsid w:val="00BC3C48"/>
    <w:rsid w:val="00BC5282"/>
    <w:rsid w:val="00BC5EDF"/>
    <w:rsid w:val="00BC5F09"/>
    <w:rsid w:val="00BD0B04"/>
    <w:rsid w:val="00BD3410"/>
    <w:rsid w:val="00BD3726"/>
    <w:rsid w:val="00BD3DB7"/>
    <w:rsid w:val="00BD68A3"/>
    <w:rsid w:val="00BD6938"/>
    <w:rsid w:val="00BD6CF3"/>
    <w:rsid w:val="00BD7518"/>
    <w:rsid w:val="00BE2180"/>
    <w:rsid w:val="00BE21F2"/>
    <w:rsid w:val="00BE33E8"/>
    <w:rsid w:val="00BE4275"/>
    <w:rsid w:val="00BE5E86"/>
    <w:rsid w:val="00BF08B9"/>
    <w:rsid w:val="00BF0F95"/>
    <w:rsid w:val="00BF2433"/>
    <w:rsid w:val="00BF2D27"/>
    <w:rsid w:val="00BF2DAD"/>
    <w:rsid w:val="00BF3F6A"/>
    <w:rsid w:val="00BF44A0"/>
    <w:rsid w:val="00BF5801"/>
    <w:rsid w:val="00BF61C9"/>
    <w:rsid w:val="00BF6272"/>
    <w:rsid w:val="00BF6C94"/>
    <w:rsid w:val="00C00424"/>
    <w:rsid w:val="00C00BBD"/>
    <w:rsid w:val="00C0222B"/>
    <w:rsid w:val="00C06FF1"/>
    <w:rsid w:val="00C11B3F"/>
    <w:rsid w:val="00C12C14"/>
    <w:rsid w:val="00C13B97"/>
    <w:rsid w:val="00C13D81"/>
    <w:rsid w:val="00C14829"/>
    <w:rsid w:val="00C168EE"/>
    <w:rsid w:val="00C200AA"/>
    <w:rsid w:val="00C206ED"/>
    <w:rsid w:val="00C230A2"/>
    <w:rsid w:val="00C237ED"/>
    <w:rsid w:val="00C240B5"/>
    <w:rsid w:val="00C24632"/>
    <w:rsid w:val="00C24829"/>
    <w:rsid w:val="00C24A4A"/>
    <w:rsid w:val="00C24A4B"/>
    <w:rsid w:val="00C24B6A"/>
    <w:rsid w:val="00C25418"/>
    <w:rsid w:val="00C25D9C"/>
    <w:rsid w:val="00C2778B"/>
    <w:rsid w:val="00C3084C"/>
    <w:rsid w:val="00C31649"/>
    <w:rsid w:val="00C332F4"/>
    <w:rsid w:val="00C333D1"/>
    <w:rsid w:val="00C35618"/>
    <w:rsid w:val="00C35867"/>
    <w:rsid w:val="00C40385"/>
    <w:rsid w:val="00C459CE"/>
    <w:rsid w:val="00C45C20"/>
    <w:rsid w:val="00C475AA"/>
    <w:rsid w:val="00C47B65"/>
    <w:rsid w:val="00C5248E"/>
    <w:rsid w:val="00C52C96"/>
    <w:rsid w:val="00C53570"/>
    <w:rsid w:val="00C57CD0"/>
    <w:rsid w:val="00C64143"/>
    <w:rsid w:val="00C65576"/>
    <w:rsid w:val="00C6596D"/>
    <w:rsid w:val="00C66165"/>
    <w:rsid w:val="00C67F4E"/>
    <w:rsid w:val="00C7151A"/>
    <w:rsid w:val="00C71931"/>
    <w:rsid w:val="00C71DFF"/>
    <w:rsid w:val="00C71F60"/>
    <w:rsid w:val="00C72241"/>
    <w:rsid w:val="00C73701"/>
    <w:rsid w:val="00C73B04"/>
    <w:rsid w:val="00C73C8B"/>
    <w:rsid w:val="00C74342"/>
    <w:rsid w:val="00C750C8"/>
    <w:rsid w:val="00C7560F"/>
    <w:rsid w:val="00C7618C"/>
    <w:rsid w:val="00C800A8"/>
    <w:rsid w:val="00C80A0E"/>
    <w:rsid w:val="00C80AAA"/>
    <w:rsid w:val="00C80BCA"/>
    <w:rsid w:val="00C816E6"/>
    <w:rsid w:val="00C8172C"/>
    <w:rsid w:val="00C81ADC"/>
    <w:rsid w:val="00C8213F"/>
    <w:rsid w:val="00C8216F"/>
    <w:rsid w:val="00C8332D"/>
    <w:rsid w:val="00C84EE9"/>
    <w:rsid w:val="00C85F34"/>
    <w:rsid w:val="00C8797A"/>
    <w:rsid w:val="00C900B8"/>
    <w:rsid w:val="00C90C71"/>
    <w:rsid w:val="00C9199F"/>
    <w:rsid w:val="00C9247D"/>
    <w:rsid w:val="00C931CF"/>
    <w:rsid w:val="00C938CF"/>
    <w:rsid w:val="00C9624D"/>
    <w:rsid w:val="00C969DA"/>
    <w:rsid w:val="00CA0BDE"/>
    <w:rsid w:val="00CA0EFD"/>
    <w:rsid w:val="00CA0F27"/>
    <w:rsid w:val="00CA1308"/>
    <w:rsid w:val="00CA1615"/>
    <w:rsid w:val="00CA2C77"/>
    <w:rsid w:val="00CA444F"/>
    <w:rsid w:val="00CA4786"/>
    <w:rsid w:val="00CA4F91"/>
    <w:rsid w:val="00CA5090"/>
    <w:rsid w:val="00CA5245"/>
    <w:rsid w:val="00CA6B92"/>
    <w:rsid w:val="00CA71F4"/>
    <w:rsid w:val="00CA7B09"/>
    <w:rsid w:val="00CA7F82"/>
    <w:rsid w:val="00CB19B7"/>
    <w:rsid w:val="00CB1B48"/>
    <w:rsid w:val="00CB2F2A"/>
    <w:rsid w:val="00CB4DC1"/>
    <w:rsid w:val="00CB5221"/>
    <w:rsid w:val="00CB57CE"/>
    <w:rsid w:val="00CB5B1A"/>
    <w:rsid w:val="00CB5EC7"/>
    <w:rsid w:val="00CB6B22"/>
    <w:rsid w:val="00CB7F5F"/>
    <w:rsid w:val="00CC0318"/>
    <w:rsid w:val="00CC069A"/>
    <w:rsid w:val="00CC134B"/>
    <w:rsid w:val="00CC1B39"/>
    <w:rsid w:val="00CC29E9"/>
    <w:rsid w:val="00CC2E95"/>
    <w:rsid w:val="00CC44B8"/>
    <w:rsid w:val="00CC58ED"/>
    <w:rsid w:val="00CC76AD"/>
    <w:rsid w:val="00CD0729"/>
    <w:rsid w:val="00CD0C04"/>
    <w:rsid w:val="00CD17C4"/>
    <w:rsid w:val="00CD3138"/>
    <w:rsid w:val="00CD3D00"/>
    <w:rsid w:val="00CD4555"/>
    <w:rsid w:val="00CD6ADC"/>
    <w:rsid w:val="00CD6BA3"/>
    <w:rsid w:val="00CE1A31"/>
    <w:rsid w:val="00CE2EF3"/>
    <w:rsid w:val="00CE3FC7"/>
    <w:rsid w:val="00CE5695"/>
    <w:rsid w:val="00CE5A8A"/>
    <w:rsid w:val="00CE6274"/>
    <w:rsid w:val="00CE71E7"/>
    <w:rsid w:val="00CE7FC9"/>
    <w:rsid w:val="00CF0358"/>
    <w:rsid w:val="00CF24A9"/>
    <w:rsid w:val="00CF2B8D"/>
    <w:rsid w:val="00CF456B"/>
    <w:rsid w:val="00CF5A22"/>
    <w:rsid w:val="00D00ADC"/>
    <w:rsid w:val="00D01839"/>
    <w:rsid w:val="00D0262E"/>
    <w:rsid w:val="00D02875"/>
    <w:rsid w:val="00D02B73"/>
    <w:rsid w:val="00D02F47"/>
    <w:rsid w:val="00D04B61"/>
    <w:rsid w:val="00D05006"/>
    <w:rsid w:val="00D1016F"/>
    <w:rsid w:val="00D110BD"/>
    <w:rsid w:val="00D113BB"/>
    <w:rsid w:val="00D117A8"/>
    <w:rsid w:val="00D1244F"/>
    <w:rsid w:val="00D13675"/>
    <w:rsid w:val="00D138C2"/>
    <w:rsid w:val="00D141E1"/>
    <w:rsid w:val="00D17D6C"/>
    <w:rsid w:val="00D20503"/>
    <w:rsid w:val="00D20955"/>
    <w:rsid w:val="00D215BA"/>
    <w:rsid w:val="00D23651"/>
    <w:rsid w:val="00D2754D"/>
    <w:rsid w:val="00D277C8"/>
    <w:rsid w:val="00D27B27"/>
    <w:rsid w:val="00D3058D"/>
    <w:rsid w:val="00D3178F"/>
    <w:rsid w:val="00D32153"/>
    <w:rsid w:val="00D32DE9"/>
    <w:rsid w:val="00D33BE9"/>
    <w:rsid w:val="00D3415E"/>
    <w:rsid w:val="00D342A0"/>
    <w:rsid w:val="00D357FF"/>
    <w:rsid w:val="00D363BD"/>
    <w:rsid w:val="00D373EF"/>
    <w:rsid w:val="00D37656"/>
    <w:rsid w:val="00D408A3"/>
    <w:rsid w:val="00D40FAB"/>
    <w:rsid w:val="00D421AB"/>
    <w:rsid w:val="00D424C7"/>
    <w:rsid w:val="00D43972"/>
    <w:rsid w:val="00D43B2A"/>
    <w:rsid w:val="00D441A5"/>
    <w:rsid w:val="00D467E1"/>
    <w:rsid w:val="00D469CD"/>
    <w:rsid w:val="00D47575"/>
    <w:rsid w:val="00D502E0"/>
    <w:rsid w:val="00D510DB"/>
    <w:rsid w:val="00D52131"/>
    <w:rsid w:val="00D53673"/>
    <w:rsid w:val="00D55BD1"/>
    <w:rsid w:val="00D56347"/>
    <w:rsid w:val="00D637A8"/>
    <w:rsid w:val="00D63A68"/>
    <w:rsid w:val="00D64272"/>
    <w:rsid w:val="00D65604"/>
    <w:rsid w:val="00D671D7"/>
    <w:rsid w:val="00D679E3"/>
    <w:rsid w:val="00D70EE2"/>
    <w:rsid w:val="00D70F16"/>
    <w:rsid w:val="00D715F1"/>
    <w:rsid w:val="00D71A86"/>
    <w:rsid w:val="00D74433"/>
    <w:rsid w:val="00D75635"/>
    <w:rsid w:val="00D76A44"/>
    <w:rsid w:val="00D80106"/>
    <w:rsid w:val="00D815EF"/>
    <w:rsid w:val="00D87C65"/>
    <w:rsid w:val="00D87E25"/>
    <w:rsid w:val="00D91923"/>
    <w:rsid w:val="00D91CC3"/>
    <w:rsid w:val="00D9214D"/>
    <w:rsid w:val="00D933D5"/>
    <w:rsid w:val="00D93753"/>
    <w:rsid w:val="00D94688"/>
    <w:rsid w:val="00D95845"/>
    <w:rsid w:val="00D96133"/>
    <w:rsid w:val="00DA195A"/>
    <w:rsid w:val="00DA3167"/>
    <w:rsid w:val="00DA3EEA"/>
    <w:rsid w:val="00DA4DC3"/>
    <w:rsid w:val="00DA6341"/>
    <w:rsid w:val="00DA7306"/>
    <w:rsid w:val="00DA77A5"/>
    <w:rsid w:val="00DB3F2B"/>
    <w:rsid w:val="00DB4807"/>
    <w:rsid w:val="00DB484F"/>
    <w:rsid w:val="00DB4E74"/>
    <w:rsid w:val="00DB55C6"/>
    <w:rsid w:val="00DB6755"/>
    <w:rsid w:val="00DB7B72"/>
    <w:rsid w:val="00DC04F6"/>
    <w:rsid w:val="00DC0701"/>
    <w:rsid w:val="00DC253D"/>
    <w:rsid w:val="00DC3C57"/>
    <w:rsid w:val="00DC4989"/>
    <w:rsid w:val="00DC4F49"/>
    <w:rsid w:val="00DC5501"/>
    <w:rsid w:val="00DC7005"/>
    <w:rsid w:val="00DD178A"/>
    <w:rsid w:val="00DD273C"/>
    <w:rsid w:val="00DD3819"/>
    <w:rsid w:val="00DD3F28"/>
    <w:rsid w:val="00DD4537"/>
    <w:rsid w:val="00DD4648"/>
    <w:rsid w:val="00DD4C72"/>
    <w:rsid w:val="00DD4E15"/>
    <w:rsid w:val="00DD6218"/>
    <w:rsid w:val="00DE27BB"/>
    <w:rsid w:val="00DE2BBB"/>
    <w:rsid w:val="00DE3138"/>
    <w:rsid w:val="00DE37F8"/>
    <w:rsid w:val="00DE4FCB"/>
    <w:rsid w:val="00DE5518"/>
    <w:rsid w:val="00DE6C65"/>
    <w:rsid w:val="00DE7347"/>
    <w:rsid w:val="00DE7832"/>
    <w:rsid w:val="00DF18FC"/>
    <w:rsid w:val="00DF3B94"/>
    <w:rsid w:val="00DF50A0"/>
    <w:rsid w:val="00DF556A"/>
    <w:rsid w:val="00DF55E9"/>
    <w:rsid w:val="00DF5D2B"/>
    <w:rsid w:val="00E0049E"/>
    <w:rsid w:val="00E00E8E"/>
    <w:rsid w:val="00E015F5"/>
    <w:rsid w:val="00E03BD7"/>
    <w:rsid w:val="00E05630"/>
    <w:rsid w:val="00E06345"/>
    <w:rsid w:val="00E06603"/>
    <w:rsid w:val="00E06DBB"/>
    <w:rsid w:val="00E074C9"/>
    <w:rsid w:val="00E07DC0"/>
    <w:rsid w:val="00E10061"/>
    <w:rsid w:val="00E10149"/>
    <w:rsid w:val="00E10907"/>
    <w:rsid w:val="00E11C8D"/>
    <w:rsid w:val="00E1260C"/>
    <w:rsid w:val="00E137C3"/>
    <w:rsid w:val="00E13BD7"/>
    <w:rsid w:val="00E13F4C"/>
    <w:rsid w:val="00E141F2"/>
    <w:rsid w:val="00E16372"/>
    <w:rsid w:val="00E17131"/>
    <w:rsid w:val="00E17734"/>
    <w:rsid w:val="00E20384"/>
    <w:rsid w:val="00E20E4D"/>
    <w:rsid w:val="00E20ED6"/>
    <w:rsid w:val="00E21358"/>
    <w:rsid w:val="00E21B9E"/>
    <w:rsid w:val="00E222F4"/>
    <w:rsid w:val="00E2249B"/>
    <w:rsid w:val="00E22A0D"/>
    <w:rsid w:val="00E236D9"/>
    <w:rsid w:val="00E24C5D"/>
    <w:rsid w:val="00E27064"/>
    <w:rsid w:val="00E27213"/>
    <w:rsid w:val="00E27715"/>
    <w:rsid w:val="00E2771E"/>
    <w:rsid w:val="00E277AC"/>
    <w:rsid w:val="00E30543"/>
    <w:rsid w:val="00E30B94"/>
    <w:rsid w:val="00E3155A"/>
    <w:rsid w:val="00E33179"/>
    <w:rsid w:val="00E34948"/>
    <w:rsid w:val="00E34ACC"/>
    <w:rsid w:val="00E35B16"/>
    <w:rsid w:val="00E36864"/>
    <w:rsid w:val="00E37569"/>
    <w:rsid w:val="00E4032F"/>
    <w:rsid w:val="00E403EF"/>
    <w:rsid w:val="00E40504"/>
    <w:rsid w:val="00E40EF2"/>
    <w:rsid w:val="00E41E30"/>
    <w:rsid w:val="00E4249D"/>
    <w:rsid w:val="00E43D70"/>
    <w:rsid w:val="00E44F05"/>
    <w:rsid w:val="00E466F3"/>
    <w:rsid w:val="00E47B2C"/>
    <w:rsid w:val="00E50514"/>
    <w:rsid w:val="00E5123D"/>
    <w:rsid w:val="00E51560"/>
    <w:rsid w:val="00E51877"/>
    <w:rsid w:val="00E54347"/>
    <w:rsid w:val="00E5474A"/>
    <w:rsid w:val="00E55424"/>
    <w:rsid w:val="00E55BB5"/>
    <w:rsid w:val="00E5698A"/>
    <w:rsid w:val="00E56D8A"/>
    <w:rsid w:val="00E57E17"/>
    <w:rsid w:val="00E60E7B"/>
    <w:rsid w:val="00E61262"/>
    <w:rsid w:val="00E6214B"/>
    <w:rsid w:val="00E6225D"/>
    <w:rsid w:val="00E65E79"/>
    <w:rsid w:val="00E66BA2"/>
    <w:rsid w:val="00E67416"/>
    <w:rsid w:val="00E70C94"/>
    <w:rsid w:val="00E718B6"/>
    <w:rsid w:val="00E71DD2"/>
    <w:rsid w:val="00E723BA"/>
    <w:rsid w:val="00E725D5"/>
    <w:rsid w:val="00E7271D"/>
    <w:rsid w:val="00E73571"/>
    <w:rsid w:val="00E73581"/>
    <w:rsid w:val="00E750D1"/>
    <w:rsid w:val="00E80FFE"/>
    <w:rsid w:val="00E833F7"/>
    <w:rsid w:val="00E83BDF"/>
    <w:rsid w:val="00E83CDB"/>
    <w:rsid w:val="00E83EC7"/>
    <w:rsid w:val="00E85DAC"/>
    <w:rsid w:val="00E8601A"/>
    <w:rsid w:val="00E86969"/>
    <w:rsid w:val="00E87A1D"/>
    <w:rsid w:val="00E91AEE"/>
    <w:rsid w:val="00E9218A"/>
    <w:rsid w:val="00E926A5"/>
    <w:rsid w:val="00E97C8A"/>
    <w:rsid w:val="00EA021F"/>
    <w:rsid w:val="00EA135A"/>
    <w:rsid w:val="00EA17C3"/>
    <w:rsid w:val="00EA1B9F"/>
    <w:rsid w:val="00EA2CAA"/>
    <w:rsid w:val="00EA3864"/>
    <w:rsid w:val="00EA3B1D"/>
    <w:rsid w:val="00EA44B0"/>
    <w:rsid w:val="00EA4EF8"/>
    <w:rsid w:val="00EA71A7"/>
    <w:rsid w:val="00EA79A9"/>
    <w:rsid w:val="00EB044B"/>
    <w:rsid w:val="00EB0C08"/>
    <w:rsid w:val="00EB11A5"/>
    <w:rsid w:val="00EB15B6"/>
    <w:rsid w:val="00EB3AF3"/>
    <w:rsid w:val="00EB3E55"/>
    <w:rsid w:val="00EB4916"/>
    <w:rsid w:val="00EC00C9"/>
    <w:rsid w:val="00EC06E9"/>
    <w:rsid w:val="00EC0AF0"/>
    <w:rsid w:val="00EC0C10"/>
    <w:rsid w:val="00EC1E35"/>
    <w:rsid w:val="00EC2649"/>
    <w:rsid w:val="00EC3FE6"/>
    <w:rsid w:val="00EC52C3"/>
    <w:rsid w:val="00EC5ECD"/>
    <w:rsid w:val="00EC6F62"/>
    <w:rsid w:val="00ED2198"/>
    <w:rsid w:val="00ED2875"/>
    <w:rsid w:val="00ED2FF0"/>
    <w:rsid w:val="00ED34D4"/>
    <w:rsid w:val="00ED4803"/>
    <w:rsid w:val="00ED57EA"/>
    <w:rsid w:val="00ED5972"/>
    <w:rsid w:val="00ED68DA"/>
    <w:rsid w:val="00ED7CF4"/>
    <w:rsid w:val="00EE07D3"/>
    <w:rsid w:val="00EE0DF1"/>
    <w:rsid w:val="00EE22AF"/>
    <w:rsid w:val="00EE2B7D"/>
    <w:rsid w:val="00EE2C3B"/>
    <w:rsid w:val="00EE4293"/>
    <w:rsid w:val="00EE6F71"/>
    <w:rsid w:val="00EE6FE9"/>
    <w:rsid w:val="00EE7DCE"/>
    <w:rsid w:val="00EE7F35"/>
    <w:rsid w:val="00EF0171"/>
    <w:rsid w:val="00EF1B25"/>
    <w:rsid w:val="00EF1D52"/>
    <w:rsid w:val="00EF3C19"/>
    <w:rsid w:val="00EF4747"/>
    <w:rsid w:val="00EF4BF8"/>
    <w:rsid w:val="00EF4CA2"/>
    <w:rsid w:val="00EF5FF6"/>
    <w:rsid w:val="00EF764A"/>
    <w:rsid w:val="00F00837"/>
    <w:rsid w:val="00F01C35"/>
    <w:rsid w:val="00F02253"/>
    <w:rsid w:val="00F02FFB"/>
    <w:rsid w:val="00F03885"/>
    <w:rsid w:val="00F03C2E"/>
    <w:rsid w:val="00F0496E"/>
    <w:rsid w:val="00F049E9"/>
    <w:rsid w:val="00F04A66"/>
    <w:rsid w:val="00F04BC9"/>
    <w:rsid w:val="00F04CE3"/>
    <w:rsid w:val="00F0516C"/>
    <w:rsid w:val="00F05687"/>
    <w:rsid w:val="00F05CF6"/>
    <w:rsid w:val="00F067A2"/>
    <w:rsid w:val="00F1263A"/>
    <w:rsid w:val="00F131F3"/>
    <w:rsid w:val="00F13782"/>
    <w:rsid w:val="00F14074"/>
    <w:rsid w:val="00F1618B"/>
    <w:rsid w:val="00F209DB"/>
    <w:rsid w:val="00F2192B"/>
    <w:rsid w:val="00F2331A"/>
    <w:rsid w:val="00F24837"/>
    <w:rsid w:val="00F2575F"/>
    <w:rsid w:val="00F26EF1"/>
    <w:rsid w:val="00F27565"/>
    <w:rsid w:val="00F27E2E"/>
    <w:rsid w:val="00F30220"/>
    <w:rsid w:val="00F310D4"/>
    <w:rsid w:val="00F3137F"/>
    <w:rsid w:val="00F31D5A"/>
    <w:rsid w:val="00F3203A"/>
    <w:rsid w:val="00F32513"/>
    <w:rsid w:val="00F32B0C"/>
    <w:rsid w:val="00F32D2C"/>
    <w:rsid w:val="00F33DE9"/>
    <w:rsid w:val="00F34E4B"/>
    <w:rsid w:val="00F3619A"/>
    <w:rsid w:val="00F370B9"/>
    <w:rsid w:val="00F379B2"/>
    <w:rsid w:val="00F37FE6"/>
    <w:rsid w:val="00F40705"/>
    <w:rsid w:val="00F40AAA"/>
    <w:rsid w:val="00F40BA7"/>
    <w:rsid w:val="00F415BD"/>
    <w:rsid w:val="00F435DF"/>
    <w:rsid w:val="00F45956"/>
    <w:rsid w:val="00F46CB6"/>
    <w:rsid w:val="00F46E09"/>
    <w:rsid w:val="00F47DE8"/>
    <w:rsid w:val="00F53334"/>
    <w:rsid w:val="00F542C1"/>
    <w:rsid w:val="00F552DF"/>
    <w:rsid w:val="00F5556B"/>
    <w:rsid w:val="00F55E73"/>
    <w:rsid w:val="00F55EDA"/>
    <w:rsid w:val="00F56787"/>
    <w:rsid w:val="00F57B3C"/>
    <w:rsid w:val="00F60092"/>
    <w:rsid w:val="00F60324"/>
    <w:rsid w:val="00F60BB4"/>
    <w:rsid w:val="00F62811"/>
    <w:rsid w:val="00F641F0"/>
    <w:rsid w:val="00F64951"/>
    <w:rsid w:val="00F6529A"/>
    <w:rsid w:val="00F65F4B"/>
    <w:rsid w:val="00F66769"/>
    <w:rsid w:val="00F6689F"/>
    <w:rsid w:val="00F66D82"/>
    <w:rsid w:val="00F6732D"/>
    <w:rsid w:val="00F70AE4"/>
    <w:rsid w:val="00F70C9D"/>
    <w:rsid w:val="00F7244B"/>
    <w:rsid w:val="00F73BF6"/>
    <w:rsid w:val="00F74CD9"/>
    <w:rsid w:val="00F76146"/>
    <w:rsid w:val="00F80A7B"/>
    <w:rsid w:val="00F80E5D"/>
    <w:rsid w:val="00F818DC"/>
    <w:rsid w:val="00F827F0"/>
    <w:rsid w:val="00F8314D"/>
    <w:rsid w:val="00F83DB3"/>
    <w:rsid w:val="00F851CE"/>
    <w:rsid w:val="00F852DA"/>
    <w:rsid w:val="00F85B30"/>
    <w:rsid w:val="00F905FF"/>
    <w:rsid w:val="00F91219"/>
    <w:rsid w:val="00F97A78"/>
    <w:rsid w:val="00FA0B20"/>
    <w:rsid w:val="00FA24E7"/>
    <w:rsid w:val="00FA2E32"/>
    <w:rsid w:val="00FB0238"/>
    <w:rsid w:val="00FB071C"/>
    <w:rsid w:val="00FB1389"/>
    <w:rsid w:val="00FB26F2"/>
    <w:rsid w:val="00FB2FCB"/>
    <w:rsid w:val="00FB3200"/>
    <w:rsid w:val="00FB40CC"/>
    <w:rsid w:val="00FB4BC6"/>
    <w:rsid w:val="00FC1074"/>
    <w:rsid w:val="00FC1884"/>
    <w:rsid w:val="00FC371D"/>
    <w:rsid w:val="00FC43B4"/>
    <w:rsid w:val="00FC5541"/>
    <w:rsid w:val="00FC56CC"/>
    <w:rsid w:val="00FC5F0B"/>
    <w:rsid w:val="00FC6BE9"/>
    <w:rsid w:val="00FC7B67"/>
    <w:rsid w:val="00FC7CB1"/>
    <w:rsid w:val="00FD04E0"/>
    <w:rsid w:val="00FD0EFB"/>
    <w:rsid w:val="00FD1141"/>
    <w:rsid w:val="00FD2100"/>
    <w:rsid w:val="00FD2524"/>
    <w:rsid w:val="00FD436C"/>
    <w:rsid w:val="00FD446D"/>
    <w:rsid w:val="00FD5A2A"/>
    <w:rsid w:val="00FD62A5"/>
    <w:rsid w:val="00FD6394"/>
    <w:rsid w:val="00FD6FF7"/>
    <w:rsid w:val="00FD73EF"/>
    <w:rsid w:val="00FE0E6C"/>
    <w:rsid w:val="00FE142B"/>
    <w:rsid w:val="00FE1D76"/>
    <w:rsid w:val="00FE2EDC"/>
    <w:rsid w:val="00FE4461"/>
    <w:rsid w:val="00FE53E5"/>
    <w:rsid w:val="00FE70C3"/>
    <w:rsid w:val="00FF1AF8"/>
    <w:rsid w:val="00FF2483"/>
    <w:rsid w:val="00FF28DB"/>
    <w:rsid w:val="00FF3DCF"/>
    <w:rsid w:val="00FF4524"/>
    <w:rsid w:val="00FF4824"/>
    <w:rsid w:val="00FF492C"/>
    <w:rsid w:val="00FF4A21"/>
    <w:rsid w:val="00FF4B46"/>
    <w:rsid w:val="00FF5AA3"/>
    <w:rsid w:val="00FF5AD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toc 8" w:uiPriority="39"/>
    <w:lsdException w:name="annotation text" w:uiPriority="99"/>
    <w:lsdException w:name="header" w:uiPriority="99"/>
    <w:lsdException w:name="footer" w:uiPriority="99"/>
    <w:lsdException w:name="caption" w:uiPriority="99"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Plain Text" w:uiPriority="99"/>
    <w:lsdException w:name="Normal (Web)" w:uiPriority="99"/>
    <w:lsdException w:name="No List" w:uiPriority="99"/>
    <w:lsdException w:name="Table Grid" w:semiHidden="0" w:uiPriority="39"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081A92"/>
    <w:pPr>
      <w:widowControl w:val="0"/>
      <w:jc w:val="both"/>
    </w:pPr>
    <w:rPr>
      <w:rFonts w:ascii="Calibri" w:hAnsi="Calibri" w:cs="Arial"/>
      <w:snapToGrid w:val="0"/>
      <w:sz w:val="24"/>
      <w:szCs w:val="22"/>
      <w:lang w:eastAsia="en-US"/>
    </w:rPr>
  </w:style>
  <w:style w:type="paragraph" w:styleId="Heading1">
    <w:name w:val="heading 1"/>
    <w:basedOn w:val="Normal"/>
    <w:next w:val="Normal"/>
    <w:qFormat/>
    <w:rsid w:val="001B204E"/>
    <w:pPr>
      <w:ind w:left="720" w:hanging="720"/>
      <w:outlineLvl w:val="0"/>
    </w:pPr>
    <w:rPr>
      <w:b/>
      <w:caps/>
      <w:sz w:val="32"/>
    </w:rPr>
  </w:style>
  <w:style w:type="paragraph" w:styleId="Heading2">
    <w:name w:val="heading 2"/>
    <w:basedOn w:val="Normal"/>
    <w:next w:val="Normal"/>
    <w:link w:val="Heading2Char"/>
    <w:qFormat/>
    <w:rsid w:val="00076F67"/>
    <w:pPr>
      <w:spacing w:before="120" w:after="120"/>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076F67"/>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PBAC Caption Tables + Figures,Caption Char1 Char,Caption Char Char Char,Caption Char1 Char Char Char,Caption Char Char Char Char Char,Caption Char Char1 Char,Caption Char1 Char1,Caption Char Char Char1,Caption Char1,Caption Char Char,Bullet"/>
    <w:basedOn w:val="Normal"/>
    <w:next w:val="Normal"/>
    <w:link w:val="CaptionChar"/>
    <w:uiPriority w:val="99"/>
    <w:unhideWhenUsed/>
    <w:qFormat/>
    <w:rsid w:val="00124A51"/>
    <w:pPr>
      <w:spacing w:after="200"/>
    </w:pPr>
    <w:rPr>
      <w:b/>
      <w:bCs/>
      <w:color w:val="4F81BD" w:themeColor="accent1"/>
      <w:sz w:val="18"/>
      <w:szCs w:val="18"/>
    </w:rPr>
  </w:style>
  <w:style w:type="character" w:customStyle="1" w:styleId="CaptionChar">
    <w:name w:val="Caption Char"/>
    <w:aliases w:val="PBAC Caption Tables + Figures Char,Caption Char1 Char Char,Caption Char Char Char Char,Caption Char1 Char Char Char Char,Caption Char Char Char Char Char Char,Caption Char Char1 Char Char,Caption Char1 Char1 Char,Caption Char1 Char2"/>
    <w:link w:val="Caption"/>
    <w:uiPriority w:val="99"/>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Bullet point,List Paragraph1,List Paragraph11,Recommendation"/>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Bullet point Char,List Paragraph1 Char,List Paragraph11 Char,Recommendation Char"/>
    <w:basedOn w:val="DefaultParagraphFont"/>
    <w:link w:val="ListParagraph"/>
    <w:uiPriority w:val="34"/>
    <w:qFormat/>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PBAC table,new sty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4"/>
    <w:qFormat/>
    <w:rsid w:val="00A518F3"/>
    <w:pPr>
      <w:widowControl/>
      <w:jc w:val="left"/>
    </w:pPr>
    <w:rPr>
      <w:rFonts w:ascii="Arial Narrow" w:hAnsi="Arial Narrow" w:cs="Times New Roman"/>
      <w:snapToGrid/>
      <w:sz w:val="20"/>
    </w:rPr>
  </w:style>
  <w:style w:type="character" w:customStyle="1" w:styleId="TabletextChar">
    <w:name w:val="Table text Char"/>
    <w:link w:val="Tabletext"/>
    <w:uiPriority w:val="4"/>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 H19"/>
    <w:basedOn w:val="Normal"/>
    <w:link w:val="CommentTextChar"/>
    <w:uiPriority w:val="99"/>
    <w:rsid w:val="00FD2100"/>
    <w:rPr>
      <w:rFonts w:ascii="Times New Roman" w:hAnsi="Times New Roman" w:cs="Times New Roman"/>
      <w:sz w:val="20"/>
    </w:rPr>
  </w:style>
  <w:style w:type="character" w:customStyle="1" w:styleId="CommentTextChar">
    <w:name w:val="Comment Text Char"/>
    <w:aliases w:val="- H19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3"/>
      </w:numPr>
      <w:spacing w:after="0"/>
      <w:ind w:left="425" w:hanging="425"/>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4F1B17"/>
    <w:pPr>
      <w:numPr>
        <w:numId w:val="2"/>
      </w:numPr>
      <w:spacing w:before="120" w:after="120"/>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styleId="FootnoteText">
    <w:name w:val="footnote text"/>
    <w:basedOn w:val="Normal"/>
    <w:link w:val="FootnoteTextChar"/>
    <w:semiHidden/>
    <w:unhideWhenUsed/>
    <w:rsid w:val="00F60324"/>
    <w:rPr>
      <w:sz w:val="20"/>
      <w:szCs w:val="20"/>
    </w:rPr>
  </w:style>
  <w:style w:type="character" w:customStyle="1" w:styleId="FootnoteTextChar">
    <w:name w:val="Footnote Text Char"/>
    <w:basedOn w:val="DefaultParagraphFont"/>
    <w:link w:val="FootnoteText"/>
    <w:semiHidden/>
    <w:rsid w:val="00F60324"/>
    <w:rPr>
      <w:rFonts w:ascii="Calibri" w:hAnsi="Calibri" w:cs="Arial"/>
      <w:snapToGrid w:val="0"/>
      <w:lang w:eastAsia="en-US"/>
    </w:rPr>
  </w:style>
  <w:style w:type="character" w:styleId="FootnoteReference">
    <w:name w:val="footnote reference"/>
    <w:basedOn w:val="DefaultParagraphFont"/>
    <w:semiHidden/>
    <w:unhideWhenUsed/>
    <w:rsid w:val="00F60324"/>
    <w:rPr>
      <w:vertAlign w:val="superscript"/>
    </w:rPr>
  </w:style>
  <w:style w:type="paragraph" w:customStyle="1" w:styleId="EndNoteBibliographyTitle">
    <w:name w:val="EndNote Bibliography Title"/>
    <w:basedOn w:val="Normal"/>
    <w:link w:val="EndNoteBibliographyTitleChar"/>
    <w:rsid w:val="001B52BB"/>
    <w:pPr>
      <w:jc w:val="center"/>
    </w:pPr>
    <w:rPr>
      <w:noProof/>
      <w:lang w:val="en-US"/>
    </w:rPr>
  </w:style>
  <w:style w:type="character" w:customStyle="1" w:styleId="EndNoteBibliographyTitleChar">
    <w:name w:val="EndNote Bibliography Title Char"/>
    <w:basedOn w:val="ListParagraphChar"/>
    <w:link w:val="EndNoteBibliographyTitle"/>
    <w:rsid w:val="001B52BB"/>
    <w:rPr>
      <w:rFonts w:ascii="Calibri" w:hAnsi="Calibri" w:cs="Arial"/>
      <w:noProof/>
      <w:snapToGrid w:val="0"/>
      <w:sz w:val="24"/>
      <w:szCs w:val="22"/>
      <w:lang w:val="en-US" w:eastAsia="en-US"/>
    </w:rPr>
  </w:style>
  <w:style w:type="paragraph" w:customStyle="1" w:styleId="EndNoteBibliography">
    <w:name w:val="EndNote Bibliography"/>
    <w:basedOn w:val="Normal"/>
    <w:link w:val="EndNoteBibliographyChar"/>
    <w:rsid w:val="001B52BB"/>
    <w:rPr>
      <w:noProof/>
      <w:lang w:val="en-US"/>
    </w:rPr>
  </w:style>
  <w:style w:type="character" w:customStyle="1" w:styleId="EndNoteBibliographyChar">
    <w:name w:val="EndNote Bibliography Char"/>
    <w:basedOn w:val="ListParagraphChar"/>
    <w:link w:val="EndNoteBibliography"/>
    <w:rsid w:val="001B52BB"/>
    <w:rPr>
      <w:rFonts w:ascii="Calibri" w:hAnsi="Calibri" w:cs="Arial"/>
      <w:noProof/>
      <w:snapToGrid w:val="0"/>
      <w:sz w:val="24"/>
      <w:szCs w:val="22"/>
      <w:lang w:val="en-US" w:eastAsia="en-US"/>
    </w:rPr>
  </w:style>
  <w:style w:type="paragraph" w:customStyle="1" w:styleId="Dash0">
    <w:name w:val="Dash+0"/>
    <w:basedOn w:val="Normal"/>
    <w:uiPriority w:val="2"/>
    <w:rsid w:val="00F209DB"/>
    <w:pPr>
      <w:widowControl/>
      <w:numPr>
        <w:numId w:val="9"/>
      </w:numPr>
      <w:tabs>
        <w:tab w:val="left" w:pos="1134"/>
      </w:tabs>
      <w:spacing w:line="276" w:lineRule="auto"/>
      <w:jc w:val="left"/>
    </w:pPr>
    <w:rPr>
      <w:rFonts w:asciiTheme="minorHAnsi" w:eastAsiaTheme="minorHAnsi" w:hAnsiTheme="minorHAnsi" w:cs="Tahoma"/>
      <w:snapToGrid/>
      <w:color w:val="000000"/>
      <w:sz w:val="22"/>
      <w:lang w:eastAsia="en-AU"/>
    </w:rPr>
  </w:style>
  <w:style w:type="paragraph" w:customStyle="1" w:styleId="Tabletextleft">
    <w:name w:val="Table text left"/>
    <w:basedOn w:val="Normal"/>
    <w:link w:val="TabletextleftChar"/>
    <w:qFormat/>
    <w:rsid w:val="00F209DB"/>
    <w:pPr>
      <w:widowControl/>
      <w:spacing w:before="20" w:after="20"/>
      <w:jc w:val="left"/>
    </w:pPr>
    <w:rPr>
      <w:rFonts w:asciiTheme="minorHAnsi" w:hAnsiTheme="minorHAnsi" w:cs="Times New Roman"/>
      <w:snapToGrid/>
      <w:sz w:val="18"/>
      <w:szCs w:val="20"/>
      <w:lang w:eastAsia="en-AU"/>
    </w:rPr>
  </w:style>
  <w:style w:type="character" w:customStyle="1" w:styleId="TabletextleftChar">
    <w:name w:val="Table text left Char"/>
    <w:basedOn w:val="DefaultParagraphFont"/>
    <w:link w:val="Tabletextleft"/>
    <w:rsid w:val="00F209DB"/>
    <w:rPr>
      <w:rFonts w:asciiTheme="minorHAnsi" w:hAnsiTheme="minorHAnsi"/>
      <w:sz w:val="18"/>
    </w:rPr>
  </w:style>
  <w:style w:type="paragraph" w:customStyle="1" w:styleId="TableText0">
    <w:name w:val="Table Text"/>
    <w:basedOn w:val="Normal"/>
    <w:rsid w:val="0052798F"/>
    <w:pPr>
      <w:widowControl/>
      <w:jc w:val="left"/>
    </w:pPr>
    <w:rPr>
      <w:rFonts w:ascii="Arial Narrow" w:eastAsiaTheme="minorHAnsi" w:hAnsi="Arial Narrow" w:cstheme="minorBidi"/>
      <w:snapToGrid/>
      <w:sz w:val="20"/>
    </w:rPr>
  </w:style>
  <w:style w:type="table" w:customStyle="1" w:styleId="TableHTAsimple">
    <w:name w:val="Table HTA simple"/>
    <w:basedOn w:val="TableNormal"/>
    <w:uiPriority w:val="99"/>
    <w:rsid w:val="00576B6C"/>
    <w:rPr>
      <w:rFonts w:asciiTheme="minorHAnsi" w:eastAsiaTheme="minorHAnsi" w:hAnsiTheme="minorHAnsi" w:cstheme="minorBidi"/>
      <w:sz w:val="18"/>
      <w:szCs w:val="22"/>
      <w:lang w:val="de-DE" w:eastAsia="en-US"/>
    </w:rPr>
    <w:tblPr>
      <w:tblStyleRowBandSize w:val="1"/>
      <w:tblBorders>
        <w:top w:val="single" w:sz="4" w:space="0" w:color="auto"/>
        <w:bottom w:val="single" w:sz="4" w:space="0" w:color="auto"/>
        <w:insideH w:val="single" w:sz="6" w:space="0" w:color="auto"/>
      </w:tblBorders>
    </w:tblPr>
    <w:tcPr>
      <w:vAlign w:val="center"/>
    </w:tcPr>
    <w:tblStylePr w:type="firstRow">
      <w:pPr>
        <w:wordWrap/>
        <w:spacing w:beforeLines="0" w:before="40" w:beforeAutospacing="0" w:afterLines="0" w:after="40" w:afterAutospacing="0" w:line="240" w:lineRule="auto"/>
      </w:pPr>
      <w:rPr>
        <w:rFonts w:asciiTheme="minorHAnsi" w:hAnsiTheme="minorHAnsi"/>
        <w:b w:val="0"/>
        <w:sz w:val="18"/>
      </w:rPr>
    </w:tblStylePr>
    <w:tblStylePr w:type="band1Horz">
      <w:pPr>
        <w:wordWrap/>
        <w:spacing w:beforeLines="0" w:before="20" w:beforeAutospacing="0" w:afterLines="0" w:after="20" w:afterAutospacing="0" w:line="240" w:lineRule="auto"/>
      </w:pPr>
    </w:tblStylePr>
    <w:tblStylePr w:type="band2Horz">
      <w:pPr>
        <w:wordWrap/>
        <w:spacing w:beforeLines="0" w:before="20" w:beforeAutospacing="0" w:afterLines="0" w:after="20" w:afterAutospacing="0" w:line="240" w:lineRule="auto"/>
      </w:pPr>
    </w:tblStylePr>
  </w:style>
  <w:style w:type="paragraph" w:customStyle="1" w:styleId="TableHeadingleft">
    <w:name w:val="Table Heading left"/>
    <w:basedOn w:val="Normal"/>
    <w:next w:val="Tabletextleft"/>
    <w:qFormat/>
    <w:rsid w:val="00576B6C"/>
    <w:pPr>
      <w:widowControl/>
      <w:spacing w:before="40" w:after="40"/>
      <w:jc w:val="left"/>
    </w:pPr>
    <w:rPr>
      <w:rFonts w:asciiTheme="minorHAnsi" w:eastAsiaTheme="minorHAnsi" w:hAnsiTheme="minorHAnsi" w:cs="Tahoma"/>
      <w:b/>
      <w:snapToGrid/>
      <w:sz w:val="18"/>
      <w:szCs w:val="18"/>
      <w:lang w:val="de-DE"/>
    </w:rPr>
  </w:style>
  <w:style w:type="paragraph" w:customStyle="1" w:styleId="Tabletextcent">
    <w:name w:val="Table text cent"/>
    <w:basedOn w:val="Tabletextleft"/>
    <w:rsid w:val="00576B6C"/>
    <w:pPr>
      <w:jc w:val="center"/>
    </w:pPr>
    <w:rPr>
      <w:lang w:val="de-DE"/>
    </w:rPr>
  </w:style>
  <w:style w:type="paragraph" w:customStyle="1" w:styleId="Tableheadingcent">
    <w:name w:val="Table heading cent"/>
    <w:basedOn w:val="TableHeadingleft"/>
    <w:qFormat/>
    <w:rsid w:val="00576B6C"/>
    <w:pPr>
      <w:jc w:val="center"/>
    </w:pPr>
  </w:style>
  <w:style w:type="paragraph" w:customStyle="1" w:styleId="Tabletextbold">
    <w:name w:val="Table text bold"/>
    <w:basedOn w:val="Tabletextleft"/>
    <w:qFormat/>
    <w:rsid w:val="00B55465"/>
    <w:pPr>
      <w:ind w:left="57" w:right="57"/>
    </w:pPr>
    <w:rPr>
      <w:rFonts w:eastAsia="Arial"/>
      <w:b/>
      <w:lang w:val="de-DE"/>
    </w:rPr>
  </w:style>
  <w:style w:type="numbering" w:customStyle="1" w:styleId="Lists">
    <w:name w:val="Lists"/>
    <w:uiPriority w:val="99"/>
    <w:rsid w:val="00B55465"/>
    <w:pPr>
      <w:numPr>
        <w:numId w:val="21"/>
      </w:numPr>
    </w:pPr>
  </w:style>
  <w:style w:type="paragraph" w:customStyle="1" w:styleId="Bullet12">
    <w:name w:val="Bullet+12"/>
    <w:basedOn w:val="Normal"/>
    <w:next w:val="BodyText"/>
    <w:link w:val="Bullet12Char"/>
    <w:uiPriority w:val="2"/>
    <w:rsid w:val="00B55465"/>
    <w:pPr>
      <w:widowControl/>
      <w:numPr>
        <w:numId w:val="23"/>
      </w:numPr>
      <w:spacing w:after="240" w:line="276" w:lineRule="auto"/>
      <w:contextualSpacing/>
      <w:jc w:val="left"/>
    </w:pPr>
    <w:rPr>
      <w:snapToGrid/>
      <w:sz w:val="22"/>
      <w:szCs w:val="24"/>
      <w:lang w:eastAsia="en-GB"/>
    </w:rPr>
  </w:style>
  <w:style w:type="character" w:customStyle="1" w:styleId="Bullet12Char">
    <w:name w:val="Bullet+12 Char"/>
    <w:basedOn w:val="DefaultParagraphFont"/>
    <w:link w:val="Bullet12"/>
    <w:uiPriority w:val="2"/>
    <w:rsid w:val="00B55465"/>
    <w:rPr>
      <w:rFonts w:ascii="Calibri" w:hAnsi="Calibri" w:cs="Arial"/>
      <w:sz w:val="22"/>
      <w:szCs w:val="24"/>
      <w:lang w:eastAsia="en-GB"/>
    </w:rPr>
  </w:style>
  <w:style w:type="table" w:customStyle="1" w:styleId="HTAsimpletable">
    <w:name w:val="HTA simple table"/>
    <w:basedOn w:val="TableNormal"/>
    <w:uiPriority w:val="99"/>
    <w:rsid w:val="00B55465"/>
    <w:rPr>
      <w:rFonts w:asciiTheme="minorHAnsi" w:eastAsiaTheme="minorHAnsi" w:hAnsiTheme="minorHAnsi" w:cstheme="minorBidi"/>
      <w:sz w:val="22"/>
      <w:szCs w:val="22"/>
      <w:lang w:val="de-DE" w:eastAsia="en-US"/>
    </w:rPr>
    <w:tblPr>
      <w:tblStyleRowBandSize w:val="1"/>
      <w:tblBorders>
        <w:top w:val="single" w:sz="4" w:space="0" w:color="auto"/>
        <w:bottom w:val="single" w:sz="4" w:space="0" w:color="auto"/>
        <w:insideH w:val="single" w:sz="6" w:space="0" w:color="auto"/>
      </w:tblBorders>
    </w:tblPr>
    <w:tcPr>
      <w:vAlign w:val="center"/>
    </w:tcPr>
    <w:tblStylePr w:type="firstRow">
      <w:pPr>
        <w:wordWrap/>
        <w:spacing w:beforeLines="0" w:before="40" w:beforeAutospacing="0" w:afterLines="0" w:after="40" w:afterAutospacing="0" w:line="240" w:lineRule="auto"/>
      </w:pPr>
      <w:rPr>
        <w:rFonts w:asciiTheme="minorHAnsi" w:hAnsiTheme="minorHAnsi"/>
        <w:b/>
        <w:sz w:val="18"/>
      </w:rPr>
    </w:tblStylePr>
    <w:tblStylePr w:type="band2Horz">
      <w:pPr>
        <w:wordWrap/>
        <w:spacing w:beforeLines="0" w:before="20" w:beforeAutospacing="0" w:afterLines="0" w:after="20" w:afterAutospacing="0" w:line="240" w:lineRule="auto"/>
      </w:pPr>
    </w:tblStylePr>
  </w:style>
  <w:style w:type="table" w:customStyle="1" w:styleId="TableGridLight1">
    <w:name w:val="Table Grid Light1"/>
    <w:basedOn w:val="TableNormal"/>
    <w:uiPriority w:val="40"/>
    <w:rsid w:val="00B5546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FigNotes18">
    <w:name w:val="TableFigNotes+18"/>
    <w:basedOn w:val="BodyText"/>
    <w:next w:val="BodyText"/>
    <w:link w:val="TableFigNotes18Char"/>
    <w:uiPriority w:val="4"/>
    <w:qFormat/>
    <w:rsid w:val="00B55465"/>
    <w:pPr>
      <w:keepLines/>
      <w:widowControl/>
      <w:spacing w:after="360" w:line="276" w:lineRule="auto"/>
    </w:pPr>
    <w:rPr>
      <w:rFonts w:asciiTheme="minorHAnsi" w:eastAsiaTheme="minorHAnsi" w:hAnsiTheme="minorHAnsi" w:cs="Tahoma"/>
      <w:snapToGrid/>
      <w:color w:val="000000"/>
      <w:sz w:val="16"/>
      <w:szCs w:val="18"/>
      <w:lang w:eastAsia="en-AU"/>
    </w:rPr>
  </w:style>
  <w:style w:type="character" w:customStyle="1" w:styleId="TableFigNotes18Char">
    <w:name w:val="TableFigNotes+18 Char"/>
    <w:basedOn w:val="DefaultParagraphFont"/>
    <w:link w:val="TableFigNotes18"/>
    <w:uiPriority w:val="4"/>
    <w:rsid w:val="00B55465"/>
    <w:rPr>
      <w:rFonts w:asciiTheme="minorHAnsi" w:eastAsiaTheme="minorHAnsi" w:hAnsiTheme="minorHAnsi" w:cs="Tahoma"/>
      <w:color w:val="000000"/>
      <w:sz w:val="16"/>
      <w:szCs w:val="18"/>
    </w:rPr>
  </w:style>
  <w:style w:type="paragraph" w:customStyle="1" w:styleId="Headingnonum">
    <w:name w:val="Heading  nonum"/>
    <w:basedOn w:val="Normal"/>
    <w:next w:val="BodyText"/>
    <w:qFormat/>
    <w:rsid w:val="00B55465"/>
    <w:pPr>
      <w:keepNext/>
      <w:keepLines/>
      <w:widowControl/>
      <w:spacing w:after="200" w:line="276" w:lineRule="auto"/>
      <w:jc w:val="left"/>
    </w:pPr>
    <w:rPr>
      <w:rFonts w:ascii="Tahoma" w:eastAsiaTheme="minorHAnsi" w:hAnsi="Tahoma" w:cs="Tahoma"/>
      <w:b/>
      <w:i/>
      <w:snapToGrid/>
      <w:color w:val="7F7F7F" w:themeColor="text1" w:themeTint="80"/>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1B7E59"/>
    <w:pPr>
      <w:widowControl/>
      <w:spacing w:after="160" w:line="240" w:lineRule="exact"/>
      <w:jc w:val="left"/>
    </w:pPr>
    <w:rPr>
      <w:rFonts w:ascii="Verdana" w:eastAsia="MS Mincho" w:hAnsi="Verdana" w:cs="Verdana"/>
      <w:snapToGrid/>
      <w:sz w:val="20"/>
      <w:szCs w:val="20"/>
      <w:lang w:val="en-US"/>
    </w:rPr>
  </w:style>
  <w:style w:type="table" w:customStyle="1" w:styleId="newstyle1">
    <w:name w:val="new style1"/>
    <w:basedOn w:val="TableNormal"/>
    <w:next w:val="TableGrid"/>
    <w:rsid w:val="007E7F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rsid w:val="00257608"/>
    <w:pPr>
      <w:widowControl/>
      <w:jc w:val="left"/>
    </w:pPr>
    <w:rPr>
      <w:rFonts w:ascii="Courier New" w:hAnsi="Courier New" w:cs="Times New Roman"/>
      <w:snapToGrid/>
      <w:sz w:val="20"/>
      <w:szCs w:val="20"/>
      <w:lang w:eastAsia="en-AU"/>
    </w:rPr>
  </w:style>
  <w:style w:type="character" w:customStyle="1" w:styleId="PlainTextChar">
    <w:name w:val="Plain Text Char"/>
    <w:basedOn w:val="DefaultParagraphFont"/>
    <w:link w:val="PlainText"/>
    <w:uiPriority w:val="99"/>
    <w:rsid w:val="00257608"/>
    <w:rPr>
      <w:rFonts w:ascii="Courier New" w:hAnsi="Courier New"/>
    </w:rPr>
  </w:style>
  <w:style w:type="paragraph" w:styleId="EndnoteText">
    <w:name w:val="endnote text"/>
    <w:basedOn w:val="Normal"/>
    <w:link w:val="EndnoteTextChar"/>
    <w:semiHidden/>
    <w:unhideWhenUsed/>
    <w:rsid w:val="008618D2"/>
    <w:rPr>
      <w:sz w:val="20"/>
      <w:szCs w:val="20"/>
    </w:rPr>
  </w:style>
  <w:style w:type="character" w:customStyle="1" w:styleId="EndnoteTextChar">
    <w:name w:val="Endnote Text Char"/>
    <w:basedOn w:val="DefaultParagraphFont"/>
    <w:link w:val="EndnoteText"/>
    <w:semiHidden/>
    <w:rsid w:val="008618D2"/>
    <w:rPr>
      <w:rFonts w:ascii="Calibri" w:hAnsi="Calibri" w:cs="Arial"/>
      <w:snapToGrid w:val="0"/>
      <w:lang w:eastAsia="en-US"/>
    </w:rPr>
  </w:style>
  <w:style w:type="character" w:styleId="EndnoteReference">
    <w:name w:val="endnote reference"/>
    <w:basedOn w:val="DefaultParagraphFont"/>
    <w:semiHidden/>
    <w:unhideWhenUsed/>
    <w:rsid w:val="008618D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toc 8" w:uiPriority="39"/>
    <w:lsdException w:name="annotation text" w:uiPriority="99"/>
    <w:lsdException w:name="header" w:uiPriority="99"/>
    <w:lsdException w:name="footer" w:uiPriority="99"/>
    <w:lsdException w:name="caption" w:uiPriority="99"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Plain Text" w:uiPriority="99"/>
    <w:lsdException w:name="Normal (Web)" w:uiPriority="99"/>
    <w:lsdException w:name="No List" w:uiPriority="99"/>
    <w:lsdException w:name="Table Grid" w:semiHidden="0" w:uiPriority="39"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081A92"/>
    <w:pPr>
      <w:widowControl w:val="0"/>
      <w:jc w:val="both"/>
    </w:pPr>
    <w:rPr>
      <w:rFonts w:ascii="Calibri" w:hAnsi="Calibri" w:cs="Arial"/>
      <w:snapToGrid w:val="0"/>
      <w:sz w:val="24"/>
      <w:szCs w:val="22"/>
      <w:lang w:eastAsia="en-US"/>
    </w:rPr>
  </w:style>
  <w:style w:type="paragraph" w:styleId="Heading1">
    <w:name w:val="heading 1"/>
    <w:basedOn w:val="Normal"/>
    <w:next w:val="Normal"/>
    <w:qFormat/>
    <w:rsid w:val="001B204E"/>
    <w:pPr>
      <w:ind w:left="720" w:hanging="720"/>
      <w:outlineLvl w:val="0"/>
    </w:pPr>
    <w:rPr>
      <w:b/>
      <w:caps/>
      <w:sz w:val="32"/>
    </w:rPr>
  </w:style>
  <w:style w:type="paragraph" w:styleId="Heading2">
    <w:name w:val="heading 2"/>
    <w:basedOn w:val="Normal"/>
    <w:next w:val="Normal"/>
    <w:link w:val="Heading2Char"/>
    <w:qFormat/>
    <w:rsid w:val="00076F67"/>
    <w:pPr>
      <w:spacing w:before="120" w:after="120"/>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076F67"/>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PBAC Caption Tables + Figures,Caption Char1 Char,Caption Char Char Char,Caption Char1 Char Char Char,Caption Char Char Char Char Char,Caption Char Char1 Char,Caption Char1 Char1,Caption Char Char Char1,Caption Char1,Caption Char Char,Bullet"/>
    <w:basedOn w:val="Normal"/>
    <w:next w:val="Normal"/>
    <w:link w:val="CaptionChar"/>
    <w:uiPriority w:val="99"/>
    <w:unhideWhenUsed/>
    <w:qFormat/>
    <w:rsid w:val="00124A51"/>
    <w:pPr>
      <w:spacing w:after="200"/>
    </w:pPr>
    <w:rPr>
      <w:b/>
      <w:bCs/>
      <w:color w:val="4F81BD" w:themeColor="accent1"/>
      <w:sz w:val="18"/>
      <w:szCs w:val="18"/>
    </w:rPr>
  </w:style>
  <w:style w:type="character" w:customStyle="1" w:styleId="CaptionChar">
    <w:name w:val="Caption Char"/>
    <w:aliases w:val="PBAC Caption Tables + Figures Char,Caption Char1 Char Char,Caption Char Char Char Char,Caption Char1 Char Char Char Char,Caption Char Char Char Char Char Char,Caption Char Char1 Char Char,Caption Char1 Char1 Char,Caption Char1 Char2"/>
    <w:link w:val="Caption"/>
    <w:uiPriority w:val="99"/>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Bullet point,List Paragraph1,List Paragraph11,Recommendation"/>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Bullet point Char,List Paragraph1 Char,List Paragraph11 Char,Recommendation Char"/>
    <w:basedOn w:val="DefaultParagraphFont"/>
    <w:link w:val="ListParagraph"/>
    <w:uiPriority w:val="34"/>
    <w:qFormat/>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PBAC table,new sty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4"/>
    <w:qFormat/>
    <w:rsid w:val="00A518F3"/>
    <w:pPr>
      <w:widowControl/>
      <w:jc w:val="left"/>
    </w:pPr>
    <w:rPr>
      <w:rFonts w:ascii="Arial Narrow" w:hAnsi="Arial Narrow" w:cs="Times New Roman"/>
      <w:snapToGrid/>
      <w:sz w:val="20"/>
    </w:rPr>
  </w:style>
  <w:style w:type="character" w:customStyle="1" w:styleId="TabletextChar">
    <w:name w:val="Table text Char"/>
    <w:link w:val="Tabletext"/>
    <w:uiPriority w:val="4"/>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 H19"/>
    <w:basedOn w:val="Normal"/>
    <w:link w:val="CommentTextChar"/>
    <w:uiPriority w:val="99"/>
    <w:rsid w:val="00FD2100"/>
    <w:rPr>
      <w:rFonts w:ascii="Times New Roman" w:hAnsi="Times New Roman" w:cs="Times New Roman"/>
      <w:sz w:val="20"/>
    </w:rPr>
  </w:style>
  <w:style w:type="character" w:customStyle="1" w:styleId="CommentTextChar">
    <w:name w:val="Comment Text Char"/>
    <w:aliases w:val="- H19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3"/>
      </w:numPr>
      <w:spacing w:after="0"/>
      <w:ind w:left="425" w:hanging="425"/>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4F1B17"/>
    <w:pPr>
      <w:numPr>
        <w:numId w:val="2"/>
      </w:numPr>
      <w:spacing w:before="120" w:after="120"/>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styleId="FootnoteText">
    <w:name w:val="footnote text"/>
    <w:basedOn w:val="Normal"/>
    <w:link w:val="FootnoteTextChar"/>
    <w:semiHidden/>
    <w:unhideWhenUsed/>
    <w:rsid w:val="00F60324"/>
    <w:rPr>
      <w:sz w:val="20"/>
      <w:szCs w:val="20"/>
    </w:rPr>
  </w:style>
  <w:style w:type="character" w:customStyle="1" w:styleId="FootnoteTextChar">
    <w:name w:val="Footnote Text Char"/>
    <w:basedOn w:val="DefaultParagraphFont"/>
    <w:link w:val="FootnoteText"/>
    <w:semiHidden/>
    <w:rsid w:val="00F60324"/>
    <w:rPr>
      <w:rFonts w:ascii="Calibri" w:hAnsi="Calibri" w:cs="Arial"/>
      <w:snapToGrid w:val="0"/>
      <w:lang w:eastAsia="en-US"/>
    </w:rPr>
  </w:style>
  <w:style w:type="character" w:styleId="FootnoteReference">
    <w:name w:val="footnote reference"/>
    <w:basedOn w:val="DefaultParagraphFont"/>
    <w:semiHidden/>
    <w:unhideWhenUsed/>
    <w:rsid w:val="00F60324"/>
    <w:rPr>
      <w:vertAlign w:val="superscript"/>
    </w:rPr>
  </w:style>
  <w:style w:type="paragraph" w:customStyle="1" w:styleId="EndNoteBibliographyTitle">
    <w:name w:val="EndNote Bibliography Title"/>
    <w:basedOn w:val="Normal"/>
    <w:link w:val="EndNoteBibliographyTitleChar"/>
    <w:rsid w:val="001B52BB"/>
    <w:pPr>
      <w:jc w:val="center"/>
    </w:pPr>
    <w:rPr>
      <w:noProof/>
      <w:lang w:val="en-US"/>
    </w:rPr>
  </w:style>
  <w:style w:type="character" w:customStyle="1" w:styleId="EndNoteBibliographyTitleChar">
    <w:name w:val="EndNote Bibliography Title Char"/>
    <w:basedOn w:val="ListParagraphChar"/>
    <w:link w:val="EndNoteBibliographyTitle"/>
    <w:rsid w:val="001B52BB"/>
    <w:rPr>
      <w:rFonts w:ascii="Calibri" w:hAnsi="Calibri" w:cs="Arial"/>
      <w:noProof/>
      <w:snapToGrid w:val="0"/>
      <w:sz w:val="24"/>
      <w:szCs w:val="22"/>
      <w:lang w:val="en-US" w:eastAsia="en-US"/>
    </w:rPr>
  </w:style>
  <w:style w:type="paragraph" w:customStyle="1" w:styleId="EndNoteBibliography">
    <w:name w:val="EndNote Bibliography"/>
    <w:basedOn w:val="Normal"/>
    <w:link w:val="EndNoteBibliographyChar"/>
    <w:rsid w:val="001B52BB"/>
    <w:rPr>
      <w:noProof/>
      <w:lang w:val="en-US"/>
    </w:rPr>
  </w:style>
  <w:style w:type="character" w:customStyle="1" w:styleId="EndNoteBibliographyChar">
    <w:name w:val="EndNote Bibliography Char"/>
    <w:basedOn w:val="ListParagraphChar"/>
    <w:link w:val="EndNoteBibliography"/>
    <w:rsid w:val="001B52BB"/>
    <w:rPr>
      <w:rFonts w:ascii="Calibri" w:hAnsi="Calibri" w:cs="Arial"/>
      <w:noProof/>
      <w:snapToGrid w:val="0"/>
      <w:sz w:val="24"/>
      <w:szCs w:val="22"/>
      <w:lang w:val="en-US" w:eastAsia="en-US"/>
    </w:rPr>
  </w:style>
  <w:style w:type="paragraph" w:customStyle="1" w:styleId="Dash0">
    <w:name w:val="Dash+0"/>
    <w:basedOn w:val="Normal"/>
    <w:uiPriority w:val="2"/>
    <w:rsid w:val="00F209DB"/>
    <w:pPr>
      <w:widowControl/>
      <w:numPr>
        <w:numId w:val="9"/>
      </w:numPr>
      <w:tabs>
        <w:tab w:val="left" w:pos="1134"/>
      </w:tabs>
      <w:spacing w:line="276" w:lineRule="auto"/>
      <w:jc w:val="left"/>
    </w:pPr>
    <w:rPr>
      <w:rFonts w:asciiTheme="minorHAnsi" w:eastAsiaTheme="minorHAnsi" w:hAnsiTheme="minorHAnsi" w:cs="Tahoma"/>
      <w:snapToGrid/>
      <w:color w:val="000000"/>
      <w:sz w:val="22"/>
      <w:lang w:eastAsia="en-AU"/>
    </w:rPr>
  </w:style>
  <w:style w:type="paragraph" w:customStyle="1" w:styleId="Tabletextleft">
    <w:name w:val="Table text left"/>
    <w:basedOn w:val="Normal"/>
    <w:link w:val="TabletextleftChar"/>
    <w:qFormat/>
    <w:rsid w:val="00F209DB"/>
    <w:pPr>
      <w:widowControl/>
      <w:spacing w:before="20" w:after="20"/>
      <w:jc w:val="left"/>
    </w:pPr>
    <w:rPr>
      <w:rFonts w:asciiTheme="minorHAnsi" w:hAnsiTheme="minorHAnsi" w:cs="Times New Roman"/>
      <w:snapToGrid/>
      <w:sz w:val="18"/>
      <w:szCs w:val="20"/>
      <w:lang w:eastAsia="en-AU"/>
    </w:rPr>
  </w:style>
  <w:style w:type="character" w:customStyle="1" w:styleId="TabletextleftChar">
    <w:name w:val="Table text left Char"/>
    <w:basedOn w:val="DefaultParagraphFont"/>
    <w:link w:val="Tabletextleft"/>
    <w:rsid w:val="00F209DB"/>
    <w:rPr>
      <w:rFonts w:asciiTheme="minorHAnsi" w:hAnsiTheme="minorHAnsi"/>
      <w:sz w:val="18"/>
    </w:rPr>
  </w:style>
  <w:style w:type="paragraph" w:customStyle="1" w:styleId="TableText0">
    <w:name w:val="Table Text"/>
    <w:basedOn w:val="Normal"/>
    <w:rsid w:val="0052798F"/>
    <w:pPr>
      <w:widowControl/>
      <w:jc w:val="left"/>
    </w:pPr>
    <w:rPr>
      <w:rFonts w:ascii="Arial Narrow" w:eastAsiaTheme="minorHAnsi" w:hAnsi="Arial Narrow" w:cstheme="minorBidi"/>
      <w:snapToGrid/>
      <w:sz w:val="20"/>
    </w:rPr>
  </w:style>
  <w:style w:type="table" w:customStyle="1" w:styleId="TableHTAsimple">
    <w:name w:val="Table HTA simple"/>
    <w:basedOn w:val="TableNormal"/>
    <w:uiPriority w:val="99"/>
    <w:rsid w:val="00576B6C"/>
    <w:rPr>
      <w:rFonts w:asciiTheme="minorHAnsi" w:eastAsiaTheme="minorHAnsi" w:hAnsiTheme="minorHAnsi" w:cstheme="minorBidi"/>
      <w:sz w:val="18"/>
      <w:szCs w:val="22"/>
      <w:lang w:val="de-DE" w:eastAsia="en-US"/>
    </w:rPr>
    <w:tblPr>
      <w:tblStyleRowBandSize w:val="1"/>
      <w:tblBorders>
        <w:top w:val="single" w:sz="4" w:space="0" w:color="auto"/>
        <w:bottom w:val="single" w:sz="4" w:space="0" w:color="auto"/>
        <w:insideH w:val="single" w:sz="6" w:space="0" w:color="auto"/>
      </w:tblBorders>
    </w:tblPr>
    <w:tcPr>
      <w:vAlign w:val="center"/>
    </w:tcPr>
    <w:tblStylePr w:type="firstRow">
      <w:pPr>
        <w:wordWrap/>
        <w:spacing w:beforeLines="0" w:before="40" w:beforeAutospacing="0" w:afterLines="0" w:after="40" w:afterAutospacing="0" w:line="240" w:lineRule="auto"/>
      </w:pPr>
      <w:rPr>
        <w:rFonts w:asciiTheme="minorHAnsi" w:hAnsiTheme="minorHAnsi"/>
        <w:b w:val="0"/>
        <w:sz w:val="18"/>
      </w:rPr>
    </w:tblStylePr>
    <w:tblStylePr w:type="band1Horz">
      <w:pPr>
        <w:wordWrap/>
        <w:spacing w:beforeLines="0" w:before="20" w:beforeAutospacing="0" w:afterLines="0" w:after="20" w:afterAutospacing="0" w:line="240" w:lineRule="auto"/>
      </w:pPr>
    </w:tblStylePr>
    <w:tblStylePr w:type="band2Horz">
      <w:pPr>
        <w:wordWrap/>
        <w:spacing w:beforeLines="0" w:before="20" w:beforeAutospacing="0" w:afterLines="0" w:after="20" w:afterAutospacing="0" w:line="240" w:lineRule="auto"/>
      </w:pPr>
    </w:tblStylePr>
  </w:style>
  <w:style w:type="paragraph" w:customStyle="1" w:styleId="TableHeadingleft">
    <w:name w:val="Table Heading left"/>
    <w:basedOn w:val="Normal"/>
    <w:next w:val="Tabletextleft"/>
    <w:qFormat/>
    <w:rsid w:val="00576B6C"/>
    <w:pPr>
      <w:widowControl/>
      <w:spacing w:before="40" w:after="40"/>
      <w:jc w:val="left"/>
    </w:pPr>
    <w:rPr>
      <w:rFonts w:asciiTheme="minorHAnsi" w:eastAsiaTheme="minorHAnsi" w:hAnsiTheme="minorHAnsi" w:cs="Tahoma"/>
      <w:b/>
      <w:snapToGrid/>
      <w:sz w:val="18"/>
      <w:szCs w:val="18"/>
      <w:lang w:val="de-DE"/>
    </w:rPr>
  </w:style>
  <w:style w:type="paragraph" w:customStyle="1" w:styleId="Tabletextcent">
    <w:name w:val="Table text cent"/>
    <w:basedOn w:val="Tabletextleft"/>
    <w:rsid w:val="00576B6C"/>
    <w:pPr>
      <w:jc w:val="center"/>
    </w:pPr>
    <w:rPr>
      <w:lang w:val="de-DE"/>
    </w:rPr>
  </w:style>
  <w:style w:type="paragraph" w:customStyle="1" w:styleId="Tableheadingcent">
    <w:name w:val="Table heading cent"/>
    <w:basedOn w:val="TableHeadingleft"/>
    <w:qFormat/>
    <w:rsid w:val="00576B6C"/>
    <w:pPr>
      <w:jc w:val="center"/>
    </w:pPr>
  </w:style>
  <w:style w:type="paragraph" w:customStyle="1" w:styleId="Tabletextbold">
    <w:name w:val="Table text bold"/>
    <w:basedOn w:val="Tabletextleft"/>
    <w:qFormat/>
    <w:rsid w:val="00B55465"/>
    <w:pPr>
      <w:ind w:left="57" w:right="57"/>
    </w:pPr>
    <w:rPr>
      <w:rFonts w:eastAsia="Arial"/>
      <w:b/>
      <w:lang w:val="de-DE"/>
    </w:rPr>
  </w:style>
  <w:style w:type="numbering" w:customStyle="1" w:styleId="Lists">
    <w:name w:val="Lists"/>
    <w:uiPriority w:val="99"/>
    <w:rsid w:val="00B55465"/>
    <w:pPr>
      <w:numPr>
        <w:numId w:val="21"/>
      </w:numPr>
    </w:pPr>
  </w:style>
  <w:style w:type="paragraph" w:customStyle="1" w:styleId="Bullet12">
    <w:name w:val="Bullet+12"/>
    <w:basedOn w:val="Normal"/>
    <w:next w:val="BodyText"/>
    <w:link w:val="Bullet12Char"/>
    <w:uiPriority w:val="2"/>
    <w:rsid w:val="00B55465"/>
    <w:pPr>
      <w:widowControl/>
      <w:numPr>
        <w:numId w:val="23"/>
      </w:numPr>
      <w:spacing w:after="240" w:line="276" w:lineRule="auto"/>
      <w:contextualSpacing/>
      <w:jc w:val="left"/>
    </w:pPr>
    <w:rPr>
      <w:snapToGrid/>
      <w:sz w:val="22"/>
      <w:szCs w:val="24"/>
      <w:lang w:eastAsia="en-GB"/>
    </w:rPr>
  </w:style>
  <w:style w:type="character" w:customStyle="1" w:styleId="Bullet12Char">
    <w:name w:val="Bullet+12 Char"/>
    <w:basedOn w:val="DefaultParagraphFont"/>
    <w:link w:val="Bullet12"/>
    <w:uiPriority w:val="2"/>
    <w:rsid w:val="00B55465"/>
    <w:rPr>
      <w:rFonts w:ascii="Calibri" w:hAnsi="Calibri" w:cs="Arial"/>
      <w:sz w:val="22"/>
      <w:szCs w:val="24"/>
      <w:lang w:eastAsia="en-GB"/>
    </w:rPr>
  </w:style>
  <w:style w:type="table" w:customStyle="1" w:styleId="HTAsimpletable">
    <w:name w:val="HTA simple table"/>
    <w:basedOn w:val="TableNormal"/>
    <w:uiPriority w:val="99"/>
    <w:rsid w:val="00B55465"/>
    <w:rPr>
      <w:rFonts w:asciiTheme="minorHAnsi" w:eastAsiaTheme="minorHAnsi" w:hAnsiTheme="minorHAnsi" w:cstheme="minorBidi"/>
      <w:sz w:val="22"/>
      <w:szCs w:val="22"/>
      <w:lang w:val="de-DE" w:eastAsia="en-US"/>
    </w:rPr>
    <w:tblPr>
      <w:tblStyleRowBandSize w:val="1"/>
      <w:tblBorders>
        <w:top w:val="single" w:sz="4" w:space="0" w:color="auto"/>
        <w:bottom w:val="single" w:sz="4" w:space="0" w:color="auto"/>
        <w:insideH w:val="single" w:sz="6" w:space="0" w:color="auto"/>
      </w:tblBorders>
    </w:tblPr>
    <w:tcPr>
      <w:vAlign w:val="center"/>
    </w:tcPr>
    <w:tblStylePr w:type="firstRow">
      <w:pPr>
        <w:wordWrap/>
        <w:spacing w:beforeLines="0" w:before="40" w:beforeAutospacing="0" w:afterLines="0" w:after="40" w:afterAutospacing="0" w:line="240" w:lineRule="auto"/>
      </w:pPr>
      <w:rPr>
        <w:rFonts w:asciiTheme="minorHAnsi" w:hAnsiTheme="minorHAnsi"/>
        <w:b/>
        <w:sz w:val="18"/>
      </w:rPr>
    </w:tblStylePr>
    <w:tblStylePr w:type="band2Horz">
      <w:pPr>
        <w:wordWrap/>
        <w:spacing w:beforeLines="0" w:before="20" w:beforeAutospacing="0" w:afterLines="0" w:after="20" w:afterAutospacing="0" w:line="240" w:lineRule="auto"/>
      </w:pPr>
    </w:tblStylePr>
  </w:style>
  <w:style w:type="table" w:customStyle="1" w:styleId="TableGridLight1">
    <w:name w:val="Table Grid Light1"/>
    <w:basedOn w:val="TableNormal"/>
    <w:uiPriority w:val="40"/>
    <w:rsid w:val="00B5546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FigNotes18">
    <w:name w:val="TableFigNotes+18"/>
    <w:basedOn w:val="BodyText"/>
    <w:next w:val="BodyText"/>
    <w:link w:val="TableFigNotes18Char"/>
    <w:uiPriority w:val="4"/>
    <w:qFormat/>
    <w:rsid w:val="00B55465"/>
    <w:pPr>
      <w:keepLines/>
      <w:widowControl/>
      <w:spacing w:after="360" w:line="276" w:lineRule="auto"/>
    </w:pPr>
    <w:rPr>
      <w:rFonts w:asciiTheme="minorHAnsi" w:eastAsiaTheme="minorHAnsi" w:hAnsiTheme="minorHAnsi" w:cs="Tahoma"/>
      <w:snapToGrid/>
      <w:color w:val="000000"/>
      <w:sz w:val="16"/>
      <w:szCs w:val="18"/>
      <w:lang w:eastAsia="en-AU"/>
    </w:rPr>
  </w:style>
  <w:style w:type="character" w:customStyle="1" w:styleId="TableFigNotes18Char">
    <w:name w:val="TableFigNotes+18 Char"/>
    <w:basedOn w:val="DefaultParagraphFont"/>
    <w:link w:val="TableFigNotes18"/>
    <w:uiPriority w:val="4"/>
    <w:rsid w:val="00B55465"/>
    <w:rPr>
      <w:rFonts w:asciiTheme="minorHAnsi" w:eastAsiaTheme="minorHAnsi" w:hAnsiTheme="minorHAnsi" w:cs="Tahoma"/>
      <w:color w:val="000000"/>
      <w:sz w:val="16"/>
      <w:szCs w:val="18"/>
    </w:rPr>
  </w:style>
  <w:style w:type="paragraph" w:customStyle="1" w:styleId="Headingnonum">
    <w:name w:val="Heading  nonum"/>
    <w:basedOn w:val="Normal"/>
    <w:next w:val="BodyText"/>
    <w:qFormat/>
    <w:rsid w:val="00B55465"/>
    <w:pPr>
      <w:keepNext/>
      <w:keepLines/>
      <w:widowControl/>
      <w:spacing w:after="200" w:line="276" w:lineRule="auto"/>
      <w:jc w:val="left"/>
    </w:pPr>
    <w:rPr>
      <w:rFonts w:ascii="Tahoma" w:eastAsiaTheme="minorHAnsi" w:hAnsi="Tahoma" w:cs="Tahoma"/>
      <w:b/>
      <w:i/>
      <w:snapToGrid/>
      <w:color w:val="7F7F7F" w:themeColor="text1" w:themeTint="80"/>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1B7E59"/>
    <w:pPr>
      <w:widowControl/>
      <w:spacing w:after="160" w:line="240" w:lineRule="exact"/>
      <w:jc w:val="left"/>
    </w:pPr>
    <w:rPr>
      <w:rFonts w:ascii="Verdana" w:eastAsia="MS Mincho" w:hAnsi="Verdana" w:cs="Verdana"/>
      <w:snapToGrid/>
      <w:sz w:val="20"/>
      <w:szCs w:val="20"/>
      <w:lang w:val="en-US"/>
    </w:rPr>
  </w:style>
  <w:style w:type="table" w:customStyle="1" w:styleId="newstyle1">
    <w:name w:val="new style1"/>
    <w:basedOn w:val="TableNormal"/>
    <w:next w:val="TableGrid"/>
    <w:rsid w:val="007E7F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rsid w:val="00257608"/>
    <w:pPr>
      <w:widowControl/>
      <w:jc w:val="left"/>
    </w:pPr>
    <w:rPr>
      <w:rFonts w:ascii="Courier New" w:hAnsi="Courier New" w:cs="Times New Roman"/>
      <w:snapToGrid/>
      <w:sz w:val="20"/>
      <w:szCs w:val="20"/>
      <w:lang w:eastAsia="en-AU"/>
    </w:rPr>
  </w:style>
  <w:style w:type="character" w:customStyle="1" w:styleId="PlainTextChar">
    <w:name w:val="Plain Text Char"/>
    <w:basedOn w:val="DefaultParagraphFont"/>
    <w:link w:val="PlainText"/>
    <w:uiPriority w:val="99"/>
    <w:rsid w:val="00257608"/>
    <w:rPr>
      <w:rFonts w:ascii="Courier New" w:hAnsi="Courier New"/>
    </w:rPr>
  </w:style>
  <w:style w:type="paragraph" w:styleId="EndnoteText">
    <w:name w:val="endnote text"/>
    <w:basedOn w:val="Normal"/>
    <w:link w:val="EndnoteTextChar"/>
    <w:semiHidden/>
    <w:unhideWhenUsed/>
    <w:rsid w:val="008618D2"/>
    <w:rPr>
      <w:sz w:val="20"/>
      <w:szCs w:val="20"/>
    </w:rPr>
  </w:style>
  <w:style w:type="character" w:customStyle="1" w:styleId="EndnoteTextChar">
    <w:name w:val="Endnote Text Char"/>
    <w:basedOn w:val="DefaultParagraphFont"/>
    <w:link w:val="EndnoteText"/>
    <w:semiHidden/>
    <w:rsid w:val="008618D2"/>
    <w:rPr>
      <w:rFonts w:ascii="Calibri" w:hAnsi="Calibri" w:cs="Arial"/>
      <w:snapToGrid w:val="0"/>
      <w:lang w:eastAsia="en-US"/>
    </w:rPr>
  </w:style>
  <w:style w:type="character" w:styleId="EndnoteReference">
    <w:name w:val="endnote reference"/>
    <w:basedOn w:val="DefaultParagraphFont"/>
    <w:semiHidden/>
    <w:unhideWhenUsed/>
    <w:rsid w:val="008618D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2197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theme" Target="theme/theme1.xml"/><Relationship Id="rId31"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71A883-9789-4432-8F12-636A8154E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11934</Words>
  <Characters>67888</Characters>
  <Application>Microsoft Office Word</Application>
  <DocSecurity>0</DocSecurity>
  <Lines>565</Lines>
  <Paragraphs>159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79663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2018-10-19T00:04:00Z</dcterms:created>
  <dcterms:modified xsi:type="dcterms:W3CDTF">2018-10-19T00:05:00Z</dcterms:modified>
</cp:coreProperties>
</file>