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19793B" w:rsidRDefault="00C22F32" w:rsidP="00C37B58">
      <w:pPr>
        <w:pStyle w:val="Title"/>
        <w:ind w:left="720" w:hanging="720"/>
        <w:rPr>
          <w:szCs w:val="28"/>
        </w:rPr>
      </w:pPr>
      <w:r w:rsidRPr="0019793B">
        <w:rPr>
          <w:szCs w:val="28"/>
        </w:rPr>
        <w:t>7.09</w:t>
      </w:r>
      <w:r w:rsidR="007C0F57" w:rsidRPr="0019793B">
        <w:rPr>
          <w:szCs w:val="28"/>
        </w:rPr>
        <w:tab/>
      </w:r>
      <w:r w:rsidRPr="0019793B">
        <w:rPr>
          <w:szCs w:val="28"/>
        </w:rPr>
        <w:t>APREMILAST</w:t>
      </w:r>
      <w:r w:rsidR="00C542A7">
        <w:rPr>
          <w:szCs w:val="28"/>
        </w:rPr>
        <w:t>,</w:t>
      </w:r>
      <w:r w:rsidR="008A50F1" w:rsidRPr="0019793B">
        <w:rPr>
          <w:szCs w:val="28"/>
        </w:rPr>
        <w:br/>
      </w:r>
      <w:r w:rsidR="00F5742D" w:rsidRPr="0019793B">
        <w:t xml:space="preserve">Pack containing 4 tablets 10 mg, 4 tablets 20 mg and </w:t>
      </w:r>
      <w:r w:rsidR="00D5365B" w:rsidRPr="0019793B">
        <w:t>19</w:t>
      </w:r>
      <w:r w:rsidR="00D5365B">
        <w:t> </w:t>
      </w:r>
      <w:r w:rsidR="00F5742D" w:rsidRPr="0019793B">
        <w:t>tablets 30 mg; Tablet 30 mg</w:t>
      </w:r>
      <w:r w:rsidR="00C542A7">
        <w:t>,</w:t>
      </w:r>
      <w:r w:rsidR="00F5742D" w:rsidRPr="0019793B">
        <w:br/>
        <w:t>Otezla®, Celgene Pty Ltd</w:t>
      </w:r>
      <w:r w:rsidR="00C542A7">
        <w:t>.</w:t>
      </w:r>
    </w:p>
    <w:p w:rsidR="00E15627" w:rsidRPr="0019793B" w:rsidRDefault="00CE10C4" w:rsidP="00C37B58">
      <w:pPr>
        <w:pStyle w:val="PBACHeading1"/>
      </w:pPr>
      <w:r w:rsidRPr="0019793B">
        <w:t xml:space="preserve">Purpose of </w:t>
      </w:r>
      <w:r w:rsidR="0004240E" w:rsidRPr="0019793B">
        <w:t>Application</w:t>
      </w:r>
    </w:p>
    <w:p w:rsidR="008A50F1" w:rsidRPr="0019793B" w:rsidRDefault="008A50F1" w:rsidP="00C37B58"/>
    <w:p w:rsidR="00F5742D" w:rsidRPr="0019793B" w:rsidRDefault="00F5742D" w:rsidP="00C37B58">
      <w:pPr>
        <w:pStyle w:val="ListParagraph"/>
        <w:widowControl/>
        <w:numPr>
          <w:ilvl w:val="1"/>
          <w:numId w:val="5"/>
        </w:numPr>
        <w:rPr>
          <w:szCs w:val="22"/>
        </w:rPr>
      </w:pPr>
      <w:r w:rsidRPr="0019793B">
        <w:t>Resubmission to request Authority Required (STREAMLINED) listing for apremilast for the treatment of patients with moderate-to-severe plaque psoriasis who have failed to ach</w:t>
      </w:r>
      <w:r w:rsidR="00BB0FF7" w:rsidRPr="0019793B">
        <w:t>ieve an</w:t>
      </w:r>
      <w:r w:rsidR="00F34FF2" w:rsidRPr="0019793B">
        <w:t xml:space="preserve"> adequate response or are</w:t>
      </w:r>
      <w:r w:rsidRPr="0019793B">
        <w:t xml:space="preserve"> contraindicated to treatment with methotrexate.</w:t>
      </w:r>
    </w:p>
    <w:p w:rsidR="00EF44A0" w:rsidRDefault="00EF44A0" w:rsidP="00C37B58">
      <w:pPr>
        <w:pStyle w:val="NoSpacing"/>
      </w:pPr>
    </w:p>
    <w:p w:rsidR="00AA4252" w:rsidRPr="0019793B" w:rsidRDefault="00AA4252" w:rsidP="00C37B58">
      <w:pPr>
        <w:pStyle w:val="NoSpacing"/>
      </w:pPr>
    </w:p>
    <w:p w:rsidR="00962223" w:rsidRPr="0019793B" w:rsidRDefault="006A12A5" w:rsidP="00C37B58">
      <w:pPr>
        <w:pStyle w:val="PBACHeading1"/>
      </w:pPr>
      <w:r w:rsidRPr="0019793B">
        <w:t>Requested listing</w:t>
      </w:r>
    </w:p>
    <w:p w:rsidR="006A12A5" w:rsidRPr="0019793B" w:rsidRDefault="006A12A5" w:rsidP="00C37B58">
      <w:pPr>
        <w:jc w:val="both"/>
        <w:rPr>
          <w:rFonts w:ascii="Arial" w:hAnsi="Arial"/>
          <w:b/>
          <w:sz w:val="22"/>
          <w:szCs w:val="22"/>
        </w:rPr>
      </w:pPr>
    </w:p>
    <w:p w:rsidR="00826F6D" w:rsidRPr="0019793B" w:rsidRDefault="00EF44A0" w:rsidP="00C37B58">
      <w:pPr>
        <w:pStyle w:val="ListParagraph"/>
        <w:widowControl/>
        <w:numPr>
          <w:ilvl w:val="1"/>
          <w:numId w:val="5"/>
        </w:numPr>
      </w:pPr>
      <w:r w:rsidRPr="0019793B">
        <w:rPr>
          <w:szCs w:val="22"/>
        </w:rPr>
        <w:t xml:space="preserve">The submission </w:t>
      </w:r>
      <w:r w:rsidR="00FF2801" w:rsidRPr="0019793B">
        <w:rPr>
          <w:szCs w:val="22"/>
        </w:rPr>
        <w:t>requested</w:t>
      </w:r>
      <w:r w:rsidRPr="0019793B">
        <w:rPr>
          <w:szCs w:val="22"/>
        </w:rPr>
        <w:t xml:space="preserve"> the following </w:t>
      </w:r>
      <w:r w:rsidR="0076420C" w:rsidRPr="0019793B">
        <w:rPr>
          <w:szCs w:val="22"/>
        </w:rPr>
        <w:t xml:space="preserve">new </w:t>
      </w:r>
      <w:r w:rsidRPr="0019793B">
        <w:rPr>
          <w:szCs w:val="22"/>
        </w:rPr>
        <w:t>listing</w:t>
      </w:r>
      <w:r w:rsidR="00EA3D88" w:rsidRPr="0019793B">
        <w:rPr>
          <w:szCs w:val="22"/>
        </w:rPr>
        <w:t xml:space="preserve"> (with additions to the requested listing compared with the previous submission in italics)</w:t>
      </w:r>
      <w:r w:rsidR="00826F6D" w:rsidRPr="0019793B">
        <w:rPr>
          <w:szCs w:val="22"/>
        </w:rPr>
        <w:t>:</w:t>
      </w:r>
    </w:p>
    <w:p w:rsidR="00EA3D88" w:rsidRPr="0019793B" w:rsidRDefault="00EA3D88" w:rsidP="00C37B58">
      <w:pPr>
        <w:pStyle w:val="ListParagraph"/>
        <w:widowControl/>
      </w:pPr>
    </w:p>
    <w:tbl>
      <w:tblPr>
        <w:tblW w:w="8363" w:type="dxa"/>
        <w:tblInd w:w="817" w:type="dxa"/>
        <w:tblLayout w:type="fixed"/>
        <w:tblLook w:val="0000" w:firstRow="0" w:lastRow="0" w:firstColumn="0" w:lastColumn="0" w:noHBand="0" w:noVBand="0"/>
      </w:tblPr>
      <w:tblGrid>
        <w:gridCol w:w="1985"/>
        <w:gridCol w:w="850"/>
        <w:gridCol w:w="567"/>
        <w:gridCol w:w="567"/>
        <w:gridCol w:w="1843"/>
        <w:gridCol w:w="1417"/>
        <w:gridCol w:w="1134"/>
      </w:tblGrid>
      <w:tr w:rsidR="00826F6D" w:rsidRPr="0019793B" w:rsidTr="00BA665A">
        <w:trPr>
          <w:cantSplit/>
          <w:trHeight w:val="471"/>
        </w:trPr>
        <w:tc>
          <w:tcPr>
            <w:tcW w:w="2835" w:type="dxa"/>
            <w:gridSpan w:val="2"/>
            <w:tcBorders>
              <w:bottom w:val="single" w:sz="4" w:space="0" w:color="auto"/>
            </w:tcBorders>
          </w:tcPr>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Name, Restriction,</w:t>
            </w:r>
          </w:p>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Manner of administration and form</w:t>
            </w:r>
          </w:p>
        </w:tc>
        <w:tc>
          <w:tcPr>
            <w:tcW w:w="567" w:type="dxa"/>
            <w:tcBorders>
              <w:bottom w:val="single" w:sz="4" w:space="0" w:color="auto"/>
            </w:tcBorders>
          </w:tcPr>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Max.</w:t>
            </w:r>
          </w:p>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Qty</w:t>
            </w:r>
          </w:p>
        </w:tc>
        <w:tc>
          <w:tcPr>
            <w:tcW w:w="567" w:type="dxa"/>
            <w:tcBorders>
              <w:bottom w:val="single" w:sz="4" w:space="0" w:color="auto"/>
            </w:tcBorders>
          </w:tcPr>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№.of</w:t>
            </w:r>
          </w:p>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Rpts</w:t>
            </w:r>
          </w:p>
        </w:tc>
        <w:tc>
          <w:tcPr>
            <w:tcW w:w="1843" w:type="dxa"/>
            <w:tcBorders>
              <w:bottom w:val="single" w:sz="4" w:space="0" w:color="auto"/>
            </w:tcBorders>
          </w:tcPr>
          <w:p w:rsidR="00826F6D" w:rsidRPr="0019793B" w:rsidRDefault="00826F6D" w:rsidP="00C37B58">
            <w:pPr>
              <w:keepNext/>
              <w:ind w:left="-108"/>
              <w:jc w:val="both"/>
              <w:rPr>
                <w:rFonts w:ascii="Arial Narrow" w:hAnsi="Arial Narrow" w:cs="Arial"/>
                <w:b/>
                <w:sz w:val="20"/>
                <w:szCs w:val="20"/>
              </w:rPr>
            </w:pPr>
            <w:r w:rsidRPr="0019793B">
              <w:rPr>
                <w:rFonts w:ascii="Arial Narrow" w:hAnsi="Arial Narrow" w:cs="Arial"/>
                <w:b/>
                <w:sz w:val="20"/>
                <w:szCs w:val="20"/>
              </w:rPr>
              <w:t>Dispensed Price for Max. Qty</w:t>
            </w:r>
          </w:p>
        </w:tc>
        <w:tc>
          <w:tcPr>
            <w:tcW w:w="2551" w:type="dxa"/>
            <w:gridSpan w:val="2"/>
            <w:tcBorders>
              <w:bottom w:val="single" w:sz="4" w:space="0" w:color="auto"/>
            </w:tcBorders>
          </w:tcPr>
          <w:p w:rsidR="00826F6D" w:rsidRPr="0019793B" w:rsidRDefault="00826F6D" w:rsidP="00C37B58">
            <w:pPr>
              <w:keepNext/>
              <w:jc w:val="both"/>
              <w:rPr>
                <w:rFonts w:ascii="Arial Narrow" w:hAnsi="Arial Narrow" w:cs="Arial"/>
                <w:b/>
                <w:sz w:val="20"/>
                <w:szCs w:val="20"/>
                <w:lang w:val="fr-FR"/>
              </w:rPr>
            </w:pPr>
            <w:r w:rsidRPr="0019793B">
              <w:rPr>
                <w:rFonts w:ascii="Arial Narrow" w:hAnsi="Arial Narrow" w:cs="Arial"/>
                <w:b/>
                <w:sz w:val="20"/>
                <w:szCs w:val="20"/>
              </w:rPr>
              <w:t>Proprietary Name and Manufacturer</w:t>
            </w:r>
          </w:p>
        </w:tc>
      </w:tr>
      <w:tr w:rsidR="00DD3FF7" w:rsidRPr="0019793B" w:rsidTr="00BA665A">
        <w:trPr>
          <w:cantSplit/>
          <w:trHeight w:val="577"/>
        </w:trPr>
        <w:tc>
          <w:tcPr>
            <w:tcW w:w="2835" w:type="dxa"/>
            <w:gridSpan w:val="2"/>
          </w:tcPr>
          <w:p w:rsidR="00DD3FF7" w:rsidRPr="0019793B" w:rsidRDefault="00DD3FF7" w:rsidP="00C37B58">
            <w:pPr>
              <w:keepNext/>
              <w:keepLines/>
              <w:rPr>
                <w:rFonts w:ascii="Arial Narrow" w:hAnsi="Arial Narrow"/>
                <w:smallCaps/>
                <w:sz w:val="20"/>
              </w:rPr>
            </w:pPr>
            <w:r w:rsidRPr="0019793B">
              <w:rPr>
                <w:rFonts w:ascii="Arial Narrow" w:hAnsi="Arial Narrow"/>
                <w:smallCaps/>
                <w:sz w:val="20"/>
              </w:rPr>
              <w:t>Apremilast</w:t>
            </w:r>
          </w:p>
          <w:p w:rsidR="00DD3FF7" w:rsidRPr="0019793B" w:rsidRDefault="00DD3FF7" w:rsidP="00C37B58">
            <w:pPr>
              <w:keepNext/>
              <w:keepLines/>
              <w:rPr>
                <w:rFonts w:ascii="Arial Narrow" w:hAnsi="Arial Narrow"/>
                <w:sz w:val="20"/>
              </w:rPr>
            </w:pPr>
            <w:r w:rsidRPr="0019793B">
              <w:rPr>
                <w:rFonts w:ascii="Arial Narrow" w:hAnsi="Arial Narrow"/>
                <w:sz w:val="20"/>
              </w:rPr>
              <w:t>Tablets, titration pack (10 mg x 4, 20 mg x 4, 30 mg x 19)</w:t>
            </w:r>
          </w:p>
          <w:p w:rsidR="00DD3FF7" w:rsidRPr="0019793B" w:rsidRDefault="00DD3FF7" w:rsidP="00C37B58">
            <w:pPr>
              <w:keepNext/>
              <w:keepLines/>
              <w:rPr>
                <w:rFonts w:ascii="Arial Narrow" w:hAnsi="Arial Narrow"/>
                <w:smallCaps/>
                <w:sz w:val="20"/>
              </w:rPr>
            </w:pPr>
          </w:p>
        </w:tc>
        <w:tc>
          <w:tcPr>
            <w:tcW w:w="567" w:type="dxa"/>
          </w:tcPr>
          <w:p w:rsidR="00DD3FF7" w:rsidRPr="0019793B" w:rsidRDefault="00DD3FF7" w:rsidP="00C37B58">
            <w:pPr>
              <w:keepNext/>
              <w:keepLines/>
              <w:rPr>
                <w:rFonts w:ascii="Arial Narrow" w:hAnsi="Arial Narrow"/>
                <w:sz w:val="20"/>
              </w:rPr>
            </w:pPr>
          </w:p>
          <w:p w:rsidR="00DD3FF7" w:rsidRPr="0019793B" w:rsidRDefault="00DD3FF7" w:rsidP="00C37B58">
            <w:pPr>
              <w:keepNext/>
              <w:keepLines/>
              <w:rPr>
                <w:rFonts w:ascii="Arial Narrow" w:hAnsi="Arial Narrow"/>
                <w:sz w:val="20"/>
              </w:rPr>
            </w:pPr>
            <w:r w:rsidRPr="0019793B">
              <w:rPr>
                <w:rFonts w:ascii="Arial Narrow" w:hAnsi="Arial Narrow"/>
                <w:sz w:val="20"/>
              </w:rPr>
              <w:t>1</w:t>
            </w:r>
          </w:p>
        </w:tc>
        <w:tc>
          <w:tcPr>
            <w:tcW w:w="567" w:type="dxa"/>
          </w:tcPr>
          <w:p w:rsidR="00DD3FF7" w:rsidRPr="0019793B" w:rsidRDefault="00DD3FF7" w:rsidP="00C37B58">
            <w:pPr>
              <w:keepNext/>
              <w:keepLines/>
              <w:rPr>
                <w:rFonts w:ascii="Arial Narrow" w:hAnsi="Arial Narrow"/>
                <w:sz w:val="20"/>
              </w:rPr>
            </w:pPr>
          </w:p>
          <w:p w:rsidR="00DD3FF7" w:rsidRPr="0019793B" w:rsidRDefault="00DD3FF7" w:rsidP="00C37B58">
            <w:pPr>
              <w:keepNext/>
              <w:keepLines/>
              <w:rPr>
                <w:rFonts w:ascii="Arial Narrow" w:hAnsi="Arial Narrow"/>
                <w:sz w:val="20"/>
              </w:rPr>
            </w:pPr>
            <w:r w:rsidRPr="0019793B">
              <w:rPr>
                <w:rFonts w:ascii="Arial Narrow" w:hAnsi="Arial Narrow"/>
                <w:sz w:val="20"/>
              </w:rPr>
              <w:t>0</w:t>
            </w:r>
          </w:p>
        </w:tc>
        <w:tc>
          <w:tcPr>
            <w:tcW w:w="1843" w:type="dxa"/>
          </w:tcPr>
          <w:p w:rsidR="00DD3FF7" w:rsidRPr="0019793B" w:rsidRDefault="00DD3FF7" w:rsidP="00C37B58">
            <w:pPr>
              <w:keepNext/>
              <w:ind w:left="-108"/>
              <w:jc w:val="both"/>
              <w:rPr>
                <w:rFonts w:ascii="Arial Narrow" w:hAnsi="Arial Narrow" w:cs="Arial"/>
                <w:sz w:val="20"/>
                <w:szCs w:val="20"/>
              </w:rPr>
            </w:pPr>
          </w:p>
          <w:p w:rsidR="00BA665A" w:rsidRPr="00F17FFB" w:rsidRDefault="00BA665A" w:rsidP="00D5365B">
            <w:pPr>
              <w:keepNext/>
              <w:ind w:left="-108"/>
              <w:jc w:val="both"/>
              <w:rPr>
                <w:rFonts w:ascii="Arial Narrow" w:hAnsi="Arial Narrow" w:cs="Arial"/>
                <w:strike/>
                <w:sz w:val="20"/>
                <w:szCs w:val="20"/>
              </w:rPr>
            </w:pPr>
            <w:r w:rsidRPr="00BE080A">
              <w:rPr>
                <w:rFonts w:ascii="Arial Narrow" w:hAnsi="Arial Narrow" w:cs="Arial"/>
                <w:strike/>
                <w:sz w:val="20"/>
                <w:szCs w:val="20"/>
              </w:rPr>
              <w:t>$</w:t>
            </w:r>
            <w:r w:rsidR="00F17FFB">
              <w:rPr>
                <w:rFonts w:ascii="Arial Narrow" w:hAnsi="Arial Narrow" w:cs="Arial"/>
                <w:strike/>
                <w:noProof/>
                <w:color w:val="000000"/>
                <w:sz w:val="20"/>
                <w:szCs w:val="20"/>
                <w:highlight w:val="black"/>
              </w:rPr>
              <w:t>''''''''''''''''</w:t>
            </w:r>
          </w:p>
          <w:p w:rsidR="00DD3FF7" w:rsidRPr="00F17FFB" w:rsidRDefault="00F17FFB" w:rsidP="00D5365B">
            <w:pPr>
              <w:keepNext/>
              <w:ind w:left="-108"/>
              <w:jc w:val="both"/>
              <w:rPr>
                <w:rFonts w:ascii="Arial Narrow" w:hAnsi="Arial Narrow" w:cs="Arial"/>
                <w:strike/>
                <w:sz w:val="20"/>
                <w:szCs w:val="20"/>
              </w:rPr>
            </w:pPr>
            <w:r>
              <w:rPr>
                <w:rFonts w:ascii="Arial Narrow" w:hAnsi="Arial Narrow" w:cs="Arial"/>
                <w:strike/>
                <w:noProof/>
                <w:color w:val="000000"/>
                <w:sz w:val="20"/>
                <w:szCs w:val="20"/>
                <w:highlight w:val="black"/>
              </w:rPr>
              <w:t>''''''''''''''''''''' ''''''''''''''''''''''</w:t>
            </w:r>
            <w:r>
              <w:rPr>
                <w:rFonts w:ascii="Arial Narrow" w:hAnsi="Arial Narrow" w:cs="Arial"/>
                <w:i/>
                <w:noProof/>
                <w:color w:val="000000"/>
                <w:sz w:val="20"/>
                <w:szCs w:val="20"/>
                <w:highlight w:val="black"/>
              </w:rPr>
              <w:t>'''''''''''''''''''''</w:t>
            </w:r>
          </w:p>
          <w:p w:rsidR="00BA665A" w:rsidRPr="0019793B" w:rsidRDefault="00BA665A" w:rsidP="00C75652">
            <w:pPr>
              <w:keepNext/>
              <w:ind w:left="-108"/>
              <w:jc w:val="both"/>
              <w:rPr>
                <w:rFonts w:ascii="Arial Narrow" w:hAnsi="Arial Narrow" w:cs="Arial"/>
                <w:sz w:val="20"/>
                <w:szCs w:val="20"/>
              </w:rPr>
            </w:pPr>
          </w:p>
        </w:tc>
        <w:tc>
          <w:tcPr>
            <w:tcW w:w="1417" w:type="dxa"/>
          </w:tcPr>
          <w:p w:rsidR="00DD3FF7" w:rsidRPr="0019793B" w:rsidRDefault="00DD3FF7" w:rsidP="00C37B58">
            <w:pPr>
              <w:keepNext/>
              <w:keepLines/>
              <w:jc w:val="center"/>
              <w:rPr>
                <w:rFonts w:ascii="Arial Narrow" w:hAnsi="Arial Narrow"/>
                <w:sz w:val="20"/>
              </w:rPr>
            </w:pPr>
            <w:r w:rsidRPr="0019793B">
              <w:rPr>
                <w:rFonts w:ascii="Arial Narrow" w:hAnsi="Arial Narrow"/>
                <w:sz w:val="20"/>
              </w:rPr>
              <w:t>Otezla®</w:t>
            </w:r>
          </w:p>
        </w:tc>
        <w:tc>
          <w:tcPr>
            <w:tcW w:w="1134" w:type="dxa"/>
          </w:tcPr>
          <w:p w:rsidR="00DD3FF7" w:rsidRPr="0019793B" w:rsidRDefault="00DD3FF7" w:rsidP="00C37B58">
            <w:pPr>
              <w:keepNext/>
              <w:keepLines/>
              <w:jc w:val="center"/>
              <w:rPr>
                <w:rFonts w:ascii="Arial Narrow" w:hAnsi="Arial Narrow"/>
                <w:sz w:val="20"/>
              </w:rPr>
            </w:pPr>
            <w:r w:rsidRPr="0019793B">
              <w:rPr>
                <w:rFonts w:ascii="Arial Narrow" w:hAnsi="Arial Narrow"/>
                <w:sz w:val="20"/>
              </w:rPr>
              <w:t>Celgene Pty Ltd</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t xml:space="preserve">Category / </w:t>
            </w:r>
          </w:p>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t>GENERAL – General Schedule (Code GE)</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Check1"/>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Dental  </w:t>
            </w:r>
            <w:r w:rsidR="00EA3D88" w:rsidRPr="0019793B">
              <w:rPr>
                <w:rFonts w:ascii="Arial Narrow" w:hAnsi="Arial Narrow" w:cs="Arial"/>
                <w:sz w:val="20"/>
                <w:szCs w:val="20"/>
              </w:rPr>
              <w:fldChar w:fldCharType="begin">
                <w:ffData>
                  <w:name w:val=""/>
                  <w:enabled/>
                  <w:calcOnExit w:val="0"/>
                  <w:checkBox>
                    <w:sizeAuto/>
                    <w:default w:val="1"/>
                  </w:checkBox>
                </w:ffData>
              </w:fldChar>
            </w:r>
            <w:r w:rsidR="00EA3D88"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00EA3D88" w:rsidRPr="0019793B">
              <w:rPr>
                <w:rFonts w:ascii="Arial Narrow" w:hAnsi="Arial Narrow" w:cs="Arial"/>
                <w:sz w:val="20"/>
                <w:szCs w:val="20"/>
              </w:rPr>
              <w:fldChar w:fldCharType="end"/>
            </w:r>
            <w:r w:rsidRPr="0019793B">
              <w:rPr>
                <w:rFonts w:ascii="Arial Narrow" w:hAnsi="Arial Narrow" w:cs="Arial"/>
                <w:sz w:val="20"/>
                <w:szCs w:val="20"/>
              </w:rPr>
              <w:t xml:space="preserve">Medical Practitioners  </w:t>
            </w:r>
            <w:r w:rsidRPr="0019793B">
              <w:rPr>
                <w:rFonts w:ascii="Arial Narrow" w:hAnsi="Arial Narrow" w:cs="Arial"/>
                <w:sz w:val="20"/>
                <w:szCs w:val="20"/>
              </w:rPr>
              <w:fldChar w:fldCharType="begin">
                <w:ffData>
                  <w:name w:val="Check3"/>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Nurse practitioners  </w:t>
            </w: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Optometrists</w:t>
            </w:r>
          </w:p>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Midwives</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19793B" w:rsidRDefault="00EA3D88" w:rsidP="00C37B58">
            <w:pPr>
              <w:rPr>
                <w:rFonts w:ascii="Arial Narrow" w:hAnsi="Arial Narrow" w:cs="Arial"/>
                <w:sz w:val="20"/>
                <w:szCs w:val="20"/>
              </w:rPr>
            </w:pPr>
            <w:r w:rsidRPr="0019793B">
              <w:rPr>
                <w:rFonts w:ascii="Arial Narrow" w:hAnsi="Arial Narrow" w:cs="Arial"/>
                <w:sz w:val="20"/>
                <w:szCs w:val="20"/>
              </w:rPr>
              <w:t>-</w:t>
            </w:r>
          </w:p>
        </w:tc>
      </w:tr>
      <w:tr w:rsidR="00EA3D88"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Moderate to severe</w:t>
            </w:r>
          </w:p>
        </w:tc>
      </w:tr>
      <w:tr w:rsidR="00EA3D88"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plaque psoriasis</w:t>
            </w:r>
          </w:p>
        </w:tc>
      </w:tr>
      <w:tr w:rsidR="00EA3D88"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Moderate to severe plaque psoriasis</w:t>
            </w:r>
          </w:p>
        </w:tc>
      </w:tr>
      <w:tr w:rsidR="00EA3D88"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Initial treatment</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rPr>
                <w:rFonts w:ascii="Arial Narrow" w:hAnsi="Arial Narrow" w:cs="Arial"/>
                <w:b/>
                <w:sz w:val="20"/>
                <w:szCs w:val="20"/>
              </w:rPr>
            </w:pPr>
            <w:r w:rsidRPr="0019793B">
              <w:rPr>
                <w:rFonts w:ascii="Arial Narrow" w:hAnsi="Arial Narrow" w:cs="Arial"/>
                <w:b/>
                <w:sz w:val="20"/>
                <w:szCs w:val="20"/>
              </w:rPr>
              <w:t>Restriction Level / Method:</w:t>
            </w:r>
          </w:p>
          <w:p w:rsidR="00826F6D" w:rsidRPr="0019793B" w:rsidRDefault="00826F6D" w:rsidP="00C3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Check1"/>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Restricted benefit</w:t>
            </w:r>
          </w:p>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In Writing</w:t>
            </w:r>
          </w:p>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Check3"/>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Telephone</w:t>
            </w:r>
          </w:p>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Authority Required </w:t>
            </w:r>
            <w:r w:rsidR="0053347E" w:rsidRPr="0019793B">
              <w:rPr>
                <w:rFonts w:ascii="Arial Narrow" w:hAnsi="Arial Narrow" w:cs="Arial"/>
                <w:sz w:val="20"/>
                <w:szCs w:val="20"/>
              </w:rPr>
              <w:t>-</w:t>
            </w:r>
            <w:r w:rsidRPr="0019793B">
              <w:rPr>
                <w:rFonts w:ascii="Arial Narrow" w:hAnsi="Arial Narrow" w:cs="Arial"/>
                <w:sz w:val="20"/>
                <w:szCs w:val="20"/>
              </w:rPr>
              <w:t xml:space="preserve"> Emergency</w:t>
            </w:r>
          </w:p>
          <w:p w:rsidR="00826F6D" w:rsidRPr="0019793B" w:rsidRDefault="00826F6D"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Electronic</w:t>
            </w:r>
          </w:p>
          <w:p w:rsidR="00826F6D"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1"/>
                  </w:checkBox>
                </w:ffData>
              </w:fldChar>
            </w:r>
            <w:bookmarkStart w:id="0" w:name="Check5"/>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bookmarkEnd w:id="0"/>
            <w:r w:rsidR="00826F6D" w:rsidRPr="0019793B">
              <w:rPr>
                <w:rFonts w:ascii="Arial Narrow" w:hAnsi="Arial Narrow" w:cs="Arial"/>
                <w:sz w:val="20"/>
                <w:szCs w:val="20"/>
              </w:rPr>
              <w:t>Streamlined</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rPr>
                <w:rFonts w:ascii="Arial Narrow" w:hAnsi="Arial Narrow" w:cs="Arial"/>
                <w:b/>
                <w:sz w:val="20"/>
                <w:szCs w:val="20"/>
              </w:rPr>
            </w:pPr>
            <w:r w:rsidRPr="0019793B">
              <w:rPr>
                <w:rFonts w:ascii="Arial Narrow" w:hAnsi="Arial Narrow" w:cs="Arial"/>
                <w:b/>
                <w:sz w:val="20"/>
                <w:szCs w:val="20"/>
              </w:rPr>
              <w:t>Treatment criteria:</w:t>
            </w:r>
          </w:p>
          <w:p w:rsidR="00826F6D" w:rsidRPr="0019793B" w:rsidRDefault="00826F6D" w:rsidP="00C3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keepLines/>
              <w:spacing w:line="276" w:lineRule="auto"/>
              <w:rPr>
                <w:rFonts w:ascii="Arial Narrow" w:hAnsi="Arial Narrow"/>
                <w:sz w:val="20"/>
              </w:rPr>
            </w:pPr>
            <w:r w:rsidRPr="0019793B">
              <w:rPr>
                <w:rFonts w:ascii="Arial Narrow" w:hAnsi="Arial Narrow"/>
                <w:sz w:val="20"/>
              </w:rPr>
              <w:t>Must be treated by a dermatologist, OR</w:t>
            </w:r>
          </w:p>
          <w:p w:rsidR="00826F6D" w:rsidRPr="0019793B" w:rsidRDefault="00EA3D88" w:rsidP="00C37B58">
            <w:pPr>
              <w:keepNext/>
              <w:keepLines/>
              <w:spacing w:line="276" w:lineRule="auto"/>
              <w:rPr>
                <w:rFonts w:ascii="Arial Narrow" w:hAnsi="Arial Narrow" w:cs="Arial"/>
                <w:sz w:val="20"/>
                <w:szCs w:val="20"/>
              </w:rPr>
            </w:pPr>
            <w:r w:rsidRPr="0019793B">
              <w:rPr>
                <w:rFonts w:ascii="Arial Narrow" w:hAnsi="Arial Narrow"/>
                <w:sz w:val="20"/>
              </w:rPr>
              <w:t>Must be treated by a general physician with expertise in the management of plaque psoriasis.</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t>Clinical criteria:</w:t>
            </w:r>
          </w:p>
          <w:p w:rsidR="00826F6D" w:rsidRPr="0019793B" w:rsidRDefault="00826F6D" w:rsidP="00C37B5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9793B" w:rsidRDefault="00EA3D88" w:rsidP="00C37B58">
            <w:pPr>
              <w:jc w:val="both"/>
              <w:rPr>
                <w:rFonts w:ascii="Arial Narrow" w:hAnsi="Arial Narrow" w:cs="Arial"/>
                <w:sz w:val="20"/>
                <w:szCs w:val="20"/>
              </w:rPr>
            </w:pPr>
            <w:r w:rsidRPr="0019793B">
              <w:rPr>
                <w:rFonts w:ascii="Arial Narrow" w:hAnsi="Arial Narrow"/>
                <w:i/>
                <w:sz w:val="20"/>
              </w:rPr>
              <w:t>Patient must have failed to achieve an adequate response or be contraindicated to treatment with methotrexate</w:t>
            </w:r>
          </w:p>
        </w:tc>
      </w:tr>
      <w:tr w:rsidR="00826F6D" w:rsidRPr="0019793B"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9793B" w:rsidRDefault="00826F6D" w:rsidP="00C37B58">
            <w:pPr>
              <w:jc w:val="both"/>
              <w:rPr>
                <w:rFonts w:ascii="Arial Narrow" w:hAnsi="Arial Narrow" w:cs="Arial"/>
                <w:b/>
                <w:sz w:val="20"/>
                <w:szCs w:val="20"/>
              </w:rPr>
            </w:pPr>
            <w:r w:rsidRPr="0019793B">
              <w:rPr>
                <w:rFonts w:ascii="Arial Narrow" w:hAnsi="Arial Narrow" w:cs="Arial"/>
                <w:b/>
                <w:sz w:val="20"/>
                <w:szCs w:val="20"/>
              </w:rPr>
              <w:lastRenderedPageBreak/>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No increase in the maximum number of repeats may be authorised.</w:t>
            </w:r>
          </w:p>
          <w:p w:rsidR="00EA3D88" w:rsidRPr="0019793B" w:rsidRDefault="00EA3D88" w:rsidP="00C37B58">
            <w:pPr>
              <w:keepNext/>
              <w:rPr>
                <w:rFonts w:ascii="Arial Narrow" w:hAnsi="Arial Narrow"/>
                <w:sz w:val="20"/>
              </w:rPr>
            </w:pPr>
          </w:p>
          <w:p w:rsidR="00EA3D88" w:rsidRPr="0019793B" w:rsidRDefault="00EA3D88" w:rsidP="00C37B58">
            <w:pPr>
              <w:keepNext/>
              <w:rPr>
                <w:rFonts w:ascii="Arial Narrow" w:hAnsi="Arial Narrow"/>
                <w:sz w:val="20"/>
              </w:rPr>
            </w:pPr>
            <w:r w:rsidRPr="0019793B">
              <w:rPr>
                <w:rFonts w:ascii="Arial Narrow" w:hAnsi="Arial Narrow"/>
                <w:sz w:val="20"/>
              </w:rPr>
              <w:t>No increase in the maximum quantity or number of units may be authorised.</w:t>
            </w:r>
          </w:p>
          <w:p w:rsidR="00EA3D88" w:rsidRPr="0019793B" w:rsidRDefault="00EA3D88" w:rsidP="00C37B58">
            <w:pPr>
              <w:keepNext/>
              <w:rPr>
                <w:rFonts w:ascii="Arial Narrow" w:hAnsi="Arial Narrow"/>
                <w:sz w:val="20"/>
              </w:rPr>
            </w:pPr>
          </w:p>
          <w:p w:rsidR="00826F6D" w:rsidRPr="0019793B" w:rsidRDefault="00EA3D88" w:rsidP="00C37B58">
            <w:pPr>
              <w:rPr>
                <w:rFonts w:ascii="Arial Narrow" w:hAnsi="Arial Narrow" w:cs="Arial"/>
                <w:sz w:val="20"/>
                <w:szCs w:val="20"/>
              </w:rPr>
            </w:pPr>
            <w:r w:rsidRPr="0019793B">
              <w:rPr>
                <w:rFonts w:ascii="Arial Narrow" w:hAnsi="Arial Narrow"/>
                <w:sz w:val="20"/>
              </w:rPr>
              <w:t>Special Pricing Arrangements apply.</w:t>
            </w:r>
          </w:p>
        </w:tc>
      </w:tr>
    </w:tbl>
    <w:p w:rsidR="00826F6D" w:rsidRPr="0019793B" w:rsidRDefault="00826F6D" w:rsidP="00C37B58">
      <w:pPr>
        <w:pStyle w:val="ListParagraph"/>
        <w:widowControl/>
        <w:rPr>
          <w:szCs w:val="22"/>
        </w:rPr>
      </w:pPr>
    </w:p>
    <w:tbl>
      <w:tblPr>
        <w:tblW w:w="8363" w:type="dxa"/>
        <w:tblInd w:w="817" w:type="dxa"/>
        <w:tblLayout w:type="fixed"/>
        <w:tblLook w:val="0000" w:firstRow="0" w:lastRow="0" w:firstColumn="0" w:lastColumn="0" w:noHBand="0" w:noVBand="0"/>
      </w:tblPr>
      <w:tblGrid>
        <w:gridCol w:w="1985"/>
        <w:gridCol w:w="567"/>
        <w:gridCol w:w="708"/>
        <w:gridCol w:w="709"/>
        <w:gridCol w:w="1985"/>
        <w:gridCol w:w="1275"/>
        <w:gridCol w:w="1134"/>
      </w:tblGrid>
      <w:tr w:rsidR="00EA3D88" w:rsidRPr="0019793B" w:rsidTr="00BA665A">
        <w:trPr>
          <w:cantSplit/>
          <w:trHeight w:val="471"/>
        </w:trPr>
        <w:tc>
          <w:tcPr>
            <w:tcW w:w="2552" w:type="dxa"/>
            <w:gridSpan w:val="2"/>
            <w:tcBorders>
              <w:bottom w:val="single" w:sz="4" w:space="0" w:color="auto"/>
            </w:tcBorders>
          </w:tcPr>
          <w:p w:rsidR="00EA3D88" w:rsidRPr="0019793B" w:rsidRDefault="00EA3D88" w:rsidP="00C37B58">
            <w:pPr>
              <w:keepNext/>
              <w:ind w:left="-108"/>
              <w:jc w:val="both"/>
              <w:rPr>
                <w:rFonts w:ascii="Arial Narrow" w:hAnsi="Arial Narrow" w:cs="Arial"/>
                <w:b/>
                <w:sz w:val="20"/>
                <w:szCs w:val="20"/>
              </w:rPr>
            </w:pPr>
            <w:r w:rsidRPr="0019793B">
              <w:rPr>
                <w:rFonts w:ascii="Arial Narrow" w:hAnsi="Arial Narrow" w:cs="Arial"/>
                <w:b/>
                <w:sz w:val="20"/>
                <w:szCs w:val="20"/>
              </w:rPr>
              <w:t>Name, Restriction,</w:t>
            </w:r>
          </w:p>
          <w:p w:rsidR="00EA3D88" w:rsidRPr="0019793B" w:rsidRDefault="00EA3D88" w:rsidP="00C37B58">
            <w:pPr>
              <w:keepNext/>
              <w:ind w:left="-108"/>
              <w:jc w:val="both"/>
              <w:rPr>
                <w:rFonts w:ascii="Arial Narrow" w:hAnsi="Arial Narrow" w:cs="Arial"/>
                <w:b/>
                <w:sz w:val="20"/>
                <w:szCs w:val="20"/>
              </w:rPr>
            </w:pPr>
            <w:r w:rsidRPr="0019793B">
              <w:rPr>
                <w:rFonts w:ascii="Arial Narrow" w:hAnsi="Arial Narrow" w:cs="Arial"/>
                <w:b/>
                <w:sz w:val="20"/>
                <w:szCs w:val="20"/>
              </w:rPr>
              <w:t>Manner of administration and form</w:t>
            </w:r>
          </w:p>
        </w:tc>
        <w:tc>
          <w:tcPr>
            <w:tcW w:w="708" w:type="dxa"/>
            <w:tcBorders>
              <w:bottom w:val="single" w:sz="4" w:space="0" w:color="auto"/>
            </w:tcBorders>
          </w:tcPr>
          <w:p w:rsidR="00EA3D88" w:rsidRPr="0019793B" w:rsidRDefault="00EA3D88" w:rsidP="00C37B58">
            <w:pPr>
              <w:keepNext/>
              <w:ind w:left="-108"/>
              <w:rPr>
                <w:rFonts w:ascii="Arial Narrow" w:hAnsi="Arial Narrow" w:cs="Arial"/>
                <w:b/>
                <w:sz w:val="20"/>
                <w:szCs w:val="20"/>
              </w:rPr>
            </w:pPr>
            <w:r w:rsidRPr="0019793B">
              <w:rPr>
                <w:rFonts w:ascii="Arial Narrow" w:hAnsi="Arial Narrow" w:cs="Arial"/>
                <w:b/>
                <w:sz w:val="20"/>
                <w:szCs w:val="20"/>
              </w:rPr>
              <w:t>Max.</w:t>
            </w:r>
          </w:p>
          <w:p w:rsidR="00EA3D88" w:rsidRPr="0019793B" w:rsidRDefault="00EA3D88" w:rsidP="00C37B58">
            <w:pPr>
              <w:keepNext/>
              <w:ind w:left="-108"/>
              <w:rPr>
                <w:rFonts w:ascii="Arial Narrow" w:hAnsi="Arial Narrow" w:cs="Arial"/>
                <w:b/>
                <w:sz w:val="20"/>
                <w:szCs w:val="20"/>
              </w:rPr>
            </w:pPr>
            <w:r w:rsidRPr="0019793B">
              <w:rPr>
                <w:rFonts w:ascii="Arial Narrow" w:hAnsi="Arial Narrow" w:cs="Arial"/>
                <w:b/>
                <w:sz w:val="20"/>
                <w:szCs w:val="20"/>
              </w:rPr>
              <w:t>Qty</w:t>
            </w:r>
          </w:p>
        </w:tc>
        <w:tc>
          <w:tcPr>
            <w:tcW w:w="709" w:type="dxa"/>
            <w:tcBorders>
              <w:bottom w:val="single" w:sz="4" w:space="0" w:color="auto"/>
            </w:tcBorders>
          </w:tcPr>
          <w:p w:rsidR="00EA3D88" w:rsidRPr="0019793B" w:rsidRDefault="00EA3D88" w:rsidP="00C37B58">
            <w:pPr>
              <w:keepNext/>
              <w:ind w:left="-108"/>
              <w:rPr>
                <w:rFonts w:ascii="Arial Narrow" w:hAnsi="Arial Narrow" w:cs="Arial"/>
                <w:b/>
                <w:sz w:val="20"/>
                <w:szCs w:val="20"/>
              </w:rPr>
            </w:pPr>
            <w:r w:rsidRPr="0019793B">
              <w:rPr>
                <w:rFonts w:ascii="Arial Narrow" w:hAnsi="Arial Narrow" w:cs="Arial"/>
                <w:b/>
                <w:sz w:val="20"/>
                <w:szCs w:val="20"/>
              </w:rPr>
              <w:t>№.of</w:t>
            </w:r>
          </w:p>
          <w:p w:rsidR="00EA3D88" w:rsidRPr="0019793B" w:rsidRDefault="00EA3D88" w:rsidP="00C37B58">
            <w:pPr>
              <w:keepNext/>
              <w:ind w:left="-108"/>
              <w:rPr>
                <w:rFonts w:ascii="Arial Narrow" w:hAnsi="Arial Narrow" w:cs="Arial"/>
                <w:b/>
                <w:sz w:val="20"/>
                <w:szCs w:val="20"/>
              </w:rPr>
            </w:pPr>
            <w:r w:rsidRPr="0019793B">
              <w:rPr>
                <w:rFonts w:ascii="Arial Narrow" w:hAnsi="Arial Narrow" w:cs="Arial"/>
                <w:b/>
                <w:sz w:val="20"/>
                <w:szCs w:val="20"/>
              </w:rPr>
              <w:t>Rpts</w:t>
            </w:r>
          </w:p>
        </w:tc>
        <w:tc>
          <w:tcPr>
            <w:tcW w:w="1985" w:type="dxa"/>
            <w:tcBorders>
              <w:bottom w:val="single" w:sz="4" w:space="0" w:color="auto"/>
            </w:tcBorders>
          </w:tcPr>
          <w:p w:rsidR="00EA3D88" w:rsidRPr="0019793B" w:rsidRDefault="00EA3D88" w:rsidP="00C37B58">
            <w:pPr>
              <w:keepNext/>
              <w:ind w:left="-108"/>
              <w:jc w:val="both"/>
              <w:rPr>
                <w:rFonts w:ascii="Arial Narrow" w:hAnsi="Arial Narrow" w:cs="Arial"/>
                <w:b/>
                <w:sz w:val="20"/>
                <w:szCs w:val="20"/>
              </w:rPr>
            </w:pPr>
            <w:r w:rsidRPr="0019793B">
              <w:rPr>
                <w:rFonts w:ascii="Arial Narrow" w:hAnsi="Arial Narrow" w:cs="Arial"/>
                <w:b/>
                <w:sz w:val="20"/>
                <w:szCs w:val="20"/>
              </w:rPr>
              <w:t>Dispensed Price for Max. Qty</w:t>
            </w:r>
          </w:p>
        </w:tc>
        <w:tc>
          <w:tcPr>
            <w:tcW w:w="2409" w:type="dxa"/>
            <w:gridSpan w:val="2"/>
            <w:tcBorders>
              <w:bottom w:val="single" w:sz="4" w:space="0" w:color="auto"/>
            </w:tcBorders>
          </w:tcPr>
          <w:p w:rsidR="00EA3D88" w:rsidRPr="0019793B" w:rsidRDefault="00EA3D88" w:rsidP="00C37B58">
            <w:pPr>
              <w:keepNext/>
              <w:jc w:val="both"/>
              <w:rPr>
                <w:rFonts w:ascii="Arial Narrow" w:hAnsi="Arial Narrow" w:cs="Arial"/>
                <w:b/>
                <w:sz w:val="20"/>
                <w:szCs w:val="20"/>
                <w:lang w:val="fr-FR"/>
              </w:rPr>
            </w:pPr>
            <w:r w:rsidRPr="0019793B">
              <w:rPr>
                <w:rFonts w:ascii="Arial Narrow" w:hAnsi="Arial Narrow" w:cs="Arial"/>
                <w:b/>
                <w:sz w:val="20"/>
                <w:szCs w:val="20"/>
              </w:rPr>
              <w:t>Proprietary Name and Manufacturer</w:t>
            </w:r>
          </w:p>
        </w:tc>
      </w:tr>
      <w:tr w:rsidR="00EA3D88" w:rsidRPr="0019793B" w:rsidTr="00BA665A">
        <w:trPr>
          <w:cantSplit/>
          <w:trHeight w:val="325"/>
        </w:trPr>
        <w:tc>
          <w:tcPr>
            <w:tcW w:w="2552" w:type="dxa"/>
            <w:gridSpan w:val="2"/>
          </w:tcPr>
          <w:p w:rsidR="00EA3D88" w:rsidRPr="0019793B" w:rsidRDefault="00EA3D88" w:rsidP="00C37B58">
            <w:pPr>
              <w:keepNext/>
              <w:keepLines/>
              <w:rPr>
                <w:rFonts w:ascii="Arial Narrow" w:hAnsi="Arial Narrow"/>
                <w:smallCaps/>
                <w:sz w:val="20"/>
              </w:rPr>
            </w:pPr>
            <w:r w:rsidRPr="0019793B">
              <w:rPr>
                <w:rFonts w:ascii="Arial Narrow" w:hAnsi="Arial Narrow"/>
                <w:smallCaps/>
                <w:sz w:val="20"/>
              </w:rPr>
              <w:t>Apremilast</w:t>
            </w:r>
          </w:p>
          <w:p w:rsidR="00EA3D88" w:rsidRPr="0019793B" w:rsidRDefault="00EA3D88" w:rsidP="00C37B58">
            <w:pPr>
              <w:keepNext/>
              <w:keepLines/>
              <w:rPr>
                <w:rFonts w:ascii="Arial Narrow" w:hAnsi="Arial Narrow"/>
                <w:sz w:val="20"/>
              </w:rPr>
            </w:pPr>
            <w:r w:rsidRPr="0019793B">
              <w:rPr>
                <w:rFonts w:ascii="Arial Narrow" w:hAnsi="Arial Narrow"/>
                <w:sz w:val="20"/>
              </w:rPr>
              <w:t>Tablets, 30mg</w:t>
            </w:r>
          </w:p>
          <w:p w:rsidR="00EA3D88" w:rsidRPr="0019793B" w:rsidRDefault="00EA3D88" w:rsidP="00C37B58">
            <w:pPr>
              <w:keepNext/>
              <w:keepLines/>
              <w:rPr>
                <w:rFonts w:ascii="Arial Narrow" w:hAnsi="Arial Narrow"/>
                <w:smallCaps/>
                <w:sz w:val="20"/>
              </w:rPr>
            </w:pPr>
          </w:p>
        </w:tc>
        <w:tc>
          <w:tcPr>
            <w:tcW w:w="708" w:type="dxa"/>
          </w:tcPr>
          <w:p w:rsidR="00EA3D88" w:rsidRPr="0019793B" w:rsidRDefault="00EA3D88" w:rsidP="00C37B58">
            <w:pPr>
              <w:keepNext/>
              <w:keepLines/>
              <w:rPr>
                <w:rFonts w:ascii="Arial Narrow" w:hAnsi="Arial Narrow"/>
                <w:sz w:val="20"/>
              </w:rPr>
            </w:pPr>
          </w:p>
          <w:p w:rsidR="00EA3D88" w:rsidRPr="0019793B" w:rsidRDefault="00EA3D88" w:rsidP="00C37B58">
            <w:pPr>
              <w:keepNext/>
              <w:keepLines/>
              <w:rPr>
                <w:rFonts w:ascii="Arial Narrow" w:hAnsi="Arial Narrow"/>
                <w:sz w:val="20"/>
              </w:rPr>
            </w:pPr>
            <w:r w:rsidRPr="0019793B">
              <w:rPr>
                <w:rFonts w:ascii="Arial Narrow" w:hAnsi="Arial Narrow"/>
                <w:sz w:val="20"/>
              </w:rPr>
              <w:t>56</w:t>
            </w:r>
          </w:p>
        </w:tc>
        <w:tc>
          <w:tcPr>
            <w:tcW w:w="709" w:type="dxa"/>
          </w:tcPr>
          <w:p w:rsidR="00EA3D88" w:rsidRPr="0019793B" w:rsidRDefault="00EA3D88" w:rsidP="00C37B58">
            <w:pPr>
              <w:keepNext/>
              <w:keepLines/>
              <w:rPr>
                <w:rFonts w:ascii="Arial Narrow" w:hAnsi="Arial Narrow"/>
                <w:sz w:val="20"/>
              </w:rPr>
            </w:pPr>
          </w:p>
          <w:p w:rsidR="00EA3D88" w:rsidRPr="0019793B" w:rsidRDefault="00EA3D88" w:rsidP="00C37B58">
            <w:pPr>
              <w:keepNext/>
              <w:keepLines/>
              <w:rPr>
                <w:rFonts w:ascii="Arial Narrow" w:hAnsi="Arial Narrow"/>
                <w:sz w:val="20"/>
              </w:rPr>
            </w:pPr>
            <w:r w:rsidRPr="0019793B">
              <w:rPr>
                <w:rFonts w:ascii="Arial Narrow" w:hAnsi="Arial Narrow"/>
                <w:sz w:val="20"/>
              </w:rPr>
              <w:t>5</w:t>
            </w:r>
          </w:p>
        </w:tc>
        <w:tc>
          <w:tcPr>
            <w:tcW w:w="1985" w:type="dxa"/>
          </w:tcPr>
          <w:p w:rsidR="00EA3D88" w:rsidRPr="0019793B" w:rsidRDefault="00EA3D88" w:rsidP="00C37B58">
            <w:pPr>
              <w:keepNext/>
              <w:keepLines/>
              <w:rPr>
                <w:rFonts w:ascii="Arial Narrow" w:hAnsi="Arial Narrow"/>
                <w:sz w:val="20"/>
              </w:rPr>
            </w:pPr>
          </w:p>
          <w:p w:rsidR="00BA665A" w:rsidRPr="00F17FFB" w:rsidRDefault="00BA665A" w:rsidP="00D5365B">
            <w:pPr>
              <w:keepNext/>
              <w:keepLines/>
              <w:rPr>
                <w:rFonts w:ascii="Arial Narrow" w:hAnsi="Arial Narrow"/>
                <w:strike/>
                <w:sz w:val="20"/>
              </w:rPr>
            </w:pPr>
            <w:r w:rsidRPr="00BE080A">
              <w:rPr>
                <w:rFonts w:ascii="Arial Narrow" w:hAnsi="Arial Narrow"/>
                <w:strike/>
                <w:sz w:val="20"/>
              </w:rPr>
              <w:t>$</w:t>
            </w:r>
            <w:r w:rsidR="00F17FFB">
              <w:rPr>
                <w:rFonts w:ascii="Arial Narrow" w:hAnsi="Arial Narrow"/>
                <w:strike/>
                <w:noProof/>
                <w:color w:val="000000"/>
                <w:sz w:val="20"/>
                <w:highlight w:val="black"/>
              </w:rPr>
              <w:t>''''''''''''''''</w:t>
            </w:r>
          </w:p>
          <w:p w:rsidR="00EA3D88" w:rsidRPr="00BE080A" w:rsidRDefault="00F17FFB" w:rsidP="00D5365B">
            <w:pPr>
              <w:keepNext/>
              <w:keepLines/>
              <w:rPr>
                <w:rFonts w:ascii="Arial Narrow" w:hAnsi="Arial Narrow"/>
                <w:i/>
                <w:sz w:val="20"/>
              </w:rPr>
            </w:pPr>
            <w:r>
              <w:rPr>
                <w:rFonts w:ascii="Arial Narrow" w:hAnsi="Arial Narrow"/>
                <w:strike/>
                <w:noProof/>
                <w:color w:val="000000"/>
                <w:sz w:val="20"/>
                <w:highlight w:val="black"/>
              </w:rPr>
              <w:t>''''''''''''''''''''''' '''''''''''''''''''</w:t>
            </w:r>
            <w:r w:rsidR="00D5365B" w:rsidRPr="00BE080A">
              <w:rPr>
                <w:rFonts w:ascii="Arial Narrow" w:hAnsi="Arial Narrow"/>
                <w:i/>
                <w:sz w:val="20"/>
              </w:rPr>
              <w:t>$</w:t>
            </w:r>
            <w:r>
              <w:rPr>
                <w:rFonts w:ascii="Arial Narrow" w:hAnsi="Arial Narrow"/>
                <w:i/>
                <w:noProof/>
                <w:color w:val="000000"/>
                <w:sz w:val="20"/>
                <w:highlight w:val="black"/>
              </w:rPr>
              <w:t>''''''''''''''''''</w:t>
            </w:r>
          </w:p>
        </w:tc>
        <w:tc>
          <w:tcPr>
            <w:tcW w:w="1275" w:type="dxa"/>
            <w:vAlign w:val="center"/>
          </w:tcPr>
          <w:p w:rsidR="00EA3D88" w:rsidRPr="0019793B" w:rsidRDefault="00EA3D88" w:rsidP="00C37B58">
            <w:pPr>
              <w:keepNext/>
              <w:keepLines/>
              <w:jc w:val="center"/>
              <w:rPr>
                <w:rFonts w:ascii="Arial Narrow" w:hAnsi="Arial Narrow"/>
                <w:sz w:val="20"/>
              </w:rPr>
            </w:pPr>
            <w:r w:rsidRPr="0019793B">
              <w:rPr>
                <w:rFonts w:ascii="Arial Narrow" w:hAnsi="Arial Narrow"/>
                <w:sz w:val="20"/>
              </w:rPr>
              <w:t>Otezla®</w:t>
            </w:r>
          </w:p>
        </w:tc>
        <w:tc>
          <w:tcPr>
            <w:tcW w:w="1134" w:type="dxa"/>
            <w:vAlign w:val="center"/>
          </w:tcPr>
          <w:p w:rsidR="00EA3D88" w:rsidRPr="0019793B" w:rsidRDefault="00EA3D88" w:rsidP="00C37B58">
            <w:pPr>
              <w:keepNext/>
              <w:keepLines/>
              <w:jc w:val="center"/>
              <w:rPr>
                <w:rFonts w:ascii="Arial Narrow" w:hAnsi="Arial Narrow"/>
                <w:sz w:val="20"/>
              </w:rPr>
            </w:pPr>
            <w:r w:rsidRPr="0019793B">
              <w:rPr>
                <w:rFonts w:ascii="Arial Narrow" w:hAnsi="Arial Narrow"/>
                <w:sz w:val="20"/>
              </w:rPr>
              <w:t>Celgene Pty Ltd</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 xml:space="preserve">Category / </w:t>
            </w:r>
          </w:p>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t>GENERAL – General Schedule (Code GE)</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1"/>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Dental  </w:t>
            </w:r>
            <w:r w:rsidRPr="0019793B">
              <w:rPr>
                <w:rFonts w:ascii="Arial Narrow" w:hAnsi="Arial Narrow" w:cs="Arial"/>
                <w:sz w:val="20"/>
                <w:szCs w:val="20"/>
              </w:rPr>
              <w:fldChar w:fldCharType="begin">
                <w:ffData>
                  <w:name w:val=""/>
                  <w:enabled/>
                  <w:calcOnExit w:val="0"/>
                  <w:checkBox>
                    <w:sizeAuto/>
                    <w:default w:val="1"/>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Medical Practitioners  </w:t>
            </w:r>
            <w:r w:rsidRPr="0019793B">
              <w:rPr>
                <w:rFonts w:ascii="Arial Narrow" w:hAnsi="Arial Narrow" w:cs="Arial"/>
                <w:sz w:val="20"/>
                <w:szCs w:val="20"/>
              </w:rPr>
              <w:fldChar w:fldCharType="begin">
                <w:ffData>
                  <w:name w:val="Check3"/>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Nurse practitioners  </w:t>
            </w: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Optometrists</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Midwives</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t>-</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Moderate to severe</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plaque psoriasis</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Moderate to severe plaque psoriasis</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i/>
                <w:sz w:val="20"/>
              </w:rPr>
            </w:pPr>
            <w:r w:rsidRPr="0019793B">
              <w:rPr>
                <w:rFonts w:ascii="Arial Narrow" w:hAnsi="Arial Narrow"/>
                <w:i/>
                <w:sz w:val="20"/>
              </w:rPr>
              <w:t>Continuing treatment</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b/>
                <w:sz w:val="20"/>
                <w:szCs w:val="20"/>
              </w:rPr>
            </w:pPr>
            <w:r w:rsidRPr="0019793B">
              <w:rPr>
                <w:rFonts w:ascii="Arial Narrow" w:hAnsi="Arial Narrow" w:cs="Arial"/>
                <w:b/>
                <w:sz w:val="20"/>
                <w:szCs w:val="20"/>
              </w:rPr>
              <w:t>Restriction Level / Method:</w:t>
            </w:r>
          </w:p>
          <w:p w:rsidR="00EA3D88" w:rsidRPr="0019793B" w:rsidRDefault="00EA3D88" w:rsidP="00C3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1"/>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Restricted benefit</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In Writing</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3"/>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Telephone</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 xml:space="preserve">Authority Required </w:t>
            </w:r>
            <w:r w:rsidR="00D15C96" w:rsidRPr="0019793B">
              <w:rPr>
                <w:rFonts w:ascii="Arial Narrow" w:hAnsi="Arial Narrow" w:cs="Arial"/>
                <w:sz w:val="20"/>
                <w:szCs w:val="20"/>
              </w:rPr>
              <w:t>-</w:t>
            </w:r>
            <w:r w:rsidRPr="0019793B">
              <w:rPr>
                <w:rFonts w:ascii="Arial Narrow" w:hAnsi="Arial Narrow" w:cs="Arial"/>
                <w:sz w:val="20"/>
                <w:szCs w:val="20"/>
              </w:rPr>
              <w:t xml:space="preserve"> Emergency</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0"/>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Authority Required - Electronic</w:t>
            </w:r>
          </w:p>
          <w:p w:rsidR="00EA3D88" w:rsidRPr="0019793B" w:rsidRDefault="00EA3D88" w:rsidP="00C37B58">
            <w:pPr>
              <w:rPr>
                <w:rFonts w:ascii="Arial Narrow" w:hAnsi="Arial Narrow" w:cs="Arial"/>
                <w:sz w:val="20"/>
                <w:szCs w:val="20"/>
              </w:rPr>
            </w:pPr>
            <w:r w:rsidRPr="0019793B">
              <w:rPr>
                <w:rFonts w:ascii="Arial Narrow" w:hAnsi="Arial Narrow" w:cs="Arial"/>
                <w:sz w:val="20"/>
                <w:szCs w:val="20"/>
              </w:rPr>
              <w:fldChar w:fldCharType="begin">
                <w:ffData>
                  <w:name w:val="Check5"/>
                  <w:enabled/>
                  <w:calcOnExit w:val="0"/>
                  <w:checkBox>
                    <w:sizeAuto/>
                    <w:default w:val="1"/>
                  </w:checkBox>
                </w:ffData>
              </w:fldChar>
            </w:r>
            <w:r w:rsidRPr="0019793B">
              <w:rPr>
                <w:rFonts w:ascii="Arial Narrow" w:hAnsi="Arial Narrow" w:cs="Arial"/>
                <w:sz w:val="20"/>
                <w:szCs w:val="20"/>
              </w:rPr>
              <w:instrText xml:space="preserve"> FORMCHECKBOX </w:instrText>
            </w:r>
            <w:r w:rsidR="00F04CB3">
              <w:rPr>
                <w:rFonts w:ascii="Arial Narrow" w:hAnsi="Arial Narrow" w:cs="Arial"/>
                <w:sz w:val="20"/>
                <w:szCs w:val="20"/>
              </w:rPr>
            </w:r>
            <w:r w:rsidR="00F04CB3">
              <w:rPr>
                <w:rFonts w:ascii="Arial Narrow" w:hAnsi="Arial Narrow" w:cs="Arial"/>
                <w:sz w:val="20"/>
                <w:szCs w:val="20"/>
              </w:rPr>
              <w:fldChar w:fldCharType="separate"/>
            </w:r>
            <w:r w:rsidRPr="0019793B">
              <w:rPr>
                <w:rFonts w:ascii="Arial Narrow" w:hAnsi="Arial Narrow" w:cs="Arial"/>
                <w:sz w:val="20"/>
                <w:szCs w:val="20"/>
              </w:rPr>
              <w:fldChar w:fldCharType="end"/>
            </w:r>
            <w:r w:rsidRPr="0019793B">
              <w:rPr>
                <w:rFonts w:ascii="Arial Narrow" w:hAnsi="Arial Narrow" w:cs="Arial"/>
                <w:sz w:val="20"/>
                <w:szCs w:val="20"/>
              </w:rPr>
              <w:t>Streamlined</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rPr>
                <w:rFonts w:ascii="Arial Narrow" w:hAnsi="Arial Narrow" w:cs="Arial"/>
                <w:b/>
                <w:sz w:val="20"/>
                <w:szCs w:val="20"/>
              </w:rPr>
            </w:pPr>
            <w:r w:rsidRPr="0019793B">
              <w:rPr>
                <w:rFonts w:ascii="Arial Narrow" w:hAnsi="Arial Narrow" w:cs="Arial"/>
                <w:b/>
                <w:sz w:val="20"/>
                <w:szCs w:val="20"/>
              </w:rPr>
              <w:t>Treatment criteria:</w:t>
            </w:r>
          </w:p>
          <w:p w:rsidR="00EA3D88" w:rsidRPr="0019793B" w:rsidRDefault="00EA3D88" w:rsidP="00C3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keepLines/>
              <w:spacing w:line="276" w:lineRule="auto"/>
              <w:rPr>
                <w:rFonts w:ascii="Arial Narrow" w:hAnsi="Arial Narrow"/>
                <w:sz w:val="20"/>
              </w:rPr>
            </w:pPr>
            <w:r w:rsidRPr="0019793B">
              <w:rPr>
                <w:rFonts w:ascii="Arial Narrow" w:hAnsi="Arial Narrow"/>
                <w:sz w:val="20"/>
              </w:rPr>
              <w:t>Must be treated by a dermatologist, OR</w:t>
            </w:r>
          </w:p>
          <w:p w:rsidR="00EA3D88" w:rsidRPr="0019793B" w:rsidRDefault="00EA3D88" w:rsidP="00C37B58">
            <w:pPr>
              <w:keepNext/>
              <w:keepLines/>
              <w:spacing w:line="276" w:lineRule="auto"/>
              <w:rPr>
                <w:rFonts w:ascii="Arial Narrow" w:hAnsi="Arial Narrow" w:cs="Arial"/>
                <w:sz w:val="20"/>
                <w:szCs w:val="20"/>
              </w:rPr>
            </w:pPr>
            <w:r w:rsidRPr="0019793B">
              <w:rPr>
                <w:rFonts w:ascii="Arial Narrow" w:hAnsi="Arial Narrow"/>
                <w:sz w:val="20"/>
              </w:rPr>
              <w:t>Must be treated by a general physician with expertise in the management of plaque psoriasis.</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sz w:val="20"/>
                <w:szCs w:val="20"/>
              </w:rPr>
            </w:pPr>
            <w:r w:rsidRPr="0019793B">
              <w:rPr>
                <w:rFonts w:ascii="Arial Narrow" w:hAnsi="Arial Narrow"/>
                <w:i/>
                <w:sz w:val="20"/>
              </w:rPr>
              <w:t>Patient must have previously received PBS-subsidised treatment with apremilast</w:t>
            </w:r>
          </w:p>
        </w:tc>
      </w:tr>
      <w:tr w:rsidR="00EA3D88" w:rsidRPr="0019793B" w:rsidTr="00EA3D8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A3D88" w:rsidRPr="0019793B" w:rsidRDefault="00EA3D88" w:rsidP="00C37B58">
            <w:pPr>
              <w:jc w:val="both"/>
              <w:rPr>
                <w:rFonts w:ascii="Arial Narrow" w:hAnsi="Arial Narrow" w:cs="Arial"/>
                <w:b/>
                <w:sz w:val="20"/>
                <w:szCs w:val="20"/>
              </w:rPr>
            </w:pPr>
            <w:r w:rsidRPr="0019793B">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EA3D88" w:rsidRPr="0019793B" w:rsidRDefault="00EA3D88" w:rsidP="00C37B58">
            <w:pPr>
              <w:keepNext/>
              <w:rPr>
                <w:rFonts w:ascii="Arial Narrow" w:hAnsi="Arial Narrow"/>
                <w:sz w:val="20"/>
              </w:rPr>
            </w:pPr>
            <w:r w:rsidRPr="0019793B">
              <w:rPr>
                <w:rFonts w:ascii="Arial Narrow" w:hAnsi="Arial Narrow"/>
                <w:sz w:val="20"/>
              </w:rPr>
              <w:t>No increase in the maximum number of repeats may be authorised.</w:t>
            </w:r>
          </w:p>
          <w:p w:rsidR="00EA3D88" w:rsidRPr="0019793B" w:rsidRDefault="00EA3D88" w:rsidP="00C37B58">
            <w:pPr>
              <w:keepNext/>
              <w:rPr>
                <w:rFonts w:ascii="Arial Narrow" w:hAnsi="Arial Narrow"/>
                <w:sz w:val="20"/>
              </w:rPr>
            </w:pPr>
          </w:p>
          <w:p w:rsidR="00EA3D88" w:rsidRPr="0019793B" w:rsidRDefault="00EA3D88" w:rsidP="00C37B58">
            <w:pPr>
              <w:keepNext/>
              <w:rPr>
                <w:rFonts w:ascii="Arial Narrow" w:hAnsi="Arial Narrow"/>
                <w:sz w:val="20"/>
              </w:rPr>
            </w:pPr>
            <w:r w:rsidRPr="0019793B">
              <w:rPr>
                <w:rFonts w:ascii="Arial Narrow" w:hAnsi="Arial Narrow"/>
                <w:sz w:val="20"/>
              </w:rPr>
              <w:t>No increase in the maximum quantity or number of units may be authorised.</w:t>
            </w:r>
          </w:p>
          <w:p w:rsidR="00EA3D88" w:rsidRPr="0019793B" w:rsidRDefault="00EA3D88" w:rsidP="00C37B58">
            <w:pPr>
              <w:keepNext/>
              <w:rPr>
                <w:rFonts w:ascii="Arial Narrow" w:hAnsi="Arial Narrow"/>
                <w:sz w:val="20"/>
              </w:rPr>
            </w:pPr>
          </w:p>
          <w:p w:rsidR="00EA3D88" w:rsidRPr="0019793B" w:rsidRDefault="00EA3D88" w:rsidP="00C37B58">
            <w:pPr>
              <w:rPr>
                <w:rFonts w:ascii="Arial Narrow" w:hAnsi="Arial Narrow" w:cs="Arial"/>
                <w:sz w:val="20"/>
                <w:szCs w:val="20"/>
              </w:rPr>
            </w:pPr>
            <w:r w:rsidRPr="0019793B">
              <w:rPr>
                <w:rFonts w:ascii="Arial Narrow" w:hAnsi="Arial Narrow"/>
                <w:sz w:val="20"/>
              </w:rPr>
              <w:t>Special Pricing Arrangements apply.</w:t>
            </w:r>
          </w:p>
        </w:tc>
      </w:tr>
    </w:tbl>
    <w:p w:rsidR="008C4E37" w:rsidRPr="0019793B" w:rsidRDefault="008C4E37" w:rsidP="00C37B58">
      <w:pPr>
        <w:pStyle w:val="ListParagraph"/>
        <w:widowControl/>
        <w:rPr>
          <w:szCs w:val="22"/>
        </w:rPr>
      </w:pPr>
    </w:p>
    <w:p w:rsidR="00EC0AF1" w:rsidRPr="00685C10" w:rsidRDefault="00EC0AF1" w:rsidP="00685C10">
      <w:pPr>
        <w:pStyle w:val="ListParagraph"/>
        <w:widowControl/>
        <w:numPr>
          <w:ilvl w:val="1"/>
          <w:numId w:val="5"/>
        </w:numPr>
        <w:rPr>
          <w:szCs w:val="22"/>
        </w:rPr>
      </w:pPr>
      <w:r w:rsidRPr="00685C10">
        <w:rPr>
          <w:szCs w:val="22"/>
        </w:rPr>
        <w:t>The change to the requested restriction in the minor resubmission is a</w:t>
      </w:r>
      <w:r w:rsidR="00D15C96" w:rsidRPr="00685C10">
        <w:rPr>
          <w:szCs w:val="22"/>
        </w:rPr>
        <w:t>n additional</w:t>
      </w:r>
      <w:r w:rsidRPr="00E90102">
        <w:rPr>
          <w:szCs w:val="22"/>
        </w:rPr>
        <w:t xml:space="preserve"> requirement that patients must have failed to achieve an adequate response or be contraindicated to treatment with methotrexate.</w:t>
      </w:r>
      <w:r w:rsidR="00685C10" w:rsidRPr="00685C10">
        <w:rPr>
          <w:szCs w:val="22"/>
        </w:rPr>
        <w:t xml:space="preserve"> In </w:t>
      </w:r>
      <w:r w:rsidR="003B68B9">
        <w:rPr>
          <w:szCs w:val="22"/>
        </w:rPr>
        <w:t>its</w:t>
      </w:r>
      <w:r w:rsidR="00685C10" w:rsidRPr="00685C10">
        <w:rPr>
          <w:szCs w:val="22"/>
        </w:rPr>
        <w:t xml:space="preserve"> </w:t>
      </w:r>
      <w:r w:rsidR="003B68B9">
        <w:rPr>
          <w:szCs w:val="22"/>
        </w:rPr>
        <w:t>p</w:t>
      </w:r>
      <w:r w:rsidR="00685C10" w:rsidRPr="00685C10">
        <w:rPr>
          <w:szCs w:val="22"/>
        </w:rPr>
        <w:t xml:space="preserve">re-PBAC response (p3), the sponsor requested the inclusion of a grandfathering restriction to allow </w:t>
      </w:r>
      <w:r w:rsidR="006513CC">
        <w:rPr>
          <w:szCs w:val="22"/>
        </w:rPr>
        <w:t>P</w:t>
      </w:r>
      <w:r w:rsidR="00685C10" w:rsidRPr="00685C10">
        <w:rPr>
          <w:szCs w:val="22"/>
        </w:rPr>
        <w:t xml:space="preserve">atient </w:t>
      </w:r>
      <w:r w:rsidR="006513CC">
        <w:rPr>
          <w:szCs w:val="22"/>
        </w:rPr>
        <w:t>F</w:t>
      </w:r>
      <w:r w:rsidR="00685C10" w:rsidRPr="00685C10">
        <w:rPr>
          <w:szCs w:val="22"/>
        </w:rPr>
        <w:t xml:space="preserve">amiliarisation </w:t>
      </w:r>
      <w:r w:rsidR="006513CC">
        <w:rPr>
          <w:szCs w:val="22"/>
        </w:rPr>
        <w:t>P</w:t>
      </w:r>
      <w:r w:rsidR="00685C10" w:rsidRPr="00685C10">
        <w:rPr>
          <w:szCs w:val="22"/>
        </w:rPr>
        <w:t>rogram patients PBS subsidised access to the continuing treatment pack.</w:t>
      </w:r>
    </w:p>
    <w:p w:rsidR="00BB7EC3" w:rsidRDefault="00BB7EC3" w:rsidP="00C37B58">
      <w:pPr>
        <w:jc w:val="both"/>
        <w:rPr>
          <w:rFonts w:ascii="Arial" w:hAnsi="Arial"/>
          <w:b/>
          <w:sz w:val="22"/>
          <w:szCs w:val="22"/>
        </w:rPr>
      </w:pPr>
    </w:p>
    <w:p w:rsidR="00C6105D" w:rsidRPr="00C6105D" w:rsidRDefault="00C6105D" w:rsidP="00C6105D">
      <w:pPr>
        <w:ind w:firstLine="720"/>
        <w:rPr>
          <w:rFonts w:ascii="Arial" w:hAnsi="Arial" w:cs="Arial"/>
          <w:bCs/>
          <w:sz w:val="22"/>
          <w:szCs w:val="22"/>
        </w:rPr>
      </w:pPr>
      <w:r w:rsidRPr="00412AA4">
        <w:rPr>
          <w:rFonts w:ascii="Arial" w:hAnsi="Arial" w:cs="Arial"/>
          <w:bCs/>
          <w:i/>
          <w:sz w:val="22"/>
          <w:szCs w:val="22"/>
        </w:rPr>
        <w:t>For more detail on PBAC’s view, see section 7 “PBAC outcome”</w:t>
      </w:r>
    </w:p>
    <w:p w:rsidR="00C6105D" w:rsidRDefault="00C6105D" w:rsidP="00C37B58">
      <w:pPr>
        <w:jc w:val="both"/>
        <w:rPr>
          <w:rFonts w:ascii="Arial" w:hAnsi="Arial"/>
          <w:b/>
          <w:sz w:val="22"/>
          <w:szCs w:val="22"/>
        </w:rPr>
      </w:pPr>
    </w:p>
    <w:p w:rsidR="00AA4252" w:rsidRDefault="00AA4252" w:rsidP="00C37B58">
      <w:pPr>
        <w:jc w:val="both"/>
        <w:rPr>
          <w:rFonts w:ascii="Arial" w:hAnsi="Arial"/>
          <w:b/>
          <w:sz w:val="22"/>
          <w:szCs w:val="22"/>
        </w:rPr>
      </w:pPr>
    </w:p>
    <w:p w:rsidR="00CE10C4" w:rsidRPr="0019793B" w:rsidRDefault="00CE10C4" w:rsidP="00C37B58">
      <w:pPr>
        <w:pStyle w:val="PBACHeading1"/>
        <w:keepNext/>
      </w:pPr>
      <w:r w:rsidRPr="0019793B">
        <w:lastRenderedPageBreak/>
        <w:t>Background</w:t>
      </w:r>
    </w:p>
    <w:p w:rsidR="00C603D4" w:rsidRPr="0019793B" w:rsidRDefault="00C603D4" w:rsidP="00C37B58">
      <w:pPr>
        <w:pStyle w:val="ListParagraph"/>
        <w:keepNext/>
        <w:widowControl/>
        <w:rPr>
          <w:i/>
          <w:szCs w:val="22"/>
        </w:rPr>
      </w:pPr>
    </w:p>
    <w:p w:rsidR="00B11CE3" w:rsidRPr="0019793B" w:rsidRDefault="00B11CE3" w:rsidP="00C37B58">
      <w:pPr>
        <w:pStyle w:val="ListParagraph"/>
        <w:widowControl/>
        <w:numPr>
          <w:ilvl w:val="1"/>
          <w:numId w:val="5"/>
        </w:numPr>
        <w:rPr>
          <w:szCs w:val="22"/>
        </w:rPr>
      </w:pPr>
      <w:r w:rsidRPr="0019793B">
        <w:rPr>
          <w:szCs w:val="22"/>
        </w:rPr>
        <w:t>Apremilast was TGA registered on 19 March 2015 for the treatment of adult patients with moderate-to-severe plaque psoriasis who are candidates for phototherapy or systemic therapy.</w:t>
      </w:r>
    </w:p>
    <w:p w:rsidR="006B0D94" w:rsidRPr="0019793B" w:rsidRDefault="006B0D94" w:rsidP="00C37B58">
      <w:pPr>
        <w:pStyle w:val="ListParagraph"/>
        <w:widowControl/>
        <w:rPr>
          <w:szCs w:val="22"/>
        </w:rPr>
      </w:pPr>
    </w:p>
    <w:p w:rsidR="00B11CE3" w:rsidRPr="0019793B" w:rsidRDefault="00B11CE3" w:rsidP="00C37B58">
      <w:pPr>
        <w:pStyle w:val="ListParagraph"/>
        <w:widowControl/>
        <w:numPr>
          <w:ilvl w:val="1"/>
          <w:numId w:val="5"/>
        </w:numPr>
        <w:rPr>
          <w:szCs w:val="22"/>
        </w:rPr>
      </w:pPr>
      <w:r w:rsidRPr="0019793B">
        <w:rPr>
          <w:szCs w:val="22"/>
        </w:rPr>
        <w:t>The PBAC previously considered apremilast for plaque psoriasis at the March 2015 and November 2016 meetings. A summary of the comparison of the March 2015 submission, November 2016 resubmission and the current resubmission is outlined in Table 1.</w:t>
      </w:r>
    </w:p>
    <w:p w:rsidR="00BB7EC3" w:rsidRDefault="00BB7EC3" w:rsidP="00C37B58">
      <w:pPr>
        <w:jc w:val="both"/>
        <w:rPr>
          <w:rFonts w:ascii="Arial" w:hAnsi="Arial"/>
          <w:b/>
          <w:sz w:val="22"/>
          <w:szCs w:val="22"/>
        </w:rPr>
      </w:pPr>
    </w:p>
    <w:p w:rsidR="00B11CE3" w:rsidRPr="0019793B" w:rsidRDefault="00B11CE3" w:rsidP="00685C10">
      <w:pPr>
        <w:pStyle w:val="Caption"/>
        <w:keepNext/>
        <w:widowControl/>
        <w:ind w:firstLine="720"/>
      </w:pPr>
      <w:r w:rsidRPr="0019793B">
        <w:t xml:space="preserve">Table </w:t>
      </w:r>
      <w:r w:rsidR="006513CC">
        <w:rPr>
          <w:noProof/>
        </w:rPr>
        <w:t>1</w:t>
      </w:r>
      <w:r w:rsidRPr="0019793B">
        <w:t>: Summary of the previous submission</w:t>
      </w:r>
      <w:r w:rsidR="002A0540" w:rsidRPr="0019793B">
        <w:t>s</w:t>
      </w:r>
      <w:r w:rsidRPr="0019793B">
        <w:t xml:space="preserve"> and current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2356"/>
        <w:gridCol w:w="2356"/>
        <w:gridCol w:w="2357"/>
      </w:tblGrid>
      <w:tr w:rsidR="00B11CE3" w:rsidRPr="0019793B" w:rsidTr="00494814">
        <w:trPr>
          <w:cantSplit/>
          <w:trHeight w:val="220"/>
          <w:tblHeader/>
        </w:trPr>
        <w:tc>
          <w:tcPr>
            <w:tcW w:w="1276" w:type="dxa"/>
            <w:vAlign w:val="center"/>
          </w:tcPr>
          <w:p w:rsidR="00B11CE3" w:rsidRPr="0019793B" w:rsidRDefault="00B11CE3" w:rsidP="00494814">
            <w:pPr>
              <w:keepNext/>
              <w:jc w:val="center"/>
              <w:rPr>
                <w:rFonts w:ascii="Arial Narrow" w:hAnsi="Arial Narrow"/>
                <w:sz w:val="20"/>
                <w:szCs w:val="20"/>
              </w:rPr>
            </w:pPr>
          </w:p>
        </w:tc>
        <w:tc>
          <w:tcPr>
            <w:tcW w:w="2356" w:type="dxa"/>
            <w:vAlign w:val="center"/>
          </w:tcPr>
          <w:p w:rsidR="00B11CE3" w:rsidRPr="0019793B" w:rsidRDefault="00B11CE3" w:rsidP="00494814">
            <w:pPr>
              <w:keepNext/>
              <w:jc w:val="center"/>
              <w:rPr>
                <w:rFonts w:ascii="Arial Narrow" w:hAnsi="Arial Narrow"/>
                <w:b/>
                <w:sz w:val="20"/>
                <w:szCs w:val="20"/>
              </w:rPr>
            </w:pPr>
            <w:r w:rsidRPr="0019793B">
              <w:rPr>
                <w:rFonts w:ascii="Arial Narrow" w:hAnsi="Arial Narrow"/>
                <w:b/>
                <w:sz w:val="20"/>
                <w:szCs w:val="20"/>
              </w:rPr>
              <w:t>March 2015 submission</w:t>
            </w:r>
          </w:p>
        </w:tc>
        <w:tc>
          <w:tcPr>
            <w:tcW w:w="2356" w:type="dxa"/>
            <w:vAlign w:val="center"/>
          </w:tcPr>
          <w:p w:rsidR="00B11CE3" w:rsidRPr="0019793B" w:rsidRDefault="00B11CE3" w:rsidP="00494814">
            <w:pPr>
              <w:keepNext/>
              <w:jc w:val="center"/>
              <w:rPr>
                <w:rFonts w:ascii="Arial Narrow" w:hAnsi="Arial Narrow"/>
                <w:b/>
                <w:sz w:val="20"/>
                <w:szCs w:val="20"/>
              </w:rPr>
            </w:pPr>
            <w:r w:rsidRPr="0019793B">
              <w:rPr>
                <w:rFonts w:ascii="Arial Narrow" w:hAnsi="Arial Narrow"/>
                <w:b/>
                <w:sz w:val="20"/>
                <w:szCs w:val="20"/>
              </w:rPr>
              <w:t>November 2016 resubmission</w:t>
            </w:r>
          </w:p>
        </w:tc>
        <w:tc>
          <w:tcPr>
            <w:tcW w:w="2357" w:type="dxa"/>
            <w:vAlign w:val="center"/>
          </w:tcPr>
          <w:p w:rsidR="00B11CE3" w:rsidRPr="0019793B" w:rsidRDefault="00B11CE3" w:rsidP="00494814">
            <w:pPr>
              <w:keepNext/>
              <w:jc w:val="center"/>
              <w:rPr>
                <w:rFonts w:ascii="Arial Narrow" w:hAnsi="Arial Narrow"/>
                <w:b/>
                <w:sz w:val="20"/>
                <w:szCs w:val="20"/>
              </w:rPr>
            </w:pPr>
            <w:r w:rsidRPr="0019793B">
              <w:rPr>
                <w:rFonts w:ascii="Arial Narrow" w:hAnsi="Arial Narrow"/>
                <w:b/>
                <w:sz w:val="20"/>
                <w:szCs w:val="20"/>
              </w:rPr>
              <w:t>Current resubmission</w:t>
            </w:r>
          </w:p>
        </w:tc>
      </w:tr>
      <w:tr w:rsidR="00B11CE3" w:rsidRPr="0019793B" w:rsidTr="00494814">
        <w:trPr>
          <w:cantSplit/>
          <w:trHeight w:val="525"/>
        </w:trPr>
        <w:tc>
          <w:tcPr>
            <w:tcW w:w="1276" w:type="dxa"/>
            <w:shd w:val="clear" w:color="auto" w:fill="auto"/>
          </w:tcPr>
          <w:p w:rsidR="00B11CE3" w:rsidRPr="0019793B" w:rsidRDefault="00B11CE3" w:rsidP="00C37B58">
            <w:pPr>
              <w:rPr>
                <w:rFonts w:ascii="Arial Narrow" w:hAnsi="Arial Narrow"/>
                <w:sz w:val="20"/>
                <w:szCs w:val="20"/>
              </w:rPr>
            </w:pPr>
            <w:r w:rsidRPr="0019793B">
              <w:rPr>
                <w:rFonts w:ascii="Arial Narrow" w:hAnsi="Arial Narrow"/>
                <w:sz w:val="20"/>
                <w:szCs w:val="20"/>
              </w:rPr>
              <w:t>Requested PBS listing</w:t>
            </w:r>
          </w:p>
        </w:tc>
        <w:tc>
          <w:tcPr>
            <w:tcW w:w="2356" w:type="dxa"/>
            <w:shd w:val="clear" w:color="auto" w:fill="auto"/>
          </w:tcPr>
          <w:p w:rsidR="00B11CE3" w:rsidRPr="0019793B" w:rsidRDefault="00B11CE3" w:rsidP="00C37B58">
            <w:pPr>
              <w:rPr>
                <w:rFonts w:ascii="Arial Narrow" w:hAnsi="Arial Narrow"/>
                <w:sz w:val="20"/>
                <w:szCs w:val="20"/>
              </w:rPr>
            </w:pPr>
            <w:r w:rsidRPr="0019793B">
              <w:rPr>
                <w:rFonts w:ascii="Arial Narrow" w:hAnsi="Arial Narrow"/>
                <w:sz w:val="20"/>
                <w:szCs w:val="20"/>
              </w:rPr>
              <w:t>Moderate-to-severe plaque psoriasis, where other systemic therapies (including methotrexate) are ineffective or inappropriate.</w:t>
            </w:r>
          </w:p>
          <w:p w:rsidR="00B11CE3" w:rsidRPr="0019793B" w:rsidRDefault="00B11CE3" w:rsidP="00C37B58">
            <w:pPr>
              <w:rPr>
                <w:rFonts w:ascii="Arial Narrow" w:hAnsi="Arial Narrow"/>
                <w:sz w:val="20"/>
                <w:szCs w:val="20"/>
              </w:rPr>
            </w:pPr>
            <w:r w:rsidRPr="0019793B">
              <w:rPr>
                <w:rFonts w:ascii="Arial Narrow" w:hAnsi="Arial Narrow"/>
                <w:b/>
                <w:sz w:val="20"/>
                <w:szCs w:val="20"/>
                <w:lang w:val="fr-FR"/>
              </w:rPr>
              <w:t xml:space="preserve">PBAC Comment: </w:t>
            </w:r>
            <w:r w:rsidRPr="0019793B">
              <w:rPr>
                <w:rFonts w:ascii="Arial Narrow" w:hAnsi="Arial Narrow"/>
                <w:sz w:val="20"/>
                <w:szCs w:val="20"/>
                <w:lang w:val="fr-FR"/>
              </w:rPr>
              <w:t xml:space="preserve">(paragraph 7.2). </w:t>
            </w:r>
            <w:r w:rsidRPr="0019793B">
              <w:rPr>
                <w:rFonts w:ascii="Arial Narrow" w:hAnsi="Arial Narrow"/>
                <w:sz w:val="20"/>
                <w:szCs w:val="20"/>
              </w:rPr>
              <w:t>The PBAC expressed concerns over the potential delay in prescribers being able to initiate bDMARD therapy.</w:t>
            </w:r>
          </w:p>
        </w:tc>
        <w:tc>
          <w:tcPr>
            <w:tcW w:w="2356" w:type="dxa"/>
            <w:shd w:val="clear" w:color="auto" w:fill="auto"/>
          </w:tcPr>
          <w:p w:rsidR="005F4F97" w:rsidRPr="0019793B" w:rsidRDefault="00B11CE3" w:rsidP="00C37B58">
            <w:pPr>
              <w:rPr>
                <w:rFonts w:ascii="Arial Narrow" w:hAnsi="Arial Narrow"/>
                <w:sz w:val="20"/>
                <w:szCs w:val="20"/>
              </w:rPr>
            </w:pPr>
            <w:r w:rsidRPr="0019793B">
              <w:rPr>
                <w:rFonts w:ascii="Arial Narrow" w:hAnsi="Arial Narrow"/>
                <w:sz w:val="20"/>
                <w:szCs w:val="20"/>
              </w:rPr>
              <w:t>Moderate-to-severe plaque psoriasis</w:t>
            </w:r>
            <w:r w:rsidR="005F4F97" w:rsidRPr="0019793B">
              <w:rPr>
                <w:rFonts w:ascii="Arial Narrow" w:hAnsi="Arial Narrow"/>
                <w:sz w:val="20"/>
                <w:szCs w:val="20"/>
              </w:rPr>
              <w:t>.</w:t>
            </w:r>
          </w:p>
          <w:p w:rsidR="00B11CE3" w:rsidRPr="0019793B" w:rsidRDefault="005F4F97"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7.2) The PBAC noted the resubmission’s proposed clinical place in therapy as an additional treatment option in the same line of therapy as cyclosporin. The PBAC considered there was a clinical place for apremilast as an alternative treatment option for plaque psoriasis.</w:t>
            </w:r>
            <w:r w:rsidR="00B11CE3" w:rsidRPr="0019793B">
              <w:rPr>
                <w:rFonts w:ascii="Arial Narrow" w:hAnsi="Arial Narrow"/>
                <w:sz w:val="20"/>
                <w:szCs w:val="20"/>
              </w:rPr>
              <w:t xml:space="preserve"> </w:t>
            </w:r>
          </w:p>
        </w:tc>
        <w:tc>
          <w:tcPr>
            <w:tcW w:w="2357" w:type="dxa"/>
          </w:tcPr>
          <w:p w:rsidR="00B11CE3" w:rsidRPr="0019793B" w:rsidRDefault="003537E7" w:rsidP="00626F63">
            <w:pPr>
              <w:rPr>
                <w:rFonts w:ascii="Arial Narrow" w:hAnsi="Arial Narrow"/>
                <w:sz w:val="20"/>
                <w:szCs w:val="20"/>
              </w:rPr>
            </w:pPr>
            <w:r w:rsidRPr="0019793B">
              <w:rPr>
                <w:rFonts w:ascii="Arial Narrow" w:hAnsi="Arial Narrow"/>
                <w:sz w:val="20"/>
                <w:szCs w:val="20"/>
              </w:rPr>
              <w:t>Moderate-to-severe plaque psoriasis</w:t>
            </w:r>
            <w:r w:rsidR="00B503D6" w:rsidRPr="0019793B">
              <w:rPr>
                <w:rFonts w:ascii="Arial Narrow" w:hAnsi="Arial Narrow"/>
                <w:sz w:val="20"/>
                <w:szCs w:val="20"/>
              </w:rPr>
              <w:t xml:space="preserve"> in</w:t>
            </w:r>
            <w:r w:rsidRPr="0019793B">
              <w:rPr>
                <w:rFonts w:ascii="Arial Narrow" w:hAnsi="Arial Narrow"/>
                <w:sz w:val="20"/>
                <w:szCs w:val="20"/>
              </w:rPr>
              <w:t xml:space="preserve"> </w:t>
            </w:r>
            <w:r w:rsidR="00B503D6" w:rsidRPr="0019793B">
              <w:rPr>
                <w:rFonts w:ascii="Arial Narrow" w:hAnsi="Arial Narrow"/>
                <w:sz w:val="20"/>
                <w:szCs w:val="20"/>
              </w:rPr>
              <w:t xml:space="preserve">patients </w:t>
            </w:r>
            <w:r w:rsidRPr="0019793B">
              <w:rPr>
                <w:rFonts w:ascii="Arial Narrow" w:hAnsi="Arial Narrow"/>
                <w:sz w:val="20"/>
                <w:szCs w:val="20"/>
              </w:rPr>
              <w:t>who have failed to achi</w:t>
            </w:r>
            <w:r w:rsidR="00F34FF2" w:rsidRPr="0019793B">
              <w:rPr>
                <w:rFonts w:ascii="Arial Narrow" w:hAnsi="Arial Narrow"/>
                <w:sz w:val="20"/>
                <w:szCs w:val="20"/>
              </w:rPr>
              <w:t xml:space="preserve">eve an adequate response or are </w:t>
            </w:r>
            <w:r w:rsidRPr="0019793B">
              <w:rPr>
                <w:rFonts w:ascii="Arial Narrow" w:hAnsi="Arial Narrow"/>
                <w:sz w:val="20"/>
                <w:szCs w:val="20"/>
              </w:rPr>
              <w:t>contraindicated to treatment with methotrexate.</w:t>
            </w:r>
          </w:p>
        </w:tc>
      </w:tr>
      <w:tr w:rsidR="00B11CE3" w:rsidRPr="0019793B" w:rsidTr="00494814">
        <w:trPr>
          <w:cantSplit/>
          <w:trHeight w:val="422"/>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Requested</w:t>
            </w:r>
            <w:r w:rsidR="003537E7" w:rsidRPr="0019793B">
              <w:rPr>
                <w:rFonts w:ascii="Arial Narrow" w:hAnsi="Arial Narrow"/>
                <w:sz w:val="20"/>
                <w:szCs w:val="20"/>
              </w:rPr>
              <w:t xml:space="preserve"> effective</w:t>
            </w:r>
            <w:r w:rsidRPr="0019793B">
              <w:rPr>
                <w:rFonts w:ascii="Arial Narrow" w:hAnsi="Arial Narrow"/>
                <w:sz w:val="20"/>
                <w:szCs w:val="20"/>
              </w:rPr>
              <w:t xml:space="preserve"> DPMQ</w:t>
            </w:r>
            <w:r w:rsidR="009C4AF7" w:rsidRPr="0019793B">
              <w:rPr>
                <w:rFonts w:ascii="Arial Narrow" w:hAnsi="Arial Narrow"/>
                <w:sz w:val="20"/>
                <w:szCs w:val="20"/>
              </w:rPr>
              <w:t>s</w:t>
            </w:r>
          </w:p>
        </w:tc>
        <w:tc>
          <w:tcPr>
            <w:tcW w:w="2356" w:type="dxa"/>
          </w:tcPr>
          <w:p w:rsidR="00B11CE3"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Apremilast 10mg x 4, 20mg x 4, 30mg x 19</w:t>
            </w:r>
            <w:r w:rsidR="00B11CE3" w:rsidRPr="0019793B">
              <w:rPr>
                <w:rFonts w:ascii="Arial Narrow" w:hAnsi="Arial Narrow"/>
                <w:sz w:val="20"/>
              </w:rPr>
              <w:t>: $</w:t>
            </w:r>
            <w:r w:rsidR="00F17FFB">
              <w:rPr>
                <w:rFonts w:ascii="Arial Narrow" w:hAnsi="Arial Narrow"/>
                <w:noProof/>
                <w:color w:val="000000"/>
                <w:sz w:val="20"/>
                <w:highlight w:val="black"/>
              </w:rPr>
              <w:t>'''''''''''''''</w:t>
            </w:r>
          </w:p>
          <w:p w:rsidR="00B11CE3"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 xml:space="preserve">Apremilast 30 mg x </w:t>
            </w:r>
            <w:r w:rsidR="00B11CE3" w:rsidRPr="0019793B">
              <w:rPr>
                <w:rFonts w:ascii="Arial Narrow" w:hAnsi="Arial Narrow"/>
                <w:sz w:val="20"/>
              </w:rPr>
              <w:t>56: $</w:t>
            </w:r>
            <w:r w:rsidR="00F17FFB">
              <w:rPr>
                <w:rFonts w:ascii="Arial Narrow" w:hAnsi="Arial Narrow"/>
                <w:noProof/>
                <w:color w:val="000000"/>
                <w:sz w:val="20"/>
                <w:highlight w:val="black"/>
              </w:rPr>
              <w:t>'''''''''''''''''''''</w:t>
            </w:r>
          </w:p>
        </w:tc>
        <w:tc>
          <w:tcPr>
            <w:tcW w:w="2356" w:type="dxa"/>
          </w:tcPr>
          <w:p w:rsidR="00B11CE3"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 xml:space="preserve">Apremilast </w:t>
            </w:r>
            <w:r w:rsidR="00B11CE3" w:rsidRPr="0019793B">
              <w:rPr>
                <w:rFonts w:ascii="Arial Narrow" w:hAnsi="Arial Narrow"/>
                <w:sz w:val="20"/>
              </w:rPr>
              <w:t>10mg x 4, 20mg x 4, 30m</w:t>
            </w:r>
            <w:r w:rsidRPr="0019793B">
              <w:rPr>
                <w:rFonts w:ascii="Arial Narrow" w:hAnsi="Arial Narrow"/>
                <w:sz w:val="20"/>
              </w:rPr>
              <w:t>g x 19</w:t>
            </w:r>
            <w:r w:rsidR="00B11CE3" w:rsidRPr="0019793B">
              <w:rPr>
                <w:rFonts w:ascii="Arial Narrow" w:hAnsi="Arial Narrow"/>
                <w:sz w:val="20"/>
              </w:rPr>
              <w:t>: $</w:t>
            </w:r>
            <w:r w:rsidR="00F17FFB">
              <w:rPr>
                <w:rFonts w:ascii="Arial Narrow" w:hAnsi="Arial Narrow"/>
                <w:noProof/>
                <w:color w:val="000000"/>
                <w:sz w:val="20"/>
                <w:highlight w:val="black"/>
              </w:rPr>
              <w:t>''''''''''''''''''</w:t>
            </w:r>
          </w:p>
          <w:p w:rsidR="00B11CE3"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 xml:space="preserve">Apremilast 30 mg x </w:t>
            </w:r>
            <w:r w:rsidR="00B11CE3" w:rsidRPr="0019793B">
              <w:rPr>
                <w:rFonts w:ascii="Arial Narrow" w:hAnsi="Arial Narrow"/>
                <w:sz w:val="20"/>
              </w:rPr>
              <w:t>56: $</w:t>
            </w:r>
            <w:r w:rsidR="00F17FFB">
              <w:rPr>
                <w:rFonts w:ascii="Arial Narrow" w:hAnsi="Arial Narrow"/>
                <w:noProof/>
                <w:color w:val="000000"/>
                <w:sz w:val="20"/>
                <w:highlight w:val="black"/>
              </w:rPr>
              <w:t>''''''''''''''''</w:t>
            </w:r>
          </w:p>
        </w:tc>
        <w:tc>
          <w:tcPr>
            <w:tcW w:w="2357" w:type="dxa"/>
          </w:tcPr>
          <w:p w:rsidR="003537E7"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Apremilast (10mg x 4, 20mg x 4, 30mg x 19): $</w:t>
            </w:r>
            <w:r w:rsidR="00F17FFB">
              <w:rPr>
                <w:rFonts w:ascii="Arial Narrow" w:hAnsi="Arial Narrow"/>
                <w:noProof/>
                <w:color w:val="000000"/>
                <w:sz w:val="20"/>
                <w:highlight w:val="black"/>
              </w:rPr>
              <w:t>'''''''''''''''''</w:t>
            </w:r>
          </w:p>
          <w:p w:rsidR="003537E7" w:rsidRPr="0019793B" w:rsidRDefault="003537E7"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Apremilast 30 mg x 56: $</w:t>
            </w:r>
            <w:r w:rsidR="00F17FFB">
              <w:rPr>
                <w:rFonts w:ascii="Arial Narrow" w:hAnsi="Arial Narrow"/>
                <w:noProof/>
                <w:color w:val="000000"/>
                <w:sz w:val="20"/>
                <w:highlight w:val="black"/>
              </w:rPr>
              <w:t>'''''''''''''''</w:t>
            </w:r>
          </w:p>
        </w:tc>
      </w:tr>
      <w:tr w:rsidR="007B0490" w:rsidRPr="0019793B" w:rsidTr="00494814">
        <w:trPr>
          <w:cantSplit/>
          <w:trHeight w:val="860"/>
        </w:trPr>
        <w:tc>
          <w:tcPr>
            <w:tcW w:w="1276" w:type="dxa"/>
          </w:tcPr>
          <w:p w:rsidR="007B0490" w:rsidRPr="0019793B" w:rsidRDefault="00EC5B37" w:rsidP="00C37B58">
            <w:pPr>
              <w:rPr>
                <w:rFonts w:ascii="Arial Narrow" w:hAnsi="Arial Narrow"/>
                <w:sz w:val="20"/>
                <w:szCs w:val="20"/>
              </w:rPr>
            </w:pPr>
            <w:r w:rsidRPr="0019793B">
              <w:rPr>
                <w:rFonts w:ascii="Arial Narrow" w:hAnsi="Arial Narrow"/>
                <w:sz w:val="20"/>
                <w:szCs w:val="20"/>
              </w:rPr>
              <w:lastRenderedPageBreak/>
              <w:t>C</w:t>
            </w:r>
            <w:r w:rsidR="007B0490" w:rsidRPr="0019793B">
              <w:rPr>
                <w:rFonts w:ascii="Arial Narrow" w:hAnsi="Arial Narrow"/>
                <w:sz w:val="20"/>
                <w:szCs w:val="20"/>
              </w:rPr>
              <w:t>omparator</w:t>
            </w:r>
          </w:p>
        </w:tc>
        <w:tc>
          <w:tcPr>
            <w:tcW w:w="2356" w:type="dxa"/>
          </w:tcPr>
          <w:p w:rsidR="00CC3790" w:rsidRPr="0019793B" w:rsidRDefault="00CC3790"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Cyclosporin</w:t>
            </w:r>
          </w:p>
          <w:p w:rsidR="007B0490" w:rsidRPr="0019793B" w:rsidRDefault="00CC3790"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7.3) The PBAC accepted this, but noted that acitretin would also be a relevant comparator.</w:t>
            </w:r>
          </w:p>
        </w:tc>
        <w:tc>
          <w:tcPr>
            <w:tcW w:w="2356" w:type="dxa"/>
          </w:tcPr>
          <w:p w:rsidR="007B0490" w:rsidRPr="0019793B" w:rsidRDefault="007B0490"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Cyc</w:t>
            </w:r>
            <w:r w:rsidR="001D2F07" w:rsidRPr="0019793B">
              <w:rPr>
                <w:rFonts w:ascii="Arial Narrow" w:hAnsi="Arial Narrow"/>
                <w:sz w:val="20"/>
              </w:rPr>
              <w:t>losporin</w:t>
            </w:r>
          </w:p>
          <w:p w:rsidR="007B0490" w:rsidRPr="0019793B" w:rsidRDefault="007B0490"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w:t>
            </w:r>
            <w:r w:rsidR="001D2F07" w:rsidRPr="0019793B">
              <w:rPr>
                <w:rFonts w:ascii="Arial Narrow" w:hAnsi="Arial Narrow"/>
                <w:sz w:val="20"/>
                <w:szCs w:val="20"/>
              </w:rPr>
              <w:t xml:space="preserve"> 7.5</w:t>
            </w:r>
            <w:r w:rsidRPr="0019793B">
              <w:rPr>
                <w:rFonts w:ascii="Arial Narrow" w:hAnsi="Arial Narrow"/>
                <w:sz w:val="20"/>
                <w:szCs w:val="20"/>
              </w:rPr>
              <w:t xml:space="preserve">) On the basis of the clinical place proposed in the resubmission, the PBAC considered that cyclosporin, methotrexate and acitretin were all relevant comparators. The PBAC accepted cyclosporin as the main comparator if apremilast </w:t>
            </w:r>
            <w:r w:rsidR="001D2F07" w:rsidRPr="0019793B">
              <w:rPr>
                <w:rFonts w:ascii="Arial Narrow" w:hAnsi="Arial Narrow"/>
                <w:sz w:val="20"/>
                <w:szCs w:val="20"/>
              </w:rPr>
              <w:t>was</w:t>
            </w:r>
            <w:r w:rsidRPr="0019793B">
              <w:rPr>
                <w:rFonts w:ascii="Arial Narrow" w:hAnsi="Arial Narrow"/>
                <w:sz w:val="20"/>
                <w:szCs w:val="20"/>
              </w:rPr>
              <w:t xml:space="preserve"> restricted to patients who have failed treatment with methotrexate.</w:t>
            </w:r>
          </w:p>
        </w:tc>
        <w:tc>
          <w:tcPr>
            <w:tcW w:w="2357" w:type="dxa"/>
          </w:tcPr>
          <w:p w:rsidR="007B0490" w:rsidRPr="0019793B" w:rsidRDefault="00015A7C"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 xml:space="preserve">Not stated, </w:t>
            </w:r>
            <w:r w:rsidR="00650632" w:rsidRPr="0019793B">
              <w:rPr>
                <w:rFonts w:ascii="Arial Narrow" w:hAnsi="Arial Narrow"/>
                <w:sz w:val="20"/>
              </w:rPr>
              <w:t xml:space="preserve">but </w:t>
            </w:r>
            <w:r w:rsidRPr="0019793B">
              <w:rPr>
                <w:rFonts w:ascii="Arial Narrow" w:hAnsi="Arial Narrow"/>
                <w:sz w:val="20"/>
              </w:rPr>
              <w:t>assumed to be unchanged.</w:t>
            </w:r>
          </w:p>
        </w:tc>
      </w:tr>
      <w:tr w:rsidR="00B11CE3" w:rsidRPr="0019793B" w:rsidTr="00494814">
        <w:trPr>
          <w:cantSplit/>
          <w:trHeight w:val="860"/>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Clinical evidence</w:t>
            </w:r>
          </w:p>
        </w:tc>
        <w:tc>
          <w:tcPr>
            <w:tcW w:w="2356" w:type="dxa"/>
          </w:tcPr>
          <w:p w:rsidR="00B11CE3" w:rsidRPr="0019793B" w:rsidRDefault="00B11CE3"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Apremilast versus placebo: 3 pivotal trials</w:t>
            </w:r>
          </w:p>
          <w:p w:rsidR="00B11CE3" w:rsidRPr="0019793B" w:rsidRDefault="00B11CE3"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Cyclosporin versus placebo:1 pivotal trial</w:t>
            </w:r>
          </w:p>
          <w:p w:rsidR="00B11CE3" w:rsidRPr="0019793B" w:rsidRDefault="00B11CE3" w:rsidP="00C37B58">
            <w:pPr>
              <w:rPr>
                <w:rFonts w:ascii="Arial Narrow" w:hAnsi="Arial Narrow"/>
                <w:color w:val="0000FF"/>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(paragraphs 6.17; 7.4) The fixed dose of cyclosporin 2.5mg/kg/day for 10 weeks in the Meffert (1997) trial was not the recommended dose regimen.</w:t>
            </w:r>
          </w:p>
        </w:tc>
        <w:tc>
          <w:tcPr>
            <w:tcW w:w="2356" w:type="dxa"/>
          </w:tcPr>
          <w:p w:rsidR="00B11CE3" w:rsidRPr="0019793B" w:rsidRDefault="00B11CE3"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Randomised evidence: Apremilast versus placebo: 3 trials, plus 1 inappropriately excluded trial.</w:t>
            </w:r>
          </w:p>
          <w:p w:rsidR="00B11CE3" w:rsidRPr="0019793B" w:rsidRDefault="00B11CE3"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Non-randomised evidence: A</w:t>
            </w:r>
            <w:r w:rsidR="00F34FF2" w:rsidRPr="0019793B">
              <w:rPr>
                <w:rFonts w:ascii="Arial Narrow" w:hAnsi="Arial Narrow"/>
                <w:sz w:val="20"/>
              </w:rPr>
              <w:t>premilast versus cyclosporin: 1 </w:t>
            </w:r>
            <w:r w:rsidRPr="0019793B">
              <w:rPr>
                <w:rFonts w:ascii="Arial Narrow" w:hAnsi="Arial Narrow"/>
                <w:sz w:val="20"/>
              </w:rPr>
              <w:t xml:space="preserve">pivotal study. </w:t>
            </w:r>
          </w:p>
          <w:p w:rsidR="007B0490" w:rsidRPr="0019793B" w:rsidRDefault="00B11CE3" w:rsidP="00C37B58">
            <w:pPr>
              <w:pStyle w:val="ListParagraph"/>
              <w:widowControl/>
              <w:numPr>
                <w:ilvl w:val="0"/>
                <w:numId w:val="15"/>
              </w:numPr>
              <w:ind w:left="114" w:hanging="114"/>
              <w:jc w:val="left"/>
              <w:rPr>
                <w:rFonts w:ascii="Arial Narrow" w:hAnsi="Arial Narrow"/>
                <w:sz w:val="20"/>
              </w:rPr>
            </w:pPr>
            <w:r w:rsidRPr="0019793B">
              <w:rPr>
                <w:rFonts w:ascii="Arial Narrow" w:hAnsi="Arial Narrow"/>
                <w:sz w:val="20"/>
              </w:rPr>
              <w:t>Apremilast single arm: 3 supportive studies</w:t>
            </w:r>
          </w:p>
        </w:tc>
        <w:tc>
          <w:tcPr>
            <w:tcW w:w="2357" w:type="dxa"/>
          </w:tcPr>
          <w:p w:rsidR="00B11CE3" w:rsidRPr="0019793B" w:rsidRDefault="007B0490" w:rsidP="00C37B58">
            <w:pPr>
              <w:rPr>
                <w:rFonts w:ascii="Arial Narrow" w:hAnsi="Arial Narrow"/>
                <w:sz w:val="20"/>
                <w:szCs w:val="20"/>
              </w:rPr>
            </w:pPr>
            <w:r w:rsidRPr="0019793B">
              <w:rPr>
                <w:rFonts w:ascii="Arial Narrow" w:hAnsi="Arial Narrow"/>
                <w:sz w:val="20"/>
                <w:szCs w:val="20"/>
              </w:rPr>
              <w:t>No additional clinical evidence presented.</w:t>
            </w:r>
          </w:p>
        </w:tc>
      </w:tr>
      <w:tr w:rsidR="00B11CE3" w:rsidRPr="0019793B" w:rsidTr="00494814">
        <w:trPr>
          <w:cantSplit/>
          <w:trHeight w:val="8159"/>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Key effectiveness data</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PASI 75 response at 16 weeks for apremilast </w:t>
            </w:r>
          </w:p>
          <w:p w:rsidR="00B11CE3" w:rsidRPr="0019793B" w:rsidRDefault="00B11CE3" w:rsidP="00C37B58">
            <w:pPr>
              <w:rPr>
                <w:rFonts w:ascii="Arial Narrow" w:hAnsi="Arial Narrow"/>
                <w:sz w:val="20"/>
                <w:szCs w:val="20"/>
              </w:rPr>
            </w:pPr>
            <w:r w:rsidRPr="0019793B">
              <w:rPr>
                <w:rFonts w:ascii="Arial Narrow" w:hAnsi="Arial Narrow"/>
                <w:sz w:val="20"/>
                <w:szCs w:val="20"/>
              </w:rPr>
              <w:t>PASI 75 response at 10 weeks for cyclosporin (Meffert 1997)</w:t>
            </w:r>
          </w:p>
          <w:p w:rsidR="00B11CE3" w:rsidRPr="0019793B" w:rsidRDefault="00B11CE3" w:rsidP="00C37B58">
            <w:pPr>
              <w:rPr>
                <w:rFonts w:ascii="Arial Narrow" w:hAnsi="Arial Narrow"/>
                <w:sz w:val="20"/>
                <w:szCs w:val="20"/>
              </w:rPr>
            </w:pPr>
            <w:r w:rsidRPr="0019793B">
              <w:rPr>
                <w:rFonts w:ascii="Arial Narrow" w:hAnsi="Arial Narrow"/>
                <w:sz w:val="20"/>
                <w:szCs w:val="20"/>
              </w:rPr>
              <w:t>Indirect comparison of apremilast versus cyclosporin: RR=0.94 (95% CI: 0.22, 4.12)</w:t>
            </w:r>
          </w:p>
          <w:p w:rsidR="00B11CE3" w:rsidRPr="0019793B" w:rsidRDefault="00B11CE3"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7.4) PASI 50 response at 16 weeks favoured cyclosporin and the cyclosporin dosing in the Meffert 1997 trial may have been suboptimal.</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PASI 75 response at 16 weeks for apremilast </w:t>
            </w:r>
          </w:p>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Pooled RR of apremilast versus placebo = </w:t>
            </w:r>
            <w:r w:rsidRPr="0019793B">
              <w:rPr>
                <w:rFonts w:ascii="Arial Narrow" w:hAnsi="Arial Narrow"/>
                <w:b/>
                <w:bCs/>
                <w:sz w:val="20"/>
                <w:szCs w:val="20"/>
              </w:rPr>
              <w:t>5.16 (95% CI: 3.74, 7.12</w:t>
            </w:r>
            <w:r w:rsidRPr="0019793B">
              <w:rPr>
                <w:rFonts w:ascii="Arial Narrow" w:hAnsi="Arial Narrow"/>
                <w:sz w:val="20"/>
                <w:szCs w:val="20"/>
              </w:rPr>
              <w:t>)</w:t>
            </w:r>
          </w:p>
          <w:p w:rsidR="00B11CE3" w:rsidRPr="0019793B" w:rsidRDefault="00B11CE3" w:rsidP="00C37B58">
            <w:pPr>
              <w:rPr>
                <w:rFonts w:ascii="Arial Narrow" w:hAnsi="Arial Narrow"/>
                <w:sz w:val="20"/>
                <w:szCs w:val="20"/>
                <w:u w:val="single"/>
              </w:rPr>
            </w:pPr>
            <w:r w:rsidRPr="0019793B">
              <w:rPr>
                <w:rFonts w:ascii="Arial Narrow" w:hAnsi="Arial Narrow"/>
                <w:sz w:val="20"/>
                <w:szCs w:val="20"/>
                <w:u w:val="single"/>
              </w:rPr>
              <w:t>Non-randomised studies</w:t>
            </w:r>
          </w:p>
          <w:p w:rsidR="00B11CE3" w:rsidRPr="0019793B" w:rsidRDefault="00F34FF2" w:rsidP="00C37B58">
            <w:pPr>
              <w:pStyle w:val="ListParagraph"/>
              <w:widowControl/>
              <w:ind w:left="0"/>
              <w:jc w:val="left"/>
              <w:rPr>
                <w:rFonts w:ascii="Arial Narrow" w:hAnsi="Arial Narrow"/>
                <w:sz w:val="20"/>
              </w:rPr>
            </w:pPr>
            <w:r w:rsidRPr="0019793B">
              <w:rPr>
                <w:rFonts w:ascii="Arial Narrow" w:hAnsi="Arial Narrow"/>
                <w:sz w:val="20"/>
              </w:rPr>
              <w:t>Persistence rates at 1 month; 4 </w:t>
            </w:r>
            <w:r w:rsidR="00B11CE3" w:rsidRPr="0019793B">
              <w:rPr>
                <w:rFonts w:ascii="Arial Narrow" w:hAnsi="Arial Narrow"/>
                <w:sz w:val="20"/>
              </w:rPr>
              <w:t>months:</w:t>
            </w:r>
          </w:p>
          <w:tbl>
            <w:tblPr>
              <w:tblStyle w:val="TableGrid"/>
              <w:tblW w:w="2118" w:type="dxa"/>
              <w:jc w:val="center"/>
              <w:tblInd w:w="1846" w:type="dxa"/>
              <w:tblLayout w:type="fixed"/>
              <w:tblCellMar>
                <w:left w:w="28" w:type="dxa"/>
                <w:right w:w="28" w:type="dxa"/>
              </w:tblCellMar>
              <w:tblLook w:val="04A0" w:firstRow="1" w:lastRow="0" w:firstColumn="1" w:lastColumn="0" w:noHBand="0" w:noVBand="1"/>
              <w:tblCaption w:val="Summary of persistence rates"/>
              <w:tblDescription w:val="Summary of persistence rates in U.S. and AU populations for apremilast and cyclosporin."/>
            </w:tblPr>
            <w:tblGrid>
              <w:gridCol w:w="927"/>
              <w:gridCol w:w="1191"/>
            </w:tblGrid>
            <w:tr w:rsidR="00B11CE3" w:rsidRPr="0019793B" w:rsidTr="00494814">
              <w:trPr>
                <w:tblHeader/>
                <w:jc w:val="center"/>
              </w:trPr>
              <w:tc>
                <w:tcPr>
                  <w:tcW w:w="927"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US</w:t>
                  </w:r>
                </w:p>
              </w:tc>
              <w:tc>
                <w:tcPr>
                  <w:tcW w:w="1191"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Apremilast:  </w:t>
                  </w:r>
                  <w:r w:rsidR="00F17FFB">
                    <w:rPr>
                      <w:rFonts w:ascii="Arial Narrow" w:hAnsi="Arial Narrow"/>
                      <w:noProof/>
                      <w:color w:val="000000"/>
                      <w:sz w:val="20"/>
                      <w:szCs w:val="20"/>
                      <w:highlight w:val="black"/>
                    </w:rPr>
                    <w:t>''''''''''</w:t>
                  </w:r>
                  <w:r w:rsidRPr="0019793B">
                    <w:rPr>
                      <w:rFonts w:ascii="Arial Narrow" w:hAnsi="Arial Narrow"/>
                      <w:sz w:val="20"/>
                      <w:szCs w:val="20"/>
                    </w:rPr>
                    <w:t xml:space="preserve">%; </w:t>
                  </w:r>
                  <w:r w:rsidR="00F17FFB">
                    <w:rPr>
                      <w:rFonts w:ascii="Arial Narrow" w:hAnsi="Arial Narrow"/>
                      <w:noProof/>
                      <w:color w:val="000000"/>
                      <w:sz w:val="20"/>
                      <w:szCs w:val="20"/>
                      <w:highlight w:val="black"/>
                    </w:rPr>
                    <w:t>''''''''''''</w:t>
                  </w:r>
                  <w:r w:rsidRPr="0019793B">
                    <w:rPr>
                      <w:rFonts w:ascii="Arial Narrow" w:hAnsi="Arial Narrow"/>
                      <w:sz w:val="20"/>
                      <w:szCs w:val="20"/>
                    </w:rPr>
                    <w:t>%,</w:t>
                  </w:r>
                </w:p>
                <w:p w:rsidR="00B11CE3" w:rsidRPr="0019793B" w:rsidRDefault="00B11CE3" w:rsidP="00494814">
                  <w:pPr>
                    <w:rPr>
                      <w:rFonts w:ascii="Arial Narrow" w:hAnsi="Arial Narrow"/>
                      <w:sz w:val="20"/>
                      <w:szCs w:val="20"/>
                    </w:rPr>
                  </w:pPr>
                  <w:r w:rsidRPr="0019793B">
                    <w:rPr>
                      <w:rFonts w:ascii="Arial Narrow" w:hAnsi="Arial Narrow"/>
                      <w:sz w:val="20"/>
                      <w:szCs w:val="20"/>
                    </w:rPr>
                    <w:t xml:space="preserve">Cyclosporin: </w:t>
                  </w:r>
                  <w:r w:rsidR="00F17FFB">
                    <w:rPr>
                      <w:rFonts w:ascii="Arial Narrow" w:hAnsi="Arial Narrow"/>
                      <w:noProof/>
                      <w:color w:val="000000"/>
                      <w:sz w:val="20"/>
                      <w:szCs w:val="20"/>
                      <w:highlight w:val="black"/>
                    </w:rPr>
                    <w:t>''''''''''</w:t>
                  </w:r>
                  <w:r w:rsidRPr="0019793B">
                    <w:rPr>
                      <w:rFonts w:ascii="Arial Narrow" w:hAnsi="Arial Narrow"/>
                      <w:sz w:val="20"/>
                      <w:szCs w:val="20"/>
                    </w:rPr>
                    <w:t xml:space="preserve">%; </w:t>
                  </w:r>
                  <w:r w:rsidR="00F17FFB">
                    <w:rPr>
                      <w:rFonts w:ascii="Arial Narrow" w:hAnsi="Arial Narrow"/>
                      <w:noProof/>
                      <w:color w:val="000000"/>
                      <w:sz w:val="20"/>
                      <w:szCs w:val="20"/>
                      <w:highlight w:val="black"/>
                    </w:rPr>
                    <w:t>'''''''''''</w:t>
                  </w:r>
                  <w:r w:rsidRPr="0019793B">
                    <w:rPr>
                      <w:rFonts w:ascii="Arial Narrow" w:hAnsi="Arial Narrow"/>
                      <w:sz w:val="20"/>
                      <w:szCs w:val="20"/>
                    </w:rPr>
                    <w:t>%</w:t>
                  </w:r>
                </w:p>
              </w:tc>
            </w:tr>
            <w:tr w:rsidR="00B11CE3" w:rsidRPr="0019793B" w:rsidTr="00494814">
              <w:trPr>
                <w:jc w:val="center"/>
              </w:trPr>
              <w:tc>
                <w:tcPr>
                  <w:tcW w:w="927"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Australian</w:t>
                  </w:r>
                </w:p>
              </w:tc>
              <w:tc>
                <w:tcPr>
                  <w:tcW w:w="1191"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Apremilast: </w:t>
                  </w:r>
                </w:p>
                <w:p w:rsidR="00B11CE3" w:rsidRPr="0019793B" w:rsidRDefault="00F17FFB" w:rsidP="00C37B58">
                  <w:pPr>
                    <w:rPr>
                      <w:rFonts w:ascii="Arial Narrow" w:hAnsi="Arial Narrow"/>
                      <w:sz w:val="20"/>
                      <w:szCs w:val="20"/>
                    </w:rPr>
                  </w:pPr>
                  <w:r>
                    <w:rPr>
                      <w:rFonts w:ascii="Arial Narrow" w:hAnsi="Arial Narrow"/>
                      <w:noProof/>
                      <w:color w:val="000000"/>
                      <w:sz w:val="20"/>
                      <w:szCs w:val="20"/>
                      <w:highlight w:val="black"/>
                    </w:rPr>
                    <w:t>''''''''''</w:t>
                  </w:r>
                  <w:r w:rsidR="00B11CE3" w:rsidRPr="0019793B">
                    <w:rPr>
                      <w:rFonts w:ascii="Arial Narrow" w:hAnsi="Arial Narrow"/>
                      <w:sz w:val="20"/>
                      <w:szCs w:val="20"/>
                    </w:rPr>
                    <w:t xml:space="preserve">%; </w:t>
                  </w:r>
                  <w:r>
                    <w:rPr>
                      <w:rFonts w:ascii="Arial Narrow" w:hAnsi="Arial Narrow"/>
                      <w:noProof/>
                      <w:color w:val="000000"/>
                      <w:sz w:val="20"/>
                      <w:szCs w:val="20"/>
                      <w:highlight w:val="black"/>
                    </w:rPr>
                    <w:t>'''''''''''</w:t>
                  </w:r>
                  <w:r w:rsidR="00B11CE3" w:rsidRPr="0019793B">
                    <w:rPr>
                      <w:rFonts w:ascii="Arial Narrow" w:hAnsi="Arial Narrow"/>
                      <w:sz w:val="20"/>
                      <w:szCs w:val="20"/>
                    </w:rPr>
                    <w:t>% (C1 cohort)</w:t>
                  </w:r>
                </w:p>
                <w:p w:rsidR="00B11CE3" w:rsidRPr="0019793B" w:rsidRDefault="00F17FFB" w:rsidP="00C37B58">
                  <w:pPr>
                    <w:rPr>
                      <w:rFonts w:ascii="Arial Narrow" w:hAnsi="Arial Narrow"/>
                      <w:sz w:val="20"/>
                      <w:szCs w:val="20"/>
                    </w:rPr>
                  </w:pPr>
                  <w:r>
                    <w:rPr>
                      <w:rFonts w:ascii="Arial Narrow" w:hAnsi="Arial Narrow"/>
                      <w:noProof/>
                      <w:color w:val="000000"/>
                      <w:sz w:val="20"/>
                      <w:szCs w:val="20"/>
                      <w:highlight w:val="black"/>
                    </w:rPr>
                    <w:t>''''''''''</w:t>
                  </w:r>
                  <w:r w:rsidR="00B11CE3" w:rsidRPr="0019793B">
                    <w:rPr>
                      <w:rFonts w:ascii="Arial Narrow" w:hAnsi="Arial Narrow"/>
                      <w:sz w:val="20"/>
                      <w:szCs w:val="20"/>
                    </w:rPr>
                    <w:t xml:space="preserve">%; </w:t>
                  </w:r>
                  <w:r>
                    <w:rPr>
                      <w:rFonts w:ascii="Arial Narrow" w:hAnsi="Arial Narrow"/>
                      <w:noProof/>
                      <w:color w:val="000000"/>
                      <w:sz w:val="20"/>
                      <w:szCs w:val="20"/>
                      <w:highlight w:val="black"/>
                    </w:rPr>
                    <w:t>'''''''''''</w:t>
                  </w:r>
                  <w:r w:rsidR="00B11CE3" w:rsidRPr="0019793B">
                    <w:rPr>
                      <w:rFonts w:ascii="Arial Narrow" w:hAnsi="Arial Narrow"/>
                      <w:sz w:val="20"/>
                      <w:szCs w:val="20"/>
                    </w:rPr>
                    <w:t>% (C2 cohort)</w:t>
                  </w:r>
                </w:p>
                <w:p w:rsidR="00B11CE3" w:rsidRPr="0019793B" w:rsidRDefault="00F17FFB" w:rsidP="00C37B58">
                  <w:pPr>
                    <w:rPr>
                      <w:rFonts w:ascii="Arial Narrow" w:hAnsi="Arial Narrow"/>
                      <w:sz w:val="20"/>
                      <w:szCs w:val="20"/>
                    </w:rPr>
                  </w:pPr>
                  <w:r>
                    <w:rPr>
                      <w:rFonts w:ascii="Arial Narrow" w:hAnsi="Arial Narrow"/>
                      <w:noProof/>
                      <w:color w:val="000000"/>
                      <w:sz w:val="20"/>
                      <w:szCs w:val="20"/>
                      <w:highlight w:val="black"/>
                    </w:rPr>
                    <w:t>''''''''''''</w:t>
                  </w:r>
                  <w:r w:rsidR="00B11CE3" w:rsidRPr="0019793B">
                    <w:rPr>
                      <w:rFonts w:ascii="Arial Narrow" w:hAnsi="Arial Narrow"/>
                      <w:sz w:val="20"/>
                      <w:szCs w:val="20"/>
                    </w:rPr>
                    <w:t xml:space="preserve">%; </w:t>
                  </w:r>
                  <w:r>
                    <w:rPr>
                      <w:rFonts w:ascii="Arial Narrow" w:hAnsi="Arial Narrow"/>
                      <w:noProof/>
                      <w:color w:val="000000"/>
                      <w:sz w:val="20"/>
                      <w:szCs w:val="20"/>
                      <w:highlight w:val="black"/>
                    </w:rPr>
                    <w:t>'''''''''''</w:t>
                  </w:r>
                  <w:r w:rsidR="00B11CE3" w:rsidRPr="0019793B">
                    <w:rPr>
                      <w:rFonts w:ascii="Arial Narrow" w:hAnsi="Arial Narrow"/>
                      <w:sz w:val="20"/>
                      <w:szCs w:val="20"/>
                    </w:rPr>
                    <w:t>% (C3 cohort)</w:t>
                  </w:r>
                </w:p>
              </w:tc>
            </w:tr>
            <w:tr w:rsidR="00B11CE3" w:rsidRPr="0019793B" w:rsidTr="00494814">
              <w:trPr>
                <w:jc w:val="center"/>
              </w:trPr>
              <w:tc>
                <w:tcPr>
                  <w:tcW w:w="927"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German</w:t>
                  </w:r>
                </w:p>
              </w:tc>
              <w:tc>
                <w:tcPr>
                  <w:tcW w:w="1191"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Apremilast: </w:t>
                  </w:r>
                  <w:r w:rsidR="00F17FFB">
                    <w:rPr>
                      <w:rFonts w:ascii="Arial Narrow" w:hAnsi="Arial Narrow"/>
                      <w:noProof/>
                      <w:color w:val="000000"/>
                      <w:sz w:val="20"/>
                      <w:szCs w:val="20"/>
                      <w:highlight w:val="black"/>
                    </w:rPr>
                    <w:t>''''''''''</w:t>
                  </w:r>
                  <w:r w:rsidRPr="0019793B">
                    <w:rPr>
                      <w:rFonts w:ascii="Arial Narrow" w:hAnsi="Arial Narrow"/>
                      <w:sz w:val="20"/>
                      <w:szCs w:val="20"/>
                    </w:rPr>
                    <w:t xml:space="preserve">%; </w:t>
                  </w:r>
                  <w:r w:rsidR="00F17FFB">
                    <w:rPr>
                      <w:rFonts w:ascii="Arial Narrow" w:hAnsi="Arial Narrow"/>
                      <w:noProof/>
                      <w:color w:val="000000"/>
                      <w:sz w:val="20"/>
                      <w:szCs w:val="20"/>
                      <w:highlight w:val="black"/>
                    </w:rPr>
                    <w:t>'''''</w:t>
                  </w:r>
                  <w:r w:rsidRPr="0019793B">
                    <w:rPr>
                      <w:rFonts w:ascii="Arial Narrow" w:hAnsi="Arial Narrow"/>
                      <w:sz w:val="20"/>
                      <w:szCs w:val="20"/>
                    </w:rPr>
                    <w:t>%</w:t>
                  </w:r>
                </w:p>
              </w:tc>
            </w:tr>
            <w:tr w:rsidR="00B11CE3" w:rsidRPr="0019793B" w:rsidTr="00494814">
              <w:trPr>
                <w:trHeight w:val="488"/>
                <w:jc w:val="center"/>
              </w:trPr>
              <w:tc>
                <w:tcPr>
                  <w:tcW w:w="927"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Canadian</w:t>
                  </w:r>
                </w:p>
              </w:tc>
              <w:tc>
                <w:tcPr>
                  <w:tcW w:w="1191"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Apremilast</w:t>
                  </w:r>
                  <w:r w:rsidRPr="0019793B">
                    <w:rPr>
                      <w:rFonts w:ascii="Arial Narrow" w:hAnsi="Arial Narrow"/>
                      <w:b/>
                      <w:bCs/>
                      <w:sz w:val="20"/>
                      <w:szCs w:val="20"/>
                    </w:rPr>
                    <w:t xml:space="preserve">: </w:t>
                  </w:r>
                  <w:r w:rsidR="00F17FFB">
                    <w:rPr>
                      <w:rFonts w:ascii="Arial Narrow" w:hAnsi="Arial Narrow"/>
                      <w:iCs/>
                      <w:noProof/>
                      <w:color w:val="000000"/>
                      <w:sz w:val="20"/>
                      <w:szCs w:val="20"/>
                      <w:highlight w:val="black"/>
                    </w:rPr>
                    <w:t>''''''</w:t>
                  </w:r>
                  <w:r w:rsidRPr="0019793B">
                    <w:rPr>
                      <w:rFonts w:ascii="Arial Narrow" w:hAnsi="Arial Narrow"/>
                      <w:bCs/>
                      <w:iCs/>
                      <w:sz w:val="20"/>
                      <w:szCs w:val="20"/>
                    </w:rPr>
                    <w:t xml:space="preserve">%; </w:t>
                  </w:r>
                  <w:r w:rsidR="00F17FFB">
                    <w:rPr>
                      <w:rFonts w:ascii="Arial Narrow" w:hAnsi="Arial Narrow"/>
                      <w:bCs/>
                      <w:iCs/>
                      <w:noProof/>
                      <w:color w:val="000000"/>
                      <w:sz w:val="20"/>
                      <w:szCs w:val="20"/>
                      <w:highlight w:val="black"/>
                    </w:rPr>
                    <w:t>'''''''</w:t>
                  </w:r>
                  <w:r w:rsidRPr="0019793B">
                    <w:rPr>
                      <w:rFonts w:ascii="Arial Narrow" w:hAnsi="Arial Narrow"/>
                      <w:bCs/>
                      <w:iCs/>
                      <w:sz w:val="20"/>
                      <w:szCs w:val="20"/>
                    </w:rPr>
                    <w:t>%</w:t>
                  </w:r>
                </w:p>
              </w:tc>
            </w:tr>
          </w:tbl>
          <w:p w:rsidR="00B11CE3" w:rsidRPr="0019793B" w:rsidRDefault="00B11CE3" w:rsidP="00C37B58">
            <w:pPr>
              <w:pStyle w:val="ListParagraph"/>
              <w:widowControl/>
              <w:ind w:left="0"/>
              <w:jc w:val="left"/>
              <w:rPr>
                <w:rFonts w:ascii="Arial Narrow" w:hAnsi="Arial Narrow"/>
                <w:sz w:val="20"/>
              </w:rPr>
            </w:pPr>
          </w:p>
        </w:tc>
        <w:tc>
          <w:tcPr>
            <w:tcW w:w="2357" w:type="dxa"/>
          </w:tcPr>
          <w:p w:rsidR="00B11CE3" w:rsidRPr="0019793B" w:rsidRDefault="001D2F07" w:rsidP="00C37B58">
            <w:pPr>
              <w:rPr>
                <w:rFonts w:ascii="Arial Narrow" w:hAnsi="Arial Narrow"/>
                <w:sz w:val="20"/>
                <w:szCs w:val="20"/>
              </w:rPr>
            </w:pPr>
            <w:r w:rsidRPr="0019793B">
              <w:rPr>
                <w:rFonts w:ascii="Arial Narrow" w:hAnsi="Arial Narrow"/>
                <w:sz w:val="20"/>
                <w:szCs w:val="20"/>
              </w:rPr>
              <w:t>No additional clinical evidence prese</w:t>
            </w:r>
            <w:bookmarkStart w:id="1" w:name="_GoBack"/>
            <w:bookmarkEnd w:id="1"/>
            <w:r w:rsidRPr="0019793B">
              <w:rPr>
                <w:rFonts w:ascii="Arial Narrow" w:hAnsi="Arial Narrow"/>
                <w:sz w:val="20"/>
                <w:szCs w:val="20"/>
              </w:rPr>
              <w:t>nted.</w:t>
            </w:r>
          </w:p>
        </w:tc>
      </w:tr>
      <w:tr w:rsidR="00B11CE3" w:rsidRPr="0019793B" w:rsidTr="00494814">
        <w:trPr>
          <w:cantSplit/>
          <w:trHeight w:val="860"/>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Clinical claim</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Apremilast is non-inferior in terms of comparative effectiveness and superior in terms of safety over cyclosporin. </w:t>
            </w:r>
          </w:p>
          <w:p w:rsidR="00B11CE3" w:rsidRPr="0019793B" w:rsidRDefault="00B11CE3"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(paragraphs 7.4, 7.5) In the absence of a formal indirect comparison between apremilast and cyclosporin in terms of comparative harms and the absence of long-term comparative safety data for apremilast, the PBAC did not consider the submission’s claim of superior safety to have been adequately supported.</w:t>
            </w:r>
          </w:p>
          <w:p w:rsidR="00B11CE3" w:rsidRPr="0019793B" w:rsidRDefault="00B11CE3" w:rsidP="00C37B58">
            <w:pPr>
              <w:rPr>
                <w:rFonts w:ascii="Arial Narrow" w:hAnsi="Arial Narrow"/>
                <w:sz w:val="20"/>
                <w:szCs w:val="20"/>
              </w:rPr>
            </w:pPr>
            <w:r w:rsidRPr="0019793B">
              <w:rPr>
                <w:rFonts w:ascii="Arial Narrow" w:hAnsi="Arial Narrow"/>
                <w:sz w:val="20"/>
                <w:szCs w:val="20"/>
              </w:rPr>
              <w:t>Non-inferiority in terms of comparative effectiveness was not established.</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Apremilast is superior in terms of comparative effectiveness and superior in terms of comparative safety over cyclosporin, based on the real-world comparative claims data from the US.</w:t>
            </w:r>
          </w:p>
          <w:p w:rsidR="001D2F07" w:rsidRPr="0019793B" w:rsidRDefault="001D2F07"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7.7)</w:t>
            </w:r>
            <w:r w:rsidRPr="0019793B">
              <w:rPr>
                <w:sz w:val="20"/>
                <w:szCs w:val="20"/>
              </w:rPr>
              <w:t xml:space="preserve"> </w:t>
            </w:r>
            <w:r w:rsidRPr="0019793B">
              <w:rPr>
                <w:rFonts w:ascii="Arial Narrow" w:hAnsi="Arial Narrow"/>
                <w:sz w:val="20"/>
                <w:szCs w:val="20"/>
              </w:rPr>
              <w:t>non-randomised persistence data was relevant supportive information, but it was an insufficient basis to support the claim of superiority in comparative effectiveness or safety.</w:t>
            </w:r>
          </w:p>
          <w:p w:rsidR="001D2F07" w:rsidRPr="0019793B" w:rsidRDefault="001D2F07" w:rsidP="00C37B58">
            <w:pPr>
              <w:rPr>
                <w:rFonts w:ascii="Arial Narrow" w:hAnsi="Arial Narrow"/>
                <w:sz w:val="20"/>
                <w:szCs w:val="20"/>
              </w:rPr>
            </w:pPr>
          </w:p>
        </w:tc>
        <w:tc>
          <w:tcPr>
            <w:tcW w:w="2357" w:type="dxa"/>
          </w:tcPr>
          <w:p w:rsidR="00B11CE3" w:rsidRPr="0019793B" w:rsidRDefault="001D2F07" w:rsidP="00C37B58">
            <w:pPr>
              <w:rPr>
                <w:rFonts w:ascii="Arial Narrow" w:hAnsi="Arial Narrow"/>
                <w:sz w:val="20"/>
                <w:szCs w:val="20"/>
              </w:rPr>
            </w:pPr>
            <w:r w:rsidRPr="0019793B">
              <w:rPr>
                <w:rFonts w:ascii="Arial Narrow" w:hAnsi="Arial Narrow"/>
                <w:sz w:val="20"/>
                <w:szCs w:val="20"/>
              </w:rPr>
              <w:t>Not addressed.</w:t>
            </w:r>
          </w:p>
        </w:tc>
      </w:tr>
      <w:tr w:rsidR="00B11CE3" w:rsidRPr="0019793B" w:rsidTr="00494814">
        <w:trPr>
          <w:cantSplit/>
          <w:trHeight w:val="860"/>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Economic evaluation</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Assumption that apremilast will </w:t>
            </w:r>
            <w:r w:rsidRPr="0019793B">
              <w:rPr>
                <w:rFonts w:ascii="Arial Narrow" w:hAnsi="Arial Narrow"/>
                <w:sz w:val="20"/>
                <w:szCs w:val="20"/>
                <w:u w:val="single"/>
              </w:rPr>
              <w:t>extend the period of time patients would be treated with systemic therapies</w:t>
            </w:r>
            <w:r w:rsidRPr="0019793B">
              <w:rPr>
                <w:rFonts w:ascii="Arial Narrow" w:hAnsi="Arial Narrow"/>
                <w:sz w:val="20"/>
                <w:szCs w:val="20"/>
              </w:rPr>
              <w:t xml:space="preserve"> for psoriasis, but this was deemed to be uninformative.</w:t>
            </w:r>
          </w:p>
        </w:tc>
        <w:tc>
          <w:tcPr>
            <w:tcW w:w="2356" w:type="dxa"/>
            <w:vAlign w:val="center"/>
          </w:tcPr>
          <w:p w:rsidR="00B11CE3" w:rsidRPr="0019793B" w:rsidRDefault="00B11CE3" w:rsidP="00C37B58">
            <w:pPr>
              <w:rPr>
                <w:rFonts w:ascii="Arial Narrow" w:hAnsi="Arial Narrow"/>
                <w:b/>
                <w:iCs/>
                <w:sz w:val="20"/>
                <w:szCs w:val="20"/>
              </w:rPr>
            </w:pPr>
            <w:r w:rsidRPr="0019793B">
              <w:rPr>
                <w:rFonts w:ascii="Arial Narrow" w:hAnsi="Arial Narrow"/>
                <w:sz w:val="20"/>
                <w:szCs w:val="20"/>
              </w:rPr>
              <w:t>Cost-utility model of apremilast versus cyclosporin with cost/QALY $</w:t>
            </w:r>
            <w:r w:rsidR="005D5FEB">
              <w:rPr>
                <w:rFonts w:ascii="Arial Narrow" w:hAnsi="Arial Narrow"/>
                <w:iCs/>
                <w:sz w:val="20"/>
                <w:szCs w:val="20"/>
              </w:rPr>
              <w:t>15,000 - $45,000</w:t>
            </w:r>
            <w:r w:rsidRPr="0019793B">
              <w:rPr>
                <w:rFonts w:ascii="Arial Narrow" w:hAnsi="Arial Narrow"/>
                <w:iCs/>
                <w:sz w:val="20"/>
                <w:szCs w:val="20"/>
              </w:rPr>
              <w:t>.</w:t>
            </w:r>
            <w:r w:rsidRPr="0019793B">
              <w:rPr>
                <w:rFonts w:ascii="Arial Narrow" w:hAnsi="Arial Narrow"/>
                <w:b/>
                <w:iCs/>
                <w:sz w:val="20"/>
                <w:szCs w:val="20"/>
              </w:rPr>
              <w:t xml:space="preserve"> </w:t>
            </w:r>
          </w:p>
          <w:p w:rsidR="00B11CE3" w:rsidRPr="0019793B" w:rsidRDefault="00B11CE3" w:rsidP="00C37B58">
            <w:pPr>
              <w:rPr>
                <w:rFonts w:ascii="Arial Narrow" w:hAnsi="Arial Narrow"/>
                <w:sz w:val="20"/>
                <w:szCs w:val="20"/>
              </w:rPr>
            </w:pPr>
            <w:r w:rsidRPr="0019793B">
              <w:rPr>
                <w:rFonts w:ascii="Arial Narrow" w:hAnsi="Arial Narrow"/>
                <w:sz w:val="20"/>
                <w:szCs w:val="20"/>
              </w:rPr>
              <w:t xml:space="preserve">Based on persistence rates from the </w:t>
            </w:r>
            <w:r w:rsidRPr="0019793B">
              <w:rPr>
                <w:rFonts w:ascii="Arial Narrow" w:hAnsi="Arial Narrow"/>
                <w:sz w:val="20"/>
                <w:szCs w:val="20"/>
                <w:u w:val="single"/>
              </w:rPr>
              <w:t>non-randomised</w:t>
            </w:r>
            <w:r w:rsidRPr="0019793B">
              <w:rPr>
                <w:rFonts w:ascii="Arial Narrow" w:hAnsi="Arial Narrow"/>
                <w:sz w:val="20"/>
                <w:szCs w:val="20"/>
              </w:rPr>
              <w:t xml:space="preserve"> US comparative data.</w:t>
            </w:r>
          </w:p>
          <w:p w:rsidR="001D2F07" w:rsidRPr="0019793B" w:rsidRDefault="001D2F07" w:rsidP="00C37B58">
            <w:pPr>
              <w:rPr>
                <w:rFonts w:ascii="Arial Narrow" w:hAnsi="Arial Narrow"/>
                <w:iCs/>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7.8) Given that the economic model used non-randomised persistence data as an unsubstantiated proxy for the comparative effectiveness and safety of apremilast and cyclosporin, the PBAC considered the model to be uninformative for decision making. </w:t>
            </w:r>
            <w:r w:rsidR="00EC5B37" w:rsidRPr="0019793B">
              <w:rPr>
                <w:rFonts w:ascii="Arial Narrow" w:hAnsi="Arial Narrow"/>
                <w:sz w:val="20"/>
                <w:szCs w:val="20"/>
              </w:rPr>
              <w:t>In addition, the PBAC considered the ICER was uncertain and unacceptably high when the effective prices of the biologics were used in the model.</w:t>
            </w:r>
          </w:p>
        </w:tc>
        <w:tc>
          <w:tcPr>
            <w:tcW w:w="2357" w:type="dxa"/>
          </w:tcPr>
          <w:p w:rsidR="00B11CE3" w:rsidRPr="0019793B" w:rsidRDefault="00650632" w:rsidP="00C37B58">
            <w:pPr>
              <w:rPr>
                <w:rFonts w:ascii="Arial Narrow" w:hAnsi="Arial Narrow"/>
                <w:sz w:val="20"/>
                <w:szCs w:val="20"/>
              </w:rPr>
            </w:pPr>
            <w:r w:rsidRPr="0019793B">
              <w:rPr>
                <w:rFonts w:ascii="Arial Narrow" w:hAnsi="Arial Narrow"/>
                <w:sz w:val="20"/>
                <w:szCs w:val="20"/>
              </w:rPr>
              <w:t>Not addressed.</w:t>
            </w:r>
          </w:p>
        </w:tc>
      </w:tr>
      <w:tr w:rsidR="00EC5B37" w:rsidRPr="0019793B" w:rsidTr="00494814">
        <w:trPr>
          <w:cantSplit/>
          <w:trHeight w:val="1084"/>
        </w:trPr>
        <w:tc>
          <w:tcPr>
            <w:tcW w:w="1276" w:type="dxa"/>
          </w:tcPr>
          <w:p w:rsidR="00EC5B37" w:rsidRPr="0019793B" w:rsidRDefault="00EC5B37" w:rsidP="00C37B58">
            <w:pPr>
              <w:rPr>
                <w:rFonts w:ascii="Arial Narrow" w:hAnsi="Arial Narrow"/>
                <w:sz w:val="20"/>
                <w:szCs w:val="20"/>
              </w:rPr>
            </w:pPr>
            <w:r w:rsidRPr="0019793B">
              <w:rPr>
                <w:rFonts w:ascii="Arial Narrow" w:hAnsi="Arial Narrow"/>
                <w:sz w:val="20"/>
                <w:szCs w:val="20"/>
              </w:rPr>
              <w:t>Number of patients</w:t>
            </w:r>
          </w:p>
        </w:tc>
        <w:tc>
          <w:tcPr>
            <w:tcW w:w="2356" w:type="dxa"/>
          </w:tcPr>
          <w:p w:rsidR="00EC5B37" w:rsidRPr="0019793B" w:rsidRDefault="00006BA9" w:rsidP="005D5FEB">
            <w:pPr>
              <w:rPr>
                <w:rFonts w:ascii="Arial Narrow" w:hAnsi="Arial Narrow"/>
                <w:sz w:val="20"/>
                <w:szCs w:val="20"/>
              </w:rPr>
            </w:pPr>
            <w:r w:rsidRPr="0019793B">
              <w:rPr>
                <w:rFonts w:ascii="Arial Narrow" w:hAnsi="Arial Narrow"/>
                <w:sz w:val="20"/>
                <w:szCs w:val="20"/>
              </w:rPr>
              <w:t xml:space="preserve">Expansion of the treatment sequence for plaque psoriasis: </w:t>
            </w:r>
            <w:r w:rsidR="005D5FEB">
              <w:rPr>
                <w:rFonts w:ascii="Arial Narrow" w:hAnsi="Arial Narrow"/>
                <w:sz w:val="20"/>
                <w:szCs w:val="20"/>
              </w:rPr>
              <w:t>less than 10,000</w:t>
            </w:r>
            <w:r w:rsidR="00EC5B37" w:rsidRPr="0019793B">
              <w:rPr>
                <w:rFonts w:ascii="Arial Narrow" w:hAnsi="Arial Narrow"/>
                <w:sz w:val="20"/>
                <w:szCs w:val="20"/>
              </w:rPr>
              <w:t xml:space="preserve"> in Year 1, increasing to </w:t>
            </w:r>
            <w:r w:rsidR="005D5FEB" w:rsidRPr="005D5FEB">
              <w:rPr>
                <w:rFonts w:ascii="Arial Narrow" w:hAnsi="Arial Narrow"/>
                <w:sz w:val="20"/>
                <w:szCs w:val="20"/>
              </w:rPr>
              <w:t>less than 10,000</w:t>
            </w:r>
            <w:r w:rsidR="00EC5B37" w:rsidRPr="0019793B">
              <w:rPr>
                <w:rFonts w:ascii="Arial Narrow" w:hAnsi="Arial Narrow"/>
                <w:sz w:val="20"/>
                <w:szCs w:val="20"/>
              </w:rPr>
              <w:t>in Year 5.</w:t>
            </w:r>
          </w:p>
        </w:tc>
        <w:tc>
          <w:tcPr>
            <w:tcW w:w="2356" w:type="dxa"/>
          </w:tcPr>
          <w:p w:rsidR="00EC5B37" w:rsidRPr="0019793B" w:rsidRDefault="00463AFD" w:rsidP="00C37B58">
            <w:pPr>
              <w:rPr>
                <w:rFonts w:ascii="Arial Narrow" w:hAnsi="Arial Narrow"/>
                <w:sz w:val="20"/>
                <w:szCs w:val="20"/>
              </w:rPr>
            </w:pPr>
            <w:r w:rsidRPr="0019793B">
              <w:rPr>
                <w:rFonts w:ascii="Arial Narrow" w:hAnsi="Arial Narrow"/>
                <w:sz w:val="20"/>
                <w:szCs w:val="20"/>
              </w:rPr>
              <w:t xml:space="preserve">Combined epidemiological and market share approach: </w:t>
            </w:r>
            <w:r w:rsidR="005D5FEB">
              <w:rPr>
                <w:rFonts w:ascii="Arial Narrow" w:hAnsi="Arial Narrow"/>
                <w:sz w:val="20"/>
                <w:szCs w:val="20"/>
              </w:rPr>
              <w:t>less than 10,000</w:t>
            </w:r>
            <w:r w:rsidR="00446806" w:rsidRPr="0019793B">
              <w:rPr>
                <w:rFonts w:ascii="Arial Narrow" w:hAnsi="Arial Narrow"/>
                <w:sz w:val="20"/>
                <w:szCs w:val="20"/>
              </w:rPr>
              <w:t xml:space="preserve">in Year 1, </w:t>
            </w:r>
            <w:r w:rsidR="00650632" w:rsidRPr="0019793B">
              <w:rPr>
                <w:rFonts w:ascii="Arial Narrow" w:hAnsi="Arial Narrow"/>
                <w:sz w:val="20"/>
                <w:szCs w:val="20"/>
              </w:rPr>
              <w:t>decreasing</w:t>
            </w:r>
            <w:r w:rsidR="00706177" w:rsidRPr="0019793B">
              <w:rPr>
                <w:rFonts w:ascii="Arial Narrow" w:hAnsi="Arial Narrow"/>
                <w:sz w:val="20"/>
                <w:szCs w:val="20"/>
              </w:rPr>
              <w:t xml:space="preserve"> to </w:t>
            </w:r>
            <w:r w:rsidR="005D5FEB">
              <w:rPr>
                <w:rFonts w:ascii="Arial Narrow" w:hAnsi="Arial Narrow"/>
                <w:sz w:val="20"/>
                <w:szCs w:val="20"/>
              </w:rPr>
              <w:t>less than 10,000</w:t>
            </w:r>
            <w:r w:rsidR="00706177" w:rsidRPr="0019793B">
              <w:rPr>
                <w:rFonts w:ascii="Arial Narrow" w:hAnsi="Arial Narrow"/>
                <w:sz w:val="20"/>
                <w:szCs w:val="20"/>
              </w:rPr>
              <w:t>in Year </w:t>
            </w:r>
            <w:r w:rsidR="00446806" w:rsidRPr="0019793B">
              <w:rPr>
                <w:rFonts w:ascii="Arial Narrow" w:hAnsi="Arial Narrow"/>
                <w:sz w:val="20"/>
                <w:szCs w:val="20"/>
              </w:rPr>
              <w:t>5.</w:t>
            </w:r>
          </w:p>
        </w:tc>
        <w:tc>
          <w:tcPr>
            <w:tcW w:w="2357" w:type="dxa"/>
          </w:tcPr>
          <w:p w:rsidR="00EC5B37" w:rsidRPr="0019793B" w:rsidRDefault="00463AFD" w:rsidP="00C37B58">
            <w:pPr>
              <w:rPr>
                <w:rFonts w:ascii="Arial Narrow" w:hAnsi="Arial Narrow"/>
                <w:sz w:val="20"/>
                <w:szCs w:val="20"/>
              </w:rPr>
            </w:pPr>
            <w:r w:rsidRPr="0019793B">
              <w:rPr>
                <w:rFonts w:ascii="Arial Narrow" w:hAnsi="Arial Narrow"/>
                <w:sz w:val="20"/>
                <w:szCs w:val="20"/>
              </w:rPr>
              <w:t xml:space="preserve">Market share approach: </w:t>
            </w:r>
            <w:r w:rsidR="005D5FEB">
              <w:rPr>
                <w:rFonts w:ascii="Arial Narrow" w:hAnsi="Arial Narrow"/>
                <w:sz w:val="20"/>
                <w:szCs w:val="20"/>
              </w:rPr>
              <w:t>less than 10,000</w:t>
            </w:r>
            <w:r w:rsidR="00446806" w:rsidRPr="0019793B">
              <w:rPr>
                <w:rFonts w:ascii="Arial Narrow" w:hAnsi="Arial Narrow"/>
                <w:sz w:val="20"/>
                <w:szCs w:val="20"/>
              </w:rPr>
              <w:t xml:space="preserve">in Year </w:t>
            </w:r>
            <w:r w:rsidR="00706177" w:rsidRPr="0019793B">
              <w:rPr>
                <w:rFonts w:ascii="Arial Narrow" w:hAnsi="Arial Narrow"/>
                <w:sz w:val="20"/>
                <w:szCs w:val="20"/>
              </w:rPr>
              <w:t xml:space="preserve">1, increasing to </w:t>
            </w:r>
            <w:r w:rsidR="005D5FEB" w:rsidRPr="005D5FEB">
              <w:rPr>
                <w:rFonts w:ascii="Arial Narrow" w:hAnsi="Arial Narrow"/>
                <w:sz w:val="20"/>
                <w:szCs w:val="20"/>
              </w:rPr>
              <w:t xml:space="preserve">10,000 – 50,000 </w:t>
            </w:r>
            <w:r w:rsidR="00706177" w:rsidRPr="0019793B">
              <w:rPr>
                <w:rFonts w:ascii="Arial Narrow" w:hAnsi="Arial Narrow"/>
                <w:sz w:val="20"/>
                <w:szCs w:val="20"/>
              </w:rPr>
              <w:t>in Year </w:t>
            </w:r>
            <w:r w:rsidR="00446806" w:rsidRPr="0019793B">
              <w:rPr>
                <w:rFonts w:ascii="Arial Narrow" w:hAnsi="Arial Narrow"/>
                <w:sz w:val="20"/>
                <w:szCs w:val="20"/>
              </w:rPr>
              <w:t>5.</w:t>
            </w:r>
          </w:p>
        </w:tc>
      </w:tr>
      <w:tr w:rsidR="00B11CE3" w:rsidRPr="0019793B" w:rsidTr="00494814">
        <w:trPr>
          <w:cantSplit/>
          <w:trHeight w:val="416"/>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Estimated net cost to PBS</w:t>
            </w:r>
          </w:p>
        </w:tc>
        <w:tc>
          <w:tcPr>
            <w:tcW w:w="2356" w:type="dxa"/>
          </w:tcPr>
          <w:p w:rsidR="00B11CE3" w:rsidRPr="0019793B" w:rsidRDefault="005D5FEB" w:rsidP="005D5FEB">
            <w:pPr>
              <w:rPr>
                <w:rFonts w:ascii="Arial Narrow" w:hAnsi="Arial Narrow"/>
                <w:sz w:val="20"/>
                <w:szCs w:val="20"/>
              </w:rPr>
            </w:pPr>
            <w:r>
              <w:rPr>
                <w:rFonts w:ascii="Arial Narrow" w:hAnsi="Arial Narrow"/>
                <w:sz w:val="20"/>
                <w:szCs w:val="20"/>
              </w:rPr>
              <w:t>Less than $10</w:t>
            </w:r>
            <w:r w:rsidR="00EC5B37" w:rsidRPr="0019793B">
              <w:rPr>
                <w:rFonts w:ascii="Arial Narrow" w:hAnsi="Arial Narrow"/>
                <w:sz w:val="20"/>
                <w:szCs w:val="20"/>
              </w:rPr>
              <w:t xml:space="preserve"> million</w:t>
            </w:r>
            <w:r w:rsidR="00B11CE3" w:rsidRPr="0019793B">
              <w:rPr>
                <w:rFonts w:ascii="Arial Narrow" w:hAnsi="Arial Narrow"/>
                <w:sz w:val="20"/>
                <w:szCs w:val="20"/>
              </w:rPr>
              <w:t xml:space="preserve"> in Year 1 increasing to $</w:t>
            </w:r>
            <w:r>
              <w:rPr>
                <w:rFonts w:ascii="Arial Narrow" w:hAnsi="Arial Narrow"/>
                <w:sz w:val="20"/>
                <w:szCs w:val="20"/>
              </w:rPr>
              <w:t>30 -$60</w:t>
            </w:r>
            <w:r w:rsidR="00EC5B37" w:rsidRPr="0019793B">
              <w:rPr>
                <w:rFonts w:ascii="Arial Narrow" w:hAnsi="Arial Narrow"/>
                <w:sz w:val="20"/>
                <w:szCs w:val="20"/>
              </w:rPr>
              <w:t xml:space="preserve"> million</w:t>
            </w:r>
            <w:r w:rsidR="00B11CE3" w:rsidRPr="0019793B">
              <w:rPr>
                <w:rFonts w:ascii="Arial Narrow" w:hAnsi="Arial Narrow"/>
                <w:sz w:val="20"/>
                <w:szCs w:val="20"/>
              </w:rPr>
              <w:t xml:space="preserve"> in Year 5 for a total of </w:t>
            </w:r>
            <w:r>
              <w:rPr>
                <w:rFonts w:ascii="Arial Narrow" w:hAnsi="Arial Narrow"/>
                <w:sz w:val="20"/>
                <w:szCs w:val="20"/>
              </w:rPr>
              <w:t>more than $100</w:t>
            </w:r>
            <w:r w:rsidR="00EC5B37" w:rsidRPr="0019793B">
              <w:rPr>
                <w:rFonts w:ascii="Arial Narrow" w:hAnsi="Arial Narrow"/>
                <w:sz w:val="20"/>
                <w:szCs w:val="20"/>
              </w:rPr>
              <w:t xml:space="preserve"> million</w:t>
            </w:r>
            <w:r w:rsidR="00B11CE3" w:rsidRPr="0019793B">
              <w:rPr>
                <w:rFonts w:ascii="Arial Narrow" w:hAnsi="Arial Narrow"/>
                <w:sz w:val="20"/>
                <w:szCs w:val="20"/>
              </w:rPr>
              <w:t xml:space="preserve"> over the first 5 years of listing.</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t>$</w:t>
            </w:r>
            <w:r w:rsidR="005D5FEB">
              <w:rPr>
                <w:rFonts w:ascii="Arial Narrow" w:hAnsi="Arial Narrow"/>
                <w:sz w:val="20"/>
                <w:szCs w:val="20"/>
              </w:rPr>
              <w:t>30</w:t>
            </w:r>
            <w:r w:rsidR="00ED7FF4">
              <w:rPr>
                <w:rFonts w:ascii="Arial Narrow" w:hAnsi="Arial Narrow"/>
                <w:sz w:val="20"/>
                <w:szCs w:val="20"/>
              </w:rPr>
              <w:t xml:space="preserve"> </w:t>
            </w:r>
            <w:r w:rsidR="005D5FEB">
              <w:rPr>
                <w:rFonts w:ascii="Arial Narrow" w:hAnsi="Arial Narrow"/>
                <w:sz w:val="20"/>
                <w:szCs w:val="20"/>
              </w:rPr>
              <w:t>-</w:t>
            </w:r>
            <w:r w:rsidR="00ED7FF4">
              <w:rPr>
                <w:rFonts w:ascii="Arial Narrow" w:hAnsi="Arial Narrow"/>
                <w:sz w:val="20"/>
                <w:szCs w:val="20"/>
              </w:rPr>
              <w:t xml:space="preserve"> </w:t>
            </w:r>
            <w:r w:rsidR="005D5FEB">
              <w:rPr>
                <w:rFonts w:ascii="Arial Narrow" w:hAnsi="Arial Narrow"/>
                <w:sz w:val="20"/>
                <w:szCs w:val="20"/>
              </w:rPr>
              <w:t>$60</w:t>
            </w:r>
            <w:r w:rsidR="00EC5B37" w:rsidRPr="0019793B">
              <w:rPr>
                <w:rFonts w:ascii="Arial Narrow" w:hAnsi="Arial Narrow"/>
                <w:sz w:val="20"/>
                <w:szCs w:val="20"/>
              </w:rPr>
              <w:t xml:space="preserve"> million</w:t>
            </w:r>
            <w:r w:rsidRPr="0019793B">
              <w:rPr>
                <w:rFonts w:ascii="Arial Narrow" w:hAnsi="Arial Narrow"/>
                <w:sz w:val="20"/>
                <w:szCs w:val="20"/>
              </w:rPr>
              <w:t xml:space="preserve"> in Year 1 increasing to </w:t>
            </w:r>
            <w:r w:rsidR="005D5FEB">
              <w:rPr>
                <w:rFonts w:ascii="Arial Narrow" w:hAnsi="Arial Narrow"/>
                <w:sz w:val="20"/>
                <w:szCs w:val="20"/>
              </w:rPr>
              <w:t>more than $100</w:t>
            </w:r>
            <w:r w:rsidR="00EC5B37" w:rsidRPr="0019793B">
              <w:rPr>
                <w:rFonts w:ascii="Arial Narrow" w:hAnsi="Arial Narrow"/>
                <w:iCs/>
                <w:sz w:val="20"/>
                <w:szCs w:val="20"/>
              </w:rPr>
              <w:t xml:space="preserve"> million</w:t>
            </w:r>
            <w:r w:rsidRPr="0019793B">
              <w:rPr>
                <w:rFonts w:ascii="Arial Narrow" w:hAnsi="Arial Narrow"/>
                <w:sz w:val="20"/>
                <w:szCs w:val="20"/>
              </w:rPr>
              <w:t xml:space="preserve"> in Year 5 for a total of </w:t>
            </w:r>
            <w:r w:rsidR="005D5FEB">
              <w:rPr>
                <w:rFonts w:ascii="Arial Narrow" w:hAnsi="Arial Narrow"/>
                <w:sz w:val="20"/>
                <w:szCs w:val="20"/>
              </w:rPr>
              <w:t>more than $100</w:t>
            </w:r>
            <w:r w:rsidR="005D5FEB" w:rsidRPr="0019793B">
              <w:rPr>
                <w:rFonts w:ascii="Arial Narrow" w:hAnsi="Arial Narrow"/>
                <w:iCs/>
                <w:sz w:val="20"/>
                <w:szCs w:val="20"/>
              </w:rPr>
              <w:t xml:space="preserve"> </w:t>
            </w:r>
            <w:r w:rsidR="00EC5B37" w:rsidRPr="0019793B">
              <w:rPr>
                <w:rFonts w:ascii="Arial Narrow" w:hAnsi="Arial Narrow"/>
                <w:iCs/>
                <w:sz w:val="20"/>
                <w:szCs w:val="20"/>
              </w:rPr>
              <w:t>million</w:t>
            </w:r>
            <w:r w:rsidRPr="0019793B">
              <w:rPr>
                <w:rFonts w:ascii="Arial Narrow" w:hAnsi="Arial Narrow"/>
                <w:sz w:val="20"/>
                <w:szCs w:val="20"/>
              </w:rPr>
              <w:t xml:space="preserve"> over the first 5 years of listing.</w:t>
            </w:r>
          </w:p>
          <w:p w:rsidR="00446806" w:rsidRPr="0019793B" w:rsidRDefault="00446806"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7.9) The PBAC noted the substantial opportunity cost of listing apremilast for moderate to severe plaque psoriasis, particularly in the context of the uncertain treatment benefit over other systemic therapies. Furthermore, the PBAC agreed with the DUSC that the utilisation estimates were likely to be underestimated</w:t>
            </w:r>
            <w:r w:rsidR="00650632" w:rsidRPr="0019793B">
              <w:rPr>
                <w:rFonts w:ascii="Arial Narrow" w:hAnsi="Arial Narrow"/>
                <w:sz w:val="20"/>
                <w:szCs w:val="20"/>
              </w:rPr>
              <w:t>.</w:t>
            </w:r>
          </w:p>
        </w:tc>
        <w:tc>
          <w:tcPr>
            <w:tcW w:w="2357" w:type="dxa"/>
          </w:tcPr>
          <w:p w:rsidR="00B11CE3" w:rsidRPr="0019793B" w:rsidRDefault="00EC5B37" w:rsidP="00ED7FF4">
            <w:pPr>
              <w:rPr>
                <w:rFonts w:ascii="Arial Narrow" w:hAnsi="Arial Narrow"/>
                <w:sz w:val="20"/>
                <w:szCs w:val="20"/>
              </w:rPr>
            </w:pPr>
            <w:r w:rsidRPr="0019793B">
              <w:rPr>
                <w:rFonts w:ascii="Arial Narrow" w:hAnsi="Arial Narrow"/>
                <w:sz w:val="20"/>
                <w:szCs w:val="20"/>
              </w:rPr>
              <w:t>$</w:t>
            </w:r>
            <w:r w:rsidR="00ED7FF4">
              <w:rPr>
                <w:rFonts w:ascii="Arial Narrow" w:hAnsi="Arial Narrow"/>
                <w:sz w:val="20"/>
                <w:szCs w:val="20"/>
              </w:rPr>
              <w:t>10 - $20</w:t>
            </w:r>
            <w:r w:rsidRPr="0019793B">
              <w:rPr>
                <w:rFonts w:ascii="Arial Narrow" w:hAnsi="Arial Narrow"/>
                <w:sz w:val="20"/>
                <w:szCs w:val="20"/>
              </w:rPr>
              <w:t xml:space="preserve"> million in Year 1 increasing to $</w:t>
            </w:r>
            <w:r w:rsidR="00ED7FF4">
              <w:rPr>
                <w:rFonts w:ascii="Arial Narrow" w:hAnsi="Arial Narrow"/>
                <w:sz w:val="20"/>
                <w:szCs w:val="20"/>
              </w:rPr>
              <w:t>60 - $100</w:t>
            </w:r>
            <w:r w:rsidRPr="0019793B">
              <w:rPr>
                <w:rFonts w:ascii="Arial Narrow" w:hAnsi="Arial Narrow"/>
                <w:sz w:val="20"/>
                <w:szCs w:val="20"/>
              </w:rPr>
              <w:t xml:space="preserve"> million in Year 5 for a total of </w:t>
            </w:r>
            <w:r w:rsidR="00ED7FF4">
              <w:rPr>
                <w:rFonts w:ascii="Arial Narrow" w:hAnsi="Arial Narrow"/>
                <w:sz w:val="20"/>
                <w:szCs w:val="20"/>
              </w:rPr>
              <w:t>more than $100</w:t>
            </w:r>
            <w:r w:rsidR="00ED7FF4" w:rsidRPr="0019793B">
              <w:rPr>
                <w:rFonts w:ascii="Arial Narrow" w:hAnsi="Arial Narrow"/>
                <w:iCs/>
                <w:sz w:val="20"/>
                <w:szCs w:val="20"/>
              </w:rPr>
              <w:t xml:space="preserve"> </w:t>
            </w:r>
            <w:r w:rsidRPr="0019793B">
              <w:rPr>
                <w:rFonts w:ascii="Arial Narrow" w:hAnsi="Arial Narrow"/>
                <w:sz w:val="20"/>
                <w:szCs w:val="20"/>
              </w:rPr>
              <w:t>million ove</w:t>
            </w:r>
            <w:r w:rsidR="000555D4" w:rsidRPr="0019793B">
              <w:rPr>
                <w:rFonts w:ascii="Arial Narrow" w:hAnsi="Arial Narrow"/>
                <w:sz w:val="20"/>
                <w:szCs w:val="20"/>
              </w:rPr>
              <w:t>r the first 5 years of listing.</w:t>
            </w:r>
          </w:p>
        </w:tc>
      </w:tr>
      <w:tr w:rsidR="00EC5B37" w:rsidRPr="0019793B" w:rsidTr="00494814">
        <w:trPr>
          <w:cantSplit/>
          <w:trHeight w:val="416"/>
        </w:trPr>
        <w:tc>
          <w:tcPr>
            <w:tcW w:w="1276" w:type="dxa"/>
          </w:tcPr>
          <w:p w:rsidR="00EC5B37" w:rsidRPr="0019793B" w:rsidRDefault="00EC5B37" w:rsidP="00C37B58">
            <w:pPr>
              <w:rPr>
                <w:rFonts w:ascii="Arial Narrow" w:hAnsi="Arial Narrow"/>
                <w:sz w:val="20"/>
                <w:szCs w:val="20"/>
              </w:rPr>
            </w:pPr>
            <w:r w:rsidRPr="0019793B">
              <w:rPr>
                <w:rFonts w:ascii="Arial Narrow" w:hAnsi="Arial Narrow"/>
                <w:sz w:val="20"/>
                <w:szCs w:val="20"/>
              </w:rPr>
              <w:t>Risk sharing arrangement</w:t>
            </w:r>
          </w:p>
        </w:tc>
        <w:tc>
          <w:tcPr>
            <w:tcW w:w="2356" w:type="dxa"/>
          </w:tcPr>
          <w:p w:rsidR="00EC5B37" w:rsidRPr="0019793B" w:rsidRDefault="00D01B8D" w:rsidP="00C37B58">
            <w:pPr>
              <w:rPr>
                <w:rFonts w:ascii="Arial Narrow" w:hAnsi="Arial Narrow"/>
                <w:sz w:val="20"/>
                <w:szCs w:val="20"/>
              </w:rPr>
            </w:pPr>
            <w:r w:rsidRPr="0019793B">
              <w:rPr>
                <w:rFonts w:ascii="Arial Narrow" w:hAnsi="Arial Narrow"/>
                <w:sz w:val="20"/>
                <w:szCs w:val="20"/>
              </w:rPr>
              <w:t>Not proposed.</w:t>
            </w:r>
          </w:p>
        </w:tc>
        <w:tc>
          <w:tcPr>
            <w:tcW w:w="2356" w:type="dxa"/>
          </w:tcPr>
          <w:p w:rsidR="00EC5B37" w:rsidRPr="0019793B" w:rsidRDefault="00446806" w:rsidP="00C37B58">
            <w:pPr>
              <w:rPr>
                <w:rFonts w:ascii="Arial Narrow" w:hAnsi="Arial Narrow"/>
                <w:sz w:val="20"/>
                <w:szCs w:val="20"/>
              </w:rPr>
            </w:pPr>
            <w:r w:rsidRPr="0019793B">
              <w:rPr>
                <w:rFonts w:ascii="Arial Narrow" w:hAnsi="Arial Narrow"/>
                <w:sz w:val="20"/>
                <w:szCs w:val="20"/>
              </w:rPr>
              <w:t>The resubmission did not propose an RSA but stated that the Sponsor accepts that an RSA which would minimise any potential uncertainties around the budgetary impact of this listing would need to be negotiated with the Department of Health/PBAC.</w:t>
            </w:r>
          </w:p>
        </w:tc>
        <w:tc>
          <w:tcPr>
            <w:tcW w:w="2357" w:type="dxa"/>
          </w:tcPr>
          <w:p w:rsidR="00446806" w:rsidRPr="00F17FFB" w:rsidRDefault="00F17FFB" w:rsidP="00C37B58">
            <w:pPr>
              <w:rPr>
                <w:rFonts w:ascii="Arial Narrow" w:hAnsi="Arial Narrow"/>
                <w:sz w:val="20"/>
                <w:szCs w:val="20"/>
                <w:highlight w:val="black"/>
              </w:rPr>
            </w:pPr>
            <w:r>
              <w:rPr>
                <w:rFonts w:ascii="Arial Narrow" w:hAnsi="Arial Narrow"/>
                <w:noProof/>
                <w:color w:val="000000"/>
                <w:sz w:val="20"/>
                <w:szCs w:val="20"/>
                <w:highlight w:val="black"/>
              </w:rPr>
              <w:t xml:space="preserve">'''''''''' ''''''''''''' ''''''''''''''''''''' '''''''''' </w:t>
            </w:r>
          </w:p>
          <w:p w:rsidR="00EC5B37" w:rsidRPr="00F17FFB" w:rsidRDefault="00F17FFB" w:rsidP="00F17FFB">
            <w:pPr>
              <w:ind w:left="114" w:hanging="114"/>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446806" w:rsidRPr="00F17FFB" w:rsidRDefault="00F17FFB" w:rsidP="00F17FFB">
            <w:pPr>
              <w:ind w:left="114" w:hanging="114"/>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446806" w:rsidRPr="0019793B" w:rsidRDefault="00446806" w:rsidP="00ED7FF4">
            <w:pPr>
              <w:rPr>
                <w:rFonts w:ascii="Arial Narrow" w:hAnsi="Arial Narrow"/>
                <w:sz w:val="20"/>
                <w:szCs w:val="20"/>
              </w:rPr>
            </w:pPr>
            <w:r w:rsidRPr="0019793B">
              <w:rPr>
                <w:rFonts w:ascii="Arial Narrow" w:hAnsi="Arial Narrow"/>
                <w:sz w:val="20"/>
                <w:szCs w:val="20"/>
              </w:rPr>
              <w:t xml:space="preserve">Estimated </w:t>
            </w:r>
            <w:r w:rsidR="00D01B8D" w:rsidRPr="0019793B">
              <w:rPr>
                <w:rFonts w:ascii="Arial Narrow" w:hAnsi="Arial Narrow"/>
                <w:sz w:val="20"/>
                <w:szCs w:val="20"/>
              </w:rPr>
              <w:t>net cost to PBS with caps over the first 5 years of listing</w:t>
            </w:r>
            <w:r w:rsidRPr="0019793B">
              <w:rPr>
                <w:rFonts w:ascii="Arial Narrow" w:hAnsi="Arial Narrow"/>
                <w:sz w:val="20"/>
                <w:szCs w:val="20"/>
              </w:rPr>
              <w:t xml:space="preserve">: </w:t>
            </w:r>
            <w:r w:rsidR="00ED7FF4">
              <w:rPr>
                <w:rFonts w:ascii="Arial Narrow" w:hAnsi="Arial Narrow"/>
                <w:sz w:val="20"/>
                <w:szCs w:val="20"/>
              </w:rPr>
              <w:t>more</w:t>
            </w:r>
            <w:r w:rsidR="00A21A15">
              <w:rPr>
                <w:rFonts w:ascii="Arial Narrow" w:hAnsi="Arial Narrow"/>
                <w:sz w:val="20"/>
                <w:szCs w:val="20"/>
              </w:rPr>
              <w:t xml:space="preserve"> than</w:t>
            </w:r>
            <w:r w:rsidR="00ED7FF4">
              <w:rPr>
                <w:rFonts w:ascii="Arial Narrow" w:hAnsi="Arial Narrow"/>
                <w:sz w:val="20"/>
                <w:szCs w:val="20"/>
              </w:rPr>
              <w:t xml:space="preserve"> $100</w:t>
            </w:r>
            <w:r w:rsidRPr="0019793B">
              <w:rPr>
                <w:rFonts w:ascii="Arial Narrow" w:hAnsi="Arial Narrow"/>
                <w:sz w:val="20"/>
                <w:szCs w:val="20"/>
              </w:rPr>
              <w:t xml:space="preserve"> million</w:t>
            </w:r>
            <w:r w:rsidR="004A78A0" w:rsidRPr="0019793B">
              <w:rPr>
                <w:rFonts w:ascii="Arial Narrow" w:hAnsi="Arial Narrow"/>
                <w:sz w:val="20"/>
                <w:szCs w:val="20"/>
              </w:rPr>
              <w:t>.</w:t>
            </w:r>
          </w:p>
        </w:tc>
      </w:tr>
      <w:tr w:rsidR="00B11CE3" w:rsidRPr="0019793B" w:rsidTr="00494814">
        <w:trPr>
          <w:cantSplit/>
          <w:trHeight w:val="860"/>
        </w:trPr>
        <w:tc>
          <w:tcPr>
            <w:tcW w:w="127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br w:type="page"/>
              <w:t>PBAC decision</w:t>
            </w:r>
          </w:p>
        </w:tc>
        <w:tc>
          <w:tcPr>
            <w:tcW w:w="2356" w:type="dxa"/>
          </w:tcPr>
          <w:p w:rsidR="00B11CE3" w:rsidRPr="0019793B" w:rsidRDefault="00B11CE3" w:rsidP="00C37B58">
            <w:pPr>
              <w:rPr>
                <w:rFonts w:ascii="Arial Narrow" w:hAnsi="Arial Narrow"/>
                <w:bCs/>
                <w:sz w:val="20"/>
                <w:szCs w:val="20"/>
              </w:rPr>
            </w:pPr>
            <w:r w:rsidRPr="0019793B">
              <w:rPr>
                <w:rFonts w:ascii="Arial Narrow" w:hAnsi="Arial Narrow"/>
                <w:bCs/>
                <w:sz w:val="20"/>
                <w:szCs w:val="20"/>
              </w:rPr>
              <w:t xml:space="preserve">Reject.  </w:t>
            </w:r>
          </w:p>
          <w:p w:rsidR="00B11CE3" w:rsidRPr="0019793B" w:rsidRDefault="00B11CE3"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7.1) The PBAC rejected the submission on the basis that cost-effectiveness compared to cyclosporin treatment had not been adequately established at the price proposed in the submission.</w:t>
            </w:r>
          </w:p>
        </w:tc>
        <w:tc>
          <w:tcPr>
            <w:tcW w:w="2356" w:type="dxa"/>
          </w:tcPr>
          <w:p w:rsidR="00B11CE3" w:rsidRPr="0019793B" w:rsidRDefault="00B11CE3" w:rsidP="00C37B58">
            <w:pPr>
              <w:rPr>
                <w:rFonts w:ascii="Arial Narrow" w:hAnsi="Arial Narrow"/>
                <w:sz w:val="20"/>
                <w:szCs w:val="20"/>
              </w:rPr>
            </w:pPr>
            <w:r w:rsidRPr="0019793B">
              <w:rPr>
                <w:rFonts w:ascii="Arial Narrow" w:hAnsi="Arial Narrow"/>
                <w:sz w:val="20"/>
                <w:szCs w:val="20"/>
              </w:rPr>
              <w:br w:type="page"/>
              <w:t>Reject</w:t>
            </w:r>
          </w:p>
          <w:p w:rsidR="00B11CE3" w:rsidRPr="0019793B" w:rsidRDefault="00B11CE3" w:rsidP="00C37B58">
            <w:pPr>
              <w:rPr>
                <w:rFonts w:ascii="Arial Narrow" w:hAnsi="Arial Narrow"/>
                <w:sz w:val="20"/>
                <w:szCs w:val="20"/>
              </w:rPr>
            </w:pPr>
            <w:r w:rsidRPr="0019793B">
              <w:rPr>
                <w:rFonts w:ascii="Arial Narrow" w:hAnsi="Arial Narrow"/>
                <w:b/>
                <w:sz w:val="20"/>
                <w:szCs w:val="20"/>
              </w:rPr>
              <w:t>PBAC Comment:</w:t>
            </w:r>
            <w:r w:rsidRPr="0019793B">
              <w:rPr>
                <w:rFonts w:ascii="Arial Narrow" w:hAnsi="Arial Narrow"/>
                <w:sz w:val="20"/>
                <w:szCs w:val="20"/>
              </w:rPr>
              <w:t xml:space="preserve"> (paragraph 7.1) The PBAC did not recommend the listing of apremilast for moderate to severe plaque psoriasis on the basis that the evidence presented did not support the claims of superior comparative efficacy or safety versus cyclosporin and the cost effectiveness of apremilast was uncertain and unacceptable at the requested price.</w:t>
            </w:r>
          </w:p>
        </w:tc>
        <w:tc>
          <w:tcPr>
            <w:tcW w:w="2357" w:type="dxa"/>
          </w:tcPr>
          <w:p w:rsidR="00B11CE3" w:rsidRPr="0019793B" w:rsidRDefault="00E60369" w:rsidP="00C37B58">
            <w:pPr>
              <w:rPr>
                <w:rFonts w:ascii="Arial Narrow" w:hAnsi="Arial Narrow"/>
                <w:sz w:val="20"/>
                <w:szCs w:val="20"/>
              </w:rPr>
            </w:pPr>
            <w:r w:rsidRPr="0019793B">
              <w:rPr>
                <w:rFonts w:ascii="Arial Narrow" w:hAnsi="Arial Narrow"/>
                <w:sz w:val="20"/>
                <w:szCs w:val="20"/>
              </w:rPr>
              <w:t>-</w:t>
            </w:r>
          </w:p>
        </w:tc>
      </w:tr>
    </w:tbl>
    <w:p w:rsidR="00B11CE3" w:rsidRPr="0019793B" w:rsidRDefault="00B11CE3" w:rsidP="00685C10">
      <w:pPr>
        <w:pStyle w:val="TableFooter"/>
        <w:widowControl/>
        <w:ind w:left="720"/>
      </w:pPr>
      <w:r w:rsidRPr="0019793B">
        <w:t xml:space="preserve">Source: Compiled during the evaluation. Paragraph references for March 2015 refer to the apremilast (plaque psoriasis) public summary document. Paragraph references for November 2016 refer to the apremilast </w:t>
      </w:r>
      <w:r w:rsidR="003255BE" w:rsidRPr="0019793B">
        <w:t>public summary document</w:t>
      </w:r>
      <w:r w:rsidRPr="0019793B">
        <w:t xml:space="preserve">. </w:t>
      </w:r>
    </w:p>
    <w:p w:rsidR="00B11CE3" w:rsidRPr="0019793B" w:rsidRDefault="00B11CE3" w:rsidP="00C37B58">
      <w:pPr>
        <w:jc w:val="both"/>
        <w:rPr>
          <w:rFonts w:ascii="Arial" w:hAnsi="Arial"/>
          <w:b/>
          <w:sz w:val="22"/>
          <w:szCs w:val="22"/>
        </w:rPr>
      </w:pPr>
    </w:p>
    <w:p w:rsidR="00B11CE3" w:rsidRPr="0019793B" w:rsidRDefault="00B11CE3" w:rsidP="00685C10">
      <w:pPr>
        <w:pStyle w:val="NoSpacing"/>
        <w:keepNext/>
        <w:ind w:firstLine="720"/>
        <w:rPr>
          <w:rFonts w:ascii="Arial Narrow" w:hAnsi="Arial Narrow"/>
          <w:b/>
          <w:sz w:val="20"/>
        </w:rPr>
      </w:pPr>
      <w:r w:rsidRPr="0019793B">
        <w:rPr>
          <w:rFonts w:ascii="Arial Narrow" w:hAnsi="Arial Narrow"/>
          <w:b/>
          <w:sz w:val="20"/>
        </w:rPr>
        <w:t>Table 2: PBAC matters of concern in previous consideration (November 2016)</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45"/>
        <w:gridCol w:w="3118"/>
      </w:tblGrid>
      <w:tr w:rsidR="00B11CE3" w:rsidRPr="0019793B" w:rsidTr="00494814">
        <w:trPr>
          <w:trHeight w:val="240"/>
        </w:trPr>
        <w:tc>
          <w:tcPr>
            <w:tcW w:w="3136" w:type="pct"/>
            <w:shd w:val="clear" w:color="auto" w:fill="auto"/>
          </w:tcPr>
          <w:p w:rsidR="00B11CE3" w:rsidRPr="0019793B" w:rsidRDefault="00B11CE3" w:rsidP="00C37B58">
            <w:pPr>
              <w:keepNext/>
              <w:rPr>
                <w:rFonts w:ascii="Arial Narrow" w:hAnsi="Arial Narrow"/>
                <w:b/>
                <w:sz w:val="20"/>
              </w:rPr>
            </w:pPr>
            <w:r w:rsidRPr="0019793B">
              <w:rPr>
                <w:rFonts w:ascii="Arial Narrow" w:hAnsi="Arial Narrow"/>
                <w:b/>
                <w:sz w:val="20"/>
              </w:rPr>
              <w:t>Matters of concern</w:t>
            </w:r>
          </w:p>
        </w:tc>
        <w:tc>
          <w:tcPr>
            <w:tcW w:w="1864" w:type="pct"/>
            <w:shd w:val="clear" w:color="auto" w:fill="auto"/>
          </w:tcPr>
          <w:p w:rsidR="00B11CE3" w:rsidRPr="0019793B" w:rsidRDefault="00B11CE3" w:rsidP="00C37B58">
            <w:pPr>
              <w:keepNext/>
              <w:jc w:val="center"/>
              <w:rPr>
                <w:rFonts w:ascii="Arial Narrow" w:hAnsi="Arial Narrow"/>
                <w:b/>
                <w:sz w:val="20"/>
              </w:rPr>
            </w:pPr>
            <w:r w:rsidRPr="0019793B">
              <w:rPr>
                <w:rFonts w:ascii="Arial Narrow" w:hAnsi="Arial Narrow"/>
                <w:b/>
                <w:sz w:val="20"/>
              </w:rPr>
              <w:t>How the resubmission addresses it</w:t>
            </w:r>
          </w:p>
        </w:tc>
      </w:tr>
      <w:tr w:rsidR="00D30236" w:rsidRPr="0019793B" w:rsidTr="00494814">
        <w:trPr>
          <w:trHeight w:val="788"/>
        </w:trPr>
        <w:tc>
          <w:tcPr>
            <w:tcW w:w="3136" w:type="pct"/>
            <w:shd w:val="clear" w:color="auto" w:fill="auto"/>
          </w:tcPr>
          <w:p w:rsidR="00D30236" w:rsidRPr="0019793B" w:rsidRDefault="00D30236" w:rsidP="00C37B58">
            <w:pPr>
              <w:keepNext/>
              <w:rPr>
                <w:rFonts w:ascii="Arial Narrow" w:hAnsi="Arial Narrow"/>
                <w:sz w:val="20"/>
              </w:rPr>
            </w:pPr>
            <w:r w:rsidRPr="0019793B">
              <w:rPr>
                <w:rFonts w:ascii="Arial Narrow" w:hAnsi="Arial Narrow"/>
                <w:sz w:val="20"/>
              </w:rPr>
              <w:t>“…the submission did not demonstrate that apremilast was associated with improvements in health outcomes relevant to psoriasis (compared with cyclosporin).” (paragraph 7.7)</w:t>
            </w:r>
          </w:p>
        </w:tc>
        <w:tc>
          <w:tcPr>
            <w:tcW w:w="1864" w:type="pct"/>
            <w:shd w:val="clear" w:color="auto" w:fill="auto"/>
          </w:tcPr>
          <w:p w:rsidR="00D30236" w:rsidRPr="0019793B" w:rsidRDefault="00D30236" w:rsidP="00C37B58">
            <w:pPr>
              <w:keepNext/>
              <w:rPr>
                <w:rFonts w:ascii="Arial Narrow" w:hAnsi="Arial Narrow"/>
                <w:sz w:val="20"/>
              </w:rPr>
            </w:pPr>
            <w:r w:rsidRPr="0019793B">
              <w:rPr>
                <w:rFonts w:ascii="Arial Narrow" w:hAnsi="Arial Narrow"/>
                <w:sz w:val="20"/>
              </w:rPr>
              <w:t>Not addressed</w:t>
            </w:r>
          </w:p>
        </w:tc>
      </w:tr>
      <w:tr w:rsidR="00B11CE3" w:rsidRPr="0019793B" w:rsidTr="00494814">
        <w:trPr>
          <w:trHeight w:val="788"/>
        </w:trPr>
        <w:tc>
          <w:tcPr>
            <w:tcW w:w="3136" w:type="pct"/>
            <w:shd w:val="clear" w:color="auto" w:fill="auto"/>
          </w:tcPr>
          <w:p w:rsidR="00B11CE3" w:rsidRPr="0019793B" w:rsidRDefault="00B11CE3" w:rsidP="00C37B58">
            <w:pPr>
              <w:keepNext/>
              <w:rPr>
                <w:rFonts w:ascii="Arial Narrow" w:hAnsi="Arial Narrow"/>
                <w:sz w:val="20"/>
              </w:rPr>
            </w:pPr>
            <w:r w:rsidRPr="0019793B">
              <w:rPr>
                <w:rFonts w:ascii="Arial Narrow" w:hAnsi="Arial Narrow"/>
                <w:sz w:val="20"/>
              </w:rPr>
              <w:t>“…</w:t>
            </w:r>
            <w:r w:rsidR="00D30236" w:rsidRPr="0019793B">
              <w:rPr>
                <w:rFonts w:ascii="Arial Narrow" w:hAnsi="Arial Narrow"/>
                <w:sz w:val="20"/>
              </w:rPr>
              <w:t>the PBAC considered that the non-randomised persistence data was relevant supportive information, but that it was an insufficient basis to support the claim of superiority in comparative effectiveness or safety [to cyclosporin]</w:t>
            </w:r>
            <w:r w:rsidR="00D30236" w:rsidRPr="0019793B">
              <w:rPr>
                <w:rFonts w:ascii="Arial Narrow" w:hAnsi="Arial Narrow"/>
                <w:sz w:val="20"/>
                <w:szCs w:val="20"/>
              </w:rPr>
              <w:t>” (paragraph 7.7</w:t>
            </w:r>
            <w:r w:rsidRPr="0019793B">
              <w:rPr>
                <w:rFonts w:ascii="Arial Narrow" w:hAnsi="Arial Narrow"/>
                <w:sz w:val="20"/>
                <w:szCs w:val="20"/>
              </w:rPr>
              <w:t>)</w:t>
            </w:r>
          </w:p>
        </w:tc>
        <w:tc>
          <w:tcPr>
            <w:tcW w:w="1864" w:type="pct"/>
            <w:shd w:val="clear" w:color="auto" w:fill="auto"/>
          </w:tcPr>
          <w:p w:rsidR="00B11CE3" w:rsidRPr="0019793B" w:rsidRDefault="00B11CE3" w:rsidP="00C37B58">
            <w:pPr>
              <w:keepNext/>
              <w:rPr>
                <w:rFonts w:ascii="Arial Narrow" w:hAnsi="Arial Narrow"/>
                <w:sz w:val="20"/>
              </w:rPr>
            </w:pPr>
            <w:r w:rsidRPr="0019793B">
              <w:rPr>
                <w:rFonts w:ascii="Arial Narrow" w:hAnsi="Arial Narrow"/>
                <w:sz w:val="20"/>
              </w:rPr>
              <w:t>Not addressed</w:t>
            </w:r>
          </w:p>
        </w:tc>
      </w:tr>
      <w:tr w:rsidR="00B11CE3" w:rsidRPr="0019793B" w:rsidTr="00494814">
        <w:trPr>
          <w:trHeight w:val="487"/>
        </w:trPr>
        <w:tc>
          <w:tcPr>
            <w:tcW w:w="3136" w:type="pct"/>
            <w:shd w:val="clear" w:color="auto" w:fill="auto"/>
          </w:tcPr>
          <w:p w:rsidR="00D30236" w:rsidRPr="0019793B" w:rsidRDefault="00D30236" w:rsidP="00C37B58">
            <w:pPr>
              <w:keepNext/>
              <w:rPr>
                <w:rFonts w:ascii="Arial Narrow" w:hAnsi="Arial Narrow"/>
                <w:sz w:val="20"/>
              </w:rPr>
            </w:pPr>
            <w:r w:rsidRPr="0019793B">
              <w:rPr>
                <w:rFonts w:ascii="Arial Narrow" w:hAnsi="Arial Narrow"/>
                <w:sz w:val="20"/>
              </w:rPr>
              <w:t>Given that the economic model used non-randomised persistence data as an unsubstantiated proxy for the comparative effectiveness and safety of apremilast and cyclosporin, the PBAC considered the model to be uninformative for decision making. In addition, the PBAC considered the ICER for apremilast was uncertain due to the following issues:</w:t>
            </w:r>
          </w:p>
          <w:p w:rsidR="00D30236" w:rsidRPr="0019793B" w:rsidRDefault="00D30236" w:rsidP="00C37B58">
            <w:pPr>
              <w:pStyle w:val="ListParagraph"/>
              <w:keepNext/>
              <w:widowControl/>
              <w:numPr>
                <w:ilvl w:val="0"/>
                <w:numId w:val="16"/>
              </w:numPr>
              <w:ind w:left="284" w:hanging="284"/>
              <w:rPr>
                <w:rFonts w:ascii="Arial Narrow" w:hAnsi="Arial Narrow"/>
                <w:sz w:val="20"/>
              </w:rPr>
            </w:pPr>
            <w:r w:rsidRPr="0019793B">
              <w:rPr>
                <w:rFonts w:ascii="Arial Narrow" w:hAnsi="Arial Narrow"/>
                <w:sz w:val="20"/>
              </w:rPr>
              <w:t>Utilities were applied to treatment states, rather than health states defined by PASI and/or DLQI scores, which assumed that there was a constant treatment effect for all patients on apremilast regardless of symptom severity.</w:t>
            </w:r>
          </w:p>
          <w:p w:rsidR="00D30236" w:rsidRPr="0019793B" w:rsidRDefault="00D30236" w:rsidP="00C37B58">
            <w:pPr>
              <w:pStyle w:val="ListParagraph"/>
              <w:keepNext/>
              <w:widowControl/>
              <w:numPr>
                <w:ilvl w:val="0"/>
                <w:numId w:val="16"/>
              </w:numPr>
              <w:ind w:left="284" w:hanging="284"/>
              <w:rPr>
                <w:rFonts w:ascii="Arial Narrow" w:hAnsi="Arial Narrow"/>
                <w:sz w:val="20"/>
              </w:rPr>
            </w:pPr>
            <w:r w:rsidRPr="0019793B">
              <w:rPr>
                <w:rFonts w:ascii="Arial Narrow" w:hAnsi="Arial Narrow"/>
                <w:sz w:val="20"/>
              </w:rPr>
              <w:t>The model results were sensitive to changes in utility values and the difference between the utility values for apremilast (0.84) and the biologics (0.80) lacked face validity.</w:t>
            </w:r>
          </w:p>
          <w:p w:rsidR="00D30236" w:rsidRPr="0019793B" w:rsidRDefault="00D30236" w:rsidP="00C37B58">
            <w:pPr>
              <w:pStyle w:val="ListParagraph"/>
              <w:keepNext/>
              <w:widowControl/>
              <w:numPr>
                <w:ilvl w:val="0"/>
                <w:numId w:val="16"/>
              </w:numPr>
              <w:ind w:left="284" w:hanging="284"/>
              <w:rPr>
                <w:rFonts w:ascii="Arial Narrow" w:hAnsi="Arial Narrow"/>
                <w:sz w:val="20"/>
              </w:rPr>
            </w:pPr>
            <w:r w:rsidRPr="0019793B">
              <w:rPr>
                <w:rFonts w:ascii="Arial Narrow" w:hAnsi="Arial Narrow"/>
                <w:sz w:val="20"/>
              </w:rPr>
              <w:t>The costs for adverse events were not included in the model, and costs for physician visits (initiation of treatment) were omitted for apremilast.</w:t>
            </w:r>
          </w:p>
          <w:p w:rsidR="00D30236" w:rsidRPr="0019793B" w:rsidRDefault="00D30236" w:rsidP="00C37B58">
            <w:pPr>
              <w:pStyle w:val="ListParagraph"/>
              <w:keepNext/>
              <w:widowControl/>
              <w:numPr>
                <w:ilvl w:val="0"/>
                <w:numId w:val="16"/>
              </w:numPr>
              <w:ind w:left="284" w:hanging="284"/>
              <w:rPr>
                <w:rFonts w:ascii="Arial Narrow" w:hAnsi="Arial Narrow"/>
                <w:sz w:val="20"/>
              </w:rPr>
            </w:pPr>
            <w:r w:rsidRPr="0019793B">
              <w:rPr>
                <w:rFonts w:ascii="Arial Narrow" w:hAnsi="Arial Narrow"/>
                <w:sz w:val="20"/>
              </w:rPr>
              <w:t xml:space="preserve">It was not possible to test the sensitivity of the model to the time horizon beyond 10 years. </w:t>
            </w:r>
          </w:p>
          <w:p w:rsidR="00B11CE3" w:rsidRPr="0019793B" w:rsidRDefault="00D30236" w:rsidP="00C37B58">
            <w:pPr>
              <w:keepNext/>
              <w:rPr>
                <w:rFonts w:ascii="Arial Narrow" w:hAnsi="Arial Narrow"/>
                <w:sz w:val="20"/>
              </w:rPr>
            </w:pPr>
            <w:r w:rsidRPr="0019793B">
              <w:rPr>
                <w:rFonts w:ascii="Arial Narrow" w:hAnsi="Arial Narrow"/>
                <w:sz w:val="20"/>
              </w:rPr>
              <w:t xml:space="preserve">Notwithstanding these issues, in its consideration of the results of the economic model using the effective prices of biologics (see paragraph 6.37), the PBAC considered that the ICER at the requested price for apremilast was unacceptably high.” </w:t>
            </w:r>
            <w:r w:rsidR="00B11CE3" w:rsidRPr="0019793B">
              <w:rPr>
                <w:rFonts w:ascii="Arial Narrow" w:hAnsi="Arial Narrow"/>
                <w:sz w:val="20"/>
              </w:rPr>
              <w:t>(paragraph 7.</w:t>
            </w:r>
            <w:r w:rsidRPr="0019793B">
              <w:rPr>
                <w:rFonts w:ascii="Arial Narrow" w:hAnsi="Arial Narrow"/>
                <w:sz w:val="20"/>
              </w:rPr>
              <w:t>8</w:t>
            </w:r>
            <w:r w:rsidR="00B11CE3" w:rsidRPr="0019793B">
              <w:rPr>
                <w:rFonts w:ascii="Arial Narrow" w:hAnsi="Arial Narrow"/>
                <w:sz w:val="20"/>
              </w:rPr>
              <w:t>)</w:t>
            </w:r>
          </w:p>
        </w:tc>
        <w:tc>
          <w:tcPr>
            <w:tcW w:w="1864" w:type="pct"/>
            <w:shd w:val="clear" w:color="auto" w:fill="auto"/>
          </w:tcPr>
          <w:p w:rsidR="00CC3790" w:rsidRPr="0019793B" w:rsidRDefault="00D30236" w:rsidP="00C37B58">
            <w:pPr>
              <w:keepNext/>
              <w:rPr>
                <w:rFonts w:ascii="Arial Narrow" w:hAnsi="Arial Narrow"/>
                <w:sz w:val="20"/>
              </w:rPr>
            </w:pPr>
            <w:r w:rsidRPr="0019793B">
              <w:rPr>
                <w:rFonts w:ascii="Arial Narrow" w:hAnsi="Arial Narrow"/>
                <w:sz w:val="20"/>
              </w:rPr>
              <w:t>Issues with the economic model n</w:t>
            </w:r>
            <w:r w:rsidR="00B11CE3" w:rsidRPr="0019793B">
              <w:rPr>
                <w:rFonts w:ascii="Arial Narrow" w:hAnsi="Arial Narrow"/>
                <w:sz w:val="20"/>
              </w:rPr>
              <w:t>ot addressed.</w:t>
            </w:r>
            <w:r w:rsidRPr="0019793B">
              <w:rPr>
                <w:rFonts w:ascii="Arial Narrow" w:hAnsi="Arial Narrow"/>
                <w:sz w:val="20"/>
              </w:rPr>
              <w:t xml:space="preserve"> </w:t>
            </w:r>
          </w:p>
          <w:p w:rsidR="00CC3790" w:rsidRPr="0019793B" w:rsidRDefault="00CC3790" w:rsidP="00C37B58">
            <w:pPr>
              <w:keepNext/>
              <w:rPr>
                <w:rFonts w:ascii="Arial Narrow" w:hAnsi="Arial Narrow"/>
                <w:sz w:val="20"/>
              </w:rPr>
            </w:pPr>
          </w:p>
          <w:p w:rsidR="00B11CE3" w:rsidRPr="0019793B" w:rsidRDefault="00CC3790" w:rsidP="00C37B58">
            <w:pPr>
              <w:keepNext/>
              <w:rPr>
                <w:rFonts w:ascii="Arial Narrow" w:hAnsi="Arial Narrow"/>
                <w:sz w:val="20"/>
              </w:rPr>
            </w:pPr>
            <w:r w:rsidRPr="0019793B">
              <w:rPr>
                <w:rFonts w:ascii="Arial Narrow" w:hAnsi="Arial Narrow"/>
                <w:sz w:val="20"/>
              </w:rPr>
              <w:t>The r</w:t>
            </w:r>
            <w:r w:rsidR="00D30236" w:rsidRPr="0019793B">
              <w:rPr>
                <w:rFonts w:ascii="Arial Narrow" w:hAnsi="Arial Narrow"/>
                <w:sz w:val="20"/>
              </w:rPr>
              <w:t>equested effective price of apremilast was reduced but a revised ICER was not presented.</w:t>
            </w:r>
          </w:p>
        </w:tc>
      </w:tr>
      <w:tr w:rsidR="00B11CE3" w:rsidRPr="0019793B" w:rsidTr="00494814">
        <w:trPr>
          <w:trHeight w:val="930"/>
        </w:trPr>
        <w:tc>
          <w:tcPr>
            <w:tcW w:w="3136" w:type="pct"/>
            <w:shd w:val="clear" w:color="auto" w:fill="auto"/>
          </w:tcPr>
          <w:p w:rsidR="00B11CE3" w:rsidRPr="0019793B" w:rsidRDefault="00B11CE3" w:rsidP="00C37B58">
            <w:pPr>
              <w:keepNext/>
              <w:rPr>
                <w:rFonts w:ascii="Arial Narrow" w:hAnsi="Arial Narrow"/>
                <w:sz w:val="20"/>
              </w:rPr>
            </w:pPr>
            <w:r w:rsidRPr="0019793B">
              <w:rPr>
                <w:rFonts w:ascii="Arial Narrow" w:hAnsi="Arial Narrow"/>
                <w:sz w:val="20"/>
              </w:rPr>
              <w:t>“</w:t>
            </w:r>
            <w:r w:rsidR="00D30236" w:rsidRPr="0019793B">
              <w:rPr>
                <w:rFonts w:ascii="Arial Narrow" w:hAnsi="Arial Narrow"/>
                <w:sz w:val="20"/>
              </w:rPr>
              <w:t>The PBAC noted the substantial opportunity cost of listing apremilast for moderate to severe plaque psoriasis, particularly in the context of the uncertain treatment benefit over other systemic therapies.” (paragraph 7.9</w:t>
            </w:r>
            <w:r w:rsidRPr="0019793B">
              <w:rPr>
                <w:rFonts w:ascii="Arial Narrow" w:hAnsi="Arial Narrow"/>
                <w:sz w:val="20"/>
              </w:rPr>
              <w:t>)</w:t>
            </w:r>
          </w:p>
        </w:tc>
        <w:tc>
          <w:tcPr>
            <w:tcW w:w="1864" w:type="pct"/>
            <w:shd w:val="clear" w:color="auto" w:fill="auto"/>
          </w:tcPr>
          <w:p w:rsidR="00B11CE3" w:rsidRPr="0019793B" w:rsidRDefault="00650632" w:rsidP="00C37B58">
            <w:pPr>
              <w:keepNext/>
              <w:rPr>
                <w:rFonts w:ascii="Arial Narrow" w:hAnsi="Arial Narrow"/>
                <w:sz w:val="20"/>
              </w:rPr>
            </w:pPr>
            <w:r w:rsidRPr="0019793B">
              <w:rPr>
                <w:rFonts w:ascii="Arial Narrow" w:hAnsi="Arial Narrow"/>
                <w:sz w:val="20"/>
              </w:rPr>
              <w:t>Reduction in requested effective price and p</w:t>
            </w:r>
            <w:r w:rsidR="002A0540" w:rsidRPr="0019793B">
              <w:rPr>
                <w:rFonts w:ascii="Arial Narrow" w:hAnsi="Arial Narrow"/>
                <w:sz w:val="20"/>
              </w:rPr>
              <w:t>roposed risk sharing arrangement with two tiered financial cap.</w:t>
            </w:r>
          </w:p>
        </w:tc>
      </w:tr>
      <w:tr w:rsidR="00B11CE3" w:rsidRPr="0019793B" w:rsidTr="00494814">
        <w:trPr>
          <w:trHeight w:val="259"/>
        </w:trPr>
        <w:tc>
          <w:tcPr>
            <w:tcW w:w="3136" w:type="pct"/>
            <w:shd w:val="clear" w:color="auto" w:fill="auto"/>
          </w:tcPr>
          <w:p w:rsidR="00B11CE3" w:rsidRPr="0019793B" w:rsidRDefault="00B11CE3" w:rsidP="00C37B58">
            <w:pPr>
              <w:rPr>
                <w:rFonts w:ascii="Arial Narrow" w:hAnsi="Arial Narrow"/>
                <w:sz w:val="20"/>
              </w:rPr>
            </w:pPr>
            <w:r w:rsidRPr="0019793B">
              <w:rPr>
                <w:rFonts w:ascii="Arial Narrow" w:hAnsi="Arial Narrow"/>
                <w:sz w:val="20"/>
              </w:rPr>
              <w:t>“</w:t>
            </w:r>
            <w:r w:rsidR="00D30236" w:rsidRPr="0019793B">
              <w:rPr>
                <w:rFonts w:ascii="Arial Narrow" w:hAnsi="Arial Narrow"/>
                <w:sz w:val="20"/>
              </w:rPr>
              <w:t>…the utilisation estimates were likely to be underestimated due to limitations with the METIS survey, and the assumptions used to estimate the population eligible to receive apremilast.” (paragraph 7.9</w:t>
            </w:r>
            <w:r w:rsidRPr="0019793B">
              <w:rPr>
                <w:rFonts w:ascii="Arial Narrow" w:hAnsi="Arial Narrow"/>
                <w:sz w:val="20"/>
              </w:rPr>
              <w:t>)</w:t>
            </w:r>
          </w:p>
        </w:tc>
        <w:tc>
          <w:tcPr>
            <w:tcW w:w="1864" w:type="pct"/>
            <w:shd w:val="clear" w:color="auto" w:fill="auto"/>
          </w:tcPr>
          <w:p w:rsidR="00B11CE3" w:rsidRPr="0019793B" w:rsidRDefault="00E14668" w:rsidP="00C37B58">
            <w:pPr>
              <w:rPr>
                <w:rFonts w:ascii="Arial Narrow" w:hAnsi="Arial Narrow"/>
                <w:sz w:val="20"/>
              </w:rPr>
            </w:pPr>
            <w:r w:rsidRPr="0019793B">
              <w:rPr>
                <w:rFonts w:ascii="Arial Narrow" w:hAnsi="Arial Narrow"/>
                <w:sz w:val="20"/>
              </w:rPr>
              <w:t>Revised utilisation estimates</w:t>
            </w:r>
            <w:r w:rsidR="00463AFD" w:rsidRPr="0019793B">
              <w:rPr>
                <w:rFonts w:ascii="Arial Narrow" w:hAnsi="Arial Narrow"/>
                <w:sz w:val="20"/>
              </w:rPr>
              <w:t xml:space="preserve"> using a market share approach</w:t>
            </w:r>
            <w:r w:rsidR="00650632" w:rsidRPr="0019793B">
              <w:rPr>
                <w:rFonts w:ascii="Arial Narrow" w:hAnsi="Arial Narrow"/>
                <w:sz w:val="20"/>
              </w:rPr>
              <w:t xml:space="preserve"> and proposed risk sharing arrangement with two tiered financial cap.</w:t>
            </w:r>
          </w:p>
        </w:tc>
      </w:tr>
    </w:tbl>
    <w:p w:rsidR="00B11CE3" w:rsidRDefault="00B11CE3" w:rsidP="00ED78F1">
      <w:pPr>
        <w:pStyle w:val="TableFooter"/>
        <w:widowControl/>
        <w:ind w:left="709" w:firstLine="11"/>
      </w:pPr>
      <w:r w:rsidRPr="0019793B">
        <w:t xml:space="preserve">Source: Compiled during the evaluation. Paragraph references refer to the </w:t>
      </w:r>
      <w:r w:rsidR="00650632" w:rsidRPr="0019793B">
        <w:t xml:space="preserve">November 2016 apremilast </w:t>
      </w:r>
      <w:r w:rsidR="00ED78F1">
        <w:t>public summary document</w:t>
      </w:r>
      <w:r w:rsidR="00650632" w:rsidRPr="0019793B">
        <w:t>.</w:t>
      </w:r>
    </w:p>
    <w:p w:rsidR="003255BE" w:rsidRDefault="003255BE" w:rsidP="00685C10">
      <w:pPr>
        <w:pStyle w:val="TableFooter"/>
        <w:widowControl/>
        <w:ind w:firstLine="720"/>
      </w:pPr>
    </w:p>
    <w:p w:rsidR="00412AA4" w:rsidRPr="0019793B" w:rsidRDefault="00412AA4" w:rsidP="00412AA4">
      <w:pPr>
        <w:ind w:firstLine="720"/>
        <w:rPr>
          <w:rFonts w:ascii="Arial" w:hAnsi="Arial"/>
          <w:b/>
          <w:sz w:val="22"/>
          <w:szCs w:val="22"/>
        </w:rPr>
      </w:pPr>
      <w:r w:rsidRPr="00412AA4">
        <w:rPr>
          <w:rFonts w:ascii="Arial" w:hAnsi="Arial" w:cs="Arial"/>
          <w:bCs/>
          <w:i/>
          <w:sz w:val="22"/>
          <w:szCs w:val="22"/>
        </w:rPr>
        <w:t>For more detail on PBAC’s view, see section 7 “PBAC outcome”</w:t>
      </w:r>
    </w:p>
    <w:p w:rsidR="008A1956" w:rsidRDefault="008A1956" w:rsidP="00C37B58">
      <w:pPr>
        <w:jc w:val="both"/>
        <w:rPr>
          <w:rFonts w:ascii="Arial" w:hAnsi="Arial"/>
          <w:b/>
          <w:sz w:val="22"/>
          <w:szCs w:val="22"/>
        </w:rPr>
      </w:pPr>
    </w:p>
    <w:p w:rsidR="00AA4252" w:rsidRPr="0019793B" w:rsidRDefault="00AA4252" w:rsidP="00C37B58">
      <w:pPr>
        <w:jc w:val="both"/>
        <w:rPr>
          <w:rFonts w:ascii="Arial" w:hAnsi="Arial"/>
          <w:b/>
          <w:sz w:val="22"/>
          <w:szCs w:val="22"/>
        </w:rPr>
      </w:pPr>
    </w:p>
    <w:p w:rsidR="00CE10C4" w:rsidRPr="0019793B" w:rsidRDefault="00CE10C4" w:rsidP="00C37B58">
      <w:pPr>
        <w:pStyle w:val="PBACHeading1"/>
      </w:pPr>
      <w:r w:rsidRPr="0019793B">
        <w:t>Clinical place for the proposed ther</w:t>
      </w:r>
      <w:r w:rsidR="006A12A5" w:rsidRPr="0019793B">
        <w:t>apy</w:t>
      </w:r>
    </w:p>
    <w:p w:rsidR="00CE10C4" w:rsidRPr="0019793B" w:rsidRDefault="00CE10C4" w:rsidP="00C37B58">
      <w:pPr>
        <w:jc w:val="both"/>
        <w:rPr>
          <w:rFonts w:ascii="Arial" w:hAnsi="Arial"/>
          <w:sz w:val="22"/>
          <w:szCs w:val="22"/>
        </w:rPr>
      </w:pPr>
    </w:p>
    <w:p w:rsidR="000919AF" w:rsidRPr="0019793B" w:rsidRDefault="000919AF" w:rsidP="00C37B58">
      <w:pPr>
        <w:pStyle w:val="ListParagraph"/>
        <w:widowControl/>
        <w:numPr>
          <w:ilvl w:val="1"/>
          <w:numId w:val="5"/>
        </w:numPr>
        <w:rPr>
          <w:szCs w:val="22"/>
        </w:rPr>
      </w:pPr>
      <w:r w:rsidRPr="0019793B">
        <w:t xml:space="preserve">The resubmission proposed that apremilast be an alternative to cyclosporin for patients who failed to achieve an adequate response or are contraindicated to treatment with methotrexate. This differed to the previous resubmission which proposed that apremilast be an additional treatment option in the same line of therapy as cyclosporin, </w:t>
      </w:r>
      <w:r w:rsidRPr="0019793B">
        <w:rPr>
          <w:szCs w:val="22"/>
        </w:rPr>
        <w:t>methotrexate and acitretin.</w:t>
      </w:r>
    </w:p>
    <w:p w:rsidR="000919AF" w:rsidRPr="0019793B" w:rsidRDefault="000919AF" w:rsidP="00C37B58">
      <w:pPr>
        <w:pStyle w:val="ListParagraph"/>
        <w:widowControl/>
        <w:rPr>
          <w:szCs w:val="22"/>
        </w:rPr>
      </w:pPr>
    </w:p>
    <w:p w:rsidR="000919AF" w:rsidRPr="0019793B" w:rsidRDefault="000919AF" w:rsidP="00C37B58">
      <w:pPr>
        <w:pStyle w:val="ListParagraph"/>
        <w:widowControl/>
        <w:numPr>
          <w:ilvl w:val="1"/>
          <w:numId w:val="5"/>
        </w:numPr>
        <w:rPr>
          <w:szCs w:val="22"/>
        </w:rPr>
      </w:pPr>
      <w:r w:rsidRPr="0019793B">
        <w:t xml:space="preserve">The </w:t>
      </w:r>
      <w:r w:rsidR="007352FC" w:rsidRPr="0019793B">
        <w:t xml:space="preserve">previous </w:t>
      </w:r>
      <w:r w:rsidRPr="0019793B">
        <w:t xml:space="preserve">resubmission proposed that apremilast be added to the ‘Conditions and criteria’ for the PBS authority application for PBS subsidised treatment with a biological agent for severe chronic plaque psoriasis. It was proposed </w:t>
      </w:r>
      <w:r w:rsidRPr="0019793B">
        <w:rPr>
          <w:iCs/>
        </w:rPr>
        <w:t xml:space="preserve">(changes are underlined) </w:t>
      </w:r>
      <w:r w:rsidRPr="0019793B">
        <w:t xml:space="preserve">that apremilast be included such that patients seeking to access PBS subsidised treatment with a biological agent for severe plaque psoriasis be required to have failed to achieve an adequate response to three of the following </w:t>
      </w:r>
      <w:r w:rsidRPr="0019793B">
        <w:rPr>
          <w:u w:val="single"/>
        </w:rPr>
        <w:t>five</w:t>
      </w:r>
      <w:r w:rsidRPr="0019793B">
        <w:t xml:space="preserve"> </w:t>
      </w:r>
      <w:r w:rsidRPr="0019793B">
        <w:rPr>
          <w:iCs/>
        </w:rPr>
        <w:t>(currently four)</w:t>
      </w:r>
      <w:r w:rsidRPr="0019793B">
        <w:t xml:space="preserve"> treatments: phototherapy, methotrexate, cyclosporin, acitretin, and </w:t>
      </w:r>
      <w:r w:rsidRPr="0019793B">
        <w:rPr>
          <w:u w:val="single"/>
        </w:rPr>
        <w:t>apremilast</w:t>
      </w:r>
      <w:r w:rsidRPr="0019793B">
        <w:t>.</w:t>
      </w:r>
      <w:r w:rsidR="004D30A9" w:rsidRPr="0019793B">
        <w:t xml:space="preserve"> The minor resubmission did not </w:t>
      </w:r>
      <w:r w:rsidR="00706177" w:rsidRPr="0019793B">
        <w:t xml:space="preserve">indicate a </w:t>
      </w:r>
      <w:r w:rsidR="004D30A9" w:rsidRPr="0019793B">
        <w:t xml:space="preserve">change </w:t>
      </w:r>
      <w:r w:rsidR="00706177" w:rsidRPr="0019793B">
        <w:t xml:space="preserve">to </w:t>
      </w:r>
      <w:r w:rsidR="004D30A9" w:rsidRPr="0019793B">
        <w:t>this proposal</w:t>
      </w:r>
      <w:r w:rsidR="00650632" w:rsidRPr="0019793B">
        <w:t>.</w:t>
      </w:r>
    </w:p>
    <w:p w:rsidR="008A1956" w:rsidRDefault="008A1956" w:rsidP="00C37B58">
      <w:pPr>
        <w:pStyle w:val="Header"/>
        <w:tabs>
          <w:tab w:val="clear" w:pos="4153"/>
          <w:tab w:val="clear" w:pos="8306"/>
        </w:tabs>
        <w:jc w:val="both"/>
        <w:rPr>
          <w:rFonts w:ascii="Arial" w:hAnsi="Arial"/>
          <w:sz w:val="22"/>
          <w:szCs w:val="22"/>
        </w:rPr>
      </w:pPr>
    </w:p>
    <w:p w:rsidR="00C6105D" w:rsidRDefault="00C6105D" w:rsidP="00C6105D">
      <w:pPr>
        <w:pStyle w:val="Header"/>
        <w:tabs>
          <w:tab w:val="clear" w:pos="4153"/>
          <w:tab w:val="clear" w:pos="8306"/>
        </w:tabs>
        <w:ind w:firstLine="720"/>
        <w:jc w:val="both"/>
        <w:rPr>
          <w:rFonts w:ascii="Arial" w:hAnsi="Arial" w:cs="Arial"/>
          <w:bCs/>
          <w:i/>
          <w:sz w:val="22"/>
          <w:szCs w:val="22"/>
        </w:rPr>
      </w:pPr>
      <w:r w:rsidRPr="00CA654E">
        <w:rPr>
          <w:rFonts w:ascii="Arial" w:hAnsi="Arial" w:cs="Arial"/>
          <w:bCs/>
          <w:i/>
          <w:sz w:val="22"/>
          <w:szCs w:val="22"/>
        </w:rPr>
        <w:t>For more detail on PBAC’s view, see section 7 “PBAC outcome”</w:t>
      </w:r>
    </w:p>
    <w:p w:rsidR="00C6105D" w:rsidRDefault="00C6105D" w:rsidP="00C37B58">
      <w:pPr>
        <w:pStyle w:val="Header"/>
        <w:tabs>
          <w:tab w:val="clear" w:pos="4153"/>
          <w:tab w:val="clear" w:pos="8306"/>
        </w:tabs>
        <w:jc w:val="both"/>
        <w:rPr>
          <w:rFonts w:ascii="Arial" w:hAnsi="Arial"/>
          <w:sz w:val="22"/>
          <w:szCs w:val="22"/>
        </w:rPr>
      </w:pPr>
    </w:p>
    <w:p w:rsidR="00AA4252" w:rsidRPr="0019793B" w:rsidRDefault="00AA4252" w:rsidP="00C37B58">
      <w:pPr>
        <w:pStyle w:val="Header"/>
        <w:tabs>
          <w:tab w:val="clear" w:pos="4153"/>
          <w:tab w:val="clear" w:pos="8306"/>
        </w:tabs>
        <w:jc w:val="both"/>
        <w:rPr>
          <w:rFonts w:ascii="Arial" w:hAnsi="Arial"/>
          <w:sz w:val="22"/>
          <w:szCs w:val="22"/>
        </w:rPr>
      </w:pPr>
    </w:p>
    <w:p w:rsidR="005A3173" w:rsidRPr="0019793B" w:rsidRDefault="005A3173" w:rsidP="00C37B58">
      <w:pPr>
        <w:pStyle w:val="PBACHeading1"/>
        <w:keepNext/>
      </w:pPr>
      <w:r w:rsidRPr="0019793B">
        <w:t>Comparator</w:t>
      </w:r>
    </w:p>
    <w:p w:rsidR="005A3173" w:rsidRPr="0019793B" w:rsidRDefault="005A3173" w:rsidP="00C37B58">
      <w:pPr>
        <w:pStyle w:val="Header"/>
        <w:keepNext/>
        <w:tabs>
          <w:tab w:val="clear" w:pos="4153"/>
          <w:tab w:val="clear" w:pos="8306"/>
        </w:tabs>
        <w:jc w:val="both"/>
        <w:rPr>
          <w:rFonts w:ascii="Arial" w:hAnsi="Arial"/>
          <w:b/>
          <w:sz w:val="22"/>
          <w:szCs w:val="22"/>
        </w:rPr>
      </w:pPr>
    </w:p>
    <w:p w:rsidR="00C35996" w:rsidRPr="0019793B" w:rsidRDefault="00FF2801" w:rsidP="00C37B58">
      <w:pPr>
        <w:pStyle w:val="ListParagraph"/>
        <w:widowControl/>
        <w:numPr>
          <w:ilvl w:val="1"/>
          <w:numId w:val="5"/>
        </w:numPr>
        <w:rPr>
          <w:szCs w:val="22"/>
        </w:rPr>
      </w:pPr>
      <w:r w:rsidRPr="0019793B">
        <w:rPr>
          <w:szCs w:val="22"/>
        </w:rPr>
        <w:t xml:space="preserve">The </w:t>
      </w:r>
      <w:r w:rsidR="00015A7C" w:rsidRPr="0019793B">
        <w:rPr>
          <w:szCs w:val="22"/>
        </w:rPr>
        <w:t>previous re</w:t>
      </w:r>
      <w:r w:rsidRPr="0019793B">
        <w:rPr>
          <w:szCs w:val="22"/>
        </w:rPr>
        <w:t>submission nominated</w:t>
      </w:r>
      <w:r w:rsidR="00015A7C" w:rsidRPr="0019793B">
        <w:rPr>
          <w:szCs w:val="22"/>
        </w:rPr>
        <w:t xml:space="preserve"> cyclosporin as the main comparator.</w:t>
      </w:r>
      <w:r w:rsidR="00533023" w:rsidRPr="0019793B">
        <w:rPr>
          <w:szCs w:val="22"/>
        </w:rPr>
        <w:t xml:space="preserve"> The PBAC accepted cyclosporin as the main comparator if apremilast was restricted to patients who have failed treatment with methotrexate. The minor resubmission did not change the main </w:t>
      </w:r>
      <w:r w:rsidR="009B71CB" w:rsidRPr="0019793B">
        <w:rPr>
          <w:szCs w:val="22"/>
        </w:rPr>
        <w:t>comparator.</w:t>
      </w:r>
    </w:p>
    <w:p w:rsidR="008A1956" w:rsidRDefault="008A1956" w:rsidP="00C37B58">
      <w:pPr>
        <w:jc w:val="both"/>
        <w:rPr>
          <w:rFonts w:ascii="Arial" w:hAnsi="Arial"/>
          <w:sz w:val="22"/>
          <w:szCs w:val="22"/>
        </w:rPr>
      </w:pPr>
    </w:p>
    <w:p w:rsidR="00C6105D" w:rsidRDefault="00C6105D" w:rsidP="00C6105D">
      <w:pPr>
        <w:ind w:left="720"/>
        <w:jc w:val="both"/>
        <w:rPr>
          <w:rFonts w:ascii="Arial" w:hAnsi="Arial" w:cs="Arial"/>
          <w:bCs/>
          <w:i/>
          <w:sz w:val="22"/>
          <w:szCs w:val="22"/>
        </w:rPr>
      </w:pPr>
      <w:r w:rsidRPr="0051476A">
        <w:rPr>
          <w:rFonts w:ascii="Arial" w:hAnsi="Arial" w:cs="Arial"/>
          <w:bCs/>
          <w:i/>
          <w:sz w:val="22"/>
          <w:szCs w:val="22"/>
        </w:rPr>
        <w:t>For more detail on PBAC’s view, see section 7 “PBAC outcome”</w:t>
      </w:r>
    </w:p>
    <w:p w:rsidR="00C6105D" w:rsidRDefault="00C6105D" w:rsidP="00C6105D">
      <w:pPr>
        <w:ind w:left="720"/>
        <w:jc w:val="both"/>
        <w:rPr>
          <w:rFonts w:ascii="Arial" w:hAnsi="Arial"/>
          <w:sz w:val="22"/>
          <w:szCs w:val="22"/>
        </w:rPr>
      </w:pPr>
    </w:p>
    <w:p w:rsidR="00AA4252" w:rsidRPr="0019793B" w:rsidRDefault="00AA4252" w:rsidP="00C6105D">
      <w:pPr>
        <w:ind w:left="720"/>
        <w:jc w:val="both"/>
        <w:rPr>
          <w:rFonts w:ascii="Arial" w:hAnsi="Arial"/>
          <w:sz w:val="22"/>
          <w:szCs w:val="22"/>
        </w:rPr>
      </w:pPr>
    </w:p>
    <w:p w:rsidR="000B558D" w:rsidRPr="0019793B" w:rsidRDefault="008D7A41" w:rsidP="00C37B58">
      <w:pPr>
        <w:pStyle w:val="PBACHeading1"/>
      </w:pPr>
      <w:r w:rsidRPr="0019793B">
        <w:t>C</w:t>
      </w:r>
      <w:r w:rsidR="00D84934" w:rsidRPr="0019793B">
        <w:t>onsideration of the evidence</w:t>
      </w:r>
    </w:p>
    <w:p w:rsidR="00BB7EC3" w:rsidRPr="0019793B" w:rsidRDefault="00BB7EC3" w:rsidP="00C37B58">
      <w:pPr>
        <w:jc w:val="both"/>
        <w:rPr>
          <w:rFonts w:ascii="Arial" w:hAnsi="Arial"/>
          <w:sz w:val="22"/>
          <w:szCs w:val="22"/>
        </w:rPr>
      </w:pPr>
    </w:p>
    <w:p w:rsidR="007B0767" w:rsidRPr="00BE080A" w:rsidRDefault="007B0767" w:rsidP="00BE080A">
      <w:pPr>
        <w:pStyle w:val="Heading2"/>
        <w:rPr>
          <w:b w:val="0"/>
          <w:i w:val="0"/>
        </w:rPr>
      </w:pPr>
      <w:r w:rsidRPr="00BE080A">
        <w:t>Sponsor hearing</w:t>
      </w:r>
    </w:p>
    <w:p w:rsidR="007B0767" w:rsidRPr="00323B0F" w:rsidRDefault="007B0767" w:rsidP="007B0767">
      <w:pPr>
        <w:rPr>
          <w:rFonts w:ascii="Arial" w:hAnsi="Arial" w:cs="Arial"/>
          <w:b/>
          <w:bCs/>
          <w:snapToGrid w:val="0"/>
          <w:sz w:val="22"/>
          <w:szCs w:val="22"/>
        </w:rPr>
      </w:pPr>
    </w:p>
    <w:p w:rsidR="007B0767" w:rsidRPr="00323B0F" w:rsidRDefault="007B0767" w:rsidP="00C37B58">
      <w:pPr>
        <w:numPr>
          <w:ilvl w:val="1"/>
          <w:numId w:val="5"/>
        </w:numPr>
        <w:rPr>
          <w:rFonts w:ascii="Arial" w:hAnsi="Arial" w:cs="Arial"/>
          <w:bCs/>
          <w:snapToGrid w:val="0"/>
          <w:sz w:val="22"/>
          <w:szCs w:val="22"/>
        </w:rPr>
      </w:pPr>
      <w:r w:rsidRPr="00323B0F">
        <w:rPr>
          <w:rFonts w:ascii="Arial" w:hAnsi="Arial" w:cs="Arial"/>
          <w:bCs/>
          <w:snapToGrid w:val="0"/>
          <w:sz w:val="22"/>
          <w:szCs w:val="22"/>
        </w:rPr>
        <w:t>There was no hearing for this item as it was a minor su</w:t>
      </w:r>
      <w:r w:rsidR="00323B0F" w:rsidRPr="00323B0F">
        <w:rPr>
          <w:rFonts w:ascii="Arial" w:hAnsi="Arial" w:cs="Arial"/>
          <w:bCs/>
          <w:snapToGrid w:val="0"/>
          <w:sz w:val="22"/>
          <w:szCs w:val="22"/>
        </w:rPr>
        <w:t>bmission.</w:t>
      </w:r>
    </w:p>
    <w:p w:rsidR="007B0767" w:rsidRDefault="007B0767" w:rsidP="007B0767">
      <w:pPr>
        <w:pStyle w:val="ListParagraph"/>
        <w:rPr>
          <w:bCs/>
          <w:szCs w:val="22"/>
          <w:highlight w:val="yellow"/>
        </w:rPr>
      </w:pPr>
    </w:p>
    <w:p w:rsidR="007B0767" w:rsidRPr="00BE080A" w:rsidRDefault="007B0767" w:rsidP="00BE080A">
      <w:pPr>
        <w:pStyle w:val="Heading2"/>
        <w:rPr>
          <w:b w:val="0"/>
          <w:i w:val="0"/>
        </w:rPr>
      </w:pPr>
      <w:r w:rsidRPr="00BE080A">
        <w:t>Consumer comments</w:t>
      </w:r>
    </w:p>
    <w:p w:rsidR="007B0767" w:rsidRPr="00323B0F" w:rsidRDefault="007B0767" w:rsidP="007B0767">
      <w:pPr>
        <w:rPr>
          <w:rFonts w:ascii="Arial" w:hAnsi="Arial" w:cs="Arial"/>
          <w:b/>
          <w:bCs/>
          <w:snapToGrid w:val="0"/>
          <w:sz w:val="22"/>
          <w:szCs w:val="22"/>
        </w:rPr>
      </w:pPr>
    </w:p>
    <w:p w:rsidR="007B0767" w:rsidRPr="00323B0F" w:rsidRDefault="007B0767" w:rsidP="00323B0F">
      <w:pPr>
        <w:widowControl w:val="0"/>
        <w:numPr>
          <w:ilvl w:val="1"/>
          <w:numId w:val="5"/>
        </w:numPr>
        <w:jc w:val="both"/>
        <w:rPr>
          <w:rFonts w:ascii="Arial" w:hAnsi="Arial" w:cs="Arial"/>
          <w:bCs/>
          <w:snapToGrid w:val="0"/>
          <w:sz w:val="22"/>
          <w:szCs w:val="20"/>
          <w:lang w:val="en-GB"/>
        </w:rPr>
      </w:pPr>
      <w:r w:rsidRPr="00323B0F">
        <w:rPr>
          <w:rFonts w:ascii="Arial" w:hAnsi="Arial" w:cs="Arial"/>
          <w:bCs/>
          <w:snapToGrid w:val="0"/>
          <w:sz w:val="22"/>
          <w:szCs w:val="22"/>
        </w:rPr>
        <w:t>The PBAC noted that no consumer comme</w:t>
      </w:r>
      <w:r w:rsidR="00323B0F" w:rsidRPr="00323B0F">
        <w:rPr>
          <w:rFonts w:ascii="Arial" w:hAnsi="Arial" w:cs="Arial"/>
          <w:bCs/>
          <w:snapToGrid w:val="0"/>
          <w:sz w:val="22"/>
          <w:szCs w:val="22"/>
        </w:rPr>
        <w:t>nts were received for this item</w:t>
      </w:r>
      <w:r w:rsidR="00B751F3">
        <w:rPr>
          <w:rFonts w:ascii="Arial" w:hAnsi="Arial" w:cs="Arial"/>
          <w:bCs/>
          <w:snapToGrid w:val="0"/>
          <w:sz w:val="22"/>
          <w:szCs w:val="22"/>
        </w:rPr>
        <w:t>.</w:t>
      </w:r>
    </w:p>
    <w:p w:rsidR="007B0767" w:rsidRPr="00BE080A" w:rsidRDefault="007B0767" w:rsidP="00BE080A">
      <w:pPr>
        <w:pStyle w:val="ListParagraph"/>
        <w:rPr>
          <w:bCs/>
          <w:szCs w:val="22"/>
          <w:highlight w:val="yellow"/>
        </w:rPr>
      </w:pPr>
    </w:p>
    <w:p w:rsidR="00D84934" w:rsidRPr="0019793B" w:rsidRDefault="00D84934" w:rsidP="00C37B58">
      <w:pPr>
        <w:pStyle w:val="Heading2"/>
      </w:pPr>
      <w:r w:rsidRPr="0019793B">
        <w:t>Clinical trials</w:t>
      </w:r>
    </w:p>
    <w:p w:rsidR="00D84934" w:rsidRPr="0019793B" w:rsidRDefault="00D84934" w:rsidP="00C37B58">
      <w:pPr>
        <w:jc w:val="both"/>
        <w:rPr>
          <w:rFonts w:ascii="Arial" w:hAnsi="Arial"/>
          <w:sz w:val="22"/>
          <w:szCs w:val="22"/>
        </w:rPr>
      </w:pPr>
    </w:p>
    <w:p w:rsidR="004B7F53" w:rsidRPr="004B7F53" w:rsidRDefault="00CF6805" w:rsidP="00C37B58">
      <w:pPr>
        <w:pStyle w:val="ListParagraph"/>
        <w:widowControl/>
        <w:numPr>
          <w:ilvl w:val="1"/>
          <w:numId w:val="5"/>
        </w:numPr>
        <w:rPr>
          <w:szCs w:val="22"/>
        </w:rPr>
      </w:pPr>
      <w:r w:rsidRPr="0019793B">
        <w:rPr>
          <w:szCs w:val="22"/>
        </w:rPr>
        <w:t>N</w:t>
      </w:r>
      <w:r w:rsidR="00625556" w:rsidRPr="0019793B">
        <w:rPr>
          <w:szCs w:val="22"/>
        </w:rPr>
        <w:t>o new</w:t>
      </w:r>
      <w:r w:rsidR="0076420C" w:rsidRPr="0019793B">
        <w:rPr>
          <w:szCs w:val="22"/>
        </w:rPr>
        <w:t xml:space="preserve"> clinical trials </w:t>
      </w:r>
      <w:r w:rsidR="00FF2801" w:rsidRPr="0019793B">
        <w:rPr>
          <w:szCs w:val="22"/>
        </w:rPr>
        <w:t>were</w:t>
      </w:r>
      <w:r w:rsidR="00625556" w:rsidRPr="0019793B">
        <w:rPr>
          <w:szCs w:val="22"/>
        </w:rPr>
        <w:t xml:space="preserve"> presented in the </w:t>
      </w:r>
      <w:r w:rsidRPr="0019793B">
        <w:rPr>
          <w:szCs w:val="22"/>
        </w:rPr>
        <w:t xml:space="preserve">minor </w:t>
      </w:r>
      <w:r w:rsidR="00625556" w:rsidRPr="0019793B">
        <w:rPr>
          <w:szCs w:val="22"/>
        </w:rPr>
        <w:t>re</w:t>
      </w:r>
      <w:r w:rsidR="0076420C" w:rsidRPr="0019793B">
        <w:rPr>
          <w:szCs w:val="22"/>
        </w:rPr>
        <w:t>submission.</w:t>
      </w:r>
      <w:r w:rsidR="00F34C19" w:rsidRPr="0019793B">
        <w:rPr>
          <w:szCs w:val="22"/>
        </w:rPr>
        <w:t xml:space="preserve"> </w:t>
      </w:r>
      <w:r w:rsidR="00F34C19" w:rsidRPr="0019793B">
        <w:t>The November 2016 resubmission was largely based on one pivotal real-world US study of claims data comparing apremilast to cyclosporin (US MarketScan® databases; n=5,592), and three supportive apremilast single-arm studies (Australian Otezla® Product Familiarisation Program, German IMS longitudinal prescription tracking, and Canadian ez Start program; n=3,296). The November 2016 resubmission also presented three head-to-head trials comparing apremilast to placebo (ESTEEM-1, ESTEEM-2, LIBERATE; n=1,424).</w:t>
      </w:r>
    </w:p>
    <w:p w:rsidR="004B7F53" w:rsidRPr="004B7F53" w:rsidRDefault="004B7F53" w:rsidP="004B7F53">
      <w:pPr>
        <w:pStyle w:val="ListParagraph"/>
        <w:widowControl/>
        <w:rPr>
          <w:szCs w:val="22"/>
        </w:rPr>
      </w:pPr>
    </w:p>
    <w:p w:rsidR="0076420C" w:rsidRPr="0019793B" w:rsidRDefault="004B7F53" w:rsidP="00C37B58">
      <w:pPr>
        <w:pStyle w:val="ListParagraph"/>
        <w:widowControl/>
        <w:numPr>
          <w:ilvl w:val="1"/>
          <w:numId w:val="5"/>
        </w:numPr>
        <w:rPr>
          <w:szCs w:val="22"/>
        </w:rPr>
      </w:pPr>
      <w:r w:rsidRPr="0019793B">
        <w:rPr>
          <w:szCs w:val="22"/>
        </w:rPr>
        <w:t xml:space="preserve"> </w:t>
      </w:r>
      <w:r w:rsidR="00CF6805" w:rsidRPr="0019793B">
        <w:rPr>
          <w:szCs w:val="22"/>
        </w:rPr>
        <w:t>The minor re</w:t>
      </w:r>
      <w:r w:rsidR="0076420C" w:rsidRPr="0019793B">
        <w:rPr>
          <w:szCs w:val="22"/>
        </w:rPr>
        <w:t xml:space="preserve">submission </w:t>
      </w:r>
      <w:r w:rsidR="00FF2801" w:rsidRPr="0019793B">
        <w:rPr>
          <w:szCs w:val="22"/>
        </w:rPr>
        <w:t>sought</w:t>
      </w:r>
      <w:r w:rsidR="0076420C" w:rsidRPr="0019793B">
        <w:rPr>
          <w:szCs w:val="22"/>
        </w:rPr>
        <w:t xml:space="preserve"> to </w:t>
      </w:r>
      <w:r w:rsidR="00CF6805" w:rsidRPr="0019793B">
        <w:rPr>
          <w:szCs w:val="22"/>
        </w:rPr>
        <w:t>address the PBAC’s previous concerns with a change to the requested restriction, a reduction in the published and effective prices of apremilast and a two-tiered financial risk sharing arrangement</w:t>
      </w:r>
      <w:r w:rsidR="00D62EA0">
        <w:rPr>
          <w:szCs w:val="22"/>
        </w:rPr>
        <w:t xml:space="preserve"> (RSA)</w:t>
      </w:r>
      <w:r w:rsidR="00CF6805" w:rsidRPr="0019793B">
        <w:rPr>
          <w:szCs w:val="22"/>
        </w:rPr>
        <w:t>.</w:t>
      </w:r>
    </w:p>
    <w:p w:rsidR="00FA6055" w:rsidRPr="0019793B" w:rsidRDefault="00FA6055" w:rsidP="00C37B58">
      <w:pPr>
        <w:jc w:val="both"/>
        <w:rPr>
          <w:rFonts w:ascii="Arial" w:hAnsi="Arial"/>
          <w:sz w:val="22"/>
          <w:szCs w:val="22"/>
        </w:rPr>
      </w:pPr>
    </w:p>
    <w:p w:rsidR="005A3173" w:rsidRPr="0019793B" w:rsidRDefault="005A3173" w:rsidP="00C37B58">
      <w:pPr>
        <w:pStyle w:val="Heading2"/>
      </w:pPr>
      <w:r w:rsidRPr="0019793B">
        <w:t>Clinical claim</w:t>
      </w:r>
    </w:p>
    <w:p w:rsidR="005A3173" w:rsidRPr="0019793B" w:rsidRDefault="005A3173" w:rsidP="00C37B58">
      <w:pPr>
        <w:ind w:left="720" w:hanging="720"/>
        <w:jc w:val="both"/>
        <w:rPr>
          <w:rFonts w:ascii="Arial" w:hAnsi="Arial"/>
          <w:sz w:val="22"/>
          <w:szCs w:val="22"/>
        </w:rPr>
      </w:pPr>
    </w:p>
    <w:p w:rsidR="00F34C19" w:rsidRPr="0019793B" w:rsidRDefault="00F34C19" w:rsidP="00C37B58">
      <w:pPr>
        <w:pStyle w:val="ListParagraph"/>
        <w:widowControl/>
        <w:numPr>
          <w:ilvl w:val="1"/>
          <w:numId w:val="5"/>
        </w:numPr>
        <w:rPr>
          <w:szCs w:val="22"/>
        </w:rPr>
      </w:pPr>
      <w:r w:rsidRPr="0019793B">
        <w:rPr>
          <w:szCs w:val="22"/>
        </w:rPr>
        <w:t xml:space="preserve">The March 2015 major submission described apremilast as </w:t>
      </w:r>
      <w:r w:rsidR="00B751F3">
        <w:rPr>
          <w:szCs w:val="22"/>
        </w:rPr>
        <w:t xml:space="preserve">having </w:t>
      </w:r>
      <w:r w:rsidRPr="0019793B">
        <w:rPr>
          <w:szCs w:val="22"/>
        </w:rPr>
        <w:t>non-inferior effectiveness and superior safety compared with cyclosporin. The PBAC previously considered that neither of these claims had been adequately supported (paragraph</w:t>
      </w:r>
      <w:r w:rsidR="007A6E68" w:rsidRPr="0019793B">
        <w:rPr>
          <w:szCs w:val="22"/>
        </w:rPr>
        <w:t xml:space="preserve"> </w:t>
      </w:r>
      <w:r w:rsidRPr="0019793B">
        <w:rPr>
          <w:szCs w:val="22"/>
        </w:rPr>
        <w:t xml:space="preserve">7.4-7.5, March 2015 </w:t>
      </w:r>
      <w:r w:rsidR="00CF0B02" w:rsidRPr="0019793B">
        <w:rPr>
          <w:szCs w:val="22"/>
        </w:rPr>
        <w:t>Public Summary Document</w:t>
      </w:r>
      <w:r w:rsidRPr="0019793B">
        <w:rPr>
          <w:szCs w:val="22"/>
        </w:rPr>
        <w:t>)</w:t>
      </w:r>
      <w:r w:rsidR="00464B60" w:rsidRPr="0019793B">
        <w:rPr>
          <w:szCs w:val="22"/>
        </w:rPr>
        <w:t>.</w:t>
      </w:r>
    </w:p>
    <w:p w:rsidR="00F34C19" w:rsidRPr="0019793B" w:rsidRDefault="00F34C19" w:rsidP="00C37B58">
      <w:pPr>
        <w:rPr>
          <w:szCs w:val="22"/>
        </w:rPr>
      </w:pPr>
    </w:p>
    <w:p w:rsidR="00A27184" w:rsidRDefault="00F34C19" w:rsidP="00A27184">
      <w:pPr>
        <w:pStyle w:val="ListParagraph"/>
        <w:widowControl/>
        <w:numPr>
          <w:ilvl w:val="1"/>
          <w:numId w:val="5"/>
        </w:numPr>
        <w:rPr>
          <w:szCs w:val="22"/>
        </w:rPr>
      </w:pPr>
      <w:r w:rsidRPr="0019793B">
        <w:rPr>
          <w:szCs w:val="22"/>
        </w:rPr>
        <w:t xml:space="preserve">The November 2016 major resubmission revised the clinical claim to describe apremilast as superior </w:t>
      </w:r>
      <w:r w:rsidR="00B751F3">
        <w:rPr>
          <w:szCs w:val="22"/>
        </w:rPr>
        <w:t xml:space="preserve">to </w:t>
      </w:r>
      <w:r w:rsidR="00B751F3" w:rsidRPr="0019793B">
        <w:rPr>
          <w:szCs w:val="22"/>
        </w:rPr>
        <w:t xml:space="preserve">cyclosporin </w:t>
      </w:r>
      <w:r w:rsidRPr="0019793B">
        <w:rPr>
          <w:szCs w:val="22"/>
        </w:rPr>
        <w:t>in terms of comparative effectiveness and safety. The revision to the clinical claim was based on a real-wo</w:t>
      </w:r>
      <w:r w:rsidR="00DA1BF6" w:rsidRPr="0019793B">
        <w:rPr>
          <w:szCs w:val="22"/>
        </w:rPr>
        <w:t>rld, non</w:t>
      </w:r>
      <w:r w:rsidR="00DA1BF6" w:rsidRPr="0019793B">
        <w:rPr>
          <w:szCs w:val="22"/>
        </w:rPr>
        <w:noBreakHyphen/>
      </w:r>
      <w:r w:rsidRPr="0019793B">
        <w:rPr>
          <w:szCs w:val="22"/>
        </w:rPr>
        <w:t>randomised US study of comparative persistence rates and supportive analyses of persistence from medicine access programs in Australia, Canada and Germany. The PBAC considered that the applicability of the non-randomised US persistence data presented in the submission to the likely PBS use of apremilast was unclear. Furthermore, the submission did not demonstrate that apremilast was associated with improvements in health outcomes relevant to psoriasis (compared with cyclosporin). In this regard, the PBAC noted that the indirect comparison of clinical trial evidence suggested that there is no statistically significant difference in the proportion of patients achieving PASI 75 response at 16 weeks for apremilast versus 10 weeks for cyclosporin. Overall, the PBAC considered that the non-randomised persistence data was relevant supportive information, but that it was an insufficient basis to support the claim of superiority in comp</w:t>
      </w:r>
      <w:r w:rsidR="00464B60" w:rsidRPr="0019793B">
        <w:rPr>
          <w:szCs w:val="22"/>
        </w:rPr>
        <w:t>arative effectiveness or safety</w:t>
      </w:r>
      <w:r w:rsidRPr="0019793B">
        <w:rPr>
          <w:szCs w:val="22"/>
        </w:rPr>
        <w:t xml:space="preserve"> (paragraph 7.7, November 2016 </w:t>
      </w:r>
      <w:r w:rsidR="00ED78F1" w:rsidRPr="0019793B">
        <w:rPr>
          <w:szCs w:val="22"/>
        </w:rPr>
        <w:t>Public Summary Document</w:t>
      </w:r>
      <w:r w:rsidRPr="0019793B">
        <w:rPr>
          <w:szCs w:val="22"/>
        </w:rPr>
        <w:t>)</w:t>
      </w:r>
      <w:r w:rsidR="00464B60" w:rsidRPr="0019793B">
        <w:rPr>
          <w:szCs w:val="22"/>
        </w:rPr>
        <w:t>.</w:t>
      </w:r>
    </w:p>
    <w:p w:rsidR="00A27184" w:rsidRDefault="00A27184" w:rsidP="00A27184">
      <w:pPr>
        <w:pStyle w:val="ListParagraph"/>
        <w:widowControl/>
        <w:rPr>
          <w:szCs w:val="22"/>
        </w:rPr>
      </w:pPr>
    </w:p>
    <w:p w:rsidR="00B751F3" w:rsidRPr="00A27184" w:rsidRDefault="00BB7C9F" w:rsidP="00B751F3">
      <w:pPr>
        <w:pStyle w:val="ListParagraph"/>
        <w:widowControl/>
        <w:numPr>
          <w:ilvl w:val="1"/>
          <w:numId w:val="5"/>
        </w:numPr>
        <w:rPr>
          <w:szCs w:val="22"/>
        </w:rPr>
      </w:pPr>
      <w:r w:rsidRPr="00A27184">
        <w:rPr>
          <w:szCs w:val="22"/>
        </w:rPr>
        <w:t>The minor resubmission did not address the PBAC’s previous concerns with the clinical claim of superiority in effectiveness and safety compared with cyclosporin.</w:t>
      </w:r>
      <w:r w:rsidR="00B751F3">
        <w:rPr>
          <w:szCs w:val="22"/>
        </w:rPr>
        <w:t xml:space="preserve"> The sponsor argued in its pre-PBAC response that the non-randomised persistence data for apremilast and cyclosporin should be considered as primary evidence in the absence of more robust clinical trials comparing apremilast and cyclosporin.</w:t>
      </w:r>
    </w:p>
    <w:p w:rsidR="00A27184" w:rsidRPr="00A27184" w:rsidRDefault="00A27184" w:rsidP="00A27184">
      <w:pPr>
        <w:pStyle w:val="ListParagraph"/>
        <w:rPr>
          <w:szCs w:val="22"/>
        </w:rPr>
      </w:pPr>
    </w:p>
    <w:p w:rsidR="00A27184" w:rsidRPr="00A27184" w:rsidRDefault="00A27184" w:rsidP="00A27184">
      <w:pPr>
        <w:pStyle w:val="ListParagraph"/>
        <w:widowControl/>
        <w:numPr>
          <w:ilvl w:val="1"/>
          <w:numId w:val="5"/>
        </w:numPr>
        <w:rPr>
          <w:szCs w:val="22"/>
        </w:rPr>
      </w:pPr>
      <w:r>
        <w:rPr>
          <w:szCs w:val="22"/>
        </w:rPr>
        <w:t xml:space="preserve">The sponsor </w:t>
      </w:r>
      <w:r w:rsidR="00B751F3">
        <w:rPr>
          <w:szCs w:val="22"/>
        </w:rPr>
        <w:t xml:space="preserve">further </w:t>
      </w:r>
      <w:r>
        <w:rPr>
          <w:szCs w:val="22"/>
        </w:rPr>
        <w:t xml:space="preserve">stated in its </w:t>
      </w:r>
      <w:r w:rsidR="00B751F3">
        <w:rPr>
          <w:szCs w:val="22"/>
        </w:rPr>
        <w:t>p</w:t>
      </w:r>
      <w:r>
        <w:rPr>
          <w:szCs w:val="22"/>
        </w:rPr>
        <w:t xml:space="preserve">re-PBAC response that the intent of this minor resubmission </w:t>
      </w:r>
      <w:r w:rsidR="00B751F3">
        <w:rPr>
          <w:szCs w:val="22"/>
        </w:rPr>
        <w:t>wa</w:t>
      </w:r>
      <w:r>
        <w:rPr>
          <w:szCs w:val="22"/>
        </w:rPr>
        <w:t>s not to directly address clinical concerns raised by the PBAC in its consideration of the November 201</w:t>
      </w:r>
      <w:r w:rsidR="00391B69">
        <w:rPr>
          <w:szCs w:val="22"/>
        </w:rPr>
        <w:t>6</w:t>
      </w:r>
      <w:r>
        <w:rPr>
          <w:szCs w:val="22"/>
        </w:rPr>
        <w:t xml:space="preserve"> major resubmission, but to reduce the uncertainty to a level of cost-effectiveness that will enable </w:t>
      </w:r>
      <w:r w:rsidR="00391B69">
        <w:rPr>
          <w:szCs w:val="22"/>
        </w:rPr>
        <w:t>t</w:t>
      </w:r>
      <w:r>
        <w:rPr>
          <w:szCs w:val="22"/>
        </w:rPr>
        <w:t>he PBAC to make a positive recommendation.</w:t>
      </w:r>
    </w:p>
    <w:p w:rsidR="00F57A6D" w:rsidRDefault="00F57A6D" w:rsidP="00C37B58">
      <w:pPr>
        <w:ind w:left="720" w:hanging="720"/>
        <w:jc w:val="both"/>
        <w:rPr>
          <w:rFonts w:ascii="Arial" w:hAnsi="Arial"/>
          <w:sz w:val="22"/>
          <w:szCs w:val="22"/>
        </w:rPr>
      </w:pPr>
    </w:p>
    <w:p w:rsidR="00DD1757" w:rsidRPr="00DD1757" w:rsidRDefault="00DD1757" w:rsidP="00A928F8">
      <w:pPr>
        <w:pStyle w:val="ListParagraph"/>
        <w:widowControl/>
        <w:numPr>
          <w:ilvl w:val="1"/>
          <w:numId w:val="5"/>
        </w:numPr>
        <w:contextualSpacing w:val="0"/>
        <w:rPr>
          <w:bCs/>
        </w:rPr>
      </w:pPr>
      <w:r w:rsidRPr="00DD1757">
        <w:rPr>
          <w:bCs/>
          <w:szCs w:val="22"/>
        </w:rPr>
        <w:t xml:space="preserve">The PBAC considered that the claim of superior comparative effectiveness </w:t>
      </w:r>
      <w:r w:rsidR="00B751F3">
        <w:rPr>
          <w:bCs/>
          <w:szCs w:val="22"/>
        </w:rPr>
        <w:t xml:space="preserve">and safety </w:t>
      </w:r>
      <w:r w:rsidR="003241FA">
        <w:rPr>
          <w:bCs/>
          <w:szCs w:val="22"/>
        </w:rPr>
        <w:t>remained</w:t>
      </w:r>
      <w:r w:rsidR="003241FA" w:rsidRPr="00DD1757">
        <w:rPr>
          <w:bCs/>
          <w:szCs w:val="22"/>
        </w:rPr>
        <w:t xml:space="preserve"> </w:t>
      </w:r>
      <w:r w:rsidR="003241FA">
        <w:rPr>
          <w:bCs/>
          <w:szCs w:val="22"/>
        </w:rPr>
        <w:t>in</w:t>
      </w:r>
      <w:r w:rsidRPr="00DD1757">
        <w:rPr>
          <w:bCs/>
          <w:szCs w:val="22"/>
        </w:rPr>
        <w:t>adequately supported by the data.</w:t>
      </w:r>
    </w:p>
    <w:p w:rsidR="0022059F" w:rsidRPr="0019793B" w:rsidRDefault="0022059F" w:rsidP="00C37B58">
      <w:pPr>
        <w:ind w:left="720" w:hanging="720"/>
        <w:jc w:val="both"/>
        <w:rPr>
          <w:rFonts w:ascii="Arial" w:hAnsi="Arial"/>
          <w:sz w:val="22"/>
          <w:szCs w:val="22"/>
        </w:rPr>
      </w:pPr>
    </w:p>
    <w:p w:rsidR="005A3173" w:rsidRPr="0019793B" w:rsidRDefault="005A3173" w:rsidP="00F82D41">
      <w:pPr>
        <w:pStyle w:val="Heading2"/>
      </w:pPr>
      <w:r w:rsidRPr="0019793B">
        <w:t>Economic analysis</w:t>
      </w:r>
    </w:p>
    <w:p w:rsidR="005A3173" w:rsidRPr="0019793B" w:rsidRDefault="005A3173" w:rsidP="00F82D41">
      <w:pPr>
        <w:pStyle w:val="NoSpacing"/>
        <w:keepNext/>
      </w:pPr>
    </w:p>
    <w:p w:rsidR="00CF6805" w:rsidRPr="0019793B" w:rsidRDefault="00F34C19" w:rsidP="00C37B58">
      <w:pPr>
        <w:pStyle w:val="ListParagraph"/>
        <w:widowControl/>
        <w:numPr>
          <w:ilvl w:val="1"/>
          <w:numId w:val="5"/>
        </w:numPr>
        <w:rPr>
          <w:szCs w:val="22"/>
        </w:rPr>
      </w:pPr>
      <w:r w:rsidRPr="0019793B">
        <w:rPr>
          <w:szCs w:val="22"/>
        </w:rPr>
        <w:t>The November 2016 major</w:t>
      </w:r>
      <w:r w:rsidR="009B0F67" w:rsidRPr="0019793B">
        <w:rPr>
          <w:szCs w:val="22"/>
        </w:rPr>
        <w:t xml:space="preserve"> </w:t>
      </w:r>
      <w:r w:rsidRPr="0019793B">
        <w:rPr>
          <w:szCs w:val="22"/>
        </w:rPr>
        <w:t>re</w:t>
      </w:r>
      <w:r w:rsidR="009B0F67" w:rsidRPr="0019793B">
        <w:rPr>
          <w:szCs w:val="22"/>
        </w:rPr>
        <w:t xml:space="preserve">submission presented a cost-effectiveness analysis against </w:t>
      </w:r>
      <w:r w:rsidR="00CF6805" w:rsidRPr="0019793B">
        <w:rPr>
          <w:szCs w:val="22"/>
        </w:rPr>
        <w:t xml:space="preserve">cyclosporin. The PBAC considered that the economic model was uninformative for decision making given that it used non-randomised persistence data as an unsubstantiated proxy for the comparative effectiveness and safety of apremilast and cyclosporin. In addition, the PBAC considered the </w:t>
      </w:r>
      <w:r w:rsidR="006B37B3">
        <w:rPr>
          <w:szCs w:val="22"/>
        </w:rPr>
        <w:t>incremental cost effectiveness ratio (</w:t>
      </w:r>
      <w:r w:rsidR="00CF6805" w:rsidRPr="0019793B">
        <w:rPr>
          <w:szCs w:val="22"/>
        </w:rPr>
        <w:t>ICER</w:t>
      </w:r>
      <w:r w:rsidR="006B37B3">
        <w:rPr>
          <w:szCs w:val="22"/>
        </w:rPr>
        <w:t>)</w:t>
      </w:r>
      <w:r w:rsidR="00CF6805" w:rsidRPr="0019793B">
        <w:rPr>
          <w:szCs w:val="22"/>
        </w:rPr>
        <w:t xml:space="preserve"> for apremilast was uncertain due to the following issues:</w:t>
      </w:r>
    </w:p>
    <w:p w:rsidR="00CF6805" w:rsidRPr="0019793B" w:rsidRDefault="00CF6805" w:rsidP="00C37B58">
      <w:pPr>
        <w:pStyle w:val="ListParagraph"/>
        <w:widowControl/>
        <w:numPr>
          <w:ilvl w:val="1"/>
          <w:numId w:val="18"/>
        </w:numPr>
        <w:ind w:left="1134" w:hanging="425"/>
        <w:rPr>
          <w:szCs w:val="22"/>
        </w:rPr>
      </w:pPr>
      <w:r w:rsidRPr="0019793B">
        <w:rPr>
          <w:szCs w:val="22"/>
        </w:rPr>
        <w:t>Utilities were applied to treatment states, rather than health states defined by PASI and/or DLQI scores, which assumed that there was a constant treatment effect for all patients on apremilast regardless of symptom severity.</w:t>
      </w:r>
    </w:p>
    <w:p w:rsidR="00CF6805" w:rsidRPr="0019793B" w:rsidRDefault="00CF6805" w:rsidP="00C37B58">
      <w:pPr>
        <w:pStyle w:val="ListParagraph"/>
        <w:widowControl/>
        <w:numPr>
          <w:ilvl w:val="1"/>
          <w:numId w:val="18"/>
        </w:numPr>
        <w:ind w:left="1134" w:hanging="425"/>
        <w:rPr>
          <w:szCs w:val="22"/>
        </w:rPr>
      </w:pPr>
      <w:r w:rsidRPr="0019793B">
        <w:rPr>
          <w:szCs w:val="22"/>
        </w:rPr>
        <w:t>The model results were sensitive to changes in utility values and the difference between the utility values for apremilast (</w:t>
      </w:r>
      <w:r w:rsidR="00F17FFB">
        <w:rPr>
          <w:noProof/>
          <w:color w:val="000000"/>
          <w:szCs w:val="22"/>
          <w:highlight w:val="black"/>
        </w:rPr>
        <w:t>'''''''''''</w:t>
      </w:r>
      <w:r w:rsidRPr="0019793B">
        <w:rPr>
          <w:szCs w:val="22"/>
        </w:rPr>
        <w:t>) and the biologics (0.80) lacked face validity.</w:t>
      </w:r>
    </w:p>
    <w:p w:rsidR="00CF6805" w:rsidRPr="0019793B" w:rsidRDefault="00CF6805" w:rsidP="00C37B58">
      <w:pPr>
        <w:pStyle w:val="ListParagraph"/>
        <w:widowControl/>
        <w:numPr>
          <w:ilvl w:val="1"/>
          <w:numId w:val="18"/>
        </w:numPr>
        <w:ind w:left="1134" w:hanging="425"/>
        <w:rPr>
          <w:szCs w:val="22"/>
        </w:rPr>
      </w:pPr>
      <w:r w:rsidRPr="0019793B">
        <w:rPr>
          <w:szCs w:val="22"/>
        </w:rPr>
        <w:t>The costs for adverse events were not included in the model, and costs for physician visits (initiation of treatment) were omitted for apremilast.</w:t>
      </w:r>
    </w:p>
    <w:p w:rsidR="00CF6805" w:rsidRPr="0019793B" w:rsidRDefault="00CF6805" w:rsidP="00C37B58">
      <w:pPr>
        <w:pStyle w:val="ListParagraph"/>
        <w:widowControl/>
        <w:numPr>
          <w:ilvl w:val="1"/>
          <w:numId w:val="18"/>
        </w:numPr>
        <w:ind w:left="1134" w:hanging="425"/>
        <w:rPr>
          <w:szCs w:val="22"/>
        </w:rPr>
      </w:pPr>
      <w:r w:rsidRPr="0019793B">
        <w:rPr>
          <w:szCs w:val="22"/>
        </w:rPr>
        <w:t>It was not possible to test the sensitivity of the model to the time horizon beyond 10 years.</w:t>
      </w:r>
    </w:p>
    <w:p w:rsidR="007B4137" w:rsidRDefault="00CF6805" w:rsidP="007B4137">
      <w:pPr>
        <w:pStyle w:val="ListParagraph"/>
        <w:widowControl/>
        <w:rPr>
          <w:szCs w:val="22"/>
        </w:rPr>
      </w:pPr>
      <w:r w:rsidRPr="0019793B">
        <w:rPr>
          <w:szCs w:val="22"/>
        </w:rPr>
        <w:t>Notwithstanding these issues, in its consideration of the results of the economic model using the effective prices of biologics, the PBAC considered that the ICER at the requested price for apremilast was unacceptably high (November 2016</w:t>
      </w:r>
      <w:r w:rsidR="00ED78F1">
        <w:rPr>
          <w:szCs w:val="22"/>
        </w:rPr>
        <w:t xml:space="preserve"> Public Summary Document</w:t>
      </w:r>
      <w:r w:rsidRPr="0019793B">
        <w:rPr>
          <w:szCs w:val="22"/>
        </w:rPr>
        <w:t xml:space="preserve">, paragraph </w:t>
      </w:r>
      <w:r w:rsidR="00E06424">
        <w:rPr>
          <w:szCs w:val="22"/>
        </w:rPr>
        <w:t>7.8</w:t>
      </w:r>
      <w:r w:rsidRPr="0019793B">
        <w:rPr>
          <w:szCs w:val="22"/>
        </w:rPr>
        <w:t>).</w:t>
      </w:r>
    </w:p>
    <w:p w:rsidR="00D62EA0" w:rsidRDefault="00D62EA0" w:rsidP="007B4137">
      <w:pPr>
        <w:pStyle w:val="ListParagraph"/>
        <w:widowControl/>
        <w:rPr>
          <w:szCs w:val="22"/>
        </w:rPr>
      </w:pPr>
    </w:p>
    <w:p w:rsidR="009B0F67" w:rsidRPr="00BE080A" w:rsidRDefault="00CF6805" w:rsidP="00C37B58">
      <w:pPr>
        <w:pStyle w:val="ListParagraph"/>
        <w:widowControl/>
        <w:numPr>
          <w:ilvl w:val="1"/>
          <w:numId w:val="5"/>
        </w:numPr>
        <w:rPr>
          <w:i/>
          <w:szCs w:val="22"/>
        </w:rPr>
      </w:pPr>
      <w:r w:rsidRPr="0019793B">
        <w:rPr>
          <w:szCs w:val="22"/>
        </w:rPr>
        <w:t>The minor re</w:t>
      </w:r>
      <w:r w:rsidR="009B0F67" w:rsidRPr="0019793B">
        <w:rPr>
          <w:szCs w:val="22"/>
        </w:rPr>
        <w:t xml:space="preserve">submission </w:t>
      </w:r>
      <w:r w:rsidR="00FF2801" w:rsidRPr="0019793B">
        <w:rPr>
          <w:szCs w:val="22"/>
        </w:rPr>
        <w:t>did</w:t>
      </w:r>
      <w:r w:rsidR="009B0F67" w:rsidRPr="0019793B">
        <w:rPr>
          <w:szCs w:val="22"/>
        </w:rPr>
        <w:t xml:space="preserve"> not </w:t>
      </w:r>
      <w:r w:rsidR="00F97F93" w:rsidRPr="0019793B">
        <w:rPr>
          <w:szCs w:val="22"/>
        </w:rPr>
        <w:t xml:space="preserve">address the issues raised by the PBAC with regards to the economic model and did not present a revised ICER </w:t>
      </w:r>
      <w:r w:rsidRPr="0019793B">
        <w:rPr>
          <w:szCs w:val="22"/>
        </w:rPr>
        <w:t>usi</w:t>
      </w:r>
      <w:r w:rsidR="00F97F93" w:rsidRPr="0019793B">
        <w:rPr>
          <w:szCs w:val="22"/>
        </w:rPr>
        <w:t>ng the reduced effect</w:t>
      </w:r>
      <w:r w:rsidR="00F97F93" w:rsidRPr="007F7BB9">
        <w:rPr>
          <w:szCs w:val="22"/>
        </w:rPr>
        <w:t xml:space="preserve">ive price. </w:t>
      </w:r>
    </w:p>
    <w:p w:rsidR="00B45EC5" w:rsidRPr="00BE080A" w:rsidRDefault="00B45EC5" w:rsidP="00BE080A">
      <w:pPr>
        <w:pStyle w:val="ListParagraph"/>
        <w:widowControl/>
        <w:rPr>
          <w:i/>
          <w:szCs w:val="22"/>
        </w:rPr>
      </w:pPr>
    </w:p>
    <w:p w:rsidR="00337E19" w:rsidRPr="0019793B" w:rsidRDefault="00391B69" w:rsidP="00C37B58">
      <w:pPr>
        <w:pStyle w:val="ListParagraph"/>
        <w:widowControl/>
        <w:numPr>
          <w:ilvl w:val="1"/>
          <w:numId w:val="5"/>
        </w:numPr>
        <w:rPr>
          <w:i/>
          <w:szCs w:val="22"/>
        </w:rPr>
      </w:pPr>
      <w:r>
        <w:rPr>
          <w:szCs w:val="22"/>
        </w:rPr>
        <w:t xml:space="preserve">In </w:t>
      </w:r>
      <w:r w:rsidR="00870908">
        <w:rPr>
          <w:szCs w:val="22"/>
        </w:rPr>
        <w:t>its</w:t>
      </w:r>
      <w:r>
        <w:rPr>
          <w:szCs w:val="22"/>
        </w:rPr>
        <w:t xml:space="preserve"> </w:t>
      </w:r>
      <w:r w:rsidR="00870908">
        <w:rPr>
          <w:szCs w:val="22"/>
        </w:rPr>
        <w:t>p</w:t>
      </w:r>
      <w:r w:rsidR="00F20466">
        <w:rPr>
          <w:szCs w:val="22"/>
        </w:rPr>
        <w:t>re-PBAC respon</w:t>
      </w:r>
      <w:r w:rsidR="00B45EC5">
        <w:rPr>
          <w:szCs w:val="22"/>
        </w:rPr>
        <w:t>s</w:t>
      </w:r>
      <w:r w:rsidR="00F20466">
        <w:rPr>
          <w:szCs w:val="22"/>
        </w:rPr>
        <w:t>e (p3)</w:t>
      </w:r>
      <w:r w:rsidR="00870908">
        <w:rPr>
          <w:szCs w:val="22"/>
        </w:rPr>
        <w:t>,</w:t>
      </w:r>
      <w:r w:rsidR="00F20466">
        <w:rPr>
          <w:szCs w:val="22"/>
        </w:rPr>
        <w:t xml:space="preserve"> the sponsor </w:t>
      </w:r>
      <w:r w:rsidR="00870908">
        <w:rPr>
          <w:szCs w:val="22"/>
        </w:rPr>
        <w:t>provided a</w:t>
      </w:r>
      <w:r w:rsidR="00337E19">
        <w:rPr>
          <w:szCs w:val="22"/>
        </w:rPr>
        <w:t xml:space="preserve"> revised</w:t>
      </w:r>
      <w:r w:rsidR="00870908">
        <w:rPr>
          <w:szCs w:val="22"/>
        </w:rPr>
        <w:t xml:space="preserve"> indicative </w:t>
      </w:r>
      <w:r w:rsidR="00337E19">
        <w:rPr>
          <w:szCs w:val="22"/>
        </w:rPr>
        <w:t>ICER</w:t>
      </w:r>
      <w:r w:rsidR="00870908">
        <w:rPr>
          <w:szCs w:val="22"/>
        </w:rPr>
        <w:t xml:space="preserve"> of $</w:t>
      </w:r>
      <w:r w:rsidR="00E06424">
        <w:rPr>
          <w:szCs w:val="22"/>
        </w:rPr>
        <w:t>15,000 - $45,000</w:t>
      </w:r>
      <w:r w:rsidR="00870908">
        <w:rPr>
          <w:szCs w:val="22"/>
        </w:rPr>
        <w:t xml:space="preserve"> per QALY which</w:t>
      </w:r>
      <w:r w:rsidR="00337E19">
        <w:rPr>
          <w:szCs w:val="22"/>
        </w:rPr>
        <w:t xml:space="preserve"> assum</w:t>
      </w:r>
      <w:r w:rsidR="00870908">
        <w:rPr>
          <w:szCs w:val="22"/>
        </w:rPr>
        <w:t>ed</w:t>
      </w:r>
      <w:r w:rsidR="00337E19">
        <w:rPr>
          <w:szCs w:val="22"/>
        </w:rPr>
        <w:t xml:space="preserve"> a 40% rebate </w:t>
      </w:r>
      <w:r w:rsidR="00870908">
        <w:rPr>
          <w:szCs w:val="22"/>
        </w:rPr>
        <w:t xml:space="preserve">for </w:t>
      </w:r>
      <w:r w:rsidR="00337E19">
        <w:rPr>
          <w:szCs w:val="22"/>
        </w:rPr>
        <w:t>all biologic</w:t>
      </w:r>
      <w:r w:rsidR="00870908">
        <w:rPr>
          <w:szCs w:val="22"/>
        </w:rPr>
        <w:t>al DMARDs</w:t>
      </w:r>
      <w:r w:rsidR="00337E19">
        <w:rPr>
          <w:szCs w:val="22"/>
        </w:rPr>
        <w:t xml:space="preserve"> </w:t>
      </w:r>
      <w:r w:rsidR="00870908">
        <w:rPr>
          <w:szCs w:val="22"/>
        </w:rPr>
        <w:t xml:space="preserve">listed for plaque psoriasis </w:t>
      </w:r>
      <w:r w:rsidR="00337E19">
        <w:rPr>
          <w:szCs w:val="22"/>
        </w:rPr>
        <w:t xml:space="preserve">and the net price of apremilast </w:t>
      </w:r>
      <w:r w:rsidR="00870908">
        <w:rPr>
          <w:szCs w:val="22"/>
        </w:rPr>
        <w:t xml:space="preserve">under the proposed </w:t>
      </w:r>
      <w:r w:rsidR="00D62EA0">
        <w:rPr>
          <w:szCs w:val="22"/>
        </w:rPr>
        <w:t>RSA</w:t>
      </w:r>
      <w:r w:rsidR="00337E19">
        <w:rPr>
          <w:szCs w:val="22"/>
        </w:rPr>
        <w:t>. Th</w:t>
      </w:r>
      <w:r w:rsidR="00870908">
        <w:rPr>
          <w:szCs w:val="22"/>
        </w:rPr>
        <w:t>is</w:t>
      </w:r>
      <w:r w:rsidR="00337E19">
        <w:rPr>
          <w:szCs w:val="22"/>
        </w:rPr>
        <w:t xml:space="preserve"> </w:t>
      </w:r>
      <w:r w:rsidR="00870908">
        <w:rPr>
          <w:szCs w:val="22"/>
        </w:rPr>
        <w:t xml:space="preserve">ICER was </w:t>
      </w:r>
      <w:r w:rsidR="00337E19">
        <w:rPr>
          <w:szCs w:val="22"/>
        </w:rPr>
        <w:t>not verified prior to PBAC consideration.</w:t>
      </w:r>
    </w:p>
    <w:p w:rsidR="00DA1BF6" w:rsidRPr="0019793B" w:rsidRDefault="00DA1BF6" w:rsidP="00DA1BF6">
      <w:pPr>
        <w:pStyle w:val="ListParagraph"/>
        <w:widowControl/>
        <w:rPr>
          <w:i/>
          <w:szCs w:val="22"/>
        </w:rPr>
      </w:pPr>
    </w:p>
    <w:p w:rsidR="00A55FEE" w:rsidRPr="0019793B" w:rsidRDefault="00A55FEE" w:rsidP="00C37B58">
      <w:pPr>
        <w:pStyle w:val="Heading2"/>
      </w:pPr>
      <w:r w:rsidRPr="0019793B">
        <w:t>Drug c</w:t>
      </w:r>
      <w:r w:rsidR="00F97F93" w:rsidRPr="0019793B">
        <w:t>ost/patient/year: $</w:t>
      </w:r>
      <w:r w:rsidR="00F17FFB">
        <w:rPr>
          <w:noProof/>
          <w:color w:val="000000"/>
          <w:highlight w:val="black"/>
        </w:rPr>
        <w:t>''''''''''''''</w:t>
      </w:r>
    </w:p>
    <w:p w:rsidR="00A55FEE" w:rsidRPr="0019793B" w:rsidRDefault="00A55FEE" w:rsidP="00C37B58">
      <w:pPr>
        <w:keepNext/>
        <w:ind w:left="720" w:hanging="720"/>
        <w:jc w:val="both"/>
        <w:rPr>
          <w:rFonts w:ascii="Arial" w:hAnsi="Arial"/>
          <w:b/>
          <w:i/>
          <w:sz w:val="22"/>
          <w:szCs w:val="22"/>
        </w:rPr>
      </w:pPr>
    </w:p>
    <w:p w:rsidR="00F97F93" w:rsidRPr="0019793B" w:rsidRDefault="00B45EC5" w:rsidP="00C37B58">
      <w:pPr>
        <w:pStyle w:val="ListParagraph"/>
        <w:widowControl/>
        <w:numPr>
          <w:ilvl w:val="1"/>
          <w:numId w:val="5"/>
        </w:numPr>
        <w:snapToGrid w:val="0"/>
        <w:rPr>
          <w:szCs w:val="22"/>
        </w:rPr>
      </w:pPr>
      <w:r>
        <w:rPr>
          <w:szCs w:val="22"/>
        </w:rPr>
        <w:t xml:space="preserve">The drug cost per patient per year was calculated at </w:t>
      </w:r>
      <w:r w:rsidR="00F97F93" w:rsidRPr="0019793B">
        <w:rPr>
          <w:szCs w:val="22"/>
        </w:rPr>
        <w:t>$</w:t>
      </w:r>
      <w:r w:rsidR="00F17FFB">
        <w:rPr>
          <w:noProof/>
          <w:color w:val="000000"/>
          <w:szCs w:val="22"/>
          <w:highlight w:val="black"/>
        </w:rPr>
        <w:t>'''''''''''''''''''''</w:t>
      </w:r>
      <w:r w:rsidR="00F97F93" w:rsidRPr="0019793B">
        <w:rPr>
          <w:szCs w:val="22"/>
        </w:rPr>
        <w:t xml:space="preserve"> assuming one titration script (lasting for 2 weeks) at an effective DPMQ of $</w:t>
      </w:r>
      <w:r w:rsidR="00F17FFB">
        <w:rPr>
          <w:noProof/>
          <w:color w:val="000000"/>
          <w:szCs w:val="22"/>
          <w:highlight w:val="black"/>
        </w:rPr>
        <w:t>''''''''''''''''</w:t>
      </w:r>
      <w:r w:rsidR="00F97F93" w:rsidRPr="0019793B">
        <w:rPr>
          <w:szCs w:val="22"/>
        </w:rPr>
        <w:t xml:space="preserve"> and 12.5 maintenance scripts per year (lasting for 50 weeks) at an effective DPMQ of $</w:t>
      </w:r>
      <w:r w:rsidR="00F17FFB">
        <w:rPr>
          <w:noProof/>
          <w:color w:val="000000"/>
          <w:szCs w:val="22"/>
          <w:highlight w:val="black"/>
        </w:rPr>
        <w:t>''''''''''''''''</w:t>
      </w:r>
      <w:r w:rsidR="00F97F93" w:rsidRPr="0019793B">
        <w:rPr>
          <w:szCs w:val="22"/>
        </w:rPr>
        <w:t>.</w:t>
      </w:r>
    </w:p>
    <w:p w:rsidR="00F97F93" w:rsidRPr="0019793B" w:rsidRDefault="00F97F93" w:rsidP="00C37B58">
      <w:pPr>
        <w:pStyle w:val="ListParagraph"/>
        <w:widowControl/>
        <w:snapToGrid w:val="0"/>
        <w:rPr>
          <w:szCs w:val="22"/>
        </w:rPr>
      </w:pPr>
    </w:p>
    <w:p w:rsidR="00F97F93" w:rsidRPr="0019793B" w:rsidRDefault="00F97F93" w:rsidP="00C37B58">
      <w:pPr>
        <w:pStyle w:val="ListParagraph"/>
        <w:widowControl/>
        <w:numPr>
          <w:ilvl w:val="1"/>
          <w:numId w:val="5"/>
        </w:numPr>
        <w:snapToGrid w:val="0"/>
        <w:rPr>
          <w:szCs w:val="22"/>
        </w:rPr>
      </w:pPr>
      <w:r w:rsidRPr="0019793B">
        <w:t>The cost of cyclosporin cannot be estimated given details of the mean weight of psoriasis patients and mean dose of cyclosporin used in the Australian setting is unknown. However, the estimated cost per patient per year for cyclosporin applied in the November 2016 major resubmission (and revised in the evaluation) was $</w:t>
      </w:r>
      <w:r w:rsidR="00F17FFB">
        <w:rPr>
          <w:noProof/>
          <w:color w:val="000000"/>
          <w:highlight w:val="black"/>
        </w:rPr>
        <w:t>'''''''''''''''''''</w:t>
      </w:r>
      <w:r w:rsidRPr="0019793B">
        <w:t xml:space="preserve"> per patient per year assuming the varying dosage (mg per day) from the US MarketScan® databases and $4,993.49 assuming a cyclosporin fixed daily dose of 250 mg per day.</w:t>
      </w:r>
    </w:p>
    <w:p w:rsidR="00A55FEE" w:rsidRPr="0019793B" w:rsidRDefault="00A55FEE" w:rsidP="00C37B58">
      <w:pPr>
        <w:ind w:left="720" w:hanging="720"/>
        <w:jc w:val="both"/>
        <w:rPr>
          <w:rFonts w:ascii="Arial" w:hAnsi="Arial"/>
          <w:b/>
          <w:i/>
          <w:sz w:val="22"/>
          <w:szCs w:val="22"/>
        </w:rPr>
      </w:pPr>
    </w:p>
    <w:p w:rsidR="005A3173" w:rsidRPr="0019793B" w:rsidRDefault="005A3173" w:rsidP="00C37B58">
      <w:pPr>
        <w:pStyle w:val="Heading2"/>
      </w:pPr>
      <w:r w:rsidRPr="0019793B">
        <w:t>Estimated PBS usage &amp; financial implications</w:t>
      </w:r>
    </w:p>
    <w:p w:rsidR="005A3173" w:rsidRPr="0019793B" w:rsidRDefault="005A3173" w:rsidP="00C37B58">
      <w:pPr>
        <w:ind w:left="720" w:hanging="720"/>
        <w:jc w:val="both"/>
        <w:rPr>
          <w:rFonts w:ascii="Arial" w:hAnsi="Arial"/>
          <w:b/>
          <w:i/>
          <w:sz w:val="22"/>
          <w:szCs w:val="22"/>
        </w:rPr>
      </w:pPr>
    </w:p>
    <w:p w:rsidR="00773210" w:rsidRPr="0019793B" w:rsidRDefault="00FF2801" w:rsidP="00773210">
      <w:pPr>
        <w:pStyle w:val="ListParagraph"/>
        <w:widowControl/>
        <w:numPr>
          <w:ilvl w:val="1"/>
          <w:numId w:val="5"/>
        </w:numPr>
        <w:snapToGrid w:val="0"/>
      </w:pPr>
      <w:r w:rsidRPr="0019793B">
        <w:t xml:space="preserve">The minor </w:t>
      </w:r>
      <w:r w:rsidR="00E24F73" w:rsidRPr="0019793B">
        <w:t>re</w:t>
      </w:r>
      <w:r w:rsidRPr="0019793B">
        <w:t xml:space="preserve">submission </w:t>
      </w:r>
      <w:r w:rsidR="00F97F93" w:rsidRPr="0019793B">
        <w:t xml:space="preserve">revised the previous utilisation estimates using a market based </w:t>
      </w:r>
      <w:r w:rsidR="00876E33" w:rsidRPr="0019793B">
        <w:t>approach</w:t>
      </w:r>
      <w:r w:rsidR="00F97F93" w:rsidRPr="0019793B">
        <w:t xml:space="preserve"> to reflect the proposed post-methotrexate PBS listing</w:t>
      </w:r>
      <w:r w:rsidR="00773210" w:rsidRPr="0019793B">
        <w:t xml:space="preserve">. </w:t>
      </w:r>
      <w:r w:rsidR="00876E33" w:rsidRPr="0019793B">
        <w:t>By comparison, the November</w:t>
      </w:r>
      <w:r w:rsidR="00F97F93" w:rsidRPr="0019793B">
        <w:t xml:space="preserve"> </w:t>
      </w:r>
      <w:r w:rsidR="00876E33" w:rsidRPr="0019793B">
        <w:t xml:space="preserve">2016 major resubmission used a </w:t>
      </w:r>
      <w:r w:rsidR="00F97F93" w:rsidRPr="0019793B">
        <w:t>combined epidemiological and market share approach.</w:t>
      </w:r>
      <w:r w:rsidR="00C130DF">
        <w:t xml:space="preserve"> The revised approach was not evaluated as this was a minor submission.</w:t>
      </w:r>
    </w:p>
    <w:p w:rsidR="00773210" w:rsidRPr="0019793B" w:rsidRDefault="00773210" w:rsidP="00773210">
      <w:pPr>
        <w:pStyle w:val="ListParagraph"/>
        <w:widowControl/>
        <w:snapToGrid w:val="0"/>
      </w:pPr>
    </w:p>
    <w:p w:rsidR="00B130B8" w:rsidRDefault="00B130B8" w:rsidP="00B130B8">
      <w:pPr>
        <w:pStyle w:val="ListParagraph"/>
        <w:widowControl/>
        <w:numPr>
          <w:ilvl w:val="1"/>
          <w:numId w:val="5"/>
        </w:numPr>
        <w:snapToGrid w:val="0"/>
      </w:pPr>
      <w:r w:rsidRPr="0019793B">
        <w:t xml:space="preserve">The minor </w:t>
      </w:r>
      <w:r w:rsidR="00E24F73" w:rsidRPr="0019793B">
        <w:t>re</w:t>
      </w:r>
      <w:r w:rsidRPr="0019793B">
        <w:t>submission estimated the number of patients eligible for apremilast by estimating the number of patient</w:t>
      </w:r>
      <w:r w:rsidR="00B45EC5">
        <w:t>s</w:t>
      </w:r>
      <w:r w:rsidRPr="0019793B">
        <w:t xml:space="preserve"> initiating and prevalent to methotrexate using NostraData. </w:t>
      </w:r>
      <w:r w:rsidRPr="00D67EC7">
        <w:t xml:space="preserve">The Secretariat checked this estimate by counting patients initiating and prevalent to methotrexate in the full PBS prescription dataset. This showed that the submission had overestimated methotrexate initiators by approximately 35% and underestimated prevalent patients by approximately 34%. If the PBS dataset methotrexate patient counts </w:t>
      </w:r>
      <w:r w:rsidR="0047195D">
        <w:t>were</w:t>
      </w:r>
      <w:r w:rsidR="0047195D" w:rsidRPr="00D67EC7">
        <w:t xml:space="preserve"> </w:t>
      </w:r>
      <w:r w:rsidRPr="00D67EC7">
        <w:t>used in the submission’s utilisation spreadsheet (i.e. keeping all other submission assumptions) then the number of patients in Year 1 increase</w:t>
      </w:r>
      <w:r w:rsidR="0047195D">
        <w:t>d</w:t>
      </w:r>
      <w:r w:rsidRPr="00D67EC7">
        <w:t xml:space="preserve"> by 16% (due to the higher number of prevalent patients) and decrease</w:t>
      </w:r>
      <w:r w:rsidR="0047195D">
        <w:t>d</w:t>
      </w:r>
      <w:r w:rsidRPr="00D67EC7">
        <w:t xml:space="preserve"> by 22% in Year 5 (due to the lower number of initiating patients). Over the 5 year period the total number of patients treated is approximately the same (i.e. a 4% decrease when using the PBS dataset methotrexate patient counts</w:t>
      </w:r>
      <w:r w:rsidR="00F12675" w:rsidRPr="00D67EC7">
        <w:t>)</w:t>
      </w:r>
      <w:r w:rsidRPr="00D67EC7">
        <w:t>. However, the cost to the PBS of apremilast in Year 5 would be reduced to around $</w:t>
      </w:r>
      <w:r w:rsidR="00FB3907">
        <w:t>30 - 60</w:t>
      </w:r>
      <w:r w:rsidR="00FB3907" w:rsidRPr="00D67EC7">
        <w:t xml:space="preserve"> </w:t>
      </w:r>
      <w:r w:rsidRPr="00D67EC7">
        <w:t>million which is below Cap 1 of the proposed</w:t>
      </w:r>
      <w:r w:rsidR="00D62EA0">
        <w:t xml:space="preserve"> </w:t>
      </w:r>
      <w:r w:rsidRPr="00D67EC7">
        <w:t>RSA (see Table 4).</w:t>
      </w:r>
    </w:p>
    <w:p w:rsidR="00337E19" w:rsidRDefault="00337E19" w:rsidP="00BE080A">
      <w:pPr>
        <w:pStyle w:val="ListParagraph"/>
        <w:widowControl/>
        <w:snapToGrid w:val="0"/>
      </w:pPr>
    </w:p>
    <w:p w:rsidR="00337E19" w:rsidRPr="00D67EC7" w:rsidRDefault="00F20466" w:rsidP="00B130B8">
      <w:pPr>
        <w:pStyle w:val="ListParagraph"/>
        <w:widowControl/>
        <w:numPr>
          <w:ilvl w:val="1"/>
          <w:numId w:val="5"/>
        </w:numPr>
        <w:snapToGrid w:val="0"/>
      </w:pPr>
      <w:r>
        <w:t xml:space="preserve">In </w:t>
      </w:r>
      <w:r w:rsidR="00C34752">
        <w:t>its</w:t>
      </w:r>
      <w:r w:rsidR="00391B69">
        <w:t xml:space="preserve"> </w:t>
      </w:r>
      <w:r w:rsidR="00C34752">
        <w:t>p</w:t>
      </w:r>
      <w:r w:rsidR="00337E19">
        <w:t>re-PBAC response</w:t>
      </w:r>
      <w:r>
        <w:t xml:space="preserve"> (p3)</w:t>
      </w:r>
      <w:r w:rsidR="00C34752">
        <w:t>,</w:t>
      </w:r>
      <w:r>
        <w:t xml:space="preserve"> the sponsor stated it is willing to establish appropriate inputs for methotrexate initiation and prevalence</w:t>
      </w:r>
      <w:r w:rsidR="004F1C84">
        <w:t>,</w:t>
      </w:r>
      <w:r>
        <w:t xml:space="preserve"> and recalculate the </w:t>
      </w:r>
      <w:r w:rsidR="00C34752">
        <w:t>proposed RSA c</w:t>
      </w:r>
      <w:r>
        <w:t>aps to result in the same net price for apremilast as proposed in this submission</w:t>
      </w:r>
      <w:r w:rsidR="00527F3B">
        <w:t>.</w:t>
      </w:r>
    </w:p>
    <w:p w:rsidR="00B130B8" w:rsidRPr="0019793B" w:rsidRDefault="00B130B8" w:rsidP="00B130B8">
      <w:pPr>
        <w:pStyle w:val="ListParagraph"/>
        <w:rPr>
          <w:i/>
        </w:rPr>
      </w:pPr>
    </w:p>
    <w:p w:rsidR="00BB7EC3" w:rsidRDefault="00F97F93" w:rsidP="00C37B58">
      <w:pPr>
        <w:pStyle w:val="ListParagraph"/>
        <w:widowControl/>
        <w:numPr>
          <w:ilvl w:val="1"/>
          <w:numId w:val="5"/>
        </w:numPr>
        <w:snapToGrid w:val="0"/>
      </w:pPr>
      <w:r w:rsidRPr="0019793B">
        <w:t xml:space="preserve">The minor resubmission </w:t>
      </w:r>
      <w:r w:rsidR="00FF2801" w:rsidRPr="0019793B">
        <w:t>estimated</w:t>
      </w:r>
      <w:r w:rsidR="00C00DA7" w:rsidRPr="0019793B">
        <w:t xml:space="preserve"> </w:t>
      </w:r>
      <w:r w:rsidR="00FB3907">
        <w:t>10,000 – 50,000</w:t>
      </w:r>
      <w:r w:rsidR="00F720FD" w:rsidRPr="0019793B">
        <w:t xml:space="preserve"> patients and </w:t>
      </w:r>
      <w:r w:rsidR="00C00DA7" w:rsidRPr="0019793B">
        <w:t>a net cost</w:t>
      </w:r>
      <w:r w:rsidR="00F720FD" w:rsidRPr="0019793B">
        <w:t xml:space="preserve"> to the PBS</w:t>
      </w:r>
      <w:r w:rsidR="00FA3D95" w:rsidRPr="0019793B">
        <w:t>/RPBS</w:t>
      </w:r>
      <w:r w:rsidR="00F720FD" w:rsidRPr="0019793B">
        <w:t xml:space="preserve"> of $</w:t>
      </w:r>
      <w:r w:rsidR="00FB3907">
        <w:t>60 - $100</w:t>
      </w:r>
      <w:r w:rsidR="00FB3907" w:rsidRPr="0019793B">
        <w:t> </w:t>
      </w:r>
      <w:r w:rsidR="00F720FD" w:rsidRPr="0019793B">
        <w:t>million</w:t>
      </w:r>
      <w:r w:rsidR="00C00DA7" w:rsidRPr="0019793B">
        <w:t xml:space="preserve"> in Year 5 of listing, with a total </w:t>
      </w:r>
      <w:r w:rsidR="00FA3D95" w:rsidRPr="0019793B">
        <w:t>net cost</w:t>
      </w:r>
      <w:r w:rsidR="00F720FD" w:rsidRPr="0019793B">
        <w:t xml:space="preserve"> to </w:t>
      </w:r>
      <w:r w:rsidR="00FA3D95" w:rsidRPr="0019793B">
        <w:t xml:space="preserve">the PBS/RPBS of </w:t>
      </w:r>
      <w:r w:rsidR="00FB3907">
        <w:t>more than $100</w:t>
      </w:r>
      <w:r w:rsidR="00FA3D95" w:rsidRPr="0019793B">
        <w:t> </w:t>
      </w:r>
      <w:r w:rsidR="00F720FD" w:rsidRPr="0019793B">
        <w:t>million over the first five</w:t>
      </w:r>
      <w:r w:rsidR="00C00DA7" w:rsidRPr="0019793B">
        <w:t xml:space="preserve"> years.  This is summarised in </w:t>
      </w:r>
      <w:r w:rsidR="00956081" w:rsidRPr="0019793B">
        <w:t>T</w:t>
      </w:r>
      <w:r w:rsidR="00C00DA7" w:rsidRPr="0019793B">
        <w:t xml:space="preserve">able </w:t>
      </w:r>
      <w:r w:rsidR="00956081" w:rsidRPr="0019793B">
        <w:t>3</w:t>
      </w:r>
      <w:r w:rsidR="00C00DA7" w:rsidRPr="0019793B">
        <w:t>.</w:t>
      </w:r>
    </w:p>
    <w:p w:rsidR="00494814" w:rsidRDefault="00494814" w:rsidP="00494814">
      <w:pPr>
        <w:pStyle w:val="ListParagraph"/>
      </w:pPr>
    </w:p>
    <w:p w:rsidR="00F720FD" w:rsidRPr="0019793B" w:rsidRDefault="00956081" w:rsidP="00685C10">
      <w:pPr>
        <w:keepNext/>
        <w:ind w:firstLine="720"/>
        <w:rPr>
          <w:rStyle w:val="CommentReference"/>
          <w:rFonts w:ascii="Arial Narrow" w:hAnsi="Arial Narrow"/>
          <w:b/>
          <w:sz w:val="20"/>
          <w:szCs w:val="20"/>
        </w:rPr>
      </w:pPr>
      <w:r w:rsidRPr="0019793B">
        <w:rPr>
          <w:rStyle w:val="CommentReference"/>
          <w:rFonts w:ascii="Arial Narrow" w:hAnsi="Arial Narrow"/>
          <w:b/>
          <w:sz w:val="20"/>
          <w:szCs w:val="20"/>
        </w:rPr>
        <w:t>Table 3</w:t>
      </w:r>
      <w:r w:rsidR="00F720FD" w:rsidRPr="0019793B">
        <w:rPr>
          <w:rStyle w:val="CommentReference"/>
          <w:rFonts w:ascii="Arial Narrow" w:hAnsi="Arial Narrow"/>
          <w:b/>
          <w:sz w:val="20"/>
          <w:szCs w:val="20"/>
        </w:rPr>
        <w:t>: 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4"/>
        <w:gridCol w:w="1275"/>
        <w:gridCol w:w="992"/>
        <w:gridCol w:w="992"/>
        <w:gridCol w:w="1561"/>
        <w:gridCol w:w="1559"/>
      </w:tblGrid>
      <w:tr w:rsidR="00F720FD" w:rsidRPr="0019793B" w:rsidTr="00494814">
        <w:trPr>
          <w:tblHeader/>
        </w:trPr>
        <w:tc>
          <w:tcPr>
            <w:tcW w:w="1187" w:type="pct"/>
            <w:shd w:val="clear" w:color="auto" w:fill="auto"/>
            <w:vAlign w:val="center"/>
          </w:tcPr>
          <w:p w:rsidR="00F720FD" w:rsidRPr="0019793B" w:rsidRDefault="00F720FD" w:rsidP="00C37B58">
            <w:pPr>
              <w:keepNext/>
              <w:tabs>
                <w:tab w:val="left" w:pos="142"/>
              </w:tabs>
              <w:ind w:right="93"/>
              <w:rPr>
                <w:rFonts w:ascii="Arial Narrow" w:hAnsi="Arial Narrow"/>
                <w:b/>
                <w:sz w:val="20"/>
              </w:rPr>
            </w:pPr>
          </w:p>
        </w:tc>
        <w:tc>
          <w:tcPr>
            <w:tcW w:w="762" w:type="pct"/>
            <w:shd w:val="clear" w:color="auto" w:fill="auto"/>
            <w:vAlign w:val="center"/>
          </w:tcPr>
          <w:p w:rsidR="00F720FD" w:rsidRPr="0019793B" w:rsidRDefault="00F720FD" w:rsidP="00C37B58">
            <w:pPr>
              <w:keepNext/>
              <w:ind w:right="93"/>
              <w:jc w:val="center"/>
              <w:rPr>
                <w:rFonts w:ascii="Arial Narrow" w:hAnsi="Arial Narrow"/>
                <w:b/>
                <w:sz w:val="20"/>
              </w:rPr>
            </w:pPr>
            <w:r w:rsidRPr="0019793B">
              <w:rPr>
                <w:rFonts w:ascii="Arial Narrow" w:hAnsi="Arial Narrow"/>
                <w:b/>
                <w:sz w:val="20"/>
              </w:rPr>
              <w:t>Year 1</w:t>
            </w:r>
          </w:p>
        </w:tc>
        <w:tc>
          <w:tcPr>
            <w:tcW w:w="593" w:type="pct"/>
            <w:shd w:val="clear" w:color="auto" w:fill="auto"/>
            <w:vAlign w:val="center"/>
          </w:tcPr>
          <w:p w:rsidR="00F720FD" w:rsidRPr="0019793B" w:rsidRDefault="00F720FD" w:rsidP="00C37B58">
            <w:pPr>
              <w:keepNext/>
              <w:ind w:right="93"/>
              <w:jc w:val="center"/>
              <w:rPr>
                <w:rFonts w:ascii="Arial Narrow" w:hAnsi="Arial Narrow"/>
                <w:b/>
                <w:sz w:val="20"/>
              </w:rPr>
            </w:pPr>
            <w:r w:rsidRPr="0019793B">
              <w:rPr>
                <w:rFonts w:ascii="Arial Narrow" w:hAnsi="Arial Narrow"/>
                <w:b/>
                <w:sz w:val="20"/>
              </w:rPr>
              <w:t>Year 2</w:t>
            </w:r>
          </w:p>
        </w:tc>
        <w:tc>
          <w:tcPr>
            <w:tcW w:w="593" w:type="pct"/>
            <w:shd w:val="clear" w:color="auto" w:fill="auto"/>
            <w:vAlign w:val="center"/>
          </w:tcPr>
          <w:p w:rsidR="00F720FD" w:rsidRPr="0019793B" w:rsidRDefault="00F720FD" w:rsidP="00C37B58">
            <w:pPr>
              <w:keepNext/>
              <w:ind w:right="93"/>
              <w:jc w:val="center"/>
              <w:rPr>
                <w:rFonts w:ascii="Arial Narrow" w:hAnsi="Arial Narrow"/>
                <w:b/>
                <w:sz w:val="20"/>
              </w:rPr>
            </w:pPr>
            <w:r w:rsidRPr="0019793B">
              <w:rPr>
                <w:rFonts w:ascii="Arial Narrow" w:hAnsi="Arial Narrow"/>
                <w:b/>
                <w:sz w:val="20"/>
              </w:rPr>
              <w:t>Year 3</w:t>
            </w:r>
          </w:p>
        </w:tc>
        <w:tc>
          <w:tcPr>
            <w:tcW w:w="933" w:type="pct"/>
            <w:shd w:val="clear" w:color="auto" w:fill="auto"/>
            <w:vAlign w:val="center"/>
          </w:tcPr>
          <w:p w:rsidR="00F720FD" w:rsidRPr="0019793B" w:rsidRDefault="00F720FD" w:rsidP="00C37B58">
            <w:pPr>
              <w:keepNext/>
              <w:ind w:right="93"/>
              <w:jc w:val="center"/>
              <w:rPr>
                <w:rFonts w:ascii="Arial Narrow" w:hAnsi="Arial Narrow"/>
                <w:b/>
                <w:sz w:val="20"/>
              </w:rPr>
            </w:pPr>
            <w:r w:rsidRPr="0019793B">
              <w:rPr>
                <w:rFonts w:ascii="Arial Narrow" w:hAnsi="Arial Narrow"/>
                <w:b/>
                <w:sz w:val="20"/>
              </w:rPr>
              <w:t>Year 4</w:t>
            </w:r>
          </w:p>
        </w:tc>
        <w:tc>
          <w:tcPr>
            <w:tcW w:w="932" w:type="pct"/>
            <w:shd w:val="clear" w:color="auto" w:fill="auto"/>
            <w:vAlign w:val="center"/>
          </w:tcPr>
          <w:p w:rsidR="00F720FD" w:rsidRPr="0019793B" w:rsidRDefault="00F720FD" w:rsidP="00C37B58">
            <w:pPr>
              <w:keepNext/>
              <w:ind w:right="93"/>
              <w:jc w:val="center"/>
              <w:rPr>
                <w:rFonts w:ascii="Arial Narrow" w:hAnsi="Arial Narrow"/>
                <w:b/>
                <w:sz w:val="20"/>
              </w:rPr>
            </w:pPr>
            <w:r w:rsidRPr="0019793B">
              <w:rPr>
                <w:rFonts w:ascii="Arial Narrow" w:hAnsi="Arial Narrow"/>
                <w:b/>
                <w:sz w:val="20"/>
              </w:rPr>
              <w:t>Year 5</w:t>
            </w:r>
          </w:p>
        </w:tc>
      </w:tr>
      <w:tr w:rsidR="00F720FD" w:rsidRPr="0019793B" w:rsidTr="00494814">
        <w:tc>
          <w:tcPr>
            <w:tcW w:w="5000" w:type="pct"/>
            <w:gridSpan w:val="6"/>
            <w:shd w:val="clear" w:color="auto" w:fill="auto"/>
            <w:vAlign w:val="center"/>
          </w:tcPr>
          <w:p w:rsidR="00F720FD" w:rsidRPr="0019793B" w:rsidRDefault="00F720FD" w:rsidP="00C37B58">
            <w:pPr>
              <w:keepNext/>
              <w:ind w:right="93"/>
              <w:rPr>
                <w:rFonts w:ascii="Arial Narrow" w:hAnsi="Arial Narrow"/>
                <w:b/>
                <w:bCs/>
                <w:color w:val="000000"/>
                <w:sz w:val="20"/>
              </w:rPr>
            </w:pPr>
            <w:r w:rsidRPr="0019793B">
              <w:rPr>
                <w:rFonts w:ascii="Arial Narrow" w:hAnsi="Arial Narrow"/>
                <w:b/>
                <w:bCs/>
                <w:color w:val="000000"/>
                <w:sz w:val="20"/>
              </w:rPr>
              <w:t>Estimated extent of use</w:t>
            </w:r>
          </w:p>
        </w:tc>
      </w:tr>
      <w:tr w:rsidR="00956081" w:rsidRPr="0019793B" w:rsidTr="00494814">
        <w:tc>
          <w:tcPr>
            <w:tcW w:w="1187" w:type="pct"/>
            <w:shd w:val="clear" w:color="auto" w:fill="auto"/>
            <w:vAlign w:val="center"/>
          </w:tcPr>
          <w:p w:rsidR="00956081" w:rsidRPr="0019793B" w:rsidRDefault="00956081" w:rsidP="00C37B58">
            <w:pPr>
              <w:keepNext/>
              <w:tabs>
                <w:tab w:val="left" w:pos="142"/>
              </w:tabs>
              <w:ind w:right="93"/>
              <w:rPr>
                <w:rFonts w:ascii="Arial Narrow" w:hAnsi="Arial Narrow"/>
                <w:sz w:val="20"/>
              </w:rPr>
            </w:pPr>
            <w:r w:rsidRPr="0019793B">
              <w:rPr>
                <w:rFonts w:ascii="Arial Narrow" w:hAnsi="Arial Narrow"/>
                <w:sz w:val="20"/>
              </w:rPr>
              <w:t>Number treated</w:t>
            </w:r>
          </w:p>
        </w:tc>
        <w:tc>
          <w:tcPr>
            <w:tcW w:w="762" w:type="pct"/>
            <w:vAlign w:val="center"/>
          </w:tcPr>
          <w:p w:rsidR="00956081" w:rsidRPr="0019793B" w:rsidRDefault="00F17FFB" w:rsidP="00C37B58">
            <w:pPr>
              <w:keepNext/>
              <w:ind w:right="93"/>
              <w:jc w:val="center"/>
              <w:rPr>
                <w:rFonts w:ascii="Arial Narrow" w:hAnsi="Arial Narrow"/>
                <w:sz w:val="20"/>
              </w:rPr>
            </w:pPr>
            <w:r>
              <w:rPr>
                <w:rFonts w:ascii="Arial Narrow" w:hAnsi="Arial Narrow"/>
                <w:noProof/>
                <w:color w:val="000000"/>
                <w:sz w:val="20"/>
                <w:highlight w:val="black"/>
              </w:rPr>
              <w:t>'''''''''''''''</w:t>
            </w:r>
            <w:r w:rsidR="003A61DE" w:rsidRPr="0019793B">
              <w:rPr>
                <w:rFonts w:ascii="Arial Narrow" w:hAnsi="Arial Narrow"/>
                <w:sz w:val="20"/>
                <w:vertAlign w:val="superscript"/>
              </w:rPr>
              <w:t>a</w:t>
            </w:r>
          </w:p>
        </w:tc>
        <w:tc>
          <w:tcPr>
            <w:tcW w:w="593" w:type="pct"/>
            <w:vAlign w:val="center"/>
          </w:tcPr>
          <w:p w:rsidR="00956081"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vAlign w:val="center"/>
          </w:tcPr>
          <w:p w:rsidR="00956081"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3" w:type="pct"/>
            <w:vAlign w:val="center"/>
          </w:tcPr>
          <w:p w:rsidR="00956081"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956081"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F720FD" w:rsidRPr="0019793B" w:rsidTr="00494814">
        <w:tc>
          <w:tcPr>
            <w:tcW w:w="1187" w:type="pct"/>
            <w:tcBorders>
              <w:bottom w:val="single" w:sz="4" w:space="0" w:color="auto"/>
            </w:tcBorders>
            <w:shd w:val="clear" w:color="auto" w:fill="auto"/>
            <w:vAlign w:val="center"/>
          </w:tcPr>
          <w:p w:rsidR="00F720FD" w:rsidRPr="00BE080A" w:rsidRDefault="00F720FD" w:rsidP="00C37B58">
            <w:pPr>
              <w:keepNext/>
              <w:tabs>
                <w:tab w:val="left" w:pos="142"/>
              </w:tabs>
              <w:ind w:right="93"/>
              <w:rPr>
                <w:rFonts w:ascii="Arial Narrow" w:hAnsi="Arial Narrow"/>
                <w:sz w:val="20"/>
              </w:rPr>
            </w:pPr>
            <w:r w:rsidRPr="00BE080A">
              <w:rPr>
                <w:rFonts w:ascii="Arial Narrow" w:hAnsi="Arial Narrow"/>
                <w:sz w:val="20"/>
              </w:rPr>
              <w:t>Number treated</w:t>
            </w:r>
            <w:r w:rsidR="00956081" w:rsidRPr="00BE080A">
              <w:rPr>
                <w:rFonts w:ascii="Arial Narrow" w:hAnsi="Arial Narrow"/>
                <w:sz w:val="20"/>
              </w:rPr>
              <w:t xml:space="preserve"> – Nov 2016</w:t>
            </w:r>
          </w:p>
        </w:tc>
        <w:tc>
          <w:tcPr>
            <w:tcW w:w="762" w:type="pct"/>
            <w:tcBorders>
              <w:bottom w:val="single" w:sz="4" w:space="0" w:color="auto"/>
            </w:tcBorders>
            <w:vAlign w:val="center"/>
          </w:tcPr>
          <w:p w:rsidR="00F720FD" w:rsidRPr="00F17FFB" w:rsidRDefault="00F17FFB" w:rsidP="00C37B58">
            <w:pPr>
              <w:keepNext/>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593" w:type="pct"/>
            <w:tcBorders>
              <w:bottom w:val="single" w:sz="4" w:space="0" w:color="auto"/>
            </w:tcBorders>
            <w:vAlign w:val="center"/>
          </w:tcPr>
          <w:p w:rsidR="00F720FD" w:rsidRPr="00F17FFB" w:rsidRDefault="00F17FFB" w:rsidP="00C37B58">
            <w:pPr>
              <w:keepNext/>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593" w:type="pct"/>
            <w:tcBorders>
              <w:bottom w:val="single" w:sz="4" w:space="0" w:color="auto"/>
            </w:tcBorders>
            <w:vAlign w:val="center"/>
          </w:tcPr>
          <w:p w:rsidR="00F720FD" w:rsidRPr="00F17FFB" w:rsidRDefault="00F17FFB" w:rsidP="00C37B58">
            <w:pPr>
              <w:keepNext/>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933" w:type="pct"/>
            <w:tcBorders>
              <w:bottom w:val="single" w:sz="4" w:space="0" w:color="auto"/>
            </w:tcBorders>
            <w:vAlign w:val="center"/>
          </w:tcPr>
          <w:p w:rsidR="00F720FD" w:rsidRPr="00F17FFB" w:rsidRDefault="00F17FFB" w:rsidP="00C37B58">
            <w:pPr>
              <w:keepNext/>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932" w:type="pct"/>
            <w:tcBorders>
              <w:bottom w:val="single" w:sz="4" w:space="0" w:color="auto"/>
            </w:tcBorders>
            <w:vAlign w:val="center"/>
          </w:tcPr>
          <w:p w:rsidR="00F720FD" w:rsidRPr="00F17FFB" w:rsidRDefault="00F17FFB" w:rsidP="00C37B58">
            <w:pPr>
              <w:keepNext/>
              <w:ind w:right="93"/>
              <w:jc w:val="center"/>
              <w:rPr>
                <w:rFonts w:ascii="Arial Narrow" w:hAnsi="Arial Narrow"/>
                <w:color w:val="000000"/>
                <w:sz w:val="20"/>
                <w:highlight w:val="black"/>
              </w:rPr>
            </w:pPr>
            <w:r>
              <w:rPr>
                <w:rFonts w:ascii="Arial Narrow" w:hAnsi="Arial Narrow"/>
                <w:noProof/>
                <w:color w:val="000000"/>
                <w:sz w:val="20"/>
                <w:highlight w:val="black"/>
              </w:rPr>
              <w:t>''''''''''''</w:t>
            </w:r>
          </w:p>
        </w:tc>
      </w:tr>
      <w:tr w:rsidR="00F720FD" w:rsidRPr="0019793B" w:rsidTr="00494814">
        <w:trPr>
          <w:trHeight w:val="179"/>
        </w:trPr>
        <w:tc>
          <w:tcPr>
            <w:tcW w:w="1187" w:type="pct"/>
            <w:tcBorders>
              <w:bottom w:val="nil"/>
            </w:tcBorders>
            <w:shd w:val="clear" w:color="auto" w:fill="auto"/>
            <w:vAlign w:val="center"/>
          </w:tcPr>
          <w:p w:rsidR="00F720FD" w:rsidRPr="00BB5D14" w:rsidRDefault="00F720FD" w:rsidP="003A61DE">
            <w:pPr>
              <w:keepNext/>
              <w:tabs>
                <w:tab w:val="left" w:pos="142"/>
              </w:tabs>
              <w:ind w:right="93"/>
              <w:rPr>
                <w:rFonts w:ascii="Arial Narrow" w:hAnsi="Arial Narrow"/>
                <w:sz w:val="20"/>
              </w:rPr>
            </w:pPr>
            <w:r w:rsidRPr="00C34752">
              <w:rPr>
                <w:rFonts w:ascii="Arial Narrow" w:hAnsi="Arial Narrow"/>
                <w:sz w:val="20"/>
              </w:rPr>
              <w:t>Titration packs</w:t>
            </w:r>
            <w:r w:rsidR="003A61DE" w:rsidRPr="002E44DB">
              <w:rPr>
                <w:rFonts w:ascii="Arial Narrow" w:hAnsi="Arial Narrow"/>
                <w:sz w:val="20"/>
                <w:vertAlign w:val="superscript"/>
              </w:rPr>
              <w:t>b</w:t>
            </w:r>
          </w:p>
        </w:tc>
        <w:tc>
          <w:tcPr>
            <w:tcW w:w="762" w:type="pct"/>
            <w:tcBorders>
              <w:bottom w:val="nil"/>
            </w:tcBorders>
            <w:vAlign w:val="center"/>
          </w:tcPr>
          <w:p w:rsidR="00F720FD" w:rsidRPr="00F17FFB" w:rsidRDefault="00F17FFB" w:rsidP="006B1573">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bottom w:val="nil"/>
            </w:tcBorders>
            <w:vAlign w:val="center"/>
          </w:tcPr>
          <w:p w:rsidR="00F720FD" w:rsidRPr="00F17FFB" w:rsidRDefault="00F17FFB" w:rsidP="006B1573">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bottom w:val="nil"/>
            </w:tcBorders>
            <w:vAlign w:val="center"/>
          </w:tcPr>
          <w:p w:rsidR="00F720FD" w:rsidRPr="00F17FFB" w:rsidRDefault="00F17FFB" w:rsidP="006B1573">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3" w:type="pct"/>
            <w:tcBorders>
              <w:bottom w:val="nil"/>
            </w:tcBorders>
            <w:vAlign w:val="center"/>
          </w:tcPr>
          <w:p w:rsidR="00F720FD" w:rsidRPr="00F17FFB" w:rsidRDefault="00F17FFB" w:rsidP="006B1573">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2" w:type="pct"/>
            <w:tcBorders>
              <w:bottom w:val="nil"/>
            </w:tcBorders>
            <w:vAlign w:val="center"/>
          </w:tcPr>
          <w:p w:rsidR="00F720FD" w:rsidRPr="00F17FFB" w:rsidRDefault="00F17FFB" w:rsidP="006B1573">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6B1573" w:rsidRPr="0019793B" w:rsidTr="00494814">
        <w:trPr>
          <w:trHeight w:val="226"/>
        </w:trPr>
        <w:tc>
          <w:tcPr>
            <w:tcW w:w="1187" w:type="pct"/>
            <w:tcBorders>
              <w:top w:val="nil"/>
            </w:tcBorders>
            <w:shd w:val="clear" w:color="auto" w:fill="auto"/>
            <w:vAlign w:val="center"/>
          </w:tcPr>
          <w:p w:rsidR="006B1573" w:rsidRPr="00BB5D14" w:rsidRDefault="006B1573" w:rsidP="00C37B58">
            <w:pPr>
              <w:keepNext/>
              <w:tabs>
                <w:tab w:val="left" w:pos="142"/>
              </w:tabs>
              <w:ind w:right="93"/>
              <w:rPr>
                <w:rFonts w:ascii="Arial Narrow" w:hAnsi="Arial Narrow"/>
                <w:sz w:val="20"/>
              </w:rPr>
            </w:pPr>
            <w:r w:rsidRPr="00C34752">
              <w:rPr>
                <w:rFonts w:ascii="Arial Narrow" w:hAnsi="Arial Narrow"/>
                <w:sz w:val="20"/>
              </w:rPr>
              <w:t>Standard packs</w:t>
            </w:r>
            <w:r w:rsidR="003A61DE" w:rsidRPr="002E44DB">
              <w:rPr>
                <w:rFonts w:ascii="Arial Narrow" w:hAnsi="Arial Narrow"/>
                <w:sz w:val="20"/>
                <w:vertAlign w:val="superscript"/>
              </w:rPr>
              <w:t>c</w:t>
            </w:r>
          </w:p>
        </w:tc>
        <w:tc>
          <w:tcPr>
            <w:tcW w:w="762" w:type="pct"/>
            <w:tcBorders>
              <w:top w:val="nil"/>
            </w:tcBorders>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top w:val="nil"/>
            </w:tcBorders>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top w:val="nil"/>
            </w:tcBorders>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3" w:type="pct"/>
            <w:tcBorders>
              <w:top w:val="nil"/>
            </w:tcBorders>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2" w:type="pct"/>
            <w:tcBorders>
              <w:top w:val="nil"/>
            </w:tcBorders>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6B1573" w:rsidRPr="0019793B" w:rsidTr="00494814">
        <w:tc>
          <w:tcPr>
            <w:tcW w:w="1187" w:type="pct"/>
            <w:shd w:val="clear" w:color="auto" w:fill="auto"/>
            <w:vAlign w:val="center"/>
          </w:tcPr>
          <w:p w:rsidR="006B1573" w:rsidRPr="00C34752" w:rsidRDefault="006B1573" w:rsidP="00C37B58">
            <w:pPr>
              <w:keepNext/>
              <w:tabs>
                <w:tab w:val="left" w:pos="142"/>
              </w:tabs>
              <w:ind w:right="93"/>
              <w:rPr>
                <w:rFonts w:ascii="Arial Narrow" w:hAnsi="Arial Narrow"/>
                <w:sz w:val="20"/>
              </w:rPr>
            </w:pPr>
            <w:r w:rsidRPr="00C34752">
              <w:rPr>
                <w:rFonts w:ascii="Arial Narrow" w:hAnsi="Arial Narrow"/>
                <w:sz w:val="20"/>
              </w:rPr>
              <w:t>Total packs</w:t>
            </w:r>
          </w:p>
        </w:tc>
        <w:tc>
          <w:tcPr>
            <w:tcW w:w="762" w:type="pct"/>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593" w:type="pct"/>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3" w:type="pct"/>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6B1573" w:rsidRPr="00F17FFB" w:rsidRDefault="00F17FFB" w:rsidP="00C37B58">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F720FD" w:rsidRPr="0019793B" w:rsidTr="00494814">
        <w:tc>
          <w:tcPr>
            <w:tcW w:w="1187" w:type="pct"/>
            <w:shd w:val="clear" w:color="auto" w:fill="auto"/>
            <w:vAlign w:val="center"/>
          </w:tcPr>
          <w:p w:rsidR="00F720FD" w:rsidRPr="00BE080A" w:rsidRDefault="00F720FD" w:rsidP="00C37B58">
            <w:pPr>
              <w:keepNext/>
              <w:tabs>
                <w:tab w:val="left" w:pos="142"/>
              </w:tabs>
              <w:ind w:right="93"/>
              <w:rPr>
                <w:rFonts w:ascii="Arial Narrow" w:hAnsi="Arial Narrow"/>
                <w:sz w:val="20"/>
              </w:rPr>
            </w:pPr>
            <w:r w:rsidRPr="00BE080A">
              <w:rPr>
                <w:rFonts w:ascii="Arial Narrow" w:hAnsi="Arial Narrow"/>
                <w:sz w:val="20"/>
              </w:rPr>
              <w:t>Total packs</w:t>
            </w:r>
            <w:r w:rsidR="00956081" w:rsidRPr="00BE080A">
              <w:rPr>
                <w:rFonts w:ascii="Arial Narrow" w:hAnsi="Arial Narrow"/>
                <w:sz w:val="20"/>
              </w:rPr>
              <w:t xml:space="preserve"> – Nov 2016</w:t>
            </w:r>
          </w:p>
        </w:tc>
        <w:tc>
          <w:tcPr>
            <w:tcW w:w="762" w:type="pct"/>
            <w:vAlign w:val="center"/>
          </w:tcPr>
          <w:p w:rsidR="00F720FD" w:rsidRPr="00F17FFB" w:rsidRDefault="00F17FFB" w:rsidP="00C37B58">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3" w:type="pct"/>
            <w:vAlign w:val="center"/>
          </w:tcPr>
          <w:p w:rsidR="00F720FD" w:rsidRPr="00F17FFB" w:rsidRDefault="00F17FFB" w:rsidP="00C37B58">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3" w:type="pct"/>
            <w:vAlign w:val="center"/>
          </w:tcPr>
          <w:p w:rsidR="00F720FD" w:rsidRPr="00F17FFB" w:rsidRDefault="00F17FFB" w:rsidP="00C37B58">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33" w:type="pct"/>
            <w:vAlign w:val="center"/>
          </w:tcPr>
          <w:p w:rsidR="00F720FD" w:rsidRPr="00F17FFB" w:rsidRDefault="00F17FFB" w:rsidP="00C37B58">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32" w:type="pct"/>
            <w:vAlign w:val="center"/>
          </w:tcPr>
          <w:p w:rsidR="00F720FD" w:rsidRPr="00F17FFB" w:rsidRDefault="00F17FFB" w:rsidP="00C37B58">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720FD" w:rsidRPr="0019793B" w:rsidTr="00494814">
        <w:tc>
          <w:tcPr>
            <w:tcW w:w="5000" w:type="pct"/>
            <w:gridSpan w:val="6"/>
            <w:shd w:val="clear" w:color="auto" w:fill="auto"/>
            <w:vAlign w:val="center"/>
          </w:tcPr>
          <w:p w:rsidR="00F720FD" w:rsidRPr="002E44DB" w:rsidRDefault="004B5A20" w:rsidP="00C37B58">
            <w:pPr>
              <w:keepNext/>
              <w:ind w:right="93"/>
              <w:rPr>
                <w:rFonts w:ascii="Arial Narrow" w:hAnsi="Arial Narrow"/>
                <w:b/>
                <w:bCs/>
                <w:color w:val="000000"/>
                <w:sz w:val="20"/>
              </w:rPr>
            </w:pPr>
            <w:r w:rsidRPr="00C34752">
              <w:rPr>
                <w:rFonts w:ascii="Arial Narrow" w:hAnsi="Arial Narrow"/>
                <w:b/>
                <w:bCs/>
                <w:color w:val="000000"/>
                <w:sz w:val="20"/>
              </w:rPr>
              <w:t>Estimated net cost to PBS/RPBS</w:t>
            </w:r>
          </w:p>
        </w:tc>
      </w:tr>
      <w:tr w:rsidR="00892EA5" w:rsidRPr="0019793B" w:rsidTr="00494814">
        <w:tc>
          <w:tcPr>
            <w:tcW w:w="1187" w:type="pct"/>
            <w:shd w:val="clear" w:color="auto" w:fill="auto"/>
            <w:vAlign w:val="center"/>
          </w:tcPr>
          <w:p w:rsidR="00892EA5" w:rsidRPr="00BB5D14" w:rsidRDefault="00892EA5" w:rsidP="00C37B58">
            <w:pPr>
              <w:keepNext/>
              <w:tabs>
                <w:tab w:val="left" w:pos="142"/>
              </w:tabs>
              <w:ind w:right="93"/>
              <w:rPr>
                <w:rFonts w:ascii="Arial Narrow" w:hAnsi="Arial Narrow"/>
                <w:sz w:val="20"/>
              </w:rPr>
            </w:pPr>
            <w:r w:rsidRPr="00C34752">
              <w:rPr>
                <w:rFonts w:ascii="Arial Narrow" w:hAnsi="Arial Narrow"/>
                <w:sz w:val="20"/>
              </w:rPr>
              <w:t>Cost to PBS</w:t>
            </w:r>
            <w:r w:rsidR="004B5A20" w:rsidRPr="002E44DB">
              <w:rPr>
                <w:rFonts w:ascii="Arial Narrow" w:hAnsi="Arial Narrow"/>
                <w:sz w:val="20"/>
              </w:rPr>
              <w:t>/RPBS</w:t>
            </w:r>
            <w:r w:rsidRPr="00BB5D14">
              <w:rPr>
                <w:rFonts w:ascii="Arial Narrow" w:hAnsi="Arial Narrow"/>
                <w:sz w:val="20"/>
              </w:rPr>
              <w:t xml:space="preserve"> of apremilast (less copayments)</w:t>
            </w:r>
          </w:p>
        </w:tc>
        <w:tc>
          <w:tcPr>
            <w:tcW w:w="762"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2" w:type="pct"/>
          </w:tcPr>
          <w:p w:rsidR="00892EA5" w:rsidRPr="00C34752" w:rsidRDefault="00892EA5" w:rsidP="00892EA5">
            <w:pPr>
              <w:jc w:val="center"/>
              <w:rPr>
                <w:rFonts w:ascii="Arial Narrow" w:hAnsi="Arial Narrow"/>
                <w:color w:val="000000"/>
                <w:sz w:val="20"/>
                <w:szCs w:val="20"/>
                <w:lang w:val="en-US"/>
              </w:rPr>
            </w:pPr>
            <w:r w:rsidRPr="00C34752">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892EA5" w:rsidRPr="0019793B" w:rsidTr="00494814">
        <w:tc>
          <w:tcPr>
            <w:tcW w:w="1187" w:type="pct"/>
            <w:shd w:val="clear" w:color="auto" w:fill="auto"/>
            <w:vAlign w:val="center"/>
          </w:tcPr>
          <w:p w:rsidR="00892EA5" w:rsidRPr="00BB5D14" w:rsidRDefault="00E2004E" w:rsidP="00E2004E">
            <w:pPr>
              <w:keepNext/>
              <w:tabs>
                <w:tab w:val="left" w:pos="142"/>
              </w:tabs>
              <w:ind w:right="93"/>
              <w:rPr>
                <w:rFonts w:ascii="Arial Narrow" w:hAnsi="Arial Narrow"/>
                <w:sz w:val="20"/>
              </w:rPr>
            </w:pPr>
            <w:r w:rsidRPr="00C34752">
              <w:rPr>
                <w:rFonts w:ascii="Arial Narrow" w:hAnsi="Arial Narrow"/>
                <w:sz w:val="20"/>
              </w:rPr>
              <w:t>Cos</w:t>
            </w:r>
            <w:r w:rsidRPr="002E44DB">
              <w:rPr>
                <w:rFonts w:ascii="Arial Narrow" w:hAnsi="Arial Narrow"/>
                <w:sz w:val="20"/>
              </w:rPr>
              <w:t>t to PBS/RPBS of r</w:t>
            </w:r>
            <w:r w:rsidR="00892EA5" w:rsidRPr="00BB5D14">
              <w:rPr>
                <w:rFonts w:ascii="Arial Narrow" w:hAnsi="Arial Narrow"/>
                <w:sz w:val="20"/>
              </w:rPr>
              <w:t>educed utilisation of other drugs</w:t>
            </w:r>
          </w:p>
        </w:tc>
        <w:tc>
          <w:tcPr>
            <w:tcW w:w="762" w:type="pct"/>
          </w:tcPr>
          <w:p w:rsidR="00892EA5" w:rsidRPr="00BB5D14" w:rsidRDefault="00E2004E"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892EA5"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BB5D14" w:rsidRDefault="00E2004E"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892EA5"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C34752" w:rsidRDefault="00E2004E" w:rsidP="00892EA5">
            <w:pPr>
              <w:jc w:val="center"/>
              <w:rPr>
                <w:rFonts w:ascii="Arial Narrow" w:hAnsi="Arial Narrow"/>
                <w:color w:val="000000"/>
                <w:sz w:val="20"/>
                <w:szCs w:val="20"/>
                <w:lang w:val="en-US"/>
              </w:rPr>
            </w:pPr>
            <w:r w:rsidRPr="00C34752">
              <w:rPr>
                <w:rFonts w:ascii="Arial Narrow" w:hAnsi="Arial Narrow"/>
                <w:color w:val="000000"/>
                <w:sz w:val="20"/>
                <w:szCs w:val="20"/>
                <w:lang w:val="en-US"/>
              </w:rPr>
              <w:t>-</w:t>
            </w:r>
            <w:r w:rsidR="00892EA5" w:rsidRPr="00C34752">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3" w:type="pct"/>
          </w:tcPr>
          <w:p w:rsidR="00892EA5" w:rsidRPr="00C34752" w:rsidRDefault="00E2004E" w:rsidP="00892EA5">
            <w:pPr>
              <w:jc w:val="center"/>
              <w:rPr>
                <w:rFonts w:ascii="Arial Narrow" w:hAnsi="Arial Narrow"/>
                <w:color w:val="000000"/>
                <w:sz w:val="20"/>
                <w:szCs w:val="20"/>
                <w:lang w:val="en-US"/>
              </w:rPr>
            </w:pPr>
            <w:r w:rsidRPr="00C34752">
              <w:rPr>
                <w:rFonts w:ascii="Arial Narrow" w:hAnsi="Arial Narrow"/>
                <w:color w:val="000000"/>
                <w:sz w:val="20"/>
                <w:szCs w:val="20"/>
                <w:lang w:val="en-US"/>
              </w:rPr>
              <w:t>-</w:t>
            </w:r>
            <w:r w:rsidR="00892EA5" w:rsidRPr="00C34752">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2" w:type="pct"/>
          </w:tcPr>
          <w:p w:rsidR="00892EA5" w:rsidRPr="00C34752" w:rsidRDefault="00E2004E" w:rsidP="00892EA5">
            <w:pPr>
              <w:jc w:val="center"/>
              <w:rPr>
                <w:rFonts w:ascii="Arial Narrow" w:hAnsi="Arial Narrow"/>
                <w:color w:val="000000"/>
                <w:sz w:val="20"/>
                <w:szCs w:val="20"/>
                <w:lang w:val="en-US"/>
              </w:rPr>
            </w:pPr>
            <w:r w:rsidRPr="00C34752">
              <w:rPr>
                <w:rFonts w:ascii="Arial Narrow" w:hAnsi="Arial Narrow"/>
                <w:color w:val="000000"/>
                <w:sz w:val="20"/>
                <w:szCs w:val="20"/>
                <w:lang w:val="en-US"/>
              </w:rPr>
              <w:t>-</w:t>
            </w:r>
            <w:r w:rsidR="00892EA5" w:rsidRPr="00C34752">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892EA5" w:rsidRPr="0019793B" w:rsidTr="00494814">
        <w:tc>
          <w:tcPr>
            <w:tcW w:w="1187" w:type="pct"/>
            <w:shd w:val="clear" w:color="auto" w:fill="auto"/>
            <w:vAlign w:val="center"/>
          </w:tcPr>
          <w:p w:rsidR="00892EA5" w:rsidRPr="00BB5D14" w:rsidRDefault="00892EA5" w:rsidP="00892EA5">
            <w:pPr>
              <w:keepNext/>
              <w:tabs>
                <w:tab w:val="left" w:pos="142"/>
              </w:tabs>
              <w:ind w:right="93"/>
              <w:rPr>
                <w:rFonts w:ascii="Arial Narrow" w:hAnsi="Arial Narrow"/>
                <w:sz w:val="20"/>
              </w:rPr>
            </w:pPr>
            <w:r w:rsidRPr="00C34752">
              <w:rPr>
                <w:rFonts w:ascii="Arial Narrow" w:hAnsi="Arial Narrow"/>
                <w:sz w:val="20"/>
              </w:rPr>
              <w:t>Net cost to PBS</w:t>
            </w:r>
            <w:r w:rsidR="004B5A20" w:rsidRPr="002E44DB">
              <w:rPr>
                <w:rFonts w:ascii="Arial Narrow" w:hAnsi="Arial Narrow"/>
                <w:sz w:val="20"/>
              </w:rPr>
              <w:t>/RPBS</w:t>
            </w:r>
          </w:p>
        </w:tc>
        <w:tc>
          <w:tcPr>
            <w:tcW w:w="762"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59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3" w:type="pct"/>
          </w:tcPr>
          <w:p w:rsidR="00892EA5" w:rsidRPr="00BB5D14" w:rsidRDefault="00892EA5" w:rsidP="00892EA5">
            <w:pPr>
              <w:jc w:val="center"/>
              <w:rPr>
                <w:rFonts w:ascii="Arial Narrow" w:hAnsi="Arial Narrow"/>
                <w:color w:val="000000"/>
                <w:sz w:val="20"/>
                <w:szCs w:val="20"/>
                <w:lang w:val="en-US"/>
              </w:rPr>
            </w:pPr>
            <w:r w:rsidRPr="00BB5D14">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932" w:type="pct"/>
          </w:tcPr>
          <w:p w:rsidR="00892EA5" w:rsidRPr="00C34752" w:rsidRDefault="00892EA5" w:rsidP="00892EA5">
            <w:pPr>
              <w:jc w:val="center"/>
              <w:rPr>
                <w:rFonts w:ascii="Arial Narrow" w:hAnsi="Arial Narrow"/>
                <w:color w:val="000000"/>
                <w:sz w:val="20"/>
                <w:szCs w:val="20"/>
                <w:lang w:val="en-US"/>
              </w:rPr>
            </w:pPr>
            <w:r w:rsidRPr="00C34752">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4B5A20" w:rsidRPr="0019793B" w:rsidTr="00494814">
        <w:tc>
          <w:tcPr>
            <w:tcW w:w="1187" w:type="pct"/>
            <w:shd w:val="clear" w:color="auto" w:fill="auto"/>
            <w:vAlign w:val="center"/>
          </w:tcPr>
          <w:p w:rsidR="004B5A20" w:rsidRPr="00BE080A" w:rsidRDefault="004B5A20" w:rsidP="00892EA5">
            <w:pPr>
              <w:keepNext/>
              <w:tabs>
                <w:tab w:val="left" w:pos="142"/>
              </w:tabs>
              <w:ind w:right="93"/>
              <w:rPr>
                <w:rFonts w:ascii="Arial Narrow" w:hAnsi="Arial Narrow"/>
                <w:sz w:val="20"/>
              </w:rPr>
            </w:pPr>
            <w:r w:rsidRPr="00BE080A">
              <w:rPr>
                <w:rFonts w:ascii="Arial Narrow" w:hAnsi="Arial Narrow"/>
                <w:sz w:val="20"/>
              </w:rPr>
              <w:t>Net cost to PBS/RPBS – Nov 2016</w:t>
            </w:r>
          </w:p>
        </w:tc>
        <w:tc>
          <w:tcPr>
            <w:tcW w:w="762" w:type="pct"/>
            <w:vAlign w:val="bottom"/>
          </w:tcPr>
          <w:p w:rsidR="004B5A20" w:rsidRPr="00BE080A" w:rsidRDefault="004B5A20" w:rsidP="0053347E">
            <w:pPr>
              <w:keepNext/>
              <w:ind w:right="93"/>
              <w:jc w:val="center"/>
              <w:rPr>
                <w:rFonts w:ascii="Arial Narrow" w:hAnsi="Arial Narrow"/>
                <w:color w:val="000000"/>
                <w:sz w:val="20"/>
              </w:rPr>
            </w:pPr>
            <w:r w:rsidRPr="00BE080A">
              <w:rPr>
                <w:rFonts w:ascii="Arial Narrow" w:hAnsi="Arial Narrow"/>
                <w:sz w:val="20"/>
              </w:rPr>
              <w:t>$</w:t>
            </w:r>
            <w:r w:rsidR="00F17FFB">
              <w:rPr>
                <w:rFonts w:ascii="Arial Narrow" w:hAnsi="Arial Narrow"/>
                <w:noProof/>
                <w:color w:val="000000"/>
                <w:sz w:val="20"/>
                <w:highlight w:val="black"/>
              </w:rPr>
              <w:t>''''''''''''''''''''''''''''</w:t>
            </w:r>
          </w:p>
        </w:tc>
        <w:tc>
          <w:tcPr>
            <w:tcW w:w="593" w:type="pct"/>
            <w:vAlign w:val="bottom"/>
          </w:tcPr>
          <w:p w:rsidR="004B5A20" w:rsidRPr="00BE080A" w:rsidRDefault="004B5A20" w:rsidP="0053347E">
            <w:pPr>
              <w:keepNext/>
              <w:ind w:right="93"/>
              <w:jc w:val="center"/>
              <w:rPr>
                <w:rFonts w:ascii="Arial Narrow" w:hAnsi="Arial Narrow"/>
                <w:color w:val="000000"/>
                <w:sz w:val="20"/>
              </w:rPr>
            </w:pPr>
            <w:r w:rsidRPr="00BE080A">
              <w:rPr>
                <w:rFonts w:ascii="Arial Narrow" w:hAnsi="Arial Narrow"/>
                <w:iCs/>
                <w:sz w:val="20"/>
              </w:rPr>
              <w:t>$</w:t>
            </w:r>
            <w:r w:rsidR="00F17FFB">
              <w:rPr>
                <w:rFonts w:ascii="Arial Narrow" w:hAnsi="Arial Narrow"/>
                <w:iCs/>
                <w:noProof/>
                <w:color w:val="000000"/>
                <w:sz w:val="20"/>
                <w:highlight w:val="black"/>
              </w:rPr>
              <w:t>''''''''''''''''''''''''''''</w:t>
            </w:r>
          </w:p>
        </w:tc>
        <w:tc>
          <w:tcPr>
            <w:tcW w:w="593" w:type="pct"/>
            <w:vAlign w:val="bottom"/>
          </w:tcPr>
          <w:p w:rsidR="004B5A20" w:rsidRPr="00BE080A" w:rsidRDefault="004B5A20" w:rsidP="0053347E">
            <w:pPr>
              <w:keepNext/>
              <w:ind w:right="93"/>
              <w:jc w:val="center"/>
              <w:rPr>
                <w:rFonts w:ascii="Arial Narrow" w:hAnsi="Arial Narrow"/>
                <w:color w:val="000000"/>
                <w:sz w:val="20"/>
              </w:rPr>
            </w:pPr>
            <w:r w:rsidRPr="00BE080A">
              <w:rPr>
                <w:rFonts w:ascii="Arial Narrow" w:hAnsi="Arial Narrow"/>
                <w:iCs/>
                <w:sz w:val="20"/>
              </w:rPr>
              <w:t>$</w:t>
            </w:r>
            <w:r w:rsidR="00F17FFB">
              <w:rPr>
                <w:rFonts w:ascii="Arial Narrow" w:hAnsi="Arial Narrow"/>
                <w:iCs/>
                <w:noProof/>
                <w:color w:val="000000"/>
                <w:sz w:val="20"/>
                <w:highlight w:val="black"/>
              </w:rPr>
              <w:t>''''''''''''''''''''''''''''''</w:t>
            </w:r>
          </w:p>
        </w:tc>
        <w:tc>
          <w:tcPr>
            <w:tcW w:w="933" w:type="pct"/>
            <w:vAlign w:val="bottom"/>
          </w:tcPr>
          <w:p w:rsidR="004B5A20" w:rsidRPr="00BE080A" w:rsidRDefault="004B5A20" w:rsidP="0053347E">
            <w:pPr>
              <w:keepNext/>
              <w:ind w:right="93"/>
              <w:jc w:val="center"/>
              <w:rPr>
                <w:rFonts w:ascii="Arial Narrow" w:hAnsi="Arial Narrow"/>
                <w:color w:val="000000"/>
                <w:sz w:val="20"/>
              </w:rPr>
            </w:pPr>
            <w:r w:rsidRPr="00BE080A">
              <w:rPr>
                <w:rFonts w:ascii="Arial Narrow" w:hAnsi="Arial Narrow"/>
                <w:iCs/>
                <w:sz w:val="20"/>
              </w:rPr>
              <w:t>$</w:t>
            </w:r>
            <w:r w:rsidR="00F17FFB">
              <w:rPr>
                <w:rFonts w:ascii="Arial Narrow" w:hAnsi="Arial Narrow"/>
                <w:iCs/>
                <w:noProof/>
                <w:color w:val="000000"/>
                <w:sz w:val="20"/>
                <w:highlight w:val="black"/>
              </w:rPr>
              <w:t>'''''''''''''''''''''''''''</w:t>
            </w:r>
          </w:p>
        </w:tc>
        <w:tc>
          <w:tcPr>
            <w:tcW w:w="932" w:type="pct"/>
            <w:vAlign w:val="bottom"/>
          </w:tcPr>
          <w:p w:rsidR="004B5A20" w:rsidRPr="00BE080A" w:rsidRDefault="004B5A20" w:rsidP="0053347E">
            <w:pPr>
              <w:keepNext/>
              <w:ind w:right="93"/>
              <w:jc w:val="center"/>
              <w:rPr>
                <w:rFonts w:ascii="Arial Narrow" w:hAnsi="Arial Narrow"/>
                <w:color w:val="000000"/>
                <w:sz w:val="20"/>
              </w:rPr>
            </w:pPr>
            <w:r w:rsidRPr="00BE080A">
              <w:rPr>
                <w:rFonts w:ascii="Arial Narrow" w:hAnsi="Arial Narrow"/>
                <w:iCs/>
                <w:sz w:val="20"/>
              </w:rPr>
              <w:t>$</w:t>
            </w:r>
            <w:r w:rsidR="00F17FFB">
              <w:rPr>
                <w:rFonts w:ascii="Arial Narrow" w:hAnsi="Arial Narrow"/>
                <w:iCs/>
                <w:noProof/>
                <w:color w:val="000000"/>
                <w:sz w:val="20"/>
                <w:highlight w:val="black"/>
              </w:rPr>
              <w:t>'''''''''''''''''''''''''''''</w:t>
            </w:r>
          </w:p>
        </w:tc>
      </w:tr>
      <w:tr w:rsidR="00F720FD" w:rsidRPr="0019793B" w:rsidTr="00494814">
        <w:tc>
          <w:tcPr>
            <w:tcW w:w="5000" w:type="pct"/>
            <w:gridSpan w:val="6"/>
            <w:shd w:val="clear" w:color="auto" w:fill="auto"/>
            <w:vAlign w:val="center"/>
          </w:tcPr>
          <w:p w:rsidR="00F720FD" w:rsidRPr="00C34752" w:rsidRDefault="00F720FD" w:rsidP="00C37B58">
            <w:pPr>
              <w:keepNext/>
              <w:ind w:right="93"/>
              <w:rPr>
                <w:rFonts w:ascii="Arial Narrow" w:hAnsi="Arial Narrow"/>
                <w:b/>
                <w:color w:val="000000"/>
                <w:sz w:val="20"/>
              </w:rPr>
            </w:pPr>
            <w:r w:rsidRPr="00C34752">
              <w:rPr>
                <w:rFonts w:ascii="Arial Narrow" w:hAnsi="Arial Narrow"/>
                <w:b/>
                <w:color w:val="000000"/>
                <w:sz w:val="20"/>
              </w:rPr>
              <w:t>Estimated total net cost</w:t>
            </w:r>
          </w:p>
        </w:tc>
      </w:tr>
      <w:tr w:rsidR="004B5A20" w:rsidRPr="0019793B" w:rsidTr="00494814">
        <w:tc>
          <w:tcPr>
            <w:tcW w:w="1187" w:type="pct"/>
            <w:shd w:val="clear" w:color="auto" w:fill="auto"/>
            <w:vAlign w:val="center"/>
          </w:tcPr>
          <w:p w:rsidR="004B5A20" w:rsidRPr="00BB5D14" w:rsidRDefault="004B5A20" w:rsidP="004B5A20">
            <w:pPr>
              <w:keepNext/>
              <w:tabs>
                <w:tab w:val="left" w:pos="142"/>
              </w:tabs>
              <w:ind w:right="93"/>
              <w:rPr>
                <w:rFonts w:ascii="Arial Narrow" w:hAnsi="Arial Narrow"/>
                <w:bCs/>
                <w:color w:val="000000"/>
                <w:sz w:val="20"/>
              </w:rPr>
            </w:pPr>
            <w:r w:rsidRPr="00C34752">
              <w:rPr>
                <w:rFonts w:ascii="Arial Narrow" w:hAnsi="Arial Narrow"/>
                <w:bCs/>
                <w:color w:val="000000"/>
                <w:sz w:val="20"/>
              </w:rPr>
              <w:t>Net cost to MBS</w:t>
            </w:r>
            <w:r w:rsidRPr="002E44DB">
              <w:rPr>
                <w:rFonts w:ascii="Arial Narrow" w:hAnsi="Arial Narrow"/>
                <w:bCs/>
                <w:color w:val="000000"/>
                <w:sz w:val="20"/>
                <w:vertAlign w:val="superscript"/>
              </w:rPr>
              <w:t>d</w:t>
            </w:r>
          </w:p>
        </w:tc>
        <w:tc>
          <w:tcPr>
            <w:tcW w:w="762"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59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59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93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932" w:type="pct"/>
            <w:vAlign w:val="bottom"/>
          </w:tcPr>
          <w:p w:rsidR="004B5A20" w:rsidRPr="00C34752" w:rsidRDefault="004B5A20">
            <w:pPr>
              <w:jc w:val="center"/>
              <w:rPr>
                <w:rFonts w:ascii="Arial Narrow" w:hAnsi="Arial Narrow" w:cs="Arial"/>
                <w:sz w:val="20"/>
                <w:szCs w:val="20"/>
              </w:rPr>
            </w:pPr>
            <w:r w:rsidRPr="00C34752">
              <w:rPr>
                <w:rFonts w:ascii="Arial Narrow" w:hAnsi="Arial Narrow" w:cs="Arial"/>
                <w:sz w:val="20"/>
                <w:szCs w:val="20"/>
              </w:rPr>
              <w:t>-$</w:t>
            </w:r>
            <w:r w:rsidR="00F17FFB">
              <w:rPr>
                <w:rFonts w:ascii="Arial Narrow" w:hAnsi="Arial Narrow" w:cs="Arial"/>
                <w:noProof/>
                <w:color w:val="000000"/>
                <w:sz w:val="20"/>
                <w:szCs w:val="20"/>
                <w:highlight w:val="black"/>
              </w:rPr>
              <w:t>''''''''''''''''''''''</w:t>
            </w:r>
          </w:p>
        </w:tc>
      </w:tr>
      <w:tr w:rsidR="004B5A20" w:rsidRPr="0019793B" w:rsidTr="00494814">
        <w:tc>
          <w:tcPr>
            <w:tcW w:w="1187" w:type="pct"/>
            <w:shd w:val="clear" w:color="auto" w:fill="auto"/>
            <w:vAlign w:val="center"/>
          </w:tcPr>
          <w:p w:rsidR="004B5A20" w:rsidRPr="00C34752" w:rsidRDefault="004B5A20" w:rsidP="00C37B58">
            <w:pPr>
              <w:keepNext/>
              <w:tabs>
                <w:tab w:val="left" w:pos="142"/>
              </w:tabs>
              <w:ind w:right="93"/>
              <w:rPr>
                <w:rFonts w:ascii="Arial Narrow" w:hAnsi="Arial Narrow"/>
                <w:bCs/>
                <w:color w:val="000000"/>
                <w:sz w:val="20"/>
              </w:rPr>
            </w:pPr>
            <w:r w:rsidRPr="00C34752">
              <w:rPr>
                <w:rFonts w:ascii="Arial Narrow" w:hAnsi="Arial Narrow"/>
                <w:bCs/>
                <w:color w:val="000000"/>
                <w:sz w:val="20"/>
              </w:rPr>
              <w:t>Net cost to Government</w:t>
            </w:r>
          </w:p>
        </w:tc>
        <w:tc>
          <w:tcPr>
            <w:tcW w:w="762"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59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59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933" w:type="pct"/>
            <w:vAlign w:val="bottom"/>
          </w:tcPr>
          <w:p w:rsidR="004B5A20" w:rsidRPr="00BB5D14" w:rsidRDefault="004B5A20">
            <w:pPr>
              <w:jc w:val="center"/>
              <w:rPr>
                <w:rFonts w:ascii="Arial Narrow" w:hAnsi="Arial Narrow" w:cs="Arial"/>
                <w:sz w:val="20"/>
                <w:szCs w:val="20"/>
              </w:rPr>
            </w:pPr>
            <w:r w:rsidRPr="00BB5D14">
              <w:rPr>
                <w:rFonts w:ascii="Arial Narrow" w:hAnsi="Arial Narrow" w:cs="Arial"/>
                <w:sz w:val="20"/>
                <w:szCs w:val="20"/>
              </w:rPr>
              <w:t>$</w:t>
            </w:r>
            <w:r w:rsidR="00F17FFB">
              <w:rPr>
                <w:rFonts w:ascii="Arial Narrow" w:hAnsi="Arial Narrow" w:cs="Arial"/>
                <w:noProof/>
                <w:color w:val="000000"/>
                <w:sz w:val="20"/>
                <w:szCs w:val="20"/>
                <w:highlight w:val="black"/>
              </w:rPr>
              <w:t>'''''''''''''''''''''''</w:t>
            </w:r>
          </w:p>
        </w:tc>
        <w:tc>
          <w:tcPr>
            <w:tcW w:w="932" w:type="pct"/>
            <w:vAlign w:val="bottom"/>
          </w:tcPr>
          <w:p w:rsidR="004B5A20" w:rsidRPr="00C34752" w:rsidRDefault="004B5A20">
            <w:pPr>
              <w:jc w:val="center"/>
              <w:rPr>
                <w:rFonts w:ascii="Arial Narrow" w:hAnsi="Arial Narrow" w:cs="Arial"/>
                <w:sz w:val="20"/>
                <w:szCs w:val="20"/>
              </w:rPr>
            </w:pPr>
            <w:r w:rsidRPr="00C34752">
              <w:rPr>
                <w:rFonts w:ascii="Arial Narrow" w:hAnsi="Arial Narrow" w:cs="Arial"/>
                <w:sz w:val="20"/>
                <w:szCs w:val="20"/>
              </w:rPr>
              <w:t>$</w:t>
            </w:r>
            <w:r w:rsidR="00F17FFB">
              <w:rPr>
                <w:rFonts w:ascii="Arial Narrow" w:hAnsi="Arial Narrow" w:cs="Arial"/>
                <w:noProof/>
                <w:color w:val="000000"/>
                <w:sz w:val="20"/>
                <w:szCs w:val="20"/>
                <w:highlight w:val="black"/>
              </w:rPr>
              <w:t>'''''''''''''''''''''''''''''</w:t>
            </w:r>
          </w:p>
        </w:tc>
      </w:tr>
      <w:tr w:rsidR="004B5A20" w:rsidRPr="0019793B" w:rsidTr="00494814">
        <w:tc>
          <w:tcPr>
            <w:tcW w:w="1187" w:type="pct"/>
            <w:shd w:val="clear" w:color="auto" w:fill="auto"/>
            <w:vAlign w:val="center"/>
          </w:tcPr>
          <w:p w:rsidR="004B5A20" w:rsidRPr="00BE080A" w:rsidRDefault="004B5A20" w:rsidP="00C37B58">
            <w:pPr>
              <w:keepNext/>
              <w:tabs>
                <w:tab w:val="left" w:pos="142"/>
              </w:tabs>
              <w:ind w:right="93"/>
              <w:rPr>
                <w:rFonts w:ascii="Arial Narrow" w:hAnsi="Arial Narrow"/>
                <w:bCs/>
                <w:color w:val="000000"/>
                <w:sz w:val="20"/>
              </w:rPr>
            </w:pPr>
            <w:r w:rsidRPr="00BE080A">
              <w:rPr>
                <w:rFonts w:ascii="Arial Narrow" w:hAnsi="Arial Narrow"/>
                <w:bCs/>
                <w:color w:val="000000"/>
                <w:sz w:val="20"/>
              </w:rPr>
              <w:t>Net cost to Government – Nov 2016</w:t>
            </w:r>
          </w:p>
        </w:tc>
        <w:tc>
          <w:tcPr>
            <w:tcW w:w="762" w:type="pct"/>
            <w:vAlign w:val="center"/>
          </w:tcPr>
          <w:p w:rsidR="004B5A20" w:rsidRPr="00BE080A" w:rsidRDefault="004B5A20" w:rsidP="0053347E">
            <w:pPr>
              <w:keepNext/>
              <w:ind w:right="93"/>
              <w:jc w:val="center"/>
              <w:rPr>
                <w:rFonts w:ascii="Arial Narrow" w:hAnsi="Arial Narrow"/>
                <w:bCs/>
                <w:sz w:val="20"/>
              </w:rPr>
            </w:pPr>
            <w:r w:rsidRPr="00BE080A">
              <w:rPr>
                <w:rFonts w:ascii="Arial Narrow" w:hAnsi="Arial Narrow"/>
                <w:bCs/>
                <w:sz w:val="20"/>
              </w:rPr>
              <w:t>$</w:t>
            </w:r>
            <w:r w:rsidR="00F17FFB">
              <w:rPr>
                <w:rFonts w:ascii="Arial Narrow" w:hAnsi="Arial Narrow"/>
                <w:bCs/>
                <w:noProof/>
                <w:color w:val="000000"/>
                <w:sz w:val="20"/>
                <w:highlight w:val="black"/>
              </w:rPr>
              <w:t>''''''''''''''''''''''''''</w:t>
            </w:r>
          </w:p>
        </w:tc>
        <w:tc>
          <w:tcPr>
            <w:tcW w:w="593" w:type="pct"/>
            <w:vAlign w:val="center"/>
          </w:tcPr>
          <w:p w:rsidR="004B5A20" w:rsidRPr="00BE080A" w:rsidRDefault="004B5A20" w:rsidP="0053347E">
            <w:pPr>
              <w:keepNext/>
              <w:ind w:right="93"/>
              <w:jc w:val="center"/>
              <w:rPr>
                <w:rFonts w:ascii="Arial Narrow" w:hAnsi="Arial Narrow"/>
                <w:bCs/>
                <w:sz w:val="20"/>
              </w:rPr>
            </w:pPr>
            <w:r w:rsidRPr="00BE080A">
              <w:rPr>
                <w:rFonts w:ascii="Arial Narrow" w:hAnsi="Arial Narrow"/>
                <w:bCs/>
                <w:iCs/>
                <w:sz w:val="20"/>
              </w:rPr>
              <w:t>$</w:t>
            </w:r>
            <w:r w:rsidR="00F17FFB">
              <w:rPr>
                <w:rFonts w:ascii="Arial Narrow" w:hAnsi="Arial Narrow"/>
                <w:bCs/>
                <w:iCs/>
                <w:noProof/>
                <w:color w:val="000000"/>
                <w:sz w:val="20"/>
                <w:highlight w:val="black"/>
              </w:rPr>
              <w:t>''''''''''''''''''''''''''''''''</w:t>
            </w:r>
          </w:p>
        </w:tc>
        <w:tc>
          <w:tcPr>
            <w:tcW w:w="593" w:type="pct"/>
            <w:vAlign w:val="center"/>
          </w:tcPr>
          <w:p w:rsidR="004B5A20" w:rsidRPr="00BE080A" w:rsidRDefault="004B5A20" w:rsidP="0053347E">
            <w:pPr>
              <w:keepNext/>
              <w:ind w:right="93"/>
              <w:jc w:val="center"/>
              <w:rPr>
                <w:rFonts w:ascii="Arial Narrow" w:hAnsi="Arial Narrow"/>
                <w:bCs/>
                <w:sz w:val="20"/>
              </w:rPr>
            </w:pPr>
            <w:r w:rsidRPr="00BE080A">
              <w:rPr>
                <w:rFonts w:ascii="Arial Narrow" w:hAnsi="Arial Narrow"/>
                <w:bCs/>
                <w:iCs/>
                <w:sz w:val="20"/>
              </w:rPr>
              <w:t>$</w:t>
            </w:r>
            <w:r w:rsidR="00F17FFB">
              <w:rPr>
                <w:rFonts w:ascii="Arial Narrow" w:hAnsi="Arial Narrow"/>
                <w:bCs/>
                <w:iCs/>
                <w:noProof/>
                <w:color w:val="000000"/>
                <w:sz w:val="20"/>
                <w:highlight w:val="black"/>
              </w:rPr>
              <w:t>'''''''''''''''''''''''''''''</w:t>
            </w:r>
          </w:p>
        </w:tc>
        <w:tc>
          <w:tcPr>
            <w:tcW w:w="933" w:type="pct"/>
            <w:vAlign w:val="center"/>
          </w:tcPr>
          <w:p w:rsidR="004B5A20" w:rsidRPr="00BE080A" w:rsidRDefault="004B5A20" w:rsidP="0053347E">
            <w:pPr>
              <w:keepNext/>
              <w:ind w:right="93"/>
              <w:jc w:val="center"/>
              <w:rPr>
                <w:rFonts w:ascii="Arial Narrow" w:hAnsi="Arial Narrow"/>
                <w:bCs/>
                <w:sz w:val="20"/>
              </w:rPr>
            </w:pPr>
            <w:r w:rsidRPr="00BE080A">
              <w:rPr>
                <w:rFonts w:ascii="Arial Narrow" w:hAnsi="Arial Narrow"/>
                <w:bCs/>
                <w:iCs/>
                <w:sz w:val="20"/>
              </w:rPr>
              <w:t>$</w:t>
            </w:r>
            <w:r w:rsidR="00F17FFB">
              <w:rPr>
                <w:rFonts w:ascii="Arial Narrow" w:hAnsi="Arial Narrow"/>
                <w:bCs/>
                <w:iCs/>
                <w:noProof/>
                <w:color w:val="000000"/>
                <w:sz w:val="20"/>
                <w:highlight w:val="black"/>
              </w:rPr>
              <w:t>'''''''''''''''''''''''''''''''</w:t>
            </w:r>
          </w:p>
        </w:tc>
        <w:tc>
          <w:tcPr>
            <w:tcW w:w="932" w:type="pct"/>
            <w:vAlign w:val="center"/>
          </w:tcPr>
          <w:p w:rsidR="004B5A20" w:rsidRPr="00BE080A" w:rsidRDefault="004B5A20" w:rsidP="0053347E">
            <w:pPr>
              <w:keepNext/>
              <w:ind w:right="93"/>
              <w:jc w:val="center"/>
              <w:rPr>
                <w:rFonts w:ascii="Arial Narrow" w:hAnsi="Arial Narrow"/>
                <w:bCs/>
                <w:sz w:val="20"/>
              </w:rPr>
            </w:pPr>
            <w:r w:rsidRPr="00BE080A">
              <w:rPr>
                <w:rFonts w:ascii="Arial Narrow" w:hAnsi="Arial Narrow"/>
                <w:bCs/>
                <w:iCs/>
                <w:sz w:val="20"/>
              </w:rPr>
              <w:t>$</w:t>
            </w:r>
            <w:r w:rsidR="00F17FFB">
              <w:rPr>
                <w:rFonts w:ascii="Arial Narrow" w:hAnsi="Arial Narrow"/>
                <w:bCs/>
                <w:iCs/>
                <w:noProof/>
                <w:color w:val="000000"/>
                <w:sz w:val="20"/>
                <w:highlight w:val="black"/>
              </w:rPr>
              <w:t>''''''''''''''''''''''''''''</w:t>
            </w:r>
          </w:p>
        </w:tc>
      </w:tr>
    </w:tbl>
    <w:p w:rsidR="00F720FD" w:rsidRPr="0019793B" w:rsidRDefault="00F720FD" w:rsidP="00685C10">
      <w:pPr>
        <w:pStyle w:val="TableFooter"/>
        <w:keepNext/>
        <w:widowControl/>
        <w:ind w:left="709"/>
        <w:rPr>
          <w:szCs w:val="22"/>
        </w:rPr>
      </w:pPr>
      <w:r w:rsidRPr="0019793B">
        <w:t xml:space="preserve">Source: </w:t>
      </w:r>
      <w:r w:rsidR="003A61DE" w:rsidRPr="0019793B">
        <w:t>Tables 8, 9, 10 and 11 of the minor resubmission and November 2016 PBAC minutes for apremilast.</w:t>
      </w:r>
    </w:p>
    <w:p w:rsidR="003A61DE" w:rsidRPr="0019793B" w:rsidRDefault="003A61DE" w:rsidP="00685C10">
      <w:pPr>
        <w:pStyle w:val="TableFooter"/>
        <w:keepNext/>
        <w:widowControl/>
        <w:tabs>
          <w:tab w:val="left" w:pos="567"/>
          <w:tab w:val="left" w:pos="709"/>
          <w:tab w:val="left" w:pos="993"/>
        </w:tabs>
        <w:ind w:left="709"/>
      </w:pPr>
      <w:r w:rsidRPr="0019793B">
        <w:rPr>
          <w:vertAlign w:val="superscript"/>
        </w:rPr>
        <w:t xml:space="preserve">a </w:t>
      </w:r>
      <w:r w:rsidRPr="0019793B">
        <w:t xml:space="preserve">The number of patients treated in Year 1 includes </w:t>
      </w:r>
      <w:r w:rsidR="00F17FFB">
        <w:rPr>
          <w:noProof/>
          <w:color w:val="000000"/>
          <w:highlight w:val="black"/>
        </w:rPr>
        <w:t>'''''''''</w:t>
      </w:r>
      <w:r w:rsidRPr="0019793B">
        <w:t xml:space="preserve"> grandfathered patients who were assumed will enter PBS subsidised treatment after approximately 2 years of treatment via the patient familiarisation program.</w:t>
      </w:r>
    </w:p>
    <w:p w:rsidR="00F720FD" w:rsidRPr="0019793B" w:rsidRDefault="003A61DE" w:rsidP="00685C10">
      <w:pPr>
        <w:pStyle w:val="TableFooter"/>
        <w:keepNext/>
        <w:widowControl/>
        <w:tabs>
          <w:tab w:val="left" w:pos="567"/>
          <w:tab w:val="left" w:pos="709"/>
          <w:tab w:val="left" w:pos="993"/>
        </w:tabs>
        <w:ind w:left="709"/>
      </w:pPr>
      <w:r w:rsidRPr="0019793B">
        <w:rPr>
          <w:vertAlign w:val="superscript"/>
        </w:rPr>
        <w:t>b</w:t>
      </w:r>
      <w:r w:rsidR="00700539" w:rsidRPr="0019793B">
        <w:t xml:space="preserve"> </w:t>
      </w:r>
      <w:r w:rsidR="00F720FD" w:rsidRPr="0019793B">
        <w:t>One titration pack per patient initiating treatment</w:t>
      </w:r>
      <w:r w:rsidRPr="0019793B">
        <w:t xml:space="preserve"> with compliance of 86%.</w:t>
      </w:r>
    </w:p>
    <w:p w:rsidR="00F720FD" w:rsidRPr="0019793B" w:rsidRDefault="003A61DE" w:rsidP="00685C10">
      <w:pPr>
        <w:pStyle w:val="TableFooter"/>
        <w:widowControl/>
        <w:tabs>
          <w:tab w:val="left" w:pos="567"/>
          <w:tab w:val="left" w:pos="709"/>
          <w:tab w:val="left" w:pos="993"/>
        </w:tabs>
        <w:ind w:left="709"/>
      </w:pPr>
      <w:r w:rsidRPr="0019793B">
        <w:rPr>
          <w:vertAlign w:val="superscript"/>
        </w:rPr>
        <w:t>c</w:t>
      </w:r>
      <w:r w:rsidR="00F720FD" w:rsidRPr="0019793B">
        <w:rPr>
          <w:vertAlign w:val="superscript"/>
        </w:rPr>
        <w:t xml:space="preserve"> </w:t>
      </w:r>
      <w:r w:rsidR="00F720FD" w:rsidRPr="0019793B">
        <w:t>Base case assumption that mean duration of apremilast treatment is 28.9 months (13 continuation packs in the first two years of treatment, 2.8 continuation packs in the third year of treatment)</w:t>
      </w:r>
      <w:r w:rsidRPr="0019793B">
        <w:t xml:space="preserve"> with compliance of 86%</w:t>
      </w:r>
      <w:r w:rsidR="00F720FD" w:rsidRPr="0019793B">
        <w:t>.</w:t>
      </w:r>
    </w:p>
    <w:p w:rsidR="00FB3907" w:rsidRPr="0019793B" w:rsidRDefault="004B5A20" w:rsidP="00685C10">
      <w:pPr>
        <w:pStyle w:val="TableFooter"/>
        <w:widowControl/>
        <w:tabs>
          <w:tab w:val="left" w:pos="567"/>
          <w:tab w:val="left" w:pos="709"/>
          <w:tab w:val="left" w:pos="993"/>
        </w:tabs>
        <w:ind w:left="709"/>
      </w:pPr>
      <w:r w:rsidRPr="0019793B">
        <w:rPr>
          <w:vertAlign w:val="superscript"/>
        </w:rPr>
        <w:t xml:space="preserve">d </w:t>
      </w:r>
      <w:r w:rsidRPr="0019793B">
        <w:t>Decreased monitoring costs associated with treatment with cyclosporin and acitretin.</w:t>
      </w:r>
    </w:p>
    <w:p w:rsidR="00C37B58" w:rsidRDefault="00C37B58" w:rsidP="00C37B58">
      <w:pPr>
        <w:tabs>
          <w:tab w:val="left" w:pos="6458"/>
        </w:tabs>
        <w:rPr>
          <w:rFonts w:ascii="Arial" w:hAnsi="Arial"/>
          <w:sz w:val="22"/>
          <w:szCs w:val="22"/>
        </w:rPr>
      </w:pPr>
    </w:p>
    <w:p w:rsidR="00677E6D" w:rsidRPr="008B379D" w:rsidRDefault="00677E6D" w:rsidP="00677E6D">
      <w:pPr>
        <w:pStyle w:val="ListParagraph"/>
        <w:widowControl/>
        <w:numPr>
          <w:ilvl w:val="1"/>
          <w:numId w:val="5"/>
        </w:numPr>
        <w:snapToGrid w:val="0"/>
      </w:pPr>
      <w:r w:rsidRPr="00677E6D">
        <w:t>In its pre-PBAC response (p3)</w:t>
      </w:r>
      <w:r w:rsidR="00527F3B">
        <w:t>,</w:t>
      </w:r>
      <w:r w:rsidRPr="00677E6D">
        <w:t xml:space="preserve"> the sponsor </w:t>
      </w:r>
      <w:r>
        <w:t>corrected an error in the minor resubmission’s financial estimates</w:t>
      </w:r>
      <w:r w:rsidR="00527F3B">
        <w:t xml:space="preserve"> </w:t>
      </w:r>
      <w:r w:rsidR="00527F3B" w:rsidRPr="00D67EC7">
        <w:t>that resulted in the estimates of patients substituting from cyclosporin and acitretin bein</w:t>
      </w:r>
      <w:r w:rsidR="00527F3B">
        <w:t>g based on unique patients in 3 </w:t>
      </w:r>
      <w:r w:rsidR="00527F3B" w:rsidRPr="00D67EC7">
        <w:t>months instead of 12 months</w:t>
      </w:r>
      <w:r>
        <w:t>. T</w:t>
      </w:r>
      <w:r w:rsidRPr="008B379D">
        <w:t xml:space="preserve">he </w:t>
      </w:r>
      <w:r w:rsidR="00527F3B">
        <w:t xml:space="preserve">sponsor stated that the </w:t>
      </w:r>
      <w:r w:rsidRPr="008B379D">
        <w:t>revised estimates of patient</w:t>
      </w:r>
      <w:r w:rsidR="00527F3B">
        <w:t>s</w:t>
      </w:r>
      <w:r w:rsidRPr="008B379D">
        <w:t xml:space="preserve"> treat</w:t>
      </w:r>
      <w:r w:rsidR="00527F3B">
        <w:t>ed</w:t>
      </w:r>
      <w:r w:rsidRPr="008B379D">
        <w:t xml:space="preserve"> with cyclosporin and ac</w:t>
      </w:r>
      <w:r w:rsidR="00606224">
        <w:t>i</w:t>
      </w:r>
      <w:r w:rsidRPr="008B379D">
        <w:t>tretin resulted in a decrease in</w:t>
      </w:r>
      <w:r>
        <w:t xml:space="preserve"> the estimated total net cost to government</w:t>
      </w:r>
      <w:r w:rsidR="00675223">
        <w:t>,</w:t>
      </w:r>
      <w:r>
        <w:t xml:space="preserve"> with a </w:t>
      </w:r>
      <w:r w:rsidR="00675223">
        <w:t xml:space="preserve">total </w:t>
      </w:r>
      <w:r>
        <w:t xml:space="preserve">net </w:t>
      </w:r>
      <w:r w:rsidR="00A8690A">
        <w:t xml:space="preserve">cost </w:t>
      </w:r>
      <w:r w:rsidR="00675223">
        <w:t xml:space="preserve">to the Australian Government </w:t>
      </w:r>
      <w:r>
        <w:t>of $</w:t>
      </w:r>
      <w:r w:rsidR="00FB3907">
        <w:t xml:space="preserve">more than $100 </w:t>
      </w:r>
      <w:r w:rsidR="00527F3B">
        <w:t>million</w:t>
      </w:r>
      <w:r>
        <w:t xml:space="preserve"> </w:t>
      </w:r>
      <w:r w:rsidR="00675223">
        <w:t>over the first five years of listing (</w:t>
      </w:r>
      <w:r w:rsidR="00527F3B">
        <w:t xml:space="preserve">compared with </w:t>
      </w:r>
      <w:r w:rsidR="00FB3907">
        <w:t>more than $100</w:t>
      </w:r>
      <w:r w:rsidR="00527F3B">
        <w:t xml:space="preserve"> million </w:t>
      </w:r>
      <w:r w:rsidR="00675223">
        <w:t>based on the estimates in</w:t>
      </w:r>
      <w:r>
        <w:t xml:space="preserve"> </w:t>
      </w:r>
      <w:r w:rsidR="00527F3B">
        <w:t>T</w:t>
      </w:r>
      <w:r>
        <w:t xml:space="preserve">able </w:t>
      </w:r>
      <w:r w:rsidR="00527F3B">
        <w:t>3</w:t>
      </w:r>
      <w:r w:rsidR="00675223">
        <w:t>)</w:t>
      </w:r>
      <w:r>
        <w:t>.</w:t>
      </w:r>
    </w:p>
    <w:p w:rsidR="00677E6D" w:rsidRPr="00677E6D" w:rsidRDefault="00677E6D" w:rsidP="00527F3B">
      <w:pPr>
        <w:pStyle w:val="ListParagraph"/>
        <w:widowControl/>
        <w:snapToGrid w:val="0"/>
      </w:pPr>
    </w:p>
    <w:p w:rsidR="006B1573" w:rsidRPr="0019793B" w:rsidRDefault="006B1573" w:rsidP="006B1573">
      <w:pPr>
        <w:pStyle w:val="Heading2"/>
        <w:rPr>
          <w:i w:val="0"/>
          <w:szCs w:val="22"/>
        </w:rPr>
      </w:pPr>
      <w:bookmarkStart w:id="2" w:name="_Toc392858203"/>
      <w:bookmarkStart w:id="3" w:name="_Toc440960989"/>
      <w:r w:rsidRPr="0019793B">
        <w:t>Financial Management – Risk Sharing Arrangements</w:t>
      </w:r>
      <w:bookmarkEnd w:id="2"/>
      <w:bookmarkEnd w:id="3"/>
    </w:p>
    <w:p w:rsidR="00D45844" w:rsidRPr="0019793B" w:rsidRDefault="00D45844" w:rsidP="00C37B58">
      <w:pPr>
        <w:tabs>
          <w:tab w:val="left" w:pos="6458"/>
        </w:tabs>
        <w:rPr>
          <w:rFonts w:ascii="Arial" w:hAnsi="Arial"/>
          <w:sz w:val="22"/>
          <w:szCs w:val="22"/>
        </w:rPr>
      </w:pPr>
    </w:p>
    <w:p w:rsidR="00EB260A" w:rsidRPr="00F17FFB" w:rsidRDefault="00F17FFB" w:rsidP="00F17FFB">
      <w:pPr>
        <w:snapToGrid w:val="0"/>
        <w:ind w:left="720" w:hanging="720"/>
        <w:rPr>
          <w:highlight w:val="black"/>
        </w:rPr>
      </w:pPr>
      <w:r>
        <w:rPr>
          <w:rFonts w:ascii="Arial" w:hAnsi="Arial" w:cs="Arial"/>
          <w:noProof/>
          <w:snapToGrid w:val="0"/>
          <w:color w:val="000000"/>
          <w:sz w:val="22"/>
          <w:szCs w:val="20"/>
          <w:highlight w:val="black"/>
          <w:lang w:eastAsia="en-US"/>
        </w:rPr>
        <w:t>''''''''''''''''''' '''''''''''''' ''''''''''''''''''''''''''''''''' '''''''''''''''''''' ''' '''''''' '''''''''''''' ''''''''''''''''''' '''''''''' '''''''''''''''''' '''''' ''''''''''' '''' '''''''''''''' ''''''' ''''''' '''''''''' '''''''''' '''''''''''''' '''' ''''''''''''''''</w:t>
      </w:r>
    </w:p>
    <w:p w:rsidR="00EB260A" w:rsidRPr="00F17FFB" w:rsidRDefault="00F17FFB" w:rsidP="00F17FFB">
      <w:pPr>
        <w:snapToGrid w:val="0"/>
        <w:ind w:left="993" w:hanging="284"/>
        <w:rPr>
          <w:highlight w:val="black"/>
        </w:rPr>
      </w:pP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p>
    <w:p w:rsidR="00EB260A" w:rsidRPr="00F17FFB" w:rsidRDefault="00F17FFB" w:rsidP="00F17FFB">
      <w:pPr>
        <w:snapToGrid w:val="0"/>
        <w:ind w:left="993" w:hanging="284"/>
        <w:rPr>
          <w:highlight w:val="black"/>
        </w:rPr>
      </w:pP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r>
        <w:rPr>
          <w:rFonts w:ascii="Symbol" w:hAnsi="Symbol" w:cs="Arial"/>
          <w:noProof/>
          <w:snapToGrid w:val="0"/>
          <w:color w:val="000000"/>
          <w:sz w:val="22"/>
          <w:szCs w:val="20"/>
          <w:highlight w:val="black"/>
          <w:lang w:eastAsia="en-US"/>
        </w:rPr>
        <w:t></w:t>
      </w:r>
    </w:p>
    <w:p w:rsidR="00892EA5" w:rsidRPr="0019793B" w:rsidRDefault="00892EA5" w:rsidP="00B802D4">
      <w:pPr>
        <w:rPr>
          <w:rStyle w:val="CommentReference"/>
          <w:rFonts w:ascii="Arial" w:hAnsi="Arial" w:cs="Arial"/>
          <w:b/>
          <w:sz w:val="22"/>
          <w:szCs w:val="22"/>
        </w:rPr>
      </w:pPr>
    </w:p>
    <w:p w:rsidR="00977393" w:rsidRPr="0019793B" w:rsidRDefault="00977393" w:rsidP="00977393">
      <w:pPr>
        <w:pStyle w:val="ListParagraph"/>
        <w:widowControl/>
        <w:numPr>
          <w:ilvl w:val="1"/>
          <w:numId w:val="5"/>
        </w:numPr>
        <w:snapToGrid w:val="0"/>
      </w:pPr>
      <w:r w:rsidRPr="0019793B">
        <w:t xml:space="preserve">The proposed RSA reduced the estimated net cost to the PBS/RPBS over the first five years of listing from </w:t>
      </w:r>
      <w:r w:rsidR="00D130D8">
        <w:t>more than $100</w:t>
      </w:r>
      <w:r w:rsidRPr="0019793B">
        <w:t xml:space="preserve"> million to </w:t>
      </w:r>
      <w:r w:rsidR="00D130D8">
        <w:t>more than $100</w:t>
      </w:r>
      <w:r w:rsidRPr="0019793B">
        <w:t xml:space="preserve"> million.</w:t>
      </w:r>
    </w:p>
    <w:p w:rsidR="0022059F" w:rsidRDefault="0022059F" w:rsidP="00C6105D">
      <w:pPr>
        <w:ind w:left="720"/>
        <w:rPr>
          <w:rFonts w:ascii="Arial" w:hAnsi="Arial" w:cs="Arial"/>
          <w:bCs/>
          <w:i/>
          <w:sz w:val="22"/>
          <w:szCs w:val="22"/>
        </w:rPr>
      </w:pPr>
    </w:p>
    <w:p w:rsidR="00EB260A" w:rsidRPr="0019793B" w:rsidRDefault="00892EA5" w:rsidP="00685C10">
      <w:pPr>
        <w:keepNext/>
        <w:ind w:firstLine="720"/>
        <w:rPr>
          <w:rStyle w:val="CommentReference"/>
          <w:b/>
          <w:sz w:val="20"/>
          <w:szCs w:val="20"/>
        </w:rPr>
      </w:pPr>
      <w:r w:rsidRPr="0019793B">
        <w:rPr>
          <w:rStyle w:val="CommentReference"/>
          <w:rFonts w:ascii="Arial Narrow" w:hAnsi="Arial Narrow"/>
          <w:b/>
          <w:sz w:val="20"/>
          <w:szCs w:val="20"/>
        </w:rPr>
        <w:t xml:space="preserve">Table </w:t>
      </w:r>
      <w:r w:rsidR="00B802D4" w:rsidRPr="0019793B">
        <w:rPr>
          <w:rStyle w:val="CommentReference"/>
          <w:rFonts w:ascii="Arial Narrow" w:hAnsi="Arial Narrow"/>
          <w:b/>
          <w:sz w:val="20"/>
          <w:szCs w:val="20"/>
        </w:rPr>
        <w:t>4</w:t>
      </w:r>
      <w:r w:rsidRPr="0019793B">
        <w:rPr>
          <w:rStyle w:val="CommentReference"/>
          <w:rFonts w:ascii="Arial Narrow" w:hAnsi="Arial Narrow"/>
          <w:b/>
          <w:sz w:val="20"/>
          <w:szCs w:val="20"/>
        </w:rPr>
        <w:t>: Proposed risk sharing arrangement</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204"/>
        <w:gridCol w:w="1206"/>
        <w:gridCol w:w="1204"/>
        <w:gridCol w:w="1206"/>
        <w:gridCol w:w="1204"/>
        <w:gridCol w:w="1202"/>
      </w:tblGrid>
      <w:tr w:rsidR="00891E1B" w:rsidRPr="0019793B" w:rsidTr="00494814">
        <w:trPr>
          <w:trHeight w:val="315"/>
        </w:trPr>
        <w:tc>
          <w:tcPr>
            <w:tcW w:w="679" w:type="pct"/>
            <w:shd w:val="clear" w:color="auto" w:fill="auto"/>
            <w:noWrap/>
            <w:vAlign w:val="center"/>
            <w:hideMark/>
          </w:tcPr>
          <w:p w:rsidR="00A55EB9" w:rsidRPr="0019793B" w:rsidRDefault="00A55EB9" w:rsidP="00485BF8">
            <w:pPr>
              <w:keepNext/>
              <w:rPr>
                <w:rFonts w:ascii="Arial Narrow" w:hAnsi="Arial Narrow"/>
                <w:b/>
                <w:bCs/>
                <w:color w:val="000000"/>
                <w:sz w:val="20"/>
                <w:szCs w:val="20"/>
              </w:rPr>
            </w:pPr>
            <w:r w:rsidRPr="0019793B">
              <w:rPr>
                <w:rFonts w:ascii="Arial Narrow" w:hAnsi="Arial Narrow"/>
                <w:b/>
                <w:bCs/>
                <w:color w:val="000000"/>
                <w:sz w:val="20"/>
                <w:szCs w:val="20"/>
                <w:lang w:val="en-US"/>
              </w:rPr>
              <w:t> </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Year 1</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Year 2</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Year 3</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Year 4</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Year 5</w:t>
            </w:r>
          </w:p>
        </w:tc>
        <w:tc>
          <w:tcPr>
            <w:tcW w:w="721" w:type="pct"/>
            <w:shd w:val="clear" w:color="auto" w:fill="auto"/>
            <w:noWrap/>
            <w:vAlign w:val="center"/>
            <w:hideMark/>
          </w:tcPr>
          <w:p w:rsidR="00A55EB9" w:rsidRPr="0019793B" w:rsidRDefault="004B5A20"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T</w:t>
            </w:r>
            <w:r w:rsidR="00A55EB9" w:rsidRPr="0019793B">
              <w:rPr>
                <w:rFonts w:ascii="Arial Narrow" w:hAnsi="Arial Narrow"/>
                <w:b/>
                <w:bCs/>
                <w:color w:val="000000"/>
                <w:sz w:val="20"/>
                <w:szCs w:val="20"/>
                <w:lang w:val="en-US"/>
              </w:rPr>
              <w:t>otal</w:t>
            </w:r>
          </w:p>
        </w:tc>
      </w:tr>
      <w:tr w:rsidR="00891E1B" w:rsidRPr="0019793B" w:rsidTr="00494814">
        <w:trPr>
          <w:trHeight w:val="315"/>
        </w:trPr>
        <w:tc>
          <w:tcPr>
            <w:tcW w:w="679" w:type="pct"/>
            <w:shd w:val="clear" w:color="auto" w:fill="auto"/>
            <w:noWrap/>
            <w:vAlign w:val="center"/>
            <w:hideMark/>
          </w:tcPr>
          <w:p w:rsidR="00A55EB9" w:rsidRPr="00F17FFB" w:rsidRDefault="00F17FFB" w:rsidP="00485BF8">
            <w:pPr>
              <w:keepNext/>
              <w:rPr>
                <w:rFonts w:ascii="Arial Narrow" w:hAnsi="Arial Narrow"/>
                <w:b/>
                <w:bCs/>
                <w:color w:val="000000"/>
                <w:sz w:val="20"/>
                <w:szCs w:val="20"/>
                <w:highlight w:val="black"/>
              </w:rPr>
            </w:pPr>
            <w:r>
              <w:rPr>
                <w:rFonts w:ascii="Arial Narrow" w:hAnsi="Arial Narrow"/>
                <w:b/>
                <w:bCs/>
                <w:noProof/>
                <w:color w:val="000000"/>
                <w:sz w:val="20"/>
                <w:szCs w:val="20"/>
                <w:highlight w:val="black"/>
                <w:lang w:val="en-US"/>
              </w:rPr>
              <w:t>'''''''' '''</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hideMark/>
          </w:tcPr>
          <w:p w:rsidR="00A55EB9" w:rsidRPr="0019793B" w:rsidRDefault="004B5A20" w:rsidP="00485BF8">
            <w:pPr>
              <w:keepNext/>
              <w:rPr>
                <w:rFonts w:ascii="Arial Narrow" w:hAnsi="Arial Narrow"/>
                <w:color w:val="000000"/>
                <w:sz w:val="20"/>
                <w:szCs w:val="20"/>
              </w:rPr>
            </w:pPr>
            <w:r w:rsidRPr="0019793B">
              <w:rPr>
                <w:rFonts w:ascii="Arial Narrow" w:hAnsi="Arial Narrow"/>
                <w:color w:val="000000"/>
                <w:sz w:val="20"/>
                <w:szCs w:val="20"/>
                <w:lang w:val="en-US"/>
              </w:rPr>
              <w:t xml:space="preserve">Estimated expenditure </w:t>
            </w:r>
            <w:r w:rsidR="00F17FFB">
              <w:rPr>
                <w:rFonts w:ascii="Arial Narrow" w:hAnsi="Arial Narrow"/>
                <w:noProof/>
                <w:color w:val="000000"/>
                <w:sz w:val="20"/>
                <w:szCs w:val="20"/>
                <w:highlight w:val="black"/>
                <w:lang w:val="en-US"/>
              </w:rPr>
              <w:t>''''''''''' '''''''''''''''' '''' ''''</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hideMark/>
          </w:tcPr>
          <w:p w:rsidR="00A55EB9" w:rsidRPr="00F17FFB" w:rsidRDefault="00F17FFB" w:rsidP="00485BF8">
            <w:pPr>
              <w:keepNext/>
              <w:rPr>
                <w:rFonts w:ascii="Arial Narrow" w:hAnsi="Arial Narrow"/>
                <w:b/>
                <w:bCs/>
                <w:color w:val="000000"/>
                <w:sz w:val="20"/>
                <w:szCs w:val="20"/>
                <w:highlight w:val="black"/>
              </w:rPr>
            </w:pPr>
            <w:r>
              <w:rPr>
                <w:rFonts w:ascii="Arial Narrow" w:hAnsi="Arial Narrow"/>
                <w:b/>
                <w:bCs/>
                <w:noProof/>
                <w:color w:val="000000"/>
                <w:sz w:val="20"/>
                <w:szCs w:val="20"/>
                <w:highlight w:val="black"/>
                <w:lang w:val="en-US"/>
              </w:rPr>
              <w:t>''''''''' '''</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
                <w:bCs/>
                <w:color w:val="000000"/>
                <w:sz w:val="20"/>
                <w:szCs w:val="20"/>
              </w:rPr>
            </w:pPr>
            <w:r w:rsidRPr="0019793B">
              <w:rPr>
                <w:rFonts w:ascii="Arial Narrow" w:hAnsi="Arial Narrow"/>
                <w:b/>
                <w:bCs/>
                <w:color w:val="000000"/>
                <w:sz w:val="20"/>
                <w:szCs w:val="20"/>
                <w:lang w:val="en-US"/>
              </w:rPr>
              <w:t>$</w:t>
            </w:r>
            <w:r w:rsidR="00F17FFB">
              <w:rPr>
                <w:rFonts w:ascii="Arial Narrow" w:hAnsi="Arial Narrow"/>
                <w:b/>
                <w:bCs/>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tcPr>
          <w:p w:rsidR="004B5A20" w:rsidRPr="0019793B" w:rsidRDefault="004B5A20" w:rsidP="00485BF8">
            <w:pPr>
              <w:keepNext/>
              <w:rPr>
                <w:rFonts w:ascii="Arial Narrow" w:hAnsi="Arial Narrow"/>
                <w:color w:val="000000"/>
                <w:sz w:val="20"/>
                <w:szCs w:val="20"/>
                <w:lang w:val="en-US"/>
              </w:rPr>
            </w:pPr>
            <w:r w:rsidRPr="0019793B">
              <w:rPr>
                <w:rFonts w:ascii="Arial Narrow" w:hAnsi="Arial Narrow"/>
                <w:color w:val="000000"/>
                <w:sz w:val="20"/>
                <w:szCs w:val="20"/>
                <w:lang w:val="en-US"/>
              </w:rPr>
              <w:t xml:space="preserve">Estimated expenditure </w:t>
            </w:r>
            <w:r w:rsidR="00F17FFB">
              <w:rPr>
                <w:rFonts w:ascii="Arial Narrow" w:hAnsi="Arial Narrow"/>
                <w:noProof/>
                <w:color w:val="000000"/>
                <w:sz w:val="20"/>
                <w:szCs w:val="20"/>
                <w:highlight w:val="black"/>
                <w:lang w:val="en-US"/>
              </w:rPr>
              <w:t>'''''''''' ''''''''''''' '''' ''''</w:t>
            </w:r>
          </w:p>
        </w:tc>
        <w:tc>
          <w:tcPr>
            <w:tcW w:w="720"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tcPr>
          <w:p w:rsidR="004B5A20" w:rsidRPr="0019793B" w:rsidRDefault="004B5A20" w:rsidP="00485BF8">
            <w:pPr>
              <w:keepNext/>
              <w:jc w:val="center"/>
              <w:rPr>
                <w:rFonts w:ascii="Arial Narrow" w:hAnsi="Arial Narrow"/>
                <w:color w:val="000000"/>
                <w:sz w:val="20"/>
                <w:szCs w:val="20"/>
                <w:lang w:val="en-US"/>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hideMark/>
          </w:tcPr>
          <w:p w:rsidR="00A55EB9" w:rsidRPr="0019793B" w:rsidRDefault="00A55EB9" w:rsidP="00485BF8">
            <w:pPr>
              <w:keepNext/>
              <w:rPr>
                <w:rFonts w:ascii="Arial Narrow" w:hAnsi="Arial Narrow"/>
                <w:color w:val="000000"/>
                <w:sz w:val="20"/>
                <w:szCs w:val="20"/>
              </w:rPr>
            </w:pPr>
            <w:r w:rsidRPr="0019793B">
              <w:rPr>
                <w:rFonts w:ascii="Arial Narrow" w:hAnsi="Arial Narrow"/>
                <w:color w:val="000000"/>
                <w:sz w:val="20"/>
                <w:szCs w:val="20"/>
                <w:lang w:val="en-US"/>
              </w:rPr>
              <w:t>Estimated reimbursement</w:t>
            </w:r>
            <w:r w:rsidR="0039072A" w:rsidRPr="0019793B">
              <w:rPr>
                <w:rFonts w:ascii="Arial Narrow" w:hAnsi="Arial Narrow"/>
                <w:color w:val="000000"/>
                <w:sz w:val="20"/>
                <w:szCs w:val="20"/>
                <w:lang w:val="en-US"/>
              </w:rPr>
              <w:t xml:space="preserve"> </w:t>
            </w:r>
            <w:r w:rsidR="00F17FFB">
              <w:rPr>
                <w:rFonts w:ascii="Arial Narrow" w:hAnsi="Arial Narrow"/>
                <w:noProof/>
                <w:color w:val="000000"/>
                <w:sz w:val="20"/>
                <w:szCs w:val="20"/>
                <w:highlight w:val="black"/>
                <w:lang w:val="en-US"/>
              </w:rPr>
              <w:t>'''' '''''''''''''''''''' '''' '''' ''' ''''''''''</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color w:val="000000"/>
                <w:sz w:val="20"/>
                <w:szCs w:val="20"/>
              </w:rPr>
            </w:pPr>
            <w:r w:rsidRPr="0019793B">
              <w:rPr>
                <w:rFonts w:ascii="Arial Narrow" w:hAnsi="Arial Narrow"/>
                <w:color w:val="000000"/>
                <w:sz w:val="20"/>
                <w:szCs w:val="20"/>
                <w:lang w:val="en-US"/>
              </w:rPr>
              <w:t>$</w:t>
            </w:r>
            <w:r w:rsidR="00F17FFB">
              <w:rPr>
                <w:rFonts w:ascii="Arial Narrow" w:hAnsi="Arial Narrow"/>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hideMark/>
          </w:tcPr>
          <w:p w:rsidR="00A55EB9" w:rsidRPr="0019793B" w:rsidRDefault="00A55EB9" w:rsidP="00485BF8">
            <w:pPr>
              <w:keepNext/>
              <w:rPr>
                <w:rFonts w:ascii="Arial Narrow" w:hAnsi="Arial Narrow"/>
                <w:bCs/>
                <w:color w:val="000000"/>
                <w:sz w:val="20"/>
                <w:szCs w:val="20"/>
              </w:rPr>
            </w:pPr>
            <w:r w:rsidRPr="0019793B">
              <w:rPr>
                <w:rFonts w:ascii="Arial Narrow" w:hAnsi="Arial Narrow"/>
                <w:bCs/>
                <w:color w:val="000000"/>
                <w:sz w:val="20"/>
                <w:szCs w:val="20"/>
                <w:lang w:val="en-US"/>
              </w:rPr>
              <w:t>Estimated cost to PBS/RPBS</w:t>
            </w:r>
            <w:r w:rsidR="00E2004E" w:rsidRPr="0019793B">
              <w:rPr>
                <w:rFonts w:ascii="Arial Narrow" w:hAnsi="Arial Narrow"/>
                <w:bCs/>
                <w:color w:val="000000"/>
                <w:sz w:val="20"/>
                <w:szCs w:val="20"/>
                <w:lang w:val="en-US"/>
              </w:rPr>
              <w:t xml:space="preserve"> of apremilast</w:t>
            </w:r>
          </w:p>
        </w:tc>
        <w:tc>
          <w:tcPr>
            <w:tcW w:w="720"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c>
          <w:tcPr>
            <w:tcW w:w="720"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c>
          <w:tcPr>
            <w:tcW w:w="721" w:type="pct"/>
            <w:shd w:val="clear" w:color="auto" w:fill="auto"/>
            <w:noWrap/>
            <w:vAlign w:val="center"/>
            <w:hideMark/>
          </w:tcPr>
          <w:p w:rsidR="00A55EB9" w:rsidRPr="0019793B" w:rsidRDefault="00A55EB9" w:rsidP="00485BF8">
            <w:pPr>
              <w:keepNext/>
              <w:jc w:val="center"/>
              <w:rPr>
                <w:rFonts w:ascii="Arial Narrow" w:hAnsi="Arial Narrow"/>
                <w:bCs/>
                <w:color w:val="000000"/>
                <w:sz w:val="20"/>
                <w:szCs w:val="20"/>
              </w:rPr>
            </w:pPr>
            <w:r w:rsidRPr="0019793B">
              <w:rPr>
                <w:rFonts w:ascii="Arial Narrow" w:hAnsi="Arial Narrow"/>
                <w:bCs/>
                <w:color w:val="000000"/>
                <w:sz w:val="20"/>
                <w:szCs w:val="20"/>
                <w:lang w:val="en-US"/>
              </w:rPr>
              <w:t>$</w:t>
            </w:r>
            <w:r w:rsidR="00F17FFB">
              <w:rPr>
                <w:rFonts w:ascii="Arial Narrow" w:hAnsi="Arial Narrow"/>
                <w:bCs/>
                <w:noProof/>
                <w:color w:val="000000"/>
                <w:sz w:val="20"/>
                <w:szCs w:val="20"/>
                <w:highlight w:val="black"/>
                <w:lang w:val="en-US"/>
              </w:rPr>
              <w:t>'''''''''''''''''''''''''''''''''</w:t>
            </w:r>
          </w:p>
        </w:tc>
      </w:tr>
      <w:tr w:rsidR="00891E1B" w:rsidRPr="0019793B" w:rsidTr="00494814">
        <w:trPr>
          <w:trHeight w:val="315"/>
        </w:trPr>
        <w:tc>
          <w:tcPr>
            <w:tcW w:w="679" w:type="pct"/>
            <w:shd w:val="clear" w:color="auto" w:fill="auto"/>
            <w:noWrap/>
            <w:vAlign w:val="center"/>
          </w:tcPr>
          <w:p w:rsidR="00E2004E" w:rsidRPr="0019793B" w:rsidRDefault="00E2004E" w:rsidP="00485BF8">
            <w:pPr>
              <w:keepNext/>
              <w:rPr>
                <w:rFonts w:ascii="Arial Narrow" w:hAnsi="Arial Narrow"/>
                <w:bCs/>
                <w:color w:val="000000"/>
                <w:sz w:val="20"/>
                <w:szCs w:val="20"/>
                <w:lang w:val="en-US"/>
              </w:rPr>
            </w:pPr>
            <w:r w:rsidRPr="0019793B">
              <w:rPr>
                <w:rFonts w:ascii="Arial Narrow" w:hAnsi="Arial Narrow"/>
                <w:bCs/>
                <w:color w:val="000000"/>
                <w:sz w:val="20"/>
                <w:szCs w:val="20"/>
                <w:lang w:val="en-US"/>
              </w:rPr>
              <w:t>Estimated net cost to PBS/RPBS</w:t>
            </w:r>
          </w:p>
        </w:tc>
        <w:tc>
          <w:tcPr>
            <w:tcW w:w="720"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0"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0"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485BF8">
            <w:pPr>
              <w:keepNext/>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r>
      <w:tr w:rsidR="00891E1B" w:rsidRPr="0019793B" w:rsidTr="00494814">
        <w:trPr>
          <w:trHeight w:val="315"/>
        </w:trPr>
        <w:tc>
          <w:tcPr>
            <w:tcW w:w="679" w:type="pct"/>
            <w:shd w:val="clear" w:color="auto" w:fill="auto"/>
            <w:noWrap/>
            <w:vAlign w:val="center"/>
          </w:tcPr>
          <w:p w:rsidR="00E2004E" w:rsidRPr="0019793B" w:rsidRDefault="00E2004E">
            <w:pPr>
              <w:rPr>
                <w:rFonts w:ascii="Arial Narrow" w:hAnsi="Arial Narrow"/>
                <w:bCs/>
                <w:color w:val="000000"/>
                <w:sz w:val="20"/>
                <w:szCs w:val="20"/>
                <w:lang w:val="en-US"/>
              </w:rPr>
            </w:pPr>
            <w:r w:rsidRPr="0019793B">
              <w:rPr>
                <w:rFonts w:ascii="Arial Narrow" w:hAnsi="Arial Narrow"/>
                <w:bCs/>
                <w:color w:val="000000"/>
                <w:sz w:val="20"/>
                <w:szCs w:val="20"/>
                <w:lang w:val="en-US"/>
              </w:rPr>
              <w:t>Estimated net cost to government</w:t>
            </w:r>
          </w:p>
        </w:tc>
        <w:tc>
          <w:tcPr>
            <w:tcW w:w="720"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0"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0"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c>
          <w:tcPr>
            <w:tcW w:w="721" w:type="pct"/>
            <w:shd w:val="clear" w:color="auto" w:fill="auto"/>
            <w:noWrap/>
            <w:vAlign w:val="center"/>
          </w:tcPr>
          <w:p w:rsidR="00E2004E" w:rsidRPr="0019793B" w:rsidRDefault="00E2004E" w:rsidP="00E2004E">
            <w:pPr>
              <w:jc w:val="center"/>
              <w:rPr>
                <w:rFonts w:ascii="Arial Narrow" w:hAnsi="Arial Narrow"/>
                <w:sz w:val="20"/>
                <w:szCs w:val="20"/>
              </w:rPr>
            </w:pPr>
            <w:r w:rsidRPr="0019793B">
              <w:rPr>
                <w:rFonts w:ascii="Arial Narrow" w:hAnsi="Arial Narrow"/>
                <w:sz w:val="20"/>
                <w:szCs w:val="20"/>
              </w:rPr>
              <w:t>$</w:t>
            </w:r>
            <w:r w:rsidR="00F17FFB">
              <w:rPr>
                <w:rFonts w:ascii="Arial Narrow" w:hAnsi="Arial Narrow"/>
                <w:noProof/>
                <w:color w:val="000000"/>
                <w:sz w:val="20"/>
                <w:szCs w:val="20"/>
                <w:highlight w:val="black"/>
              </w:rPr>
              <w:t>'''''''''''''''''''''''''''''''</w:t>
            </w:r>
          </w:p>
        </w:tc>
      </w:tr>
    </w:tbl>
    <w:p w:rsidR="0022059F" w:rsidRDefault="00485BF8" w:rsidP="00685C10">
      <w:pPr>
        <w:pStyle w:val="TableFooter"/>
        <w:keepNext/>
        <w:widowControl/>
        <w:ind w:firstLine="720"/>
        <w:rPr>
          <w:szCs w:val="22"/>
        </w:rPr>
      </w:pPr>
      <w:r w:rsidRPr="0019793B">
        <w:t>Source: Table 12 of the minor resubmission and calculated during the preparation of the minor overview.</w:t>
      </w:r>
    </w:p>
    <w:p w:rsidR="0022059F" w:rsidRDefault="0022059F" w:rsidP="0022059F">
      <w:pPr>
        <w:rPr>
          <w:lang w:eastAsia="en-US"/>
        </w:rPr>
      </w:pPr>
    </w:p>
    <w:p w:rsidR="00D130D8" w:rsidRDefault="00D130D8" w:rsidP="001D2333">
      <w:pPr>
        <w:ind w:left="720"/>
        <w:jc w:val="both"/>
        <w:rPr>
          <w:rFonts w:ascii="Arial" w:hAnsi="Arial" w:cs="Arial"/>
          <w:sz w:val="22"/>
        </w:rPr>
      </w:pPr>
      <w:r>
        <w:rPr>
          <w:rFonts w:ascii="Arial" w:hAnsi="Arial" w:cs="Arial"/>
          <w:sz w:val="22"/>
        </w:rPr>
        <w:t>The redacted table shows that a</w:t>
      </w:r>
      <w:r w:rsidRPr="00DE39BD">
        <w:rPr>
          <w:rFonts w:ascii="Arial" w:hAnsi="Arial" w:cs="Arial"/>
          <w:sz w:val="22"/>
        </w:rPr>
        <w:t xml:space="preserve">t year 5, the estimated net cost to the PBS would be </w:t>
      </w:r>
      <w:r>
        <w:rPr>
          <w:rFonts w:ascii="Arial" w:hAnsi="Arial" w:cs="Arial"/>
          <w:sz w:val="22"/>
        </w:rPr>
        <w:t xml:space="preserve">$30 - $60 million. </w:t>
      </w:r>
    </w:p>
    <w:p w:rsidR="00D130D8" w:rsidRDefault="00D130D8" w:rsidP="0022059F">
      <w:pPr>
        <w:rPr>
          <w:lang w:eastAsia="en-US"/>
        </w:rPr>
      </w:pPr>
    </w:p>
    <w:p w:rsidR="00BB5D14" w:rsidRDefault="00BB5D14" w:rsidP="00BB5D14">
      <w:pPr>
        <w:ind w:left="720"/>
        <w:rPr>
          <w:rFonts w:ascii="Arial" w:hAnsi="Arial" w:cs="Arial"/>
          <w:bCs/>
          <w:i/>
          <w:sz w:val="22"/>
          <w:szCs w:val="22"/>
        </w:rPr>
      </w:pPr>
      <w:r w:rsidRPr="004F1C84">
        <w:rPr>
          <w:rFonts w:ascii="Arial" w:hAnsi="Arial" w:cs="Arial"/>
          <w:bCs/>
          <w:i/>
          <w:sz w:val="22"/>
          <w:szCs w:val="22"/>
        </w:rPr>
        <w:t>For more detail on PBAC’s view, see section 7 “PBAC outcome”</w:t>
      </w:r>
    </w:p>
    <w:p w:rsidR="00BB5D14" w:rsidRDefault="00BB5D14" w:rsidP="0022059F">
      <w:pPr>
        <w:rPr>
          <w:lang w:eastAsia="en-US"/>
        </w:rPr>
      </w:pPr>
    </w:p>
    <w:p w:rsidR="00AA4252" w:rsidRDefault="00AA4252" w:rsidP="0022059F">
      <w:pPr>
        <w:rPr>
          <w:lang w:eastAsia="en-US"/>
        </w:rPr>
      </w:pPr>
    </w:p>
    <w:p w:rsidR="0022059F" w:rsidRPr="00BB5D14" w:rsidRDefault="0022059F" w:rsidP="00675223">
      <w:pPr>
        <w:pStyle w:val="PBACHeading1"/>
      </w:pPr>
      <w:r w:rsidRPr="00BB5D14">
        <w:t>PBAC Outcome</w:t>
      </w:r>
    </w:p>
    <w:p w:rsidR="0022059F" w:rsidRPr="00ED6D16" w:rsidRDefault="0022059F" w:rsidP="0022059F">
      <w:pPr>
        <w:widowControl w:val="0"/>
        <w:jc w:val="both"/>
        <w:rPr>
          <w:rFonts w:ascii="Arial" w:hAnsi="Arial" w:cs="Arial"/>
          <w:b/>
          <w:bCs/>
          <w:snapToGrid w:val="0"/>
          <w:sz w:val="22"/>
          <w:szCs w:val="20"/>
          <w:lang w:val="en-GB"/>
        </w:rPr>
      </w:pPr>
    </w:p>
    <w:p w:rsidR="008E571F" w:rsidRPr="00ED6D16" w:rsidRDefault="008E571F" w:rsidP="008E571F">
      <w:pPr>
        <w:pStyle w:val="ListParagraph"/>
        <w:widowControl/>
        <w:numPr>
          <w:ilvl w:val="1"/>
          <w:numId w:val="5"/>
        </w:numPr>
        <w:rPr>
          <w:szCs w:val="22"/>
        </w:rPr>
      </w:pPr>
      <w:r w:rsidRPr="00ED6D16">
        <w:rPr>
          <w:bCs/>
          <w:lang w:val="en-GB"/>
        </w:rPr>
        <w:t>The PBAC did not recommend the listing of apremilast for</w:t>
      </w:r>
      <w:r w:rsidRPr="00ED6D16">
        <w:t xml:space="preserve"> the treatment of patients with moderate-to-severe plaque psoriasis who have failed to achieve an adequate response or are contraindicated to treatment with methotrexate.</w:t>
      </w:r>
    </w:p>
    <w:p w:rsidR="008E571F" w:rsidRPr="00ED6D16" w:rsidRDefault="008E571F" w:rsidP="008E571F">
      <w:pPr>
        <w:pStyle w:val="ListParagraph"/>
        <w:widowControl/>
        <w:rPr>
          <w:szCs w:val="22"/>
        </w:rPr>
      </w:pPr>
    </w:p>
    <w:p w:rsidR="008E571F" w:rsidRPr="00ED6D16" w:rsidRDefault="008E571F" w:rsidP="008E571F">
      <w:pPr>
        <w:pStyle w:val="ListParagraph"/>
        <w:widowControl/>
        <w:numPr>
          <w:ilvl w:val="1"/>
          <w:numId w:val="5"/>
        </w:numPr>
        <w:rPr>
          <w:szCs w:val="22"/>
        </w:rPr>
      </w:pPr>
      <w:r>
        <w:t xml:space="preserve">The PBAC recalled that it rejected apremilast for moderate to severe plaque psoriasis in </w:t>
      </w:r>
      <w:r w:rsidR="00B726FC">
        <w:t xml:space="preserve">its previous consideration in </w:t>
      </w:r>
      <w:r>
        <w:t xml:space="preserve">November 2016 on the basis that </w:t>
      </w:r>
      <w:r w:rsidR="009A1BF4" w:rsidRPr="00F16087">
        <w:rPr>
          <w:bCs/>
          <w:lang w:val="en-GB"/>
        </w:rPr>
        <w:t>the evidence presented did not support the claims of superior comparative efficacy or safety versus cyclosporin and the cost effectiveness of apremilast was uncertain and unacceptable at the requested price</w:t>
      </w:r>
      <w:r>
        <w:t>.</w:t>
      </w:r>
      <w:r w:rsidR="009A1BF4" w:rsidRPr="009A1BF4">
        <w:t xml:space="preserve"> </w:t>
      </w:r>
      <w:r w:rsidR="009A1BF4">
        <w:t>The PBAC noted that the resubmission did not address the issues it previously identified in its consideration of the November 2016 major resubmission (see Table</w:t>
      </w:r>
      <w:r w:rsidR="00896448">
        <w:t>s</w:t>
      </w:r>
      <w:r w:rsidR="009A1BF4">
        <w:t xml:space="preserve"> 1</w:t>
      </w:r>
      <w:r w:rsidR="00896448">
        <w:t xml:space="preserve"> and 2</w:t>
      </w:r>
      <w:r w:rsidR="009A1BF4">
        <w:t>).</w:t>
      </w:r>
    </w:p>
    <w:p w:rsidR="008E571F" w:rsidRPr="00ED6D16" w:rsidRDefault="008E571F" w:rsidP="008E571F">
      <w:pPr>
        <w:rPr>
          <w:szCs w:val="22"/>
        </w:rPr>
      </w:pPr>
    </w:p>
    <w:p w:rsidR="008E571F" w:rsidRDefault="008E571F" w:rsidP="008E571F">
      <w:pPr>
        <w:widowControl w:val="0"/>
        <w:numPr>
          <w:ilvl w:val="1"/>
          <w:numId w:val="5"/>
        </w:numPr>
        <w:jc w:val="both"/>
        <w:rPr>
          <w:rFonts w:ascii="Arial" w:hAnsi="Arial" w:cs="Arial"/>
          <w:bCs/>
          <w:snapToGrid w:val="0"/>
          <w:sz w:val="22"/>
          <w:szCs w:val="20"/>
          <w:lang w:val="en-GB"/>
        </w:rPr>
      </w:pPr>
      <w:r w:rsidRPr="00ED6D16">
        <w:rPr>
          <w:rFonts w:ascii="Arial" w:hAnsi="Arial" w:cs="Arial"/>
          <w:bCs/>
          <w:snapToGrid w:val="0"/>
          <w:sz w:val="22"/>
          <w:szCs w:val="20"/>
          <w:lang w:val="en-GB"/>
        </w:rPr>
        <w:t>The PBAC noted the input received prior to the November 2016 PBAC meeting from individuals, health care professionals and organisations, including advice received from the Australian College of Dermatologists clarifying the likely use of apremilast in clinical practice.</w:t>
      </w:r>
    </w:p>
    <w:p w:rsidR="008E571F" w:rsidRPr="00ED6D16" w:rsidRDefault="008E571F" w:rsidP="00466375">
      <w:pPr>
        <w:widowControl w:val="0"/>
        <w:jc w:val="both"/>
        <w:rPr>
          <w:rFonts w:ascii="Arial" w:hAnsi="Arial" w:cs="Arial"/>
          <w:bCs/>
          <w:snapToGrid w:val="0"/>
          <w:sz w:val="22"/>
          <w:szCs w:val="20"/>
          <w:lang w:val="en-GB"/>
        </w:rPr>
      </w:pPr>
    </w:p>
    <w:p w:rsidR="008E571F" w:rsidRDefault="008E571F" w:rsidP="008E571F">
      <w:pPr>
        <w:pStyle w:val="ListParagraph"/>
        <w:widowControl/>
        <w:numPr>
          <w:ilvl w:val="1"/>
          <w:numId w:val="5"/>
        </w:numPr>
        <w:rPr>
          <w:szCs w:val="22"/>
        </w:rPr>
      </w:pPr>
      <w:r>
        <w:rPr>
          <w:szCs w:val="22"/>
        </w:rPr>
        <w:t>The PBAC noted the proposed place in therapy as an additional treatment option in the same line as cyclosporin in patients who have failed to achieve an adequate response or are contraindicated to treatment with methotrexate.</w:t>
      </w:r>
    </w:p>
    <w:p w:rsidR="008E571F" w:rsidRDefault="008E571F" w:rsidP="008E571F">
      <w:pPr>
        <w:pStyle w:val="ListParagraph"/>
        <w:widowControl/>
        <w:rPr>
          <w:szCs w:val="22"/>
        </w:rPr>
      </w:pPr>
    </w:p>
    <w:p w:rsidR="008E571F" w:rsidRDefault="008E571F" w:rsidP="008E571F">
      <w:pPr>
        <w:pStyle w:val="ListParagraph"/>
        <w:widowControl/>
        <w:numPr>
          <w:ilvl w:val="1"/>
          <w:numId w:val="5"/>
        </w:numPr>
        <w:rPr>
          <w:szCs w:val="22"/>
        </w:rPr>
      </w:pPr>
      <w:r>
        <w:rPr>
          <w:szCs w:val="22"/>
        </w:rPr>
        <w:t>The PBAC recalled it previously accepted cyclosporin as the main comparator if apremilast was restricted to patients who have failed treatment with methotrexate</w:t>
      </w:r>
      <w:r w:rsidR="008C0C4F">
        <w:rPr>
          <w:szCs w:val="22"/>
        </w:rPr>
        <w:t>. The PBAC noted that the minor resubmission did not change the comparator</w:t>
      </w:r>
      <w:r>
        <w:rPr>
          <w:szCs w:val="22"/>
        </w:rPr>
        <w:t>.</w:t>
      </w:r>
    </w:p>
    <w:p w:rsidR="008E571F" w:rsidRPr="00A04EC5" w:rsidRDefault="008E571F" w:rsidP="008E571F">
      <w:pPr>
        <w:pStyle w:val="ListParagraph"/>
        <w:rPr>
          <w:szCs w:val="22"/>
        </w:rPr>
      </w:pPr>
    </w:p>
    <w:p w:rsidR="006D193A" w:rsidRDefault="008E571F" w:rsidP="00466375">
      <w:pPr>
        <w:pStyle w:val="ListParagraph"/>
        <w:widowControl/>
        <w:numPr>
          <w:ilvl w:val="1"/>
          <w:numId w:val="5"/>
        </w:numPr>
        <w:rPr>
          <w:szCs w:val="22"/>
        </w:rPr>
      </w:pPr>
      <w:r w:rsidRPr="00391B69">
        <w:rPr>
          <w:szCs w:val="22"/>
        </w:rPr>
        <w:t xml:space="preserve">The PBAC </w:t>
      </w:r>
      <w:r w:rsidR="006D193A">
        <w:rPr>
          <w:szCs w:val="22"/>
        </w:rPr>
        <w:t xml:space="preserve">recalled that </w:t>
      </w:r>
      <w:r w:rsidR="003241FA">
        <w:rPr>
          <w:szCs w:val="22"/>
        </w:rPr>
        <w:t>the</w:t>
      </w:r>
      <w:r w:rsidR="006D193A">
        <w:rPr>
          <w:szCs w:val="22"/>
        </w:rPr>
        <w:t xml:space="preserve"> November 2016</w:t>
      </w:r>
      <w:r w:rsidR="003241FA">
        <w:rPr>
          <w:szCs w:val="22"/>
        </w:rPr>
        <w:t xml:space="preserve"> resubmission revised the clinical claim to superiority </w:t>
      </w:r>
      <w:r w:rsidR="00202D61">
        <w:rPr>
          <w:szCs w:val="22"/>
        </w:rPr>
        <w:t xml:space="preserve">versus cyclosporin </w:t>
      </w:r>
      <w:r w:rsidR="003241FA">
        <w:rPr>
          <w:szCs w:val="22"/>
        </w:rPr>
        <w:t>on the basis of real-world persistence data, from non-inferiority in the March 2015 submission (see paragraphs 6.5 and 6.6).</w:t>
      </w:r>
      <w:r w:rsidR="00202D61">
        <w:rPr>
          <w:szCs w:val="22"/>
        </w:rPr>
        <w:t xml:space="preserve"> </w:t>
      </w:r>
      <w:r w:rsidR="003241FA">
        <w:rPr>
          <w:szCs w:val="22"/>
        </w:rPr>
        <w:t>In November 2016, t</w:t>
      </w:r>
      <w:r w:rsidR="006D193A">
        <w:rPr>
          <w:szCs w:val="22"/>
        </w:rPr>
        <w:t xml:space="preserve">he PBAC considered </w:t>
      </w:r>
      <w:r w:rsidRPr="004F17E5">
        <w:rPr>
          <w:szCs w:val="22"/>
        </w:rPr>
        <w:t xml:space="preserve">that the non-randomised persistence data </w:t>
      </w:r>
      <w:r w:rsidR="006D193A">
        <w:rPr>
          <w:szCs w:val="22"/>
        </w:rPr>
        <w:t xml:space="preserve">was relevant supportive information but was </w:t>
      </w:r>
      <w:r w:rsidRPr="004F17E5">
        <w:rPr>
          <w:szCs w:val="22"/>
        </w:rPr>
        <w:t>a</w:t>
      </w:r>
      <w:r w:rsidR="006D193A">
        <w:rPr>
          <w:szCs w:val="22"/>
        </w:rPr>
        <w:t>n</w:t>
      </w:r>
      <w:r w:rsidRPr="004F17E5">
        <w:rPr>
          <w:szCs w:val="22"/>
        </w:rPr>
        <w:t xml:space="preserve"> </w:t>
      </w:r>
      <w:r w:rsidR="006D193A">
        <w:rPr>
          <w:szCs w:val="22"/>
        </w:rPr>
        <w:t>in</w:t>
      </w:r>
      <w:r w:rsidRPr="004F17E5">
        <w:rPr>
          <w:szCs w:val="22"/>
        </w:rPr>
        <w:t xml:space="preserve">sufficient basis to support the claim of superiority in comparative effectiveness or safety. </w:t>
      </w:r>
      <w:r w:rsidR="006D193A">
        <w:rPr>
          <w:szCs w:val="22"/>
        </w:rPr>
        <w:t xml:space="preserve">The PBAC considered that these issues had not been addressed by the minor resubmission. </w:t>
      </w:r>
    </w:p>
    <w:p w:rsidR="006D193A" w:rsidRPr="006D193A" w:rsidRDefault="006D193A" w:rsidP="00BE080A">
      <w:pPr>
        <w:pStyle w:val="ListParagraph"/>
        <w:rPr>
          <w:szCs w:val="22"/>
        </w:rPr>
      </w:pPr>
    </w:p>
    <w:p w:rsidR="004B2E84" w:rsidRDefault="006D193A" w:rsidP="00466375">
      <w:pPr>
        <w:pStyle w:val="ListParagraph"/>
        <w:widowControl/>
        <w:numPr>
          <w:ilvl w:val="1"/>
          <w:numId w:val="5"/>
        </w:numPr>
        <w:rPr>
          <w:szCs w:val="22"/>
        </w:rPr>
      </w:pPr>
      <w:r>
        <w:rPr>
          <w:szCs w:val="22"/>
        </w:rPr>
        <w:t xml:space="preserve">The PBAC noted that the pre-PBAC response </w:t>
      </w:r>
      <w:r w:rsidR="00FD51D5">
        <w:rPr>
          <w:szCs w:val="22"/>
        </w:rPr>
        <w:t xml:space="preserve">(p1) </w:t>
      </w:r>
      <w:r>
        <w:rPr>
          <w:szCs w:val="22"/>
        </w:rPr>
        <w:t xml:space="preserve">stated that “the intent of this minor submission is not to directly address these concerns [with the clinical evidence and claim] but rather to reduce the uncertainty to a level of cost-effectiveness that will enable the PBAC to </w:t>
      </w:r>
      <w:r w:rsidR="00891E1B">
        <w:rPr>
          <w:szCs w:val="22"/>
        </w:rPr>
        <w:t xml:space="preserve">make a positive recommendation”. </w:t>
      </w:r>
      <w:r>
        <w:rPr>
          <w:szCs w:val="22"/>
        </w:rPr>
        <w:t xml:space="preserve">The PBAC considered that as its concerns with </w:t>
      </w:r>
      <w:r w:rsidR="00FD51D5">
        <w:rPr>
          <w:szCs w:val="22"/>
        </w:rPr>
        <w:t xml:space="preserve">the </w:t>
      </w:r>
      <w:r>
        <w:rPr>
          <w:szCs w:val="22"/>
        </w:rPr>
        <w:t>claim of superior effectiveness and safety had not been addressed, the minor resubmission did not present a basis on which to recommend apremilast on a cost-effectiveness basis, compared with cyclosporin.</w:t>
      </w:r>
    </w:p>
    <w:p w:rsidR="004B2E84" w:rsidRPr="004B2E84" w:rsidRDefault="004B2E84" w:rsidP="00BE080A">
      <w:pPr>
        <w:pStyle w:val="ListParagraph"/>
        <w:rPr>
          <w:szCs w:val="22"/>
        </w:rPr>
      </w:pPr>
    </w:p>
    <w:p w:rsidR="008E571F" w:rsidRDefault="008E571F" w:rsidP="008E571F">
      <w:pPr>
        <w:pStyle w:val="ListParagraph"/>
        <w:widowControl/>
        <w:numPr>
          <w:ilvl w:val="1"/>
          <w:numId w:val="5"/>
        </w:numPr>
        <w:rPr>
          <w:szCs w:val="22"/>
        </w:rPr>
      </w:pPr>
      <w:r w:rsidRPr="00465976">
        <w:rPr>
          <w:szCs w:val="22"/>
        </w:rPr>
        <w:t xml:space="preserve">The PBAC </w:t>
      </w:r>
      <w:r w:rsidR="004B2E84">
        <w:rPr>
          <w:szCs w:val="22"/>
        </w:rPr>
        <w:t xml:space="preserve">noted </w:t>
      </w:r>
      <w:r w:rsidRPr="00465976">
        <w:rPr>
          <w:szCs w:val="22"/>
        </w:rPr>
        <w:t>that the</w:t>
      </w:r>
      <w:r>
        <w:rPr>
          <w:szCs w:val="22"/>
        </w:rPr>
        <w:t xml:space="preserve"> minor resubmission </w:t>
      </w:r>
      <w:r w:rsidR="004B2E84">
        <w:rPr>
          <w:szCs w:val="22"/>
        </w:rPr>
        <w:t xml:space="preserve">requested a reduced effective price of apremilast but did not </w:t>
      </w:r>
      <w:r>
        <w:rPr>
          <w:szCs w:val="22"/>
        </w:rPr>
        <w:t xml:space="preserve">address </w:t>
      </w:r>
      <w:r w:rsidR="000F5BB9">
        <w:rPr>
          <w:szCs w:val="22"/>
        </w:rPr>
        <w:t xml:space="preserve">the PBAC’s </w:t>
      </w:r>
      <w:r w:rsidR="004B2E84">
        <w:rPr>
          <w:szCs w:val="22"/>
        </w:rPr>
        <w:t xml:space="preserve">previous </w:t>
      </w:r>
      <w:r>
        <w:rPr>
          <w:szCs w:val="22"/>
        </w:rPr>
        <w:t>concerns with the</w:t>
      </w:r>
      <w:r w:rsidR="004B2E84">
        <w:rPr>
          <w:szCs w:val="22"/>
        </w:rPr>
        <w:t xml:space="preserve"> </w:t>
      </w:r>
      <w:r>
        <w:rPr>
          <w:szCs w:val="22"/>
        </w:rPr>
        <w:t xml:space="preserve">economic model presented in the November 2016 submission </w:t>
      </w:r>
      <w:r w:rsidR="004B2E84">
        <w:rPr>
          <w:szCs w:val="22"/>
        </w:rPr>
        <w:t xml:space="preserve">(see </w:t>
      </w:r>
      <w:r w:rsidR="00A8690A">
        <w:rPr>
          <w:szCs w:val="22"/>
        </w:rPr>
        <w:t>paragraph 6.10</w:t>
      </w:r>
      <w:r w:rsidR="004B2E84">
        <w:rPr>
          <w:szCs w:val="22"/>
        </w:rPr>
        <w:t>)</w:t>
      </w:r>
      <w:r>
        <w:rPr>
          <w:szCs w:val="22"/>
        </w:rPr>
        <w:t>.</w:t>
      </w:r>
      <w:r w:rsidR="004B2E84">
        <w:rPr>
          <w:szCs w:val="22"/>
        </w:rPr>
        <w:t xml:space="preserve"> </w:t>
      </w:r>
      <w:r w:rsidR="000B6630">
        <w:rPr>
          <w:szCs w:val="22"/>
        </w:rPr>
        <w:t>However</w:t>
      </w:r>
      <w:r w:rsidR="004B2E84">
        <w:rPr>
          <w:szCs w:val="22"/>
        </w:rPr>
        <w:t xml:space="preserve">, </w:t>
      </w:r>
      <w:r w:rsidR="000B6630">
        <w:rPr>
          <w:szCs w:val="22"/>
        </w:rPr>
        <w:t>the PBAC reiterated that the economic model was uninformative for decision making as</w:t>
      </w:r>
      <w:r w:rsidR="00072C4A">
        <w:rPr>
          <w:szCs w:val="22"/>
        </w:rPr>
        <w:t xml:space="preserve"> there was </w:t>
      </w:r>
      <w:r w:rsidR="009D3275">
        <w:rPr>
          <w:szCs w:val="22"/>
        </w:rPr>
        <w:t xml:space="preserve">not a </w:t>
      </w:r>
      <w:r w:rsidR="00072C4A">
        <w:rPr>
          <w:szCs w:val="22"/>
        </w:rPr>
        <w:t xml:space="preserve">sufficient justification to recommend apremilast on </w:t>
      </w:r>
      <w:r w:rsidR="00BE080A">
        <w:rPr>
          <w:szCs w:val="22"/>
        </w:rPr>
        <w:t xml:space="preserve">a </w:t>
      </w:r>
      <w:r w:rsidR="00072C4A">
        <w:rPr>
          <w:szCs w:val="22"/>
        </w:rPr>
        <w:t xml:space="preserve">cost-effectiveness </w:t>
      </w:r>
      <w:r w:rsidR="004B2E84">
        <w:rPr>
          <w:szCs w:val="22"/>
        </w:rPr>
        <w:t xml:space="preserve">basis </w:t>
      </w:r>
      <w:r w:rsidR="00072C4A">
        <w:rPr>
          <w:szCs w:val="22"/>
        </w:rPr>
        <w:t>compared with cyclosporin</w:t>
      </w:r>
      <w:r w:rsidR="004B2E84">
        <w:rPr>
          <w:szCs w:val="22"/>
        </w:rPr>
        <w:t>.</w:t>
      </w:r>
    </w:p>
    <w:p w:rsidR="008E571F" w:rsidRPr="00465976" w:rsidRDefault="008E571F" w:rsidP="008E571F">
      <w:pPr>
        <w:pStyle w:val="ListParagraph"/>
        <w:rPr>
          <w:szCs w:val="22"/>
        </w:rPr>
      </w:pPr>
    </w:p>
    <w:p w:rsidR="008E571F" w:rsidRDefault="008E571F" w:rsidP="008E571F">
      <w:pPr>
        <w:pStyle w:val="ListParagraph"/>
        <w:widowControl/>
        <w:numPr>
          <w:ilvl w:val="1"/>
          <w:numId w:val="5"/>
        </w:numPr>
        <w:rPr>
          <w:szCs w:val="22"/>
        </w:rPr>
      </w:pPr>
      <w:r>
        <w:rPr>
          <w:szCs w:val="22"/>
        </w:rPr>
        <w:t xml:space="preserve">The PBAC noted the </w:t>
      </w:r>
      <w:r w:rsidR="000B6630">
        <w:rPr>
          <w:szCs w:val="22"/>
        </w:rPr>
        <w:t>minor re</w:t>
      </w:r>
      <w:r>
        <w:rPr>
          <w:szCs w:val="22"/>
        </w:rPr>
        <w:t>submission presented revised utilisation estimates using a market based approach to reflect the proposed post-methotrexate PBS listing</w:t>
      </w:r>
      <w:r w:rsidR="000B6630">
        <w:rPr>
          <w:szCs w:val="22"/>
        </w:rPr>
        <w:t>, and that these</w:t>
      </w:r>
      <w:r w:rsidR="007F417D">
        <w:rPr>
          <w:szCs w:val="22"/>
        </w:rPr>
        <w:t xml:space="preserve"> </w:t>
      </w:r>
      <w:r w:rsidR="000B6630">
        <w:rPr>
          <w:szCs w:val="22"/>
        </w:rPr>
        <w:t>estimates</w:t>
      </w:r>
      <w:r w:rsidR="00D73C68">
        <w:rPr>
          <w:szCs w:val="22"/>
        </w:rPr>
        <w:t xml:space="preserve"> had</w:t>
      </w:r>
      <w:r>
        <w:rPr>
          <w:szCs w:val="22"/>
        </w:rPr>
        <w:t xml:space="preserve"> not </w:t>
      </w:r>
      <w:r w:rsidR="00D73C68">
        <w:rPr>
          <w:szCs w:val="22"/>
        </w:rPr>
        <w:t xml:space="preserve">been </w:t>
      </w:r>
      <w:r>
        <w:rPr>
          <w:szCs w:val="22"/>
        </w:rPr>
        <w:t>evaluated.</w:t>
      </w:r>
    </w:p>
    <w:p w:rsidR="00D73C68" w:rsidRPr="00D73C68" w:rsidRDefault="00D73C68" w:rsidP="00BE080A">
      <w:pPr>
        <w:rPr>
          <w:szCs w:val="22"/>
        </w:rPr>
      </w:pPr>
    </w:p>
    <w:p w:rsidR="00D73C68" w:rsidRDefault="00D73C68" w:rsidP="00D73C68">
      <w:pPr>
        <w:pStyle w:val="ListParagraph"/>
        <w:widowControl/>
        <w:numPr>
          <w:ilvl w:val="1"/>
          <w:numId w:val="5"/>
        </w:numPr>
        <w:rPr>
          <w:szCs w:val="22"/>
        </w:rPr>
      </w:pPr>
      <w:r>
        <w:rPr>
          <w:szCs w:val="22"/>
        </w:rPr>
        <w:t>The PBAC noted that the minor resubmission reduced the net cost of apremilast to the PBS over the first five years of listing from more than $</w:t>
      </w:r>
      <w:r w:rsidR="00D130D8">
        <w:rPr>
          <w:szCs w:val="22"/>
        </w:rPr>
        <w:t xml:space="preserve">100 </w:t>
      </w:r>
      <w:r>
        <w:rPr>
          <w:szCs w:val="22"/>
        </w:rPr>
        <w:t>million to $</w:t>
      </w:r>
      <w:r w:rsidR="00D130D8">
        <w:rPr>
          <w:szCs w:val="22"/>
        </w:rPr>
        <w:t xml:space="preserve">more than $100 </w:t>
      </w:r>
      <w:r>
        <w:rPr>
          <w:szCs w:val="22"/>
        </w:rPr>
        <w:t>million through a proposed reduction in the effective price and additional financial caps through an RSA.</w:t>
      </w:r>
      <w:r w:rsidR="003E03FB">
        <w:rPr>
          <w:szCs w:val="22"/>
        </w:rPr>
        <w:t xml:space="preserve"> </w:t>
      </w:r>
      <w:r w:rsidR="000B6630">
        <w:rPr>
          <w:bCs/>
          <w:lang w:val="en-GB"/>
        </w:rPr>
        <w:t>I</w:t>
      </w:r>
      <w:r w:rsidRPr="00F16087">
        <w:rPr>
          <w:bCs/>
          <w:lang w:val="en-GB"/>
        </w:rPr>
        <w:t>n the context of the uncertain treatment benefit over other systemic therapies</w:t>
      </w:r>
      <w:r>
        <w:rPr>
          <w:szCs w:val="22"/>
        </w:rPr>
        <w:t xml:space="preserve"> t</w:t>
      </w:r>
      <w:r w:rsidRPr="00F16087">
        <w:rPr>
          <w:bCs/>
          <w:lang w:val="en-GB"/>
        </w:rPr>
        <w:t xml:space="preserve">he PBAC </w:t>
      </w:r>
      <w:r>
        <w:rPr>
          <w:bCs/>
          <w:lang w:val="en-GB"/>
        </w:rPr>
        <w:t xml:space="preserve">considered the </w:t>
      </w:r>
      <w:r w:rsidRPr="00F16087">
        <w:rPr>
          <w:bCs/>
          <w:lang w:val="en-GB"/>
        </w:rPr>
        <w:t>opportunity cost of listing apremilast for moderate to severe plaque psoriasis</w:t>
      </w:r>
      <w:r>
        <w:rPr>
          <w:bCs/>
          <w:lang w:val="en-GB"/>
        </w:rPr>
        <w:t xml:space="preserve"> was substantial</w:t>
      </w:r>
      <w:r w:rsidRPr="00F16087">
        <w:rPr>
          <w:bCs/>
          <w:lang w:val="en-GB"/>
        </w:rPr>
        <w:t>.</w:t>
      </w:r>
    </w:p>
    <w:p w:rsidR="008E571F" w:rsidRPr="00962F6A" w:rsidRDefault="008E571F" w:rsidP="008E571F">
      <w:pPr>
        <w:pStyle w:val="ListParagraph"/>
        <w:rPr>
          <w:szCs w:val="22"/>
        </w:rPr>
      </w:pPr>
    </w:p>
    <w:p w:rsidR="004B7F53" w:rsidRDefault="008E571F" w:rsidP="004B7F53">
      <w:pPr>
        <w:widowControl w:val="0"/>
        <w:numPr>
          <w:ilvl w:val="1"/>
          <w:numId w:val="5"/>
        </w:numPr>
        <w:jc w:val="both"/>
        <w:rPr>
          <w:rFonts w:ascii="Arial" w:hAnsi="Arial" w:cs="Arial"/>
          <w:b/>
          <w:bCs/>
          <w:snapToGrid w:val="0"/>
          <w:sz w:val="22"/>
          <w:szCs w:val="20"/>
          <w:lang w:val="en-GB"/>
        </w:rPr>
      </w:pPr>
      <w:r w:rsidRPr="00412AA4">
        <w:rPr>
          <w:rFonts w:ascii="Arial" w:hAnsi="Arial" w:cs="Arial"/>
          <w:bCs/>
          <w:snapToGrid w:val="0"/>
          <w:sz w:val="22"/>
          <w:szCs w:val="20"/>
          <w:lang w:val="en-GB"/>
        </w:rPr>
        <w:t xml:space="preserve">The PBAC noted that this submission is eligible for an Independent Review. </w:t>
      </w:r>
    </w:p>
    <w:p w:rsidR="004B7F53" w:rsidRDefault="004B7F53" w:rsidP="004B7F53">
      <w:pPr>
        <w:pStyle w:val="ListParagraph"/>
        <w:rPr>
          <w:b/>
          <w:bCs/>
          <w:lang w:val="en-GB"/>
        </w:rPr>
      </w:pPr>
    </w:p>
    <w:p w:rsidR="0022059F" w:rsidRPr="00412AA4" w:rsidRDefault="0022059F" w:rsidP="004B7F53">
      <w:pPr>
        <w:widowControl w:val="0"/>
        <w:jc w:val="both"/>
        <w:rPr>
          <w:rFonts w:ascii="Arial" w:hAnsi="Arial" w:cs="Arial"/>
          <w:b/>
          <w:bCs/>
          <w:snapToGrid w:val="0"/>
          <w:sz w:val="22"/>
          <w:szCs w:val="20"/>
          <w:lang w:val="en-GB"/>
        </w:rPr>
      </w:pPr>
      <w:r w:rsidRPr="00412AA4">
        <w:rPr>
          <w:rFonts w:ascii="Arial" w:hAnsi="Arial" w:cs="Arial"/>
          <w:b/>
          <w:bCs/>
          <w:snapToGrid w:val="0"/>
          <w:sz w:val="22"/>
          <w:szCs w:val="20"/>
          <w:lang w:val="en-GB"/>
        </w:rPr>
        <w:t>Outcome:</w:t>
      </w:r>
    </w:p>
    <w:p w:rsidR="008E571F" w:rsidRPr="00412AA4" w:rsidRDefault="008E571F" w:rsidP="008E571F">
      <w:pPr>
        <w:widowControl w:val="0"/>
        <w:jc w:val="both"/>
        <w:rPr>
          <w:rFonts w:ascii="Arial" w:hAnsi="Arial" w:cs="Arial"/>
          <w:bCs/>
          <w:snapToGrid w:val="0"/>
          <w:sz w:val="22"/>
          <w:szCs w:val="20"/>
          <w:lang w:val="en-GB"/>
        </w:rPr>
      </w:pPr>
      <w:r w:rsidRPr="00412AA4">
        <w:rPr>
          <w:rFonts w:ascii="Arial" w:hAnsi="Arial" w:cs="Arial"/>
          <w:bCs/>
          <w:snapToGrid w:val="0"/>
          <w:sz w:val="22"/>
          <w:szCs w:val="20"/>
          <w:lang w:val="en-GB"/>
        </w:rPr>
        <w:t>Rejected</w:t>
      </w:r>
    </w:p>
    <w:p w:rsidR="00F64CC1" w:rsidRDefault="00F64CC1" w:rsidP="0022059F">
      <w:pPr>
        <w:rPr>
          <w:lang w:eastAsia="en-US"/>
        </w:rPr>
      </w:pPr>
    </w:p>
    <w:p w:rsidR="00BB54A3" w:rsidRDefault="00BB54A3" w:rsidP="00F82D41">
      <w:pPr>
        <w:pStyle w:val="PBACHeading1"/>
        <w:keepNext/>
        <w:numPr>
          <w:ilvl w:val="0"/>
          <w:numId w:val="5"/>
        </w:numPr>
        <w:ind w:left="709" w:hanging="709"/>
      </w:pPr>
      <w:r w:rsidRPr="00485DD3">
        <w:t>Context for Decision</w:t>
      </w:r>
    </w:p>
    <w:p w:rsidR="00BB54A3" w:rsidRDefault="00BB54A3" w:rsidP="00F82D41">
      <w:pPr>
        <w:keepNext/>
        <w:ind w:left="709"/>
        <w:jc w:val="both"/>
        <w:rPr>
          <w:rFonts w:ascii="Arial" w:hAnsi="Arial" w:cs="Arial"/>
          <w:sz w:val="22"/>
        </w:rPr>
      </w:pPr>
    </w:p>
    <w:p w:rsidR="00BB54A3" w:rsidRDefault="00BB54A3" w:rsidP="00BB54A3">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B54A3" w:rsidRDefault="00BB54A3" w:rsidP="00BB54A3">
      <w:pPr>
        <w:ind w:left="709"/>
        <w:jc w:val="both"/>
        <w:rPr>
          <w:rFonts w:ascii="Arial" w:hAnsi="Arial" w:cs="Arial"/>
          <w:sz w:val="22"/>
        </w:rPr>
      </w:pPr>
    </w:p>
    <w:p w:rsidR="00BB54A3" w:rsidRDefault="00BB54A3" w:rsidP="00BB54A3">
      <w:pPr>
        <w:ind w:left="709"/>
        <w:jc w:val="both"/>
        <w:rPr>
          <w:rFonts w:ascii="Arial" w:hAnsi="Arial" w:cs="Arial"/>
          <w:sz w:val="22"/>
        </w:rPr>
      </w:pPr>
    </w:p>
    <w:p w:rsidR="00BB54A3" w:rsidRPr="00B0280B" w:rsidRDefault="00BB54A3" w:rsidP="00BB54A3">
      <w:pPr>
        <w:pStyle w:val="PBACHeading1"/>
        <w:numPr>
          <w:ilvl w:val="0"/>
          <w:numId w:val="5"/>
        </w:numPr>
        <w:ind w:left="709" w:hanging="709"/>
      </w:pPr>
      <w:r w:rsidRPr="00485DD3">
        <w:t>Sponsor’s Comment</w:t>
      </w:r>
    </w:p>
    <w:p w:rsidR="00BB54A3" w:rsidRDefault="00BB54A3" w:rsidP="00BB54A3">
      <w:pPr>
        <w:ind w:left="709"/>
        <w:jc w:val="both"/>
        <w:rPr>
          <w:rFonts w:ascii="Arial" w:hAnsi="Arial" w:cs="Arial"/>
          <w:bCs/>
          <w:sz w:val="22"/>
          <w:highlight w:val="yellow"/>
          <w:lang w:val="en-GB"/>
        </w:rPr>
      </w:pPr>
    </w:p>
    <w:p w:rsidR="00BB54A3" w:rsidRDefault="00BB54A3" w:rsidP="00BB54A3">
      <w:pPr>
        <w:spacing w:after="120"/>
        <w:ind w:left="426" w:firstLine="283"/>
        <w:jc w:val="both"/>
        <w:rPr>
          <w:rFonts w:ascii="Arial" w:hAnsi="Arial" w:cs="Arial"/>
          <w:bCs/>
          <w:sz w:val="22"/>
        </w:rPr>
      </w:pPr>
      <w:r w:rsidRPr="003035CC">
        <w:rPr>
          <w:rFonts w:ascii="Arial" w:hAnsi="Arial" w:cs="Arial"/>
          <w:bCs/>
          <w:sz w:val="22"/>
        </w:rPr>
        <w:t>The sponsor had no comment.</w:t>
      </w:r>
    </w:p>
    <w:p w:rsidR="00BB54A3" w:rsidRPr="0022059F" w:rsidRDefault="00BB54A3" w:rsidP="0022059F">
      <w:pPr>
        <w:rPr>
          <w:lang w:eastAsia="en-US"/>
        </w:rPr>
      </w:pPr>
    </w:p>
    <w:sectPr w:rsidR="00BB54A3" w:rsidRPr="0022059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FFB" w:rsidRDefault="00F17FFB">
      <w:r>
        <w:separator/>
      </w:r>
    </w:p>
    <w:p w:rsidR="00F17FFB" w:rsidRDefault="00F17FFB"/>
  </w:endnote>
  <w:endnote w:type="continuationSeparator" w:id="0">
    <w:p w:rsidR="00F17FFB" w:rsidRDefault="00F17FFB">
      <w:r>
        <w:continuationSeparator/>
      </w:r>
    </w:p>
    <w:p w:rsidR="00F17FFB" w:rsidRDefault="00F17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59"/>
    <w:family w:val="auto"/>
    <w:pitch w:val="variable"/>
    <w:sig w:usb0="00000000"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FDC" w:rsidTr="005A3173">
      <w:trPr>
        <w:trHeight w:val="151"/>
      </w:trPr>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FDC" w:rsidRPr="005A3173" w:rsidRDefault="00805F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r>
    <w:tr w:rsidR="00805FDC" w:rsidTr="005A3173">
      <w:trPr>
        <w:trHeight w:val="150"/>
      </w:trPr>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0" w:type="auto"/>
          <w:vMerge/>
          <w:vAlign w:val="center"/>
          <w:hideMark/>
        </w:tcPr>
        <w:p w:rsidR="00805FDC" w:rsidRPr="005A3173" w:rsidRDefault="00805F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r>
  </w:tbl>
  <w:p w:rsidR="00805FDC" w:rsidRDefault="00805FD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5FDC" w:rsidRDefault="00805FDC">
    <w:pPr>
      <w:pStyle w:val="Footer"/>
    </w:pPr>
  </w:p>
  <w:p w:rsidR="00805FDC" w:rsidRDefault="00805F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FDC" w:rsidRDefault="00805FDC" w:rsidP="00EF44A0">
    <w:pPr>
      <w:pStyle w:val="Footer"/>
      <w:jc w:val="center"/>
      <w:rPr>
        <w:rFonts w:ascii="Arial" w:hAnsi="Arial" w:cs="Arial"/>
        <w:b/>
        <w:sz w:val="20"/>
        <w:szCs w:val="20"/>
      </w:rPr>
    </w:pPr>
  </w:p>
  <w:p w:rsidR="00805FDC" w:rsidRPr="00494814" w:rsidRDefault="00805FDC" w:rsidP="00494814">
    <w:pPr>
      <w:ind w:right="360"/>
      <w:jc w:val="center"/>
      <w:rPr>
        <w:rFonts w:ascii="Arial" w:hAnsi="Arial" w:cs="Arial"/>
        <w:b/>
        <w:sz w:val="20"/>
      </w:rPr>
    </w:pPr>
    <w:r w:rsidRPr="00D67EC7">
      <w:rPr>
        <w:rFonts w:ascii="Arial" w:hAnsi="Arial" w:cs="Arial"/>
        <w:sz w:val="20"/>
      </w:rPr>
      <w:fldChar w:fldCharType="begin"/>
    </w:r>
    <w:r w:rsidRPr="00D67EC7">
      <w:rPr>
        <w:rFonts w:ascii="Arial" w:hAnsi="Arial" w:cs="Arial"/>
        <w:sz w:val="20"/>
      </w:rPr>
      <w:instrText xml:space="preserve"> PAGE   \* MERGEFORMAT </w:instrText>
    </w:r>
    <w:r w:rsidRPr="00D67EC7">
      <w:rPr>
        <w:rFonts w:ascii="Arial" w:hAnsi="Arial" w:cs="Arial"/>
        <w:sz w:val="20"/>
      </w:rPr>
      <w:fldChar w:fldCharType="separate"/>
    </w:r>
    <w:r w:rsidR="00F04CB3">
      <w:rPr>
        <w:rFonts w:ascii="Arial" w:hAnsi="Arial" w:cs="Arial"/>
        <w:noProof/>
        <w:sz w:val="20"/>
      </w:rPr>
      <w:t>4</w:t>
    </w:r>
    <w:r w:rsidRPr="00D67EC7">
      <w:rPr>
        <w:rFonts w:ascii="Arial" w:hAnsi="Arial" w:cs="Arial"/>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05FDC" w:rsidTr="005A3173">
      <w:trPr>
        <w:trHeight w:val="151"/>
      </w:trPr>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FDC" w:rsidRPr="005A3173" w:rsidRDefault="00805F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r>
    <w:tr w:rsidR="00805FDC" w:rsidTr="005A3173">
      <w:trPr>
        <w:trHeight w:val="150"/>
      </w:trPr>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0" w:type="auto"/>
          <w:vMerge/>
          <w:vAlign w:val="center"/>
          <w:hideMark/>
        </w:tcPr>
        <w:p w:rsidR="00805FDC" w:rsidRPr="005A3173" w:rsidRDefault="00805F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FDC" w:rsidTr="005A3173">
      <w:trPr>
        <w:trHeight w:val="151"/>
      </w:trPr>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FDC" w:rsidRPr="005A3173" w:rsidRDefault="00805F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FDC" w:rsidRPr="005A3173" w:rsidRDefault="00805FDC" w:rsidP="005A3173">
          <w:pPr>
            <w:pStyle w:val="Header"/>
            <w:spacing w:line="276" w:lineRule="auto"/>
            <w:rPr>
              <w:rFonts w:ascii="Calibri" w:eastAsia="MS Gothic" w:hAnsi="Calibri"/>
              <w:b/>
              <w:bCs/>
              <w:color w:val="4F81BD"/>
            </w:rPr>
          </w:pPr>
        </w:p>
      </w:tc>
    </w:tr>
    <w:tr w:rsidR="00805FDC" w:rsidTr="005A3173">
      <w:trPr>
        <w:trHeight w:val="150"/>
      </w:trPr>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c>
        <w:tcPr>
          <w:tcW w:w="0" w:type="auto"/>
          <w:vMerge/>
          <w:vAlign w:val="center"/>
          <w:hideMark/>
        </w:tcPr>
        <w:p w:rsidR="00805FDC" w:rsidRPr="005A3173" w:rsidRDefault="00805F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FDC" w:rsidRPr="005A3173" w:rsidRDefault="00805FDC" w:rsidP="005A3173">
          <w:pPr>
            <w:pStyle w:val="Header"/>
            <w:spacing w:line="276" w:lineRule="auto"/>
            <w:rPr>
              <w:rFonts w:ascii="Calibri" w:eastAsia="MS Gothic" w:hAnsi="Calibri"/>
              <w:b/>
              <w:bCs/>
              <w:color w:val="4F81BD"/>
            </w:rPr>
          </w:pPr>
        </w:p>
      </w:tc>
    </w:tr>
  </w:tbl>
  <w:p w:rsidR="00805FDC" w:rsidRPr="007C0F57" w:rsidRDefault="00805FD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05FDC" w:rsidRPr="007C0F57" w:rsidRDefault="00805FDC" w:rsidP="007C0F57">
    <w:pPr>
      <w:pStyle w:val="Footer"/>
      <w:jc w:val="center"/>
      <w:rPr>
        <w:b/>
        <w:i/>
        <w:sz w:val="20"/>
        <w:szCs w:val="20"/>
      </w:rPr>
    </w:pPr>
    <w:r w:rsidRPr="007C0F57">
      <w:rPr>
        <w:b/>
        <w:i/>
        <w:sz w:val="20"/>
        <w:szCs w:val="20"/>
      </w:rPr>
      <w:t>Commercial-in-Confidence</w:t>
    </w:r>
  </w:p>
  <w:p w:rsidR="00805FDC" w:rsidRDefault="00805F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FFB" w:rsidRDefault="00F17FFB">
      <w:r>
        <w:separator/>
      </w:r>
    </w:p>
    <w:p w:rsidR="00F17FFB" w:rsidRDefault="00F17FFB"/>
  </w:footnote>
  <w:footnote w:type="continuationSeparator" w:id="0">
    <w:p w:rsidR="00F17FFB" w:rsidRDefault="00F17FFB">
      <w:r>
        <w:continuationSeparator/>
      </w:r>
    </w:p>
    <w:p w:rsidR="00F17FFB" w:rsidRDefault="00F17F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05FDC" w:rsidRPr="008E0D90" w:rsidTr="00A06225">
      <w:trPr>
        <w:trHeight w:val="151"/>
      </w:trPr>
      <w:tc>
        <w:tcPr>
          <w:tcW w:w="2389" w:type="pct"/>
          <w:tcBorders>
            <w:top w:val="nil"/>
            <w:left w:val="nil"/>
            <w:bottom w:val="single" w:sz="4" w:space="0" w:color="4F81BD"/>
            <w:right w:val="nil"/>
          </w:tcBorders>
        </w:tcPr>
        <w:p w:rsidR="00805FDC" w:rsidRPr="00A06225" w:rsidRDefault="00805FDC">
          <w:pPr>
            <w:pStyle w:val="Header"/>
            <w:spacing w:line="276" w:lineRule="auto"/>
            <w:rPr>
              <w:rFonts w:ascii="Cambria" w:eastAsia="MS Gothic" w:hAnsi="Cambria"/>
              <w:b/>
              <w:bCs/>
              <w:color w:val="4F81BD"/>
            </w:rPr>
          </w:pPr>
        </w:p>
      </w:tc>
      <w:tc>
        <w:tcPr>
          <w:tcW w:w="333" w:type="pct"/>
          <w:vMerge w:val="restart"/>
          <w:noWrap/>
          <w:vAlign w:val="center"/>
          <w:hideMark/>
        </w:tcPr>
        <w:p w:rsidR="00805FDC" w:rsidRPr="00A06225" w:rsidRDefault="00805FD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05FDC" w:rsidRPr="00A06225" w:rsidRDefault="00805FDC">
          <w:pPr>
            <w:pStyle w:val="Header"/>
            <w:spacing w:line="276" w:lineRule="auto"/>
            <w:rPr>
              <w:rFonts w:ascii="Cambria" w:eastAsia="MS Gothic" w:hAnsi="Cambria"/>
              <w:b/>
              <w:bCs/>
              <w:color w:val="4F81BD"/>
            </w:rPr>
          </w:pPr>
        </w:p>
      </w:tc>
    </w:tr>
    <w:tr w:rsidR="00805FDC" w:rsidRPr="008E0D90" w:rsidTr="00A06225">
      <w:trPr>
        <w:trHeight w:val="150"/>
      </w:trPr>
      <w:tc>
        <w:tcPr>
          <w:tcW w:w="2389" w:type="pct"/>
          <w:tcBorders>
            <w:top w:val="single" w:sz="4" w:space="0" w:color="4F81BD"/>
            <w:left w:val="nil"/>
            <w:bottom w:val="nil"/>
            <w:right w:val="nil"/>
          </w:tcBorders>
        </w:tcPr>
        <w:p w:rsidR="00805FDC" w:rsidRPr="00A06225" w:rsidRDefault="00805FDC">
          <w:pPr>
            <w:pStyle w:val="Header"/>
            <w:spacing w:line="276" w:lineRule="auto"/>
            <w:rPr>
              <w:rFonts w:ascii="Cambria" w:eastAsia="MS Gothic" w:hAnsi="Cambria"/>
              <w:b/>
              <w:bCs/>
              <w:color w:val="4F81BD"/>
            </w:rPr>
          </w:pPr>
        </w:p>
      </w:tc>
      <w:tc>
        <w:tcPr>
          <w:tcW w:w="0" w:type="auto"/>
          <w:vMerge/>
          <w:vAlign w:val="center"/>
          <w:hideMark/>
        </w:tcPr>
        <w:p w:rsidR="00805FDC" w:rsidRPr="00A06225" w:rsidRDefault="00805FDC">
          <w:pPr>
            <w:rPr>
              <w:rFonts w:ascii="Cambria" w:hAnsi="Cambria"/>
              <w:color w:val="4F81BD"/>
              <w:sz w:val="22"/>
              <w:szCs w:val="22"/>
            </w:rPr>
          </w:pPr>
        </w:p>
      </w:tc>
      <w:tc>
        <w:tcPr>
          <w:tcW w:w="2278" w:type="pct"/>
          <w:tcBorders>
            <w:top w:val="single" w:sz="4" w:space="0" w:color="4F81BD"/>
            <w:left w:val="nil"/>
            <w:bottom w:val="nil"/>
            <w:right w:val="nil"/>
          </w:tcBorders>
        </w:tcPr>
        <w:p w:rsidR="00805FDC" w:rsidRPr="00A06225" w:rsidRDefault="00805FDC">
          <w:pPr>
            <w:pStyle w:val="Header"/>
            <w:spacing w:line="276" w:lineRule="auto"/>
            <w:rPr>
              <w:rFonts w:ascii="Cambria" w:eastAsia="MS Gothic" w:hAnsi="Cambria"/>
              <w:b/>
              <w:bCs/>
              <w:color w:val="4F81BD"/>
            </w:rPr>
          </w:pPr>
        </w:p>
      </w:tc>
    </w:tr>
  </w:tbl>
  <w:p w:rsidR="00805FDC" w:rsidRDefault="00805FDC">
    <w:pPr>
      <w:pStyle w:val="Header"/>
    </w:pPr>
  </w:p>
  <w:p w:rsidR="00805FDC" w:rsidRDefault="00805F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FDC" w:rsidRPr="00DF217D" w:rsidRDefault="00805FDC" w:rsidP="008A15A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05FDC" w:rsidRDefault="00805FDC"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FB" w:rsidRDefault="00F17F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54676A0"/>
    <w:multiLevelType w:val="hybridMultilevel"/>
    <w:tmpl w:val="A1E8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EA63A4E"/>
    <w:multiLevelType w:val="hybridMultilevel"/>
    <w:tmpl w:val="E108A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5074A0"/>
    <w:multiLevelType w:val="multilevel"/>
    <w:tmpl w:val="C91CDB6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3B"/>
    <w:multiLevelType w:val="hybridMultilevel"/>
    <w:tmpl w:val="3DAC5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0AD877B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19"/>
  </w:num>
  <w:num w:numId="5">
    <w:abstractNumId w:val="21"/>
  </w:num>
  <w:num w:numId="6">
    <w:abstractNumId w:val="9"/>
  </w:num>
  <w:num w:numId="7">
    <w:abstractNumId w:val="18"/>
  </w:num>
  <w:num w:numId="8">
    <w:abstractNumId w:val="5"/>
  </w:num>
  <w:num w:numId="9">
    <w:abstractNumId w:val="16"/>
  </w:num>
  <w:num w:numId="10">
    <w:abstractNumId w:val="14"/>
  </w:num>
  <w:num w:numId="11">
    <w:abstractNumId w:val="13"/>
  </w:num>
  <w:num w:numId="12">
    <w:abstractNumId w:val="1"/>
  </w:num>
  <w:num w:numId="13">
    <w:abstractNumId w:val="0"/>
  </w:num>
  <w:num w:numId="14">
    <w:abstractNumId w:val="21"/>
  </w:num>
  <w:num w:numId="15">
    <w:abstractNumId w:val="15"/>
  </w:num>
  <w:num w:numId="16">
    <w:abstractNumId w:val="7"/>
  </w:num>
  <w:num w:numId="17">
    <w:abstractNumId w:val="4"/>
  </w:num>
  <w:num w:numId="18">
    <w:abstractNumId w:val="11"/>
  </w:num>
  <w:num w:numId="19">
    <w:abstractNumId w:val="17"/>
  </w:num>
  <w:num w:numId="20">
    <w:abstractNumId w:val="20"/>
  </w:num>
  <w:num w:numId="21">
    <w:abstractNumId w:val="6"/>
  </w:num>
  <w:num w:numId="22">
    <w:abstractNumId w:val="2"/>
  </w:num>
  <w:num w:numId="23">
    <w:abstractNumId w:val="12"/>
  </w:num>
  <w:num w:numId="2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523"/>
    <w:rsid w:val="00004D66"/>
    <w:rsid w:val="00005599"/>
    <w:rsid w:val="00006BA9"/>
    <w:rsid w:val="00015A7C"/>
    <w:rsid w:val="0002464A"/>
    <w:rsid w:val="0003106B"/>
    <w:rsid w:val="000421A1"/>
    <w:rsid w:val="0004240E"/>
    <w:rsid w:val="00045449"/>
    <w:rsid w:val="00045E26"/>
    <w:rsid w:val="000514B5"/>
    <w:rsid w:val="000555D4"/>
    <w:rsid w:val="00060E64"/>
    <w:rsid w:val="00066755"/>
    <w:rsid w:val="00072C4A"/>
    <w:rsid w:val="00074619"/>
    <w:rsid w:val="00077143"/>
    <w:rsid w:val="000873B4"/>
    <w:rsid w:val="000919AF"/>
    <w:rsid w:val="000969AD"/>
    <w:rsid w:val="000A3BDE"/>
    <w:rsid w:val="000A42DA"/>
    <w:rsid w:val="000B558D"/>
    <w:rsid w:val="000B6630"/>
    <w:rsid w:val="000C6996"/>
    <w:rsid w:val="000D23BA"/>
    <w:rsid w:val="000E681E"/>
    <w:rsid w:val="000F4E6A"/>
    <w:rsid w:val="000F5BB9"/>
    <w:rsid w:val="000F770F"/>
    <w:rsid w:val="001107BF"/>
    <w:rsid w:val="0012417C"/>
    <w:rsid w:val="00142395"/>
    <w:rsid w:val="00142714"/>
    <w:rsid w:val="001452ED"/>
    <w:rsid w:val="001830CE"/>
    <w:rsid w:val="00185B56"/>
    <w:rsid w:val="0018617D"/>
    <w:rsid w:val="0018643B"/>
    <w:rsid w:val="00196307"/>
    <w:rsid w:val="0019793B"/>
    <w:rsid w:val="001B017F"/>
    <w:rsid w:val="001B5129"/>
    <w:rsid w:val="001C1195"/>
    <w:rsid w:val="001D2333"/>
    <w:rsid w:val="001D2F07"/>
    <w:rsid w:val="001F65B2"/>
    <w:rsid w:val="00202D61"/>
    <w:rsid w:val="00203688"/>
    <w:rsid w:val="00213CFB"/>
    <w:rsid w:val="0022059F"/>
    <w:rsid w:val="00245A3E"/>
    <w:rsid w:val="002472D9"/>
    <w:rsid w:val="0025403C"/>
    <w:rsid w:val="00257E04"/>
    <w:rsid w:val="0026092C"/>
    <w:rsid w:val="00271BA1"/>
    <w:rsid w:val="00277505"/>
    <w:rsid w:val="002830E1"/>
    <w:rsid w:val="0029458F"/>
    <w:rsid w:val="002947B1"/>
    <w:rsid w:val="002A0540"/>
    <w:rsid w:val="002A104C"/>
    <w:rsid w:val="002A2FC0"/>
    <w:rsid w:val="002A4960"/>
    <w:rsid w:val="002B1AE6"/>
    <w:rsid w:val="002B30F8"/>
    <w:rsid w:val="002C212F"/>
    <w:rsid w:val="002D4301"/>
    <w:rsid w:val="002E3153"/>
    <w:rsid w:val="002E44DB"/>
    <w:rsid w:val="002E72CA"/>
    <w:rsid w:val="00300AD6"/>
    <w:rsid w:val="003044AE"/>
    <w:rsid w:val="00317FA3"/>
    <w:rsid w:val="00323B0F"/>
    <w:rsid w:val="003241FA"/>
    <w:rsid w:val="003255BE"/>
    <w:rsid w:val="00326E79"/>
    <w:rsid w:val="003367EF"/>
    <w:rsid w:val="00337E19"/>
    <w:rsid w:val="00341AE4"/>
    <w:rsid w:val="003537E7"/>
    <w:rsid w:val="00381130"/>
    <w:rsid w:val="003872CF"/>
    <w:rsid w:val="0039072A"/>
    <w:rsid w:val="00391B69"/>
    <w:rsid w:val="0039782C"/>
    <w:rsid w:val="003A5B4A"/>
    <w:rsid w:val="003A61DE"/>
    <w:rsid w:val="003B23C5"/>
    <w:rsid w:val="003B2A75"/>
    <w:rsid w:val="003B68B9"/>
    <w:rsid w:val="003D0503"/>
    <w:rsid w:val="003D4AC4"/>
    <w:rsid w:val="003D63B7"/>
    <w:rsid w:val="003E03FB"/>
    <w:rsid w:val="003E468B"/>
    <w:rsid w:val="003F5C8C"/>
    <w:rsid w:val="0041174F"/>
    <w:rsid w:val="00412AA4"/>
    <w:rsid w:val="0044182A"/>
    <w:rsid w:val="004465BD"/>
    <w:rsid w:val="00446806"/>
    <w:rsid w:val="00463AFD"/>
    <w:rsid w:val="00464B60"/>
    <w:rsid w:val="00465976"/>
    <w:rsid w:val="00466375"/>
    <w:rsid w:val="00466ADA"/>
    <w:rsid w:val="0047195D"/>
    <w:rsid w:val="00476245"/>
    <w:rsid w:val="00485940"/>
    <w:rsid w:val="00485BF8"/>
    <w:rsid w:val="00494814"/>
    <w:rsid w:val="004A2484"/>
    <w:rsid w:val="004A5A85"/>
    <w:rsid w:val="004A73A9"/>
    <w:rsid w:val="004A78A0"/>
    <w:rsid w:val="004B2E84"/>
    <w:rsid w:val="004B5640"/>
    <w:rsid w:val="004B5A20"/>
    <w:rsid w:val="004B7F53"/>
    <w:rsid w:val="004C1BD7"/>
    <w:rsid w:val="004C691D"/>
    <w:rsid w:val="004D30A9"/>
    <w:rsid w:val="004E692D"/>
    <w:rsid w:val="004F17E5"/>
    <w:rsid w:val="004F1C84"/>
    <w:rsid w:val="005001B2"/>
    <w:rsid w:val="00501554"/>
    <w:rsid w:val="00505498"/>
    <w:rsid w:val="00512707"/>
    <w:rsid w:val="0051476A"/>
    <w:rsid w:val="00514CD7"/>
    <w:rsid w:val="00517AB3"/>
    <w:rsid w:val="00527F3B"/>
    <w:rsid w:val="005319B2"/>
    <w:rsid w:val="00532C74"/>
    <w:rsid w:val="00533023"/>
    <w:rsid w:val="0053347E"/>
    <w:rsid w:val="00534E2E"/>
    <w:rsid w:val="0054067B"/>
    <w:rsid w:val="00544552"/>
    <w:rsid w:val="00556880"/>
    <w:rsid w:val="005700E8"/>
    <w:rsid w:val="0057566A"/>
    <w:rsid w:val="00581932"/>
    <w:rsid w:val="00591368"/>
    <w:rsid w:val="005934B1"/>
    <w:rsid w:val="005963BB"/>
    <w:rsid w:val="005A3173"/>
    <w:rsid w:val="005A3223"/>
    <w:rsid w:val="005A3DA3"/>
    <w:rsid w:val="005A52C4"/>
    <w:rsid w:val="005D03AB"/>
    <w:rsid w:val="005D5017"/>
    <w:rsid w:val="005D5FEB"/>
    <w:rsid w:val="005E6036"/>
    <w:rsid w:val="005F4F97"/>
    <w:rsid w:val="00601A91"/>
    <w:rsid w:val="00602BA3"/>
    <w:rsid w:val="00606224"/>
    <w:rsid w:val="00614159"/>
    <w:rsid w:val="00617C00"/>
    <w:rsid w:val="00625556"/>
    <w:rsid w:val="00625DC5"/>
    <w:rsid w:val="006263BF"/>
    <w:rsid w:val="00626F63"/>
    <w:rsid w:val="0062748A"/>
    <w:rsid w:val="00630A2C"/>
    <w:rsid w:val="006456F1"/>
    <w:rsid w:val="00650632"/>
    <w:rsid w:val="00651169"/>
    <w:rsid w:val="006513CC"/>
    <w:rsid w:val="00653D69"/>
    <w:rsid w:val="00670A76"/>
    <w:rsid w:val="006711AA"/>
    <w:rsid w:val="00672B57"/>
    <w:rsid w:val="00675223"/>
    <w:rsid w:val="00675622"/>
    <w:rsid w:val="00677E6D"/>
    <w:rsid w:val="00685C10"/>
    <w:rsid w:val="00686655"/>
    <w:rsid w:val="006906DB"/>
    <w:rsid w:val="00694E14"/>
    <w:rsid w:val="006A12A5"/>
    <w:rsid w:val="006B0C9F"/>
    <w:rsid w:val="006B0D94"/>
    <w:rsid w:val="006B1573"/>
    <w:rsid w:val="006B37B3"/>
    <w:rsid w:val="006B485D"/>
    <w:rsid w:val="006C708E"/>
    <w:rsid w:val="006D008F"/>
    <w:rsid w:val="006D193A"/>
    <w:rsid w:val="006D6EC7"/>
    <w:rsid w:val="006F5125"/>
    <w:rsid w:val="00700539"/>
    <w:rsid w:val="00706177"/>
    <w:rsid w:val="007147EB"/>
    <w:rsid w:val="007174BB"/>
    <w:rsid w:val="007352FC"/>
    <w:rsid w:val="00755683"/>
    <w:rsid w:val="0076420C"/>
    <w:rsid w:val="00773210"/>
    <w:rsid w:val="007753C2"/>
    <w:rsid w:val="007838B8"/>
    <w:rsid w:val="007A2CE3"/>
    <w:rsid w:val="007A6E68"/>
    <w:rsid w:val="007B0490"/>
    <w:rsid w:val="007B0767"/>
    <w:rsid w:val="007B2631"/>
    <w:rsid w:val="007B280C"/>
    <w:rsid w:val="007B4112"/>
    <w:rsid w:val="007B4137"/>
    <w:rsid w:val="007C0F57"/>
    <w:rsid w:val="007C40B6"/>
    <w:rsid w:val="007C729F"/>
    <w:rsid w:val="007E1D28"/>
    <w:rsid w:val="007F2641"/>
    <w:rsid w:val="007F417D"/>
    <w:rsid w:val="007F4313"/>
    <w:rsid w:val="007F7BB9"/>
    <w:rsid w:val="007F7C36"/>
    <w:rsid w:val="00801D0C"/>
    <w:rsid w:val="00802435"/>
    <w:rsid w:val="00805FDC"/>
    <w:rsid w:val="00806796"/>
    <w:rsid w:val="008151D6"/>
    <w:rsid w:val="00815AE4"/>
    <w:rsid w:val="00826F6D"/>
    <w:rsid w:val="00855A2C"/>
    <w:rsid w:val="00856DDD"/>
    <w:rsid w:val="00863E68"/>
    <w:rsid w:val="00870908"/>
    <w:rsid w:val="00876E33"/>
    <w:rsid w:val="00882085"/>
    <w:rsid w:val="008828F5"/>
    <w:rsid w:val="00883188"/>
    <w:rsid w:val="00891E1B"/>
    <w:rsid w:val="00892EA5"/>
    <w:rsid w:val="00896448"/>
    <w:rsid w:val="00897D58"/>
    <w:rsid w:val="008A15A8"/>
    <w:rsid w:val="008A1956"/>
    <w:rsid w:val="008A4937"/>
    <w:rsid w:val="008A50F1"/>
    <w:rsid w:val="008A64DA"/>
    <w:rsid w:val="008C0C4F"/>
    <w:rsid w:val="008C2769"/>
    <w:rsid w:val="008C4E37"/>
    <w:rsid w:val="008D1B5C"/>
    <w:rsid w:val="008D3C82"/>
    <w:rsid w:val="008D447E"/>
    <w:rsid w:val="008D7A41"/>
    <w:rsid w:val="008E3680"/>
    <w:rsid w:val="008E571F"/>
    <w:rsid w:val="008E5870"/>
    <w:rsid w:val="008F1434"/>
    <w:rsid w:val="008F43A1"/>
    <w:rsid w:val="008F7355"/>
    <w:rsid w:val="009067B7"/>
    <w:rsid w:val="00911574"/>
    <w:rsid w:val="00912AF7"/>
    <w:rsid w:val="00920E05"/>
    <w:rsid w:val="00930937"/>
    <w:rsid w:val="00933E6C"/>
    <w:rsid w:val="009417A0"/>
    <w:rsid w:val="00942160"/>
    <w:rsid w:val="00950BD3"/>
    <w:rsid w:val="0095146F"/>
    <w:rsid w:val="00956081"/>
    <w:rsid w:val="009602C5"/>
    <w:rsid w:val="00962223"/>
    <w:rsid w:val="00962F6A"/>
    <w:rsid w:val="00974C21"/>
    <w:rsid w:val="00977393"/>
    <w:rsid w:val="009A13FC"/>
    <w:rsid w:val="009A1BF4"/>
    <w:rsid w:val="009B0F67"/>
    <w:rsid w:val="009B71CB"/>
    <w:rsid w:val="009C000A"/>
    <w:rsid w:val="009C4AF7"/>
    <w:rsid w:val="009C561C"/>
    <w:rsid w:val="009C703C"/>
    <w:rsid w:val="009D3275"/>
    <w:rsid w:val="009D3CAA"/>
    <w:rsid w:val="009E09CC"/>
    <w:rsid w:val="009F2340"/>
    <w:rsid w:val="009F4E46"/>
    <w:rsid w:val="009F5B65"/>
    <w:rsid w:val="009F5F2E"/>
    <w:rsid w:val="00A04EC5"/>
    <w:rsid w:val="00A06225"/>
    <w:rsid w:val="00A128E6"/>
    <w:rsid w:val="00A21A15"/>
    <w:rsid w:val="00A27184"/>
    <w:rsid w:val="00A33E59"/>
    <w:rsid w:val="00A37C8D"/>
    <w:rsid w:val="00A5273B"/>
    <w:rsid w:val="00A53A9D"/>
    <w:rsid w:val="00A55EB9"/>
    <w:rsid w:val="00A55FEE"/>
    <w:rsid w:val="00A62C1A"/>
    <w:rsid w:val="00A6426D"/>
    <w:rsid w:val="00A70622"/>
    <w:rsid w:val="00A70977"/>
    <w:rsid w:val="00A77613"/>
    <w:rsid w:val="00A8390C"/>
    <w:rsid w:val="00A8690A"/>
    <w:rsid w:val="00A928BD"/>
    <w:rsid w:val="00A928F8"/>
    <w:rsid w:val="00A92C31"/>
    <w:rsid w:val="00AA4252"/>
    <w:rsid w:val="00AA4D1C"/>
    <w:rsid w:val="00AC193C"/>
    <w:rsid w:val="00AC5206"/>
    <w:rsid w:val="00AE11A5"/>
    <w:rsid w:val="00AE13E2"/>
    <w:rsid w:val="00AE2DC7"/>
    <w:rsid w:val="00AF68CC"/>
    <w:rsid w:val="00B1059E"/>
    <w:rsid w:val="00B11CE3"/>
    <w:rsid w:val="00B130B8"/>
    <w:rsid w:val="00B177AB"/>
    <w:rsid w:val="00B205AA"/>
    <w:rsid w:val="00B22E84"/>
    <w:rsid w:val="00B25F75"/>
    <w:rsid w:val="00B43E90"/>
    <w:rsid w:val="00B45EC5"/>
    <w:rsid w:val="00B467DC"/>
    <w:rsid w:val="00B47F11"/>
    <w:rsid w:val="00B503D6"/>
    <w:rsid w:val="00B56118"/>
    <w:rsid w:val="00B6773F"/>
    <w:rsid w:val="00B726FC"/>
    <w:rsid w:val="00B751F3"/>
    <w:rsid w:val="00B7673B"/>
    <w:rsid w:val="00B801BA"/>
    <w:rsid w:val="00B802D4"/>
    <w:rsid w:val="00B96314"/>
    <w:rsid w:val="00BA665A"/>
    <w:rsid w:val="00BB0FF7"/>
    <w:rsid w:val="00BB54A3"/>
    <w:rsid w:val="00BB5D14"/>
    <w:rsid w:val="00BB69F5"/>
    <w:rsid w:val="00BB7C9F"/>
    <w:rsid w:val="00BB7EC3"/>
    <w:rsid w:val="00BC4B9A"/>
    <w:rsid w:val="00BD784C"/>
    <w:rsid w:val="00BE080A"/>
    <w:rsid w:val="00BE0F30"/>
    <w:rsid w:val="00BF17A0"/>
    <w:rsid w:val="00BF4CB6"/>
    <w:rsid w:val="00C00DA7"/>
    <w:rsid w:val="00C12768"/>
    <w:rsid w:val="00C130DF"/>
    <w:rsid w:val="00C22F32"/>
    <w:rsid w:val="00C27B58"/>
    <w:rsid w:val="00C34752"/>
    <w:rsid w:val="00C35996"/>
    <w:rsid w:val="00C37B58"/>
    <w:rsid w:val="00C516C3"/>
    <w:rsid w:val="00C5342C"/>
    <w:rsid w:val="00C542A7"/>
    <w:rsid w:val="00C603D4"/>
    <w:rsid w:val="00C6105D"/>
    <w:rsid w:val="00C6256A"/>
    <w:rsid w:val="00C719B7"/>
    <w:rsid w:val="00C75652"/>
    <w:rsid w:val="00C91449"/>
    <w:rsid w:val="00C92D10"/>
    <w:rsid w:val="00CA654E"/>
    <w:rsid w:val="00CA73C7"/>
    <w:rsid w:val="00CC3790"/>
    <w:rsid w:val="00CE10C4"/>
    <w:rsid w:val="00CE27B5"/>
    <w:rsid w:val="00CF0B02"/>
    <w:rsid w:val="00CF6805"/>
    <w:rsid w:val="00D01B8D"/>
    <w:rsid w:val="00D0321E"/>
    <w:rsid w:val="00D130D8"/>
    <w:rsid w:val="00D1455A"/>
    <w:rsid w:val="00D15C96"/>
    <w:rsid w:val="00D30236"/>
    <w:rsid w:val="00D3138B"/>
    <w:rsid w:val="00D3280C"/>
    <w:rsid w:val="00D3406A"/>
    <w:rsid w:val="00D45844"/>
    <w:rsid w:val="00D469B2"/>
    <w:rsid w:val="00D5365B"/>
    <w:rsid w:val="00D62EA0"/>
    <w:rsid w:val="00D67EC7"/>
    <w:rsid w:val="00D73C68"/>
    <w:rsid w:val="00D741EB"/>
    <w:rsid w:val="00D84934"/>
    <w:rsid w:val="00D8577A"/>
    <w:rsid w:val="00D91271"/>
    <w:rsid w:val="00D92EF2"/>
    <w:rsid w:val="00DA1BF6"/>
    <w:rsid w:val="00DA2CB5"/>
    <w:rsid w:val="00DA4BAC"/>
    <w:rsid w:val="00DD1757"/>
    <w:rsid w:val="00DD3B19"/>
    <w:rsid w:val="00DD3FF7"/>
    <w:rsid w:val="00DE6D27"/>
    <w:rsid w:val="00DF217D"/>
    <w:rsid w:val="00DF26A7"/>
    <w:rsid w:val="00E06424"/>
    <w:rsid w:val="00E13698"/>
    <w:rsid w:val="00E14668"/>
    <w:rsid w:val="00E15627"/>
    <w:rsid w:val="00E164B3"/>
    <w:rsid w:val="00E16910"/>
    <w:rsid w:val="00E2004E"/>
    <w:rsid w:val="00E24F73"/>
    <w:rsid w:val="00E270C7"/>
    <w:rsid w:val="00E60369"/>
    <w:rsid w:val="00E65E54"/>
    <w:rsid w:val="00E74AD8"/>
    <w:rsid w:val="00E80155"/>
    <w:rsid w:val="00E848C0"/>
    <w:rsid w:val="00E90102"/>
    <w:rsid w:val="00E91B96"/>
    <w:rsid w:val="00E941A1"/>
    <w:rsid w:val="00E95CE3"/>
    <w:rsid w:val="00EA2825"/>
    <w:rsid w:val="00EA3D88"/>
    <w:rsid w:val="00EB260A"/>
    <w:rsid w:val="00EB5088"/>
    <w:rsid w:val="00EC0AF1"/>
    <w:rsid w:val="00EC5B37"/>
    <w:rsid w:val="00ED1644"/>
    <w:rsid w:val="00ED2593"/>
    <w:rsid w:val="00ED6D16"/>
    <w:rsid w:val="00ED78F1"/>
    <w:rsid w:val="00ED7FF4"/>
    <w:rsid w:val="00EF44A0"/>
    <w:rsid w:val="00EF4FED"/>
    <w:rsid w:val="00F04CB3"/>
    <w:rsid w:val="00F050BD"/>
    <w:rsid w:val="00F05657"/>
    <w:rsid w:val="00F10F48"/>
    <w:rsid w:val="00F12675"/>
    <w:rsid w:val="00F17FFB"/>
    <w:rsid w:val="00F20466"/>
    <w:rsid w:val="00F25578"/>
    <w:rsid w:val="00F258E5"/>
    <w:rsid w:val="00F300BC"/>
    <w:rsid w:val="00F3334E"/>
    <w:rsid w:val="00F34C19"/>
    <w:rsid w:val="00F34FF2"/>
    <w:rsid w:val="00F3719B"/>
    <w:rsid w:val="00F42D97"/>
    <w:rsid w:val="00F50EC4"/>
    <w:rsid w:val="00F5742D"/>
    <w:rsid w:val="00F57A6D"/>
    <w:rsid w:val="00F638CC"/>
    <w:rsid w:val="00F64CC1"/>
    <w:rsid w:val="00F720FD"/>
    <w:rsid w:val="00F8247A"/>
    <w:rsid w:val="00F82D41"/>
    <w:rsid w:val="00F9629A"/>
    <w:rsid w:val="00F97F93"/>
    <w:rsid w:val="00FA3D91"/>
    <w:rsid w:val="00FA3D95"/>
    <w:rsid w:val="00FA5883"/>
    <w:rsid w:val="00FA6055"/>
    <w:rsid w:val="00FB322F"/>
    <w:rsid w:val="00FB3907"/>
    <w:rsid w:val="00FB442F"/>
    <w:rsid w:val="00FC1929"/>
    <w:rsid w:val="00FC5B46"/>
    <w:rsid w:val="00FD51D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F5742D"/>
    <w:pPr>
      <w:ind w:left="720" w:hanging="720"/>
    </w:pPr>
    <w:rPr>
      <w:rFonts w:ascii="Arial" w:hAnsi="Arial" w:cs="Arial"/>
      <w:snapToGrid w:val="0"/>
      <w:sz w:val="22"/>
      <w:szCs w:val="22"/>
      <w:lang w:eastAsia="en-US"/>
    </w:rPr>
  </w:style>
  <w:style w:type="paragraph" w:customStyle="1" w:styleId="TableFooter">
    <w:name w:val="Table Footer"/>
    <w:basedOn w:val="Normal"/>
    <w:qFormat/>
    <w:rsid w:val="00B11CE3"/>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nhideWhenUsed/>
    <w:rsid w:val="00B11CE3"/>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B11CE3"/>
    <w:rPr>
      <w:rFonts w:ascii="Arial Narrow" w:hAnsi="Arial Narrow" w:cs="Arial"/>
      <w:b/>
      <w:bCs/>
      <w:snapToGrid w:val="0"/>
      <w:color w:val="000000" w:themeColor="text1"/>
      <w:szCs w:val="18"/>
      <w:lang w:eastAsia="en-US"/>
    </w:rPr>
  </w:style>
  <w:style w:type="paragraph" w:styleId="FootnoteText">
    <w:name w:val="footnote text"/>
    <w:basedOn w:val="Normal"/>
    <w:link w:val="FootnoteTextChar"/>
    <w:rsid w:val="00773210"/>
    <w:rPr>
      <w:sz w:val="20"/>
      <w:szCs w:val="20"/>
    </w:rPr>
  </w:style>
  <w:style w:type="character" w:customStyle="1" w:styleId="FootnoteTextChar">
    <w:name w:val="Footnote Text Char"/>
    <w:basedOn w:val="DefaultParagraphFont"/>
    <w:link w:val="FootnoteText"/>
    <w:rsid w:val="00773210"/>
  </w:style>
  <w:style w:type="character" w:styleId="FootnoteReference">
    <w:name w:val="footnote reference"/>
    <w:basedOn w:val="DefaultParagraphFont"/>
    <w:rsid w:val="00773210"/>
    <w:rPr>
      <w:vertAlign w:val="superscript"/>
    </w:rPr>
  </w:style>
  <w:style w:type="paragraph" w:styleId="Revision">
    <w:name w:val="Revision"/>
    <w:hidden/>
    <w:uiPriority w:val="71"/>
    <w:rsid w:val="00D92E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F5742D"/>
    <w:pPr>
      <w:ind w:left="720" w:hanging="720"/>
    </w:pPr>
    <w:rPr>
      <w:rFonts w:ascii="Arial" w:hAnsi="Arial" w:cs="Arial"/>
      <w:snapToGrid w:val="0"/>
      <w:sz w:val="22"/>
      <w:szCs w:val="22"/>
      <w:lang w:eastAsia="en-US"/>
    </w:rPr>
  </w:style>
  <w:style w:type="paragraph" w:customStyle="1" w:styleId="TableFooter">
    <w:name w:val="Table Footer"/>
    <w:basedOn w:val="Normal"/>
    <w:qFormat/>
    <w:rsid w:val="00B11CE3"/>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nhideWhenUsed/>
    <w:rsid w:val="00B11CE3"/>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B11CE3"/>
    <w:rPr>
      <w:rFonts w:ascii="Arial Narrow" w:hAnsi="Arial Narrow" w:cs="Arial"/>
      <w:b/>
      <w:bCs/>
      <w:snapToGrid w:val="0"/>
      <w:color w:val="000000" w:themeColor="text1"/>
      <w:szCs w:val="18"/>
      <w:lang w:eastAsia="en-US"/>
    </w:rPr>
  </w:style>
  <w:style w:type="paragraph" w:styleId="FootnoteText">
    <w:name w:val="footnote text"/>
    <w:basedOn w:val="Normal"/>
    <w:link w:val="FootnoteTextChar"/>
    <w:rsid w:val="00773210"/>
    <w:rPr>
      <w:sz w:val="20"/>
      <w:szCs w:val="20"/>
    </w:rPr>
  </w:style>
  <w:style w:type="character" w:customStyle="1" w:styleId="FootnoteTextChar">
    <w:name w:val="Footnote Text Char"/>
    <w:basedOn w:val="DefaultParagraphFont"/>
    <w:link w:val="FootnoteText"/>
    <w:rsid w:val="00773210"/>
  </w:style>
  <w:style w:type="character" w:styleId="FootnoteReference">
    <w:name w:val="footnote reference"/>
    <w:basedOn w:val="DefaultParagraphFont"/>
    <w:rsid w:val="00773210"/>
    <w:rPr>
      <w:vertAlign w:val="superscript"/>
    </w:rPr>
  </w:style>
  <w:style w:type="paragraph" w:styleId="Revision">
    <w:name w:val="Revision"/>
    <w:hidden/>
    <w:uiPriority w:val="71"/>
    <w:rsid w:val="00D92E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10932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AB2FF-1715-4895-8A18-C941F96D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4745</Words>
  <Characters>31149</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2017-06-19T07:01:00Z</dcterms:created>
  <dcterms:modified xsi:type="dcterms:W3CDTF">2017-06-19T07:10:00Z</dcterms:modified>
</cp:coreProperties>
</file>