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E1" w:rsidRPr="00FF044C" w:rsidRDefault="004510E1" w:rsidP="009F25D7"/>
    <w:p w:rsidR="00173093" w:rsidRPr="00FF044C" w:rsidRDefault="00BC150D" w:rsidP="00C07A6C">
      <w:pPr>
        <w:pStyle w:val="Heading1"/>
      </w:pPr>
      <w:r w:rsidRPr="00FF044C">
        <w:t>6.01</w:t>
      </w:r>
      <w:r w:rsidRPr="00FF044C">
        <w:tab/>
      </w:r>
      <w:r w:rsidR="00535A73" w:rsidRPr="00A55652">
        <w:rPr>
          <w:sz w:val="28"/>
          <w:szCs w:val="28"/>
        </w:rPr>
        <w:t>BRENTUXIMAB VEDOTIN</w:t>
      </w:r>
      <w:proofErr w:type="gramStart"/>
      <w:r w:rsidRPr="00A55652">
        <w:rPr>
          <w:sz w:val="28"/>
          <w:szCs w:val="28"/>
        </w:rPr>
        <w:t>,</w:t>
      </w:r>
      <w:proofErr w:type="gramEnd"/>
      <w:r w:rsidR="00C07A6C" w:rsidRPr="00A55652">
        <w:rPr>
          <w:sz w:val="28"/>
          <w:szCs w:val="28"/>
        </w:rPr>
        <w:br/>
      </w:r>
      <w:r w:rsidR="00015019">
        <w:rPr>
          <w:sz w:val="28"/>
          <w:szCs w:val="28"/>
        </w:rPr>
        <w:t>Powder for I.V. infusion 50 mg,</w:t>
      </w:r>
      <w:r w:rsidR="00C07A6C" w:rsidRPr="00A55652">
        <w:rPr>
          <w:sz w:val="28"/>
          <w:szCs w:val="28"/>
        </w:rPr>
        <w:br/>
      </w:r>
      <w:proofErr w:type="spellStart"/>
      <w:r w:rsidRPr="00A55652">
        <w:rPr>
          <w:sz w:val="28"/>
          <w:szCs w:val="28"/>
        </w:rPr>
        <w:t>Adcetris</w:t>
      </w:r>
      <w:proofErr w:type="spellEnd"/>
      <w:r w:rsidRPr="00A55652">
        <w:rPr>
          <w:sz w:val="28"/>
          <w:szCs w:val="28"/>
        </w:rPr>
        <w:t>®,</w:t>
      </w:r>
      <w:r w:rsidR="00C07A6C" w:rsidRPr="00A55652">
        <w:rPr>
          <w:sz w:val="28"/>
          <w:szCs w:val="28"/>
        </w:rPr>
        <w:br/>
      </w:r>
      <w:r w:rsidRPr="00A55652">
        <w:rPr>
          <w:sz w:val="28"/>
          <w:szCs w:val="28"/>
        </w:rPr>
        <w:t>Takeda Pharmaceuticals Australia Pty Ltd.</w:t>
      </w:r>
    </w:p>
    <w:p w:rsidR="00200AB5" w:rsidRPr="00FF044C" w:rsidRDefault="00200AB5" w:rsidP="00173093">
      <w:pPr>
        <w:pStyle w:val="BodyText"/>
      </w:pPr>
    </w:p>
    <w:p w:rsidR="00336688" w:rsidRPr="00FF044C" w:rsidRDefault="00336688" w:rsidP="00173093"/>
    <w:p w:rsidR="00173093" w:rsidRPr="00FF044C" w:rsidRDefault="00173093" w:rsidP="00347F15">
      <w:pPr>
        <w:pStyle w:val="PBACHeading1"/>
        <w:keepNext/>
      </w:pPr>
      <w:bookmarkStart w:id="0" w:name="_Toc392858189"/>
      <w:bookmarkStart w:id="1" w:name="_Toc461617165"/>
      <w:r w:rsidRPr="00FF044C">
        <w:t>Purpose of Application</w:t>
      </w:r>
      <w:bookmarkEnd w:id="0"/>
      <w:bookmarkEnd w:id="1"/>
    </w:p>
    <w:p w:rsidR="00173093" w:rsidRPr="00FF044C" w:rsidRDefault="00173093" w:rsidP="00347F15">
      <w:pPr>
        <w:keepNext/>
        <w:rPr>
          <w:szCs w:val="22"/>
        </w:rPr>
      </w:pPr>
    </w:p>
    <w:p w:rsidR="00173093" w:rsidRPr="00FF044C" w:rsidRDefault="00173093" w:rsidP="0075545E">
      <w:pPr>
        <w:pStyle w:val="ListParagraph"/>
        <w:keepNext/>
        <w:widowControl/>
        <w:numPr>
          <w:ilvl w:val="1"/>
          <w:numId w:val="1"/>
        </w:numPr>
      </w:pPr>
      <w:r w:rsidRPr="00FF044C">
        <w:t>The submission requested Section 100 – Efficient Funding of Chemotherapy – listing for brentuximab vedotin for patients with relapsed or refractory Hodgkin lymphoma following at least two prior therapies when autologous stem cell transplant (ASCT) or multi-agent chemotherapy is not a treatment option.</w:t>
      </w:r>
    </w:p>
    <w:p w:rsidR="006C07E4" w:rsidRDefault="006C07E4" w:rsidP="006C07E4">
      <w:pPr>
        <w:pStyle w:val="ListParagraph"/>
        <w:keepNext/>
        <w:widowControl/>
      </w:pPr>
    </w:p>
    <w:p w:rsidR="00046F67" w:rsidRPr="00FF044C" w:rsidRDefault="00046F67" w:rsidP="006C07E4">
      <w:pPr>
        <w:pStyle w:val="ListParagraph"/>
        <w:keepNext/>
        <w:widowControl/>
      </w:pPr>
    </w:p>
    <w:p w:rsidR="00173093" w:rsidRPr="00FF044C" w:rsidRDefault="00173093" w:rsidP="00173093">
      <w:pPr>
        <w:pStyle w:val="PBACHeading1"/>
      </w:pPr>
      <w:bookmarkStart w:id="2" w:name="_Toc392858190"/>
      <w:bookmarkStart w:id="3" w:name="_Toc461617166"/>
      <w:r w:rsidRPr="00FF044C">
        <w:t>Requested listing</w:t>
      </w:r>
      <w:bookmarkEnd w:id="2"/>
      <w:bookmarkEnd w:id="3"/>
    </w:p>
    <w:p w:rsidR="00621F33" w:rsidRPr="00FF044C" w:rsidRDefault="00621F33" w:rsidP="00621F33"/>
    <w:p w:rsidR="009238E2" w:rsidRPr="00FF044C" w:rsidRDefault="003353C5" w:rsidP="0075545E">
      <w:pPr>
        <w:pStyle w:val="ListParagraph"/>
        <w:keepNext/>
        <w:widowControl/>
        <w:numPr>
          <w:ilvl w:val="1"/>
          <w:numId w:val="1"/>
        </w:numPr>
        <w:rPr>
          <w:rFonts w:ascii="Times New Roman" w:hAnsi="Times New Roman"/>
          <w:lang w:eastAsia="en-AU"/>
        </w:rPr>
      </w:pPr>
      <w:r w:rsidRPr="00FF044C">
        <w:t xml:space="preserve">The </w:t>
      </w:r>
      <w:r w:rsidR="00EF3566" w:rsidRPr="00FF044C">
        <w:t>Pre-Sub-Committee Response (</w:t>
      </w:r>
      <w:r w:rsidRPr="00FF044C">
        <w:t>PSCR</w:t>
      </w:r>
      <w:r w:rsidR="00EF3566" w:rsidRPr="00FF044C">
        <w:t>)</w:t>
      </w:r>
      <w:r w:rsidRPr="00FF044C">
        <w:t xml:space="preserve"> </w:t>
      </w:r>
      <w:r w:rsidR="009238E2" w:rsidRPr="00FF044C">
        <w:t xml:space="preserve">(p.1) argued that a biopsy (to obtain tissue for CD30+ testing) is an invasive procedure, and having to repeat this (per the Secretariat’s suggestion: “A histology report including evidence of the tumour’s CD30 positivity subsequent to the most recently delivered prior therapy”) may be not be in the patients’ </w:t>
      </w:r>
      <w:r w:rsidR="00A15FBA" w:rsidRPr="00FF044C">
        <w:t>best interest</w:t>
      </w:r>
      <w:r w:rsidR="009238E2" w:rsidRPr="00FF044C">
        <w:t>. Furthermore, CD30+ status does not change over the course of the disease. The ESC agree</w:t>
      </w:r>
      <w:r w:rsidR="001A4EDC" w:rsidRPr="00FF044C">
        <w:t>d with the PSCR</w:t>
      </w:r>
      <w:r w:rsidR="009238E2" w:rsidRPr="00FF044C">
        <w:t>.</w:t>
      </w:r>
    </w:p>
    <w:p w:rsidR="006F4ADA" w:rsidRPr="00FF044C" w:rsidRDefault="006F4ADA" w:rsidP="005D7D00">
      <w:pPr>
        <w:rPr>
          <w:i/>
        </w:rPr>
      </w:pPr>
    </w:p>
    <w:p w:rsidR="00E80311" w:rsidRPr="00FF044C" w:rsidRDefault="006F4ADA" w:rsidP="0075545E">
      <w:pPr>
        <w:pStyle w:val="ListParagraph"/>
        <w:keepNext/>
        <w:widowControl/>
        <w:numPr>
          <w:ilvl w:val="1"/>
          <w:numId w:val="1"/>
        </w:numPr>
      </w:pPr>
      <w:r w:rsidRPr="00FF044C">
        <w:t>The ESC noted that the average duration of treatment with brentuximab vedotin</w:t>
      </w:r>
      <w:r w:rsidR="00324A46" w:rsidRPr="00FF044C">
        <w:t xml:space="preserve"> from the studies presented in the submission</w:t>
      </w:r>
      <w:r w:rsidRPr="00FF044C">
        <w:t xml:space="preserve"> was 4.57 cycles (Table 9)</w:t>
      </w:r>
      <w:r w:rsidR="00324A46" w:rsidRPr="00FF044C">
        <w:t>,</w:t>
      </w:r>
      <w:r w:rsidRPr="00FF044C">
        <w:t xml:space="preserve"> and that this was inconsistent with the </w:t>
      </w:r>
      <w:r w:rsidR="00427B9D" w:rsidRPr="00FF044C">
        <w:t xml:space="preserve">initial treatment </w:t>
      </w:r>
      <w:r w:rsidRPr="00FF044C">
        <w:t>criterion “Patient must not receive more than 4 cycles of treatment under this restriction”</w:t>
      </w:r>
      <w:r w:rsidR="00427B9D" w:rsidRPr="00FF044C">
        <w:t>.</w:t>
      </w:r>
    </w:p>
    <w:p w:rsidR="00427B9D" w:rsidRPr="00FF044C" w:rsidRDefault="00427B9D" w:rsidP="00427B9D">
      <w:pPr>
        <w:pStyle w:val="ListParagraph"/>
      </w:pPr>
    </w:p>
    <w:p w:rsidR="00621F33" w:rsidRPr="00FF044C" w:rsidRDefault="00621F33" w:rsidP="00746164">
      <w:pPr>
        <w:ind w:left="709"/>
      </w:pPr>
      <w:r w:rsidRPr="00FF044C">
        <w:t>Suggestions and additions proposed by the Secretariat to the requested listing are added in italics and suggested deletions are crossed out with strikethrough:</w:t>
      </w:r>
    </w:p>
    <w:p w:rsidR="00621F33" w:rsidRPr="00FF044C" w:rsidRDefault="00621F33" w:rsidP="00621F33"/>
    <w:tbl>
      <w:tblPr>
        <w:tblW w:w="8368" w:type="dxa"/>
        <w:tblInd w:w="817" w:type="dxa"/>
        <w:tblLayout w:type="fixed"/>
        <w:tblLook w:val="0000" w:firstRow="0" w:lastRow="0" w:firstColumn="0" w:lastColumn="0" w:noHBand="0" w:noVBand="0"/>
      </w:tblPr>
      <w:tblGrid>
        <w:gridCol w:w="2696"/>
        <w:gridCol w:w="704"/>
        <w:gridCol w:w="713"/>
        <w:gridCol w:w="2125"/>
        <w:gridCol w:w="1133"/>
        <w:gridCol w:w="997"/>
      </w:tblGrid>
      <w:tr w:rsidR="00621F33" w:rsidRPr="00FF044C" w:rsidTr="00746164">
        <w:trPr>
          <w:cantSplit/>
          <w:trHeight w:val="471"/>
        </w:trPr>
        <w:tc>
          <w:tcPr>
            <w:tcW w:w="2698" w:type="dxa"/>
            <w:tcBorders>
              <w:bottom w:val="single" w:sz="4" w:space="0" w:color="auto"/>
            </w:tcBorders>
          </w:tcPr>
          <w:p w:rsidR="00621F33" w:rsidRPr="00FF044C" w:rsidRDefault="00621F33" w:rsidP="00621F33">
            <w:pPr>
              <w:keepNext/>
              <w:ind w:left="-108"/>
              <w:rPr>
                <w:rFonts w:ascii="Arial Narrow" w:hAnsi="Arial Narrow"/>
                <w:sz w:val="20"/>
              </w:rPr>
            </w:pPr>
            <w:r w:rsidRPr="00FF044C">
              <w:rPr>
                <w:rFonts w:ascii="Arial Narrow" w:hAnsi="Arial Narrow"/>
                <w:sz w:val="20"/>
              </w:rPr>
              <w:t>Name, Restriction,</w:t>
            </w:r>
          </w:p>
          <w:p w:rsidR="00621F33" w:rsidRPr="00FF044C" w:rsidRDefault="00621F33" w:rsidP="00621F33">
            <w:pPr>
              <w:keepNext/>
              <w:ind w:left="-108"/>
              <w:rPr>
                <w:rFonts w:ascii="Arial Narrow" w:hAnsi="Arial Narrow"/>
                <w:sz w:val="20"/>
              </w:rPr>
            </w:pPr>
            <w:r w:rsidRPr="00FF044C">
              <w:rPr>
                <w:rFonts w:ascii="Arial Narrow" w:hAnsi="Arial Narrow"/>
                <w:sz w:val="20"/>
              </w:rPr>
              <w:t>Manner of administration and form</w:t>
            </w:r>
          </w:p>
        </w:tc>
        <w:tc>
          <w:tcPr>
            <w:tcW w:w="704" w:type="dxa"/>
            <w:tcBorders>
              <w:bottom w:val="single" w:sz="4" w:space="0" w:color="auto"/>
            </w:tcBorders>
          </w:tcPr>
          <w:p w:rsidR="00621F33" w:rsidRPr="00FF044C" w:rsidRDefault="00621F33" w:rsidP="00621F33">
            <w:pPr>
              <w:keepNext/>
              <w:ind w:left="-108"/>
              <w:rPr>
                <w:rFonts w:ascii="Arial Narrow" w:hAnsi="Arial Narrow"/>
                <w:sz w:val="20"/>
              </w:rPr>
            </w:pPr>
            <w:r w:rsidRPr="00FF044C">
              <w:rPr>
                <w:rFonts w:ascii="Arial Narrow" w:hAnsi="Arial Narrow"/>
                <w:sz w:val="20"/>
              </w:rPr>
              <w:t>Max.</w:t>
            </w:r>
          </w:p>
          <w:p w:rsidR="00621F33" w:rsidRPr="00FF044C" w:rsidRDefault="00921674" w:rsidP="00621F33">
            <w:pPr>
              <w:keepNext/>
              <w:ind w:left="-108"/>
              <w:rPr>
                <w:rFonts w:ascii="Arial Narrow" w:hAnsi="Arial Narrow"/>
                <w:sz w:val="20"/>
              </w:rPr>
            </w:pPr>
            <w:r w:rsidRPr="00FF044C">
              <w:rPr>
                <w:rFonts w:ascii="Arial Narrow" w:hAnsi="Arial Narrow"/>
                <w:sz w:val="20"/>
              </w:rPr>
              <w:t>Amount</w:t>
            </w:r>
          </w:p>
        </w:tc>
        <w:tc>
          <w:tcPr>
            <w:tcW w:w="713" w:type="dxa"/>
            <w:tcBorders>
              <w:bottom w:val="single" w:sz="4" w:space="0" w:color="auto"/>
            </w:tcBorders>
          </w:tcPr>
          <w:p w:rsidR="00621F33" w:rsidRPr="00FF044C" w:rsidRDefault="00621F33" w:rsidP="00621F33">
            <w:pPr>
              <w:keepNext/>
              <w:ind w:left="-108"/>
              <w:rPr>
                <w:rFonts w:ascii="Arial Narrow" w:hAnsi="Arial Narrow"/>
                <w:sz w:val="20"/>
              </w:rPr>
            </w:pPr>
            <w:r w:rsidRPr="00FF044C">
              <w:rPr>
                <w:rFonts w:ascii="Arial Narrow" w:hAnsi="Arial Narrow"/>
                <w:sz w:val="20"/>
              </w:rPr>
              <w:t>№.of</w:t>
            </w:r>
          </w:p>
          <w:p w:rsidR="00621F33" w:rsidRPr="00FF044C" w:rsidRDefault="00621F33" w:rsidP="00621F33">
            <w:pPr>
              <w:keepNext/>
              <w:ind w:left="-108"/>
              <w:rPr>
                <w:rFonts w:ascii="Arial Narrow" w:hAnsi="Arial Narrow"/>
                <w:sz w:val="20"/>
              </w:rPr>
            </w:pPr>
            <w:r w:rsidRPr="00FF044C">
              <w:rPr>
                <w:rFonts w:ascii="Arial Narrow" w:hAnsi="Arial Narrow"/>
                <w:sz w:val="20"/>
              </w:rPr>
              <w:t>Rpts</w:t>
            </w:r>
          </w:p>
        </w:tc>
        <w:tc>
          <w:tcPr>
            <w:tcW w:w="2126" w:type="dxa"/>
            <w:tcBorders>
              <w:bottom w:val="single" w:sz="4" w:space="0" w:color="auto"/>
            </w:tcBorders>
          </w:tcPr>
          <w:p w:rsidR="00621F33" w:rsidRPr="00FF044C" w:rsidRDefault="00621F33" w:rsidP="00621F33">
            <w:pPr>
              <w:keepNext/>
              <w:ind w:left="-108"/>
              <w:rPr>
                <w:rFonts w:ascii="Arial Narrow" w:hAnsi="Arial Narrow"/>
                <w:sz w:val="20"/>
              </w:rPr>
            </w:pPr>
            <w:r w:rsidRPr="00FF044C">
              <w:rPr>
                <w:rFonts w:ascii="Arial Narrow" w:hAnsi="Arial Narrow"/>
                <w:sz w:val="20"/>
              </w:rPr>
              <w:t xml:space="preserve">Dispensed Price for Max. </w:t>
            </w:r>
            <w:r w:rsidR="00953BA8">
              <w:rPr>
                <w:rFonts w:ascii="Arial Narrow" w:hAnsi="Arial Narrow"/>
                <w:sz w:val="20"/>
              </w:rPr>
              <w:t>Amount</w:t>
            </w:r>
          </w:p>
        </w:tc>
        <w:tc>
          <w:tcPr>
            <w:tcW w:w="2127" w:type="dxa"/>
            <w:gridSpan w:val="2"/>
            <w:tcBorders>
              <w:bottom w:val="single" w:sz="4" w:space="0" w:color="auto"/>
            </w:tcBorders>
          </w:tcPr>
          <w:p w:rsidR="00621F33" w:rsidRPr="00FF044C" w:rsidRDefault="00621F33" w:rsidP="003C460A">
            <w:pPr>
              <w:keepNext/>
              <w:jc w:val="center"/>
              <w:rPr>
                <w:rFonts w:ascii="Arial Narrow" w:hAnsi="Arial Narrow"/>
                <w:sz w:val="20"/>
              </w:rPr>
            </w:pPr>
            <w:r w:rsidRPr="00FF044C">
              <w:rPr>
                <w:rFonts w:ascii="Arial Narrow" w:hAnsi="Arial Narrow"/>
                <w:sz w:val="20"/>
              </w:rPr>
              <w:t>Proprietary  Name and</w:t>
            </w:r>
            <w:r w:rsidR="003C460A">
              <w:rPr>
                <w:rFonts w:ascii="Arial Narrow" w:hAnsi="Arial Narrow"/>
                <w:sz w:val="20"/>
              </w:rPr>
              <w:t xml:space="preserve"> </w:t>
            </w:r>
            <w:r w:rsidRPr="00FF044C">
              <w:rPr>
                <w:rFonts w:ascii="Arial Narrow" w:hAnsi="Arial Narrow"/>
                <w:sz w:val="20"/>
              </w:rPr>
              <w:t>Manufacturer</w:t>
            </w:r>
          </w:p>
        </w:tc>
      </w:tr>
      <w:tr w:rsidR="00621F33" w:rsidRPr="00FF044C" w:rsidTr="00746164">
        <w:trPr>
          <w:cantSplit/>
          <w:trHeight w:val="577"/>
        </w:trPr>
        <w:tc>
          <w:tcPr>
            <w:tcW w:w="2698" w:type="dxa"/>
            <w:vAlign w:val="center"/>
          </w:tcPr>
          <w:p w:rsidR="00621F33" w:rsidRPr="00FF044C" w:rsidRDefault="00621F33" w:rsidP="00621F33">
            <w:pPr>
              <w:keepNext/>
              <w:ind w:left="-108"/>
              <w:rPr>
                <w:rFonts w:ascii="Arial Narrow" w:hAnsi="Arial Narrow"/>
                <w:sz w:val="20"/>
              </w:rPr>
            </w:pPr>
            <w:r w:rsidRPr="00FF044C">
              <w:rPr>
                <w:rFonts w:ascii="Arial Narrow" w:hAnsi="Arial Narrow"/>
                <w:sz w:val="20"/>
              </w:rPr>
              <w:t>BRENTUXIMAB VEDOTIN</w:t>
            </w:r>
          </w:p>
          <w:p w:rsidR="00621F33" w:rsidRPr="00FF044C" w:rsidRDefault="00621F33" w:rsidP="00621F33">
            <w:pPr>
              <w:keepNext/>
              <w:ind w:left="-108"/>
              <w:rPr>
                <w:rFonts w:ascii="Arial Narrow" w:hAnsi="Arial Narrow"/>
                <w:sz w:val="20"/>
              </w:rPr>
            </w:pPr>
            <w:r w:rsidRPr="00FF044C">
              <w:rPr>
                <w:rFonts w:ascii="Arial Narrow" w:hAnsi="Arial Narrow"/>
                <w:sz w:val="20"/>
              </w:rPr>
              <w:t xml:space="preserve">50 mg vial for IV infusion, 1 </w:t>
            </w:r>
          </w:p>
        </w:tc>
        <w:tc>
          <w:tcPr>
            <w:tcW w:w="704" w:type="dxa"/>
            <w:vAlign w:val="center"/>
          </w:tcPr>
          <w:p w:rsidR="00621F33" w:rsidRPr="00FF044C" w:rsidRDefault="00621F33" w:rsidP="00621F33">
            <w:pPr>
              <w:keepNext/>
              <w:ind w:left="-108"/>
              <w:rPr>
                <w:rFonts w:ascii="Arial Narrow" w:hAnsi="Arial Narrow"/>
                <w:sz w:val="20"/>
              </w:rPr>
            </w:pPr>
          </w:p>
          <w:p w:rsidR="00621F33" w:rsidRPr="00FF044C" w:rsidRDefault="00621F33" w:rsidP="00621F33">
            <w:pPr>
              <w:keepNext/>
              <w:ind w:left="-108"/>
              <w:rPr>
                <w:rFonts w:ascii="Arial Narrow" w:hAnsi="Arial Narrow"/>
                <w:strike/>
                <w:sz w:val="20"/>
              </w:rPr>
            </w:pPr>
            <w:r w:rsidRPr="00FF044C">
              <w:rPr>
                <w:rFonts w:ascii="Arial Narrow" w:hAnsi="Arial Narrow"/>
                <w:sz w:val="20"/>
              </w:rPr>
              <w:t>200 mg</w:t>
            </w:r>
          </w:p>
        </w:tc>
        <w:tc>
          <w:tcPr>
            <w:tcW w:w="713" w:type="dxa"/>
            <w:vAlign w:val="center"/>
          </w:tcPr>
          <w:p w:rsidR="00621F33" w:rsidRPr="00FF044C" w:rsidRDefault="00621F33" w:rsidP="00621F33">
            <w:pPr>
              <w:keepNext/>
              <w:ind w:left="-108"/>
              <w:rPr>
                <w:rFonts w:ascii="Arial Narrow" w:hAnsi="Arial Narrow"/>
                <w:sz w:val="20"/>
              </w:rPr>
            </w:pPr>
          </w:p>
          <w:p w:rsidR="00621F33" w:rsidRPr="00FF044C" w:rsidRDefault="00621F33" w:rsidP="00621F33">
            <w:pPr>
              <w:keepNext/>
              <w:ind w:left="-108"/>
              <w:rPr>
                <w:rFonts w:ascii="Arial Narrow" w:hAnsi="Arial Narrow"/>
                <w:sz w:val="20"/>
              </w:rPr>
            </w:pPr>
            <w:r w:rsidRPr="00FF044C">
              <w:rPr>
                <w:rFonts w:ascii="Arial Narrow" w:hAnsi="Arial Narrow"/>
                <w:sz w:val="20"/>
              </w:rPr>
              <w:t>3</w:t>
            </w:r>
          </w:p>
        </w:tc>
        <w:tc>
          <w:tcPr>
            <w:tcW w:w="2126" w:type="dxa"/>
            <w:vAlign w:val="center"/>
          </w:tcPr>
          <w:p w:rsidR="00621F33" w:rsidRPr="00FF044C" w:rsidRDefault="00621F33" w:rsidP="00621F33">
            <w:pPr>
              <w:rPr>
                <w:rFonts w:ascii="Arial Narrow" w:hAnsi="Arial Narrow"/>
                <w:sz w:val="20"/>
              </w:rPr>
            </w:pPr>
          </w:p>
          <w:p w:rsidR="00621F33" w:rsidRPr="00FF044C" w:rsidRDefault="00621F33" w:rsidP="00621F33">
            <w:pPr>
              <w:rPr>
                <w:rFonts w:ascii="Arial Narrow" w:hAnsi="Arial Narrow"/>
                <w:sz w:val="20"/>
              </w:rPr>
            </w:pPr>
            <w:r w:rsidRPr="00FF044C">
              <w:rPr>
                <w:rFonts w:ascii="Arial Narrow" w:hAnsi="Arial Narrow"/>
                <w:sz w:val="20"/>
              </w:rPr>
              <w:t>$</w:t>
            </w:r>
            <w:r w:rsidR="003C460A">
              <w:rPr>
                <w:rFonts w:ascii="Arial Narrow" w:hAnsi="Arial Narrow"/>
                <w:noProof/>
                <w:color w:val="000000"/>
                <w:sz w:val="20"/>
                <w:highlight w:val="black"/>
              </w:rPr>
              <w:t>'''''''''''''''''''''''</w:t>
            </w:r>
            <w:r w:rsidRPr="00FF044C">
              <w:rPr>
                <w:rFonts w:ascii="Arial Narrow" w:hAnsi="Arial Narrow"/>
                <w:sz w:val="20"/>
              </w:rPr>
              <w:t xml:space="preserve"> (Published)</w:t>
            </w:r>
          </w:p>
          <w:p w:rsidR="00621F33" w:rsidRPr="00FF044C" w:rsidRDefault="00621F33" w:rsidP="00621F33">
            <w:pPr>
              <w:keepNext/>
              <w:rPr>
                <w:rFonts w:ascii="Arial Narrow" w:hAnsi="Arial Narrow"/>
                <w:sz w:val="20"/>
              </w:rPr>
            </w:pPr>
            <w:r w:rsidRPr="00FF044C">
              <w:rPr>
                <w:rFonts w:ascii="Arial Narrow" w:hAnsi="Arial Narrow"/>
                <w:sz w:val="20"/>
              </w:rPr>
              <w:t>$</w:t>
            </w:r>
            <w:r w:rsidR="003C460A">
              <w:rPr>
                <w:rFonts w:ascii="Arial Narrow" w:hAnsi="Arial Narrow"/>
                <w:noProof/>
                <w:color w:val="000000"/>
                <w:sz w:val="20"/>
                <w:highlight w:val="black"/>
              </w:rPr>
              <w:t>'''''''''''''''''''''''</w:t>
            </w:r>
            <w:r w:rsidRPr="00FF044C">
              <w:rPr>
                <w:rFonts w:ascii="Arial Narrow" w:hAnsi="Arial Narrow"/>
                <w:sz w:val="20"/>
              </w:rPr>
              <w:t xml:space="preserve"> (Effective)</w:t>
            </w:r>
          </w:p>
        </w:tc>
        <w:tc>
          <w:tcPr>
            <w:tcW w:w="1134" w:type="dxa"/>
            <w:vAlign w:val="center"/>
          </w:tcPr>
          <w:p w:rsidR="00621F33" w:rsidRPr="00FF044C" w:rsidRDefault="009F25D7" w:rsidP="00621F33">
            <w:pPr>
              <w:keepNext/>
              <w:rPr>
                <w:rFonts w:ascii="Arial Narrow" w:hAnsi="Arial Narrow"/>
                <w:sz w:val="20"/>
              </w:rPr>
            </w:pPr>
            <w:r w:rsidRPr="00FF044C">
              <w:rPr>
                <w:rFonts w:ascii="Arial Narrow" w:hAnsi="Arial Narrow"/>
                <w:sz w:val="20"/>
              </w:rPr>
              <w:t>Adce</w:t>
            </w:r>
            <w:r w:rsidR="00621F33" w:rsidRPr="00FF044C">
              <w:rPr>
                <w:rFonts w:ascii="Arial Narrow" w:hAnsi="Arial Narrow"/>
                <w:sz w:val="20"/>
              </w:rPr>
              <w:t>tris</w:t>
            </w:r>
            <w:r w:rsidR="00621F33" w:rsidRPr="00FF044C">
              <w:rPr>
                <w:rFonts w:ascii="Arial Narrow" w:hAnsi="Arial Narrow"/>
                <w:sz w:val="20"/>
                <w:vertAlign w:val="superscript"/>
              </w:rPr>
              <w:t>®</w:t>
            </w:r>
          </w:p>
        </w:tc>
        <w:tc>
          <w:tcPr>
            <w:tcW w:w="993" w:type="dxa"/>
            <w:vAlign w:val="center"/>
          </w:tcPr>
          <w:p w:rsidR="00621F33" w:rsidRPr="00FF044C" w:rsidRDefault="00621F33" w:rsidP="00621F33">
            <w:pPr>
              <w:keepNext/>
              <w:rPr>
                <w:rFonts w:ascii="Arial Narrow" w:hAnsi="Arial Narrow"/>
                <w:sz w:val="20"/>
              </w:rPr>
            </w:pPr>
            <w:r w:rsidRPr="00FF044C">
              <w:rPr>
                <w:rFonts w:ascii="Arial Narrow" w:hAnsi="Arial Narrow"/>
                <w:sz w:val="20"/>
              </w:rPr>
              <w:t>Takeda Pharmaceuticals Australia Pty Ltd</w:t>
            </w:r>
          </w:p>
        </w:tc>
      </w:tr>
      <w:tr w:rsidR="00621F33" w:rsidRPr="00FF044C" w:rsidTr="008A2765">
        <w:trPr>
          <w:cantSplit/>
          <w:trHeight w:val="360"/>
        </w:trPr>
        <w:tc>
          <w:tcPr>
            <w:tcW w:w="2693" w:type="dxa"/>
            <w:tcBorders>
              <w:bottom w:val="single" w:sz="4" w:space="0" w:color="auto"/>
            </w:tcBorders>
          </w:tcPr>
          <w:p w:rsidR="00621F33" w:rsidRPr="00FF044C" w:rsidRDefault="00621F33" w:rsidP="00621F33">
            <w:pPr>
              <w:rPr>
                <w:rFonts w:ascii="Arial Narrow" w:hAnsi="Arial Narrow"/>
                <w:b/>
                <w:sz w:val="20"/>
              </w:rPr>
            </w:pPr>
          </w:p>
        </w:tc>
        <w:tc>
          <w:tcPr>
            <w:tcW w:w="5675" w:type="dxa"/>
            <w:gridSpan w:val="5"/>
            <w:tcBorders>
              <w:bottom w:val="single" w:sz="4" w:space="0" w:color="auto"/>
            </w:tcBorders>
          </w:tcPr>
          <w:p w:rsidR="00621F33" w:rsidRPr="00FF044C" w:rsidRDefault="00621F33" w:rsidP="00621F33">
            <w:pPr>
              <w:rPr>
                <w:rFonts w:ascii="Arial Narrow" w:hAnsi="Arial Narrow"/>
                <w:sz w:val="20"/>
              </w:rPr>
            </w:pP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 xml:space="preserve">Category / </w:t>
            </w:r>
          </w:p>
          <w:p w:rsidR="00621F33" w:rsidRPr="00FF044C" w:rsidRDefault="00621F33" w:rsidP="00621F33">
            <w:pPr>
              <w:rPr>
                <w:rFonts w:ascii="Arial Narrow" w:hAnsi="Arial Narrow"/>
                <w:b/>
                <w:sz w:val="20"/>
              </w:rPr>
            </w:pPr>
            <w:r w:rsidRPr="00FF044C">
              <w:rPr>
                <w:rFonts w:ascii="Arial Narrow" w:hAnsi="Arial Narrow"/>
                <w:b/>
                <w:sz w:val="20"/>
              </w:rPr>
              <w:t>Program</w:t>
            </w: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t>Section 100 – Efficient Funding of Chemotherapy</w:t>
            </w:r>
          </w:p>
          <w:p w:rsidR="00621F33" w:rsidRPr="00FF044C" w:rsidRDefault="00621F33" w:rsidP="00621F33">
            <w:pPr>
              <w:rPr>
                <w:rFonts w:ascii="Arial Narrow" w:hAnsi="Arial Narrow"/>
                <w:sz w:val="20"/>
              </w:rPr>
            </w:pPr>
          </w:p>
        </w:tc>
      </w:tr>
      <w:tr w:rsidR="00621F33" w:rsidRPr="00FF044C" w:rsidTr="008A2765">
        <w:trPr>
          <w:cantSplit/>
          <w:trHeight w:val="806"/>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Prescriber type:</w:t>
            </w:r>
          </w:p>
          <w:p w:rsidR="00621F33" w:rsidRPr="00FF044C" w:rsidRDefault="00621F33" w:rsidP="00621F33">
            <w:pPr>
              <w:rPr>
                <w:rFonts w:ascii="Arial Narrow" w:hAnsi="Arial Narrow"/>
                <w:b/>
                <w:sz w:val="20"/>
              </w:rPr>
            </w:pP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Severity:</w:t>
            </w:r>
          </w:p>
        </w:tc>
        <w:tc>
          <w:tcPr>
            <w:tcW w:w="5675"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i/>
                <w:sz w:val="20"/>
              </w:rPr>
            </w:pPr>
            <w:r w:rsidRPr="00FF044C">
              <w:rPr>
                <w:rFonts w:ascii="Arial Narrow" w:hAnsi="Arial Narrow"/>
                <w:i/>
                <w:sz w:val="20"/>
              </w:rPr>
              <w:t>Relapsed or Refractory</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Condition:</w:t>
            </w:r>
          </w:p>
        </w:tc>
        <w:tc>
          <w:tcPr>
            <w:tcW w:w="5675"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i/>
                <w:sz w:val="20"/>
              </w:rPr>
            </w:pPr>
            <w:r w:rsidRPr="00FF044C">
              <w:rPr>
                <w:rFonts w:ascii="Arial Narrow" w:hAnsi="Arial Narrow"/>
                <w:i/>
                <w:sz w:val="20"/>
              </w:rPr>
              <w:t>Hodgkin lymphoma</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PBS Indication:</w:t>
            </w:r>
          </w:p>
        </w:tc>
        <w:tc>
          <w:tcPr>
            <w:tcW w:w="5675"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sz w:val="20"/>
              </w:rPr>
            </w:pPr>
            <w:r w:rsidRPr="00FF044C">
              <w:rPr>
                <w:rFonts w:ascii="Arial Narrow" w:hAnsi="Arial Narrow"/>
                <w:i/>
                <w:sz w:val="20"/>
              </w:rPr>
              <w:t>Relapsed or Refractory Hodgkin lymphoma</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i/>
                <w:sz w:val="20"/>
              </w:rPr>
            </w:pPr>
            <w:r w:rsidRPr="00FF044C">
              <w:rPr>
                <w:rFonts w:ascii="Arial Narrow" w:hAnsi="Arial Narrow"/>
                <w:b/>
                <w:sz w:val="20"/>
              </w:rPr>
              <w:lastRenderedPageBreak/>
              <w:t>Treatment phase:</w:t>
            </w:r>
          </w:p>
        </w:tc>
        <w:tc>
          <w:tcPr>
            <w:tcW w:w="5675"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sz w:val="20"/>
              </w:rPr>
            </w:pPr>
            <w:r w:rsidRPr="00FF044C">
              <w:rPr>
                <w:rFonts w:ascii="Arial Narrow" w:hAnsi="Arial Narrow"/>
                <w:sz w:val="20"/>
              </w:rPr>
              <w:t>Initial treatment</w:t>
            </w:r>
          </w:p>
        </w:tc>
      </w:tr>
      <w:tr w:rsidR="00621F33" w:rsidRPr="00FF044C" w:rsidTr="008A2765">
        <w:trPr>
          <w:cantSplit/>
          <w:trHeight w:val="7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Restriction Level / Method:</w:t>
            </w:r>
          </w:p>
          <w:p w:rsidR="00621F33" w:rsidRPr="00FF044C" w:rsidRDefault="00621F33" w:rsidP="00621F33">
            <w:pPr>
              <w:rPr>
                <w:rFonts w:ascii="Arial Narrow" w:hAnsi="Arial Narrow"/>
                <w:i/>
                <w:sz w:val="20"/>
                <w:highlight w:val="yellow"/>
              </w:rPr>
            </w:pPr>
          </w:p>
          <w:p w:rsidR="00621F33" w:rsidRPr="00FF044C" w:rsidRDefault="00621F33" w:rsidP="00621F33">
            <w:pPr>
              <w:rPr>
                <w:rFonts w:ascii="Arial Narrow" w:hAnsi="Arial Narrow"/>
                <w:i/>
                <w:sz w:val="20"/>
              </w:rPr>
            </w:pPr>
          </w:p>
          <w:p w:rsidR="00621F33" w:rsidRPr="00FF044C" w:rsidRDefault="00621F33" w:rsidP="00621F33">
            <w:pPr>
              <w:rPr>
                <w:rFonts w:ascii="Arial Narrow" w:hAnsi="Arial Narrow"/>
                <w:i/>
                <w:sz w:val="20"/>
              </w:rPr>
            </w:pP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Restricted benefit</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In Writing</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3"/>
                  <w:enabled/>
                  <w:calcOnExit w:val="0"/>
                  <w:checkBox>
                    <w:sizeAuto/>
                    <w:default w:val="0"/>
                  </w:checkBox>
                </w:ffData>
              </w:fldChar>
            </w:r>
            <w:bookmarkStart w:id="4" w:name="Check3"/>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bookmarkEnd w:id="4"/>
            <w:r w:rsidRPr="00FF044C">
              <w:rPr>
                <w:rFonts w:ascii="Arial Narrow" w:hAnsi="Arial Narrow"/>
                <w:sz w:val="20"/>
              </w:rPr>
              <w:t>Authority Required - Telephone</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Emergency</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bookmarkStart w:id="5" w:name="Check5"/>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bookmarkEnd w:id="5"/>
            <w:r w:rsidRPr="00FF044C">
              <w:rPr>
                <w:rFonts w:ascii="Arial Narrow" w:hAnsi="Arial Narrow"/>
                <w:sz w:val="20"/>
              </w:rPr>
              <w:t>Authority Required - Electronic</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Streamlined</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Clinical criteria:</w:t>
            </w:r>
          </w:p>
          <w:p w:rsidR="00621F33" w:rsidRPr="00FF044C" w:rsidRDefault="00621F33" w:rsidP="00621F33">
            <w:pPr>
              <w:rPr>
                <w:rFonts w:ascii="Arial Narrow" w:hAnsi="Arial Narrow"/>
                <w:i/>
                <w:sz w:val="20"/>
              </w:rPr>
            </w:pPr>
          </w:p>
          <w:p w:rsidR="00621F33" w:rsidRPr="00FF044C" w:rsidRDefault="00621F33" w:rsidP="00621F33">
            <w:pPr>
              <w:rPr>
                <w:rFonts w:ascii="Arial Narrow" w:hAnsi="Arial Narrow"/>
                <w:sz w:val="20"/>
              </w:rPr>
            </w:pP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p>
          <w:p w:rsidR="00621F33" w:rsidRPr="00FF044C" w:rsidRDefault="00621F33" w:rsidP="00621F33">
            <w:pPr>
              <w:rPr>
                <w:rFonts w:ascii="Arial Narrow" w:hAnsi="Arial Narrow"/>
                <w:sz w:val="20"/>
              </w:rPr>
            </w:pPr>
            <w:r w:rsidRPr="00FF044C">
              <w:rPr>
                <w:rFonts w:ascii="Arial Narrow" w:hAnsi="Arial Narrow"/>
                <w:strike/>
                <w:sz w:val="20"/>
              </w:rPr>
              <w:t xml:space="preserve">The </w:t>
            </w:r>
            <w:r w:rsidRPr="00FF044C">
              <w:rPr>
                <w:rFonts w:ascii="Arial Narrow" w:hAnsi="Arial Narrow"/>
                <w:i/>
                <w:sz w:val="20"/>
              </w:rPr>
              <w:t>P</w:t>
            </w:r>
            <w:r w:rsidRPr="00FF044C">
              <w:rPr>
                <w:rFonts w:ascii="Arial Narrow" w:hAnsi="Arial Narrow"/>
                <w:sz w:val="20"/>
              </w:rPr>
              <w:t>atient must be naïve for autologous stem cell transplant (ASCT)</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AND</w:t>
            </w:r>
          </w:p>
          <w:p w:rsidR="00621F33" w:rsidRPr="00FF044C" w:rsidRDefault="00621F33" w:rsidP="00621F33">
            <w:pPr>
              <w:rPr>
                <w:rFonts w:ascii="Arial Narrow" w:hAnsi="Arial Narrow"/>
                <w:strike/>
                <w:sz w:val="20"/>
              </w:rPr>
            </w:pPr>
            <w:r w:rsidRPr="00FF044C">
              <w:rPr>
                <w:rFonts w:ascii="Arial Narrow" w:hAnsi="Arial Narrow"/>
                <w:strike/>
                <w:sz w:val="20"/>
              </w:rPr>
              <w:t xml:space="preserve">The Patient must have received at least two prior therapies for the treatment of Hodgkin lymphoma, including front-line treatment and at least one line of subsequent treatment following relapse or </w:t>
            </w:r>
            <w:r w:rsidR="00015019">
              <w:rPr>
                <w:rFonts w:ascii="Arial Narrow" w:hAnsi="Arial Narrow"/>
                <w:strike/>
                <w:sz w:val="20"/>
              </w:rPr>
              <w:t>refractoriness to chemotherapy.</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AND</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Patient must have experienced a relapsed CD30+ Hodgkin lymphoma following at least two prior therapies when ASCT or multi-agent chemotherapy is not a treatment option; OR</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Patient  must have experienced a refractory CD30+ Hodgkin lymphoma following at least two prior therapies when ASCT or multi-agent chemotherapy is not a treatment option;</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AND</w:t>
            </w:r>
          </w:p>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Patient must not receive more than 4 cycles of treatment under this restriction</w:t>
            </w:r>
          </w:p>
          <w:p w:rsidR="00621F33" w:rsidRPr="00FF044C" w:rsidRDefault="00621F33" w:rsidP="00621F33">
            <w:pPr>
              <w:rPr>
                <w:rFonts w:ascii="Arial Narrow" w:hAnsi="Arial Narrow"/>
                <w:strike/>
                <w:sz w:val="20"/>
              </w:rPr>
            </w:pPr>
            <w:r w:rsidRPr="00FF044C">
              <w:rPr>
                <w:rFonts w:ascii="Arial Narrow" w:hAnsi="Arial Narrow"/>
                <w:strike/>
                <w:sz w:val="20"/>
              </w:rPr>
              <w:t>AND</w:t>
            </w:r>
          </w:p>
          <w:p w:rsidR="00621F33" w:rsidRPr="00FF044C" w:rsidRDefault="00621F33" w:rsidP="00621F33">
            <w:pPr>
              <w:rPr>
                <w:rFonts w:ascii="Arial Narrow" w:hAnsi="Arial Narrow"/>
                <w:sz w:val="20"/>
              </w:rPr>
            </w:pPr>
            <w:r w:rsidRPr="00FF044C">
              <w:rPr>
                <w:rFonts w:ascii="Arial Narrow" w:hAnsi="Arial Narrow"/>
                <w:strike/>
                <w:sz w:val="20"/>
              </w:rPr>
              <w:t>The patient must be unable to receive further multi-agent chemotherapy.</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Prescriber Instructions</w:t>
            </w:r>
          </w:p>
          <w:p w:rsidR="00621F33" w:rsidRPr="00FF044C" w:rsidRDefault="00621F33" w:rsidP="00621F33">
            <w:pPr>
              <w:rPr>
                <w:rFonts w:ascii="Arial Narrow" w:hAnsi="Arial Narrow"/>
                <w:sz w:val="20"/>
              </w:rPr>
            </w:pP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keepNext/>
              <w:keepLines/>
              <w:spacing w:before="40"/>
              <w:rPr>
                <w:rFonts w:ascii="Arial Narrow" w:hAnsi="Arial Narrow"/>
                <w:sz w:val="20"/>
              </w:rPr>
            </w:pPr>
            <w:r w:rsidRPr="00FF044C">
              <w:rPr>
                <w:rFonts w:ascii="Arial Narrow" w:hAnsi="Arial Narrow"/>
                <w:sz w:val="20"/>
              </w:rPr>
              <w:t xml:space="preserve">Applications for authorisation of initial treatment must </w:t>
            </w:r>
            <w:r w:rsidR="00015019">
              <w:rPr>
                <w:rFonts w:ascii="Arial Narrow" w:hAnsi="Arial Narrow"/>
                <w:sz w:val="20"/>
              </w:rPr>
              <w:t>be in writing and must include:</w:t>
            </w:r>
          </w:p>
          <w:p w:rsidR="00621F33" w:rsidRPr="00FF044C" w:rsidRDefault="00621F33" w:rsidP="00621F33">
            <w:pPr>
              <w:keepNext/>
              <w:keepLines/>
              <w:spacing w:before="40"/>
              <w:rPr>
                <w:rFonts w:ascii="Arial Narrow" w:hAnsi="Arial Narrow"/>
                <w:sz w:val="20"/>
              </w:rPr>
            </w:pPr>
            <w:r w:rsidRPr="00FF044C">
              <w:rPr>
                <w:rFonts w:ascii="Arial Narrow" w:hAnsi="Arial Narrow"/>
                <w:sz w:val="20"/>
              </w:rPr>
              <w:t>(a) a completed a</w:t>
            </w:r>
            <w:r w:rsidR="00015019">
              <w:rPr>
                <w:rFonts w:ascii="Arial Narrow" w:hAnsi="Arial Narrow"/>
                <w:sz w:val="20"/>
              </w:rPr>
              <w:t>uthority prescription form; and</w:t>
            </w:r>
          </w:p>
          <w:p w:rsidR="00621F33" w:rsidRPr="00FF044C" w:rsidRDefault="00621F33" w:rsidP="00621F33">
            <w:pPr>
              <w:keepNext/>
              <w:keepLines/>
              <w:spacing w:before="40"/>
              <w:rPr>
                <w:rFonts w:ascii="Arial Narrow" w:hAnsi="Arial Narrow"/>
                <w:sz w:val="20"/>
              </w:rPr>
            </w:pPr>
            <w:r w:rsidRPr="00FF044C">
              <w:rPr>
                <w:rFonts w:ascii="Arial Narrow" w:hAnsi="Arial Narrow"/>
                <w:sz w:val="20"/>
              </w:rPr>
              <w:t xml:space="preserve">(b) a completed Hodgkin lymphoma brentuximab </w:t>
            </w:r>
            <w:r w:rsidRPr="00FF044C">
              <w:rPr>
                <w:rFonts w:ascii="Arial Narrow" w:hAnsi="Arial Narrow"/>
                <w:strike/>
                <w:sz w:val="20"/>
              </w:rPr>
              <w:t xml:space="preserve">vedotin </w:t>
            </w:r>
            <w:r w:rsidRPr="00FF044C">
              <w:rPr>
                <w:rFonts w:ascii="Arial Narrow" w:hAnsi="Arial Narrow"/>
                <w:sz w:val="20"/>
              </w:rPr>
              <w:t xml:space="preserve">PBS Authority Application - </w:t>
            </w:r>
          </w:p>
          <w:p w:rsidR="00621F33" w:rsidRPr="00FF044C" w:rsidRDefault="00621F33" w:rsidP="00621F33">
            <w:pPr>
              <w:keepNext/>
              <w:keepLines/>
              <w:spacing w:before="40"/>
              <w:rPr>
                <w:rFonts w:ascii="Arial Narrow" w:hAnsi="Arial Narrow"/>
                <w:sz w:val="20"/>
              </w:rPr>
            </w:pPr>
            <w:r w:rsidRPr="00FF044C">
              <w:rPr>
                <w:rFonts w:ascii="Arial Narrow" w:hAnsi="Arial Narrow"/>
                <w:sz w:val="20"/>
              </w:rPr>
              <w:t>Supporting Information For</w:t>
            </w:r>
            <w:r w:rsidR="00015019">
              <w:rPr>
                <w:rFonts w:ascii="Arial Narrow" w:hAnsi="Arial Narrow"/>
                <w:sz w:val="20"/>
              </w:rPr>
              <w:t>m which includes the following:</w:t>
            </w:r>
          </w:p>
          <w:p w:rsidR="00621F33" w:rsidRPr="00FF044C" w:rsidRDefault="00621F33" w:rsidP="0075545E">
            <w:pPr>
              <w:pStyle w:val="ListParagraph"/>
              <w:keepNext/>
              <w:keepLines/>
              <w:numPr>
                <w:ilvl w:val="0"/>
                <w:numId w:val="11"/>
              </w:numPr>
              <w:spacing w:before="40"/>
              <w:rPr>
                <w:rFonts w:ascii="Arial Narrow" w:hAnsi="Arial Narrow"/>
                <w:sz w:val="20"/>
              </w:rPr>
            </w:pPr>
            <w:r w:rsidRPr="00FF044C">
              <w:rPr>
                <w:rFonts w:ascii="Arial Narrow" w:hAnsi="Arial Narrow"/>
                <w:sz w:val="20"/>
              </w:rPr>
              <w:t xml:space="preserve">A histology report including evidence of the tumour’s CD30 positivity from a biopsy at time of diagnosis </w:t>
            </w:r>
            <w:r w:rsidRPr="00FF044C">
              <w:rPr>
                <w:rFonts w:ascii="Arial Narrow" w:hAnsi="Arial Narrow"/>
                <w:strike/>
                <w:sz w:val="20"/>
              </w:rPr>
              <w:t>treatment with radiation, chemotherapy, biologics, immunotherapy or other agents</w:t>
            </w:r>
            <w:r w:rsidR="00015019">
              <w:rPr>
                <w:rFonts w:ascii="Arial Narrow" w:hAnsi="Arial Narrow"/>
                <w:sz w:val="20"/>
              </w:rPr>
              <w:t>;</w:t>
            </w:r>
          </w:p>
          <w:p w:rsidR="00621F33" w:rsidRPr="00FF044C" w:rsidRDefault="00621F33" w:rsidP="0075545E">
            <w:pPr>
              <w:pStyle w:val="ListParagraph"/>
              <w:widowControl/>
              <w:numPr>
                <w:ilvl w:val="0"/>
                <w:numId w:val="11"/>
              </w:numPr>
              <w:spacing w:before="20"/>
              <w:jc w:val="left"/>
              <w:rPr>
                <w:rFonts w:ascii="Arial Narrow" w:hAnsi="Arial Narrow"/>
                <w:sz w:val="20"/>
              </w:rPr>
            </w:pPr>
            <w:r w:rsidRPr="00FF044C">
              <w:rPr>
                <w:rFonts w:ascii="Arial Narrow" w:hAnsi="Arial Narrow"/>
                <w:sz w:val="20"/>
              </w:rPr>
              <w:t>The date of initial</w:t>
            </w:r>
            <w:r w:rsidR="00015019">
              <w:rPr>
                <w:rFonts w:ascii="Arial Narrow" w:hAnsi="Arial Narrow"/>
                <w:sz w:val="20"/>
              </w:rPr>
              <w:t xml:space="preserve"> diagnosis of Hodgkin lymphoma;</w:t>
            </w:r>
          </w:p>
          <w:p w:rsidR="00621F33" w:rsidRPr="00FF044C" w:rsidRDefault="00621F33" w:rsidP="0075545E">
            <w:pPr>
              <w:pStyle w:val="ListParagraph"/>
              <w:widowControl/>
              <w:numPr>
                <w:ilvl w:val="0"/>
                <w:numId w:val="11"/>
              </w:numPr>
              <w:spacing w:before="20"/>
              <w:jc w:val="left"/>
              <w:rPr>
                <w:rFonts w:ascii="Arial Narrow" w:hAnsi="Arial Narrow"/>
                <w:sz w:val="20"/>
              </w:rPr>
            </w:pPr>
            <w:r w:rsidRPr="00FF044C">
              <w:rPr>
                <w:rFonts w:ascii="Arial Narrow" w:hAnsi="Arial Narrow"/>
                <w:sz w:val="20"/>
              </w:rPr>
              <w:t>Dates of commencement and completion of front-line curative intent chemotherapy and all lines of subsequent salvage chemotherapy;</w:t>
            </w:r>
          </w:p>
          <w:p w:rsidR="00621F33" w:rsidRPr="00FF044C" w:rsidRDefault="00621F33" w:rsidP="0075545E">
            <w:pPr>
              <w:pStyle w:val="ListParagraph"/>
              <w:keepNext/>
              <w:keepLines/>
              <w:numPr>
                <w:ilvl w:val="0"/>
                <w:numId w:val="11"/>
              </w:numPr>
              <w:spacing w:before="40"/>
              <w:rPr>
                <w:rFonts w:ascii="Arial Narrow" w:hAnsi="Arial Narrow"/>
                <w:sz w:val="20"/>
              </w:rPr>
            </w:pPr>
            <w:r w:rsidRPr="00FF044C">
              <w:rPr>
                <w:rFonts w:ascii="Arial Narrow" w:hAnsi="Arial Narrow"/>
                <w:sz w:val="20"/>
              </w:rPr>
              <w:t xml:space="preserve">A declaration of whether the disease is classified as relapsed or refractory subsequent to the most recently delivered prior </w:t>
            </w:r>
            <w:r w:rsidRPr="00FF044C">
              <w:rPr>
                <w:rFonts w:ascii="Arial Narrow" w:hAnsi="Arial Narrow"/>
                <w:i/>
                <w:sz w:val="20"/>
              </w:rPr>
              <w:t>therapy</w:t>
            </w:r>
          </w:p>
          <w:p w:rsidR="00621F33" w:rsidRPr="00FF044C" w:rsidRDefault="00621F33" w:rsidP="0075545E">
            <w:pPr>
              <w:pStyle w:val="ListParagraph"/>
              <w:keepNext/>
              <w:keepLines/>
              <w:numPr>
                <w:ilvl w:val="0"/>
                <w:numId w:val="11"/>
              </w:numPr>
              <w:spacing w:before="40"/>
              <w:rPr>
                <w:rFonts w:ascii="Arial Narrow" w:hAnsi="Arial Narrow"/>
                <w:sz w:val="20"/>
              </w:rPr>
            </w:pPr>
            <w:r w:rsidRPr="00FF044C">
              <w:rPr>
                <w:rFonts w:ascii="Arial Narrow" w:hAnsi="Arial Narrow"/>
                <w:sz w:val="20"/>
              </w:rPr>
              <w:t>A declaration that the patient:</w:t>
            </w:r>
          </w:p>
          <w:p w:rsidR="00621F33" w:rsidRPr="00FF044C" w:rsidRDefault="00621F33" w:rsidP="0075545E">
            <w:pPr>
              <w:pStyle w:val="ListParagraph"/>
              <w:widowControl/>
              <w:numPr>
                <w:ilvl w:val="0"/>
                <w:numId w:val="12"/>
              </w:numPr>
              <w:spacing w:before="20"/>
              <w:jc w:val="left"/>
              <w:rPr>
                <w:rFonts w:ascii="Arial Narrow" w:hAnsi="Arial Narrow"/>
                <w:sz w:val="20"/>
              </w:rPr>
            </w:pPr>
            <w:r w:rsidRPr="00FF044C">
              <w:rPr>
                <w:rFonts w:ascii="Arial Narrow" w:hAnsi="Arial Narrow"/>
                <w:sz w:val="20"/>
              </w:rPr>
              <w:t>has not received a prior ASCT, and the reason why, such as refractory disease, OR</w:t>
            </w:r>
          </w:p>
          <w:p w:rsidR="00621F33" w:rsidRPr="00FF044C" w:rsidRDefault="00621F33" w:rsidP="0075545E">
            <w:pPr>
              <w:pStyle w:val="ListParagraph"/>
              <w:widowControl/>
              <w:numPr>
                <w:ilvl w:val="0"/>
                <w:numId w:val="12"/>
              </w:numPr>
              <w:spacing w:before="20"/>
              <w:jc w:val="left"/>
              <w:rPr>
                <w:rFonts w:ascii="Arial Narrow" w:hAnsi="Arial Narrow"/>
                <w:sz w:val="20"/>
              </w:rPr>
            </w:pPr>
            <w:r w:rsidRPr="00FF044C">
              <w:rPr>
                <w:rFonts w:ascii="Arial Narrow" w:hAnsi="Arial Narrow"/>
                <w:sz w:val="20"/>
              </w:rPr>
              <w:t>is unsuitable for further multi-agent chemotherapy, and the reason/s such as  age, or comorbidities</w:t>
            </w:r>
          </w:p>
        </w:tc>
      </w:tr>
      <w:tr w:rsidR="00621F33" w:rsidRPr="00FF044C" w:rsidTr="008A2765">
        <w:trPr>
          <w:cantSplit/>
          <w:trHeight w:val="360"/>
        </w:trPr>
        <w:tc>
          <w:tcPr>
            <w:tcW w:w="2693"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lastRenderedPageBreak/>
              <w:t>Administrative Advice</w:t>
            </w:r>
          </w:p>
          <w:p w:rsidR="00621F33" w:rsidRPr="00FF044C" w:rsidRDefault="00621F33" w:rsidP="00621F33">
            <w:pPr>
              <w:rPr>
                <w:rFonts w:ascii="Arial Narrow" w:hAnsi="Arial Narrow"/>
                <w:sz w:val="20"/>
              </w:rPr>
            </w:pPr>
          </w:p>
        </w:tc>
        <w:tc>
          <w:tcPr>
            <w:tcW w:w="5675"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keepNext/>
              <w:keepLines/>
              <w:spacing w:beforeLines="40" w:before="96" w:after="40"/>
              <w:rPr>
                <w:rFonts w:ascii="Arial Narrow" w:hAnsi="Arial Narrow"/>
                <w:i/>
                <w:sz w:val="20"/>
              </w:rPr>
            </w:pPr>
            <w:r w:rsidRPr="00FF044C">
              <w:rPr>
                <w:rFonts w:ascii="Arial Narrow" w:hAnsi="Arial Narrow"/>
                <w:i/>
                <w:sz w:val="20"/>
              </w:rPr>
              <w:t>No increase in the maximum numbe</w:t>
            </w:r>
            <w:r w:rsidR="00015019">
              <w:rPr>
                <w:rFonts w:ascii="Arial Narrow" w:hAnsi="Arial Narrow"/>
                <w:i/>
                <w:sz w:val="20"/>
              </w:rPr>
              <w:t>r of repeats may be authorised.</w:t>
            </w:r>
          </w:p>
          <w:p w:rsidR="00621F33" w:rsidRPr="00FF044C" w:rsidRDefault="00621F33" w:rsidP="00621F33">
            <w:pPr>
              <w:keepNext/>
              <w:keepLines/>
              <w:spacing w:beforeLines="40" w:before="96" w:after="40"/>
              <w:rPr>
                <w:rFonts w:ascii="Arial Narrow" w:hAnsi="Arial Narrow"/>
                <w:sz w:val="20"/>
              </w:rPr>
            </w:pPr>
            <w:r w:rsidRPr="00FF044C">
              <w:rPr>
                <w:rFonts w:ascii="Arial Narrow" w:hAnsi="Arial Narrow"/>
                <w:i/>
                <w:sz w:val="20"/>
              </w:rPr>
              <w:t>No increase in the maximum quantity or number of units may be authorised.</w:t>
            </w:r>
          </w:p>
        </w:tc>
      </w:tr>
    </w:tbl>
    <w:p w:rsidR="00621F33" w:rsidRPr="00FF044C" w:rsidRDefault="00621F33" w:rsidP="00621F33">
      <w:pPr>
        <w:rPr>
          <w:szCs w:val="22"/>
        </w:rPr>
      </w:pPr>
    </w:p>
    <w:p w:rsidR="00621F33" w:rsidRPr="00FF044C" w:rsidRDefault="00621F33" w:rsidP="00621F33"/>
    <w:tbl>
      <w:tblPr>
        <w:tblW w:w="8222" w:type="dxa"/>
        <w:tblInd w:w="817" w:type="dxa"/>
        <w:tblLayout w:type="fixed"/>
        <w:tblLook w:val="0000" w:firstRow="0" w:lastRow="0" w:firstColumn="0" w:lastColumn="0" w:noHBand="0" w:noVBand="0"/>
      </w:tblPr>
      <w:tblGrid>
        <w:gridCol w:w="2126"/>
        <w:gridCol w:w="993"/>
        <w:gridCol w:w="850"/>
        <w:gridCol w:w="2126"/>
        <w:gridCol w:w="1134"/>
        <w:gridCol w:w="993"/>
      </w:tblGrid>
      <w:tr w:rsidR="00621F33" w:rsidRPr="00FF044C" w:rsidTr="008A2765">
        <w:trPr>
          <w:cantSplit/>
          <w:trHeight w:val="471"/>
        </w:trPr>
        <w:tc>
          <w:tcPr>
            <w:tcW w:w="2126" w:type="dxa"/>
            <w:tcBorders>
              <w:bottom w:val="single" w:sz="4" w:space="0" w:color="auto"/>
            </w:tcBorders>
          </w:tcPr>
          <w:p w:rsidR="00621F33" w:rsidRPr="00FF044C" w:rsidRDefault="00621F33" w:rsidP="00621F33">
            <w:pPr>
              <w:keepNext/>
              <w:ind w:left="-108"/>
              <w:rPr>
                <w:rFonts w:ascii="Arial Narrow" w:hAnsi="Arial Narrow"/>
                <w:sz w:val="20"/>
              </w:rPr>
            </w:pPr>
            <w:r w:rsidRPr="00FF044C">
              <w:rPr>
                <w:rFonts w:ascii="Arial Narrow" w:hAnsi="Arial Narrow"/>
                <w:sz w:val="20"/>
              </w:rPr>
              <w:t>Name, Restriction,</w:t>
            </w:r>
          </w:p>
          <w:p w:rsidR="00621F33" w:rsidRPr="00FF044C" w:rsidRDefault="00621F33" w:rsidP="00621F33">
            <w:pPr>
              <w:keepNext/>
              <w:ind w:left="-108"/>
              <w:rPr>
                <w:rFonts w:ascii="Arial Narrow" w:hAnsi="Arial Narrow"/>
                <w:sz w:val="20"/>
              </w:rPr>
            </w:pPr>
            <w:r w:rsidRPr="00FF044C">
              <w:rPr>
                <w:rFonts w:ascii="Arial Narrow" w:hAnsi="Arial Narrow"/>
                <w:sz w:val="20"/>
              </w:rPr>
              <w:t>Manner of administration and form</w:t>
            </w:r>
          </w:p>
        </w:tc>
        <w:tc>
          <w:tcPr>
            <w:tcW w:w="993" w:type="dxa"/>
            <w:tcBorders>
              <w:bottom w:val="single" w:sz="4" w:space="0" w:color="auto"/>
            </w:tcBorders>
          </w:tcPr>
          <w:p w:rsidR="00621F33" w:rsidRPr="00FF044C" w:rsidRDefault="00621F33" w:rsidP="00621F33">
            <w:pPr>
              <w:keepNext/>
              <w:ind w:left="-108"/>
              <w:jc w:val="center"/>
              <w:rPr>
                <w:rFonts w:ascii="Arial Narrow" w:hAnsi="Arial Narrow"/>
                <w:sz w:val="20"/>
              </w:rPr>
            </w:pPr>
            <w:r w:rsidRPr="00FF044C">
              <w:rPr>
                <w:rFonts w:ascii="Arial Narrow" w:hAnsi="Arial Narrow"/>
                <w:sz w:val="20"/>
              </w:rPr>
              <w:t>Max.</w:t>
            </w:r>
          </w:p>
          <w:p w:rsidR="00621F33" w:rsidRPr="00FF044C" w:rsidRDefault="00921674" w:rsidP="00621F33">
            <w:pPr>
              <w:keepNext/>
              <w:ind w:left="-108"/>
              <w:jc w:val="center"/>
              <w:rPr>
                <w:rFonts w:ascii="Arial Narrow" w:hAnsi="Arial Narrow"/>
                <w:sz w:val="20"/>
              </w:rPr>
            </w:pPr>
            <w:r w:rsidRPr="00FF044C">
              <w:rPr>
                <w:rFonts w:ascii="Arial Narrow" w:hAnsi="Arial Narrow"/>
                <w:sz w:val="20"/>
              </w:rPr>
              <w:t>Amount</w:t>
            </w:r>
          </w:p>
        </w:tc>
        <w:tc>
          <w:tcPr>
            <w:tcW w:w="850" w:type="dxa"/>
            <w:tcBorders>
              <w:bottom w:val="single" w:sz="4" w:space="0" w:color="auto"/>
            </w:tcBorders>
          </w:tcPr>
          <w:p w:rsidR="00621F33" w:rsidRPr="00FF044C" w:rsidRDefault="00621F33" w:rsidP="00621F33">
            <w:pPr>
              <w:keepNext/>
              <w:ind w:left="-108"/>
              <w:jc w:val="center"/>
              <w:rPr>
                <w:rFonts w:ascii="Arial Narrow" w:hAnsi="Arial Narrow"/>
                <w:sz w:val="20"/>
              </w:rPr>
            </w:pPr>
            <w:r w:rsidRPr="00FF044C">
              <w:rPr>
                <w:rFonts w:ascii="Arial Narrow" w:hAnsi="Arial Narrow"/>
                <w:sz w:val="20"/>
              </w:rPr>
              <w:t>№.of</w:t>
            </w:r>
          </w:p>
          <w:p w:rsidR="00621F33" w:rsidRPr="00FF044C" w:rsidRDefault="00621F33" w:rsidP="00621F33">
            <w:pPr>
              <w:keepNext/>
              <w:ind w:left="-108"/>
              <w:jc w:val="center"/>
              <w:rPr>
                <w:rFonts w:ascii="Arial Narrow" w:hAnsi="Arial Narrow"/>
                <w:sz w:val="20"/>
              </w:rPr>
            </w:pPr>
            <w:r w:rsidRPr="00FF044C">
              <w:rPr>
                <w:rFonts w:ascii="Arial Narrow" w:hAnsi="Arial Narrow"/>
                <w:sz w:val="20"/>
              </w:rPr>
              <w:t>Rpts</w:t>
            </w:r>
          </w:p>
        </w:tc>
        <w:tc>
          <w:tcPr>
            <w:tcW w:w="2126" w:type="dxa"/>
            <w:tcBorders>
              <w:bottom w:val="single" w:sz="4" w:space="0" w:color="auto"/>
            </w:tcBorders>
          </w:tcPr>
          <w:p w:rsidR="00621F33" w:rsidRPr="00FF044C" w:rsidRDefault="00621F33" w:rsidP="00621F33">
            <w:pPr>
              <w:keepNext/>
              <w:ind w:left="-108"/>
              <w:jc w:val="center"/>
              <w:rPr>
                <w:rFonts w:ascii="Arial Narrow" w:hAnsi="Arial Narrow"/>
                <w:sz w:val="20"/>
              </w:rPr>
            </w:pPr>
            <w:r w:rsidRPr="00FF044C">
              <w:rPr>
                <w:rFonts w:ascii="Arial Narrow" w:hAnsi="Arial Narrow"/>
                <w:sz w:val="20"/>
              </w:rPr>
              <w:t>Dispensed Price for Max. Qty</w:t>
            </w:r>
          </w:p>
        </w:tc>
        <w:tc>
          <w:tcPr>
            <w:tcW w:w="2127" w:type="dxa"/>
            <w:gridSpan w:val="2"/>
            <w:tcBorders>
              <w:bottom w:val="single" w:sz="4" w:space="0" w:color="auto"/>
            </w:tcBorders>
          </w:tcPr>
          <w:p w:rsidR="00621F33" w:rsidRPr="00FF044C" w:rsidRDefault="00621F33" w:rsidP="003C460A">
            <w:pPr>
              <w:keepNext/>
              <w:jc w:val="center"/>
              <w:rPr>
                <w:rFonts w:ascii="Arial Narrow" w:hAnsi="Arial Narrow"/>
                <w:sz w:val="20"/>
              </w:rPr>
            </w:pPr>
            <w:r w:rsidRPr="00FF044C">
              <w:rPr>
                <w:rFonts w:ascii="Arial Narrow" w:hAnsi="Arial Narrow"/>
                <w:sz w:val="20"/>
              </w:rPr>
              <w:t>Proprietary  Name and</w:t>
            </w:r>
            <w:r w:rsidR="003C460A">
              <w:rPr>
                <w:rFonts w:ascii="Arial Narrow" w:hAnsi="Arial Narrow"/>
                <w:sz w:val="20"/>
              </w:rPr>
              <w:t xml:space="preserve"> </w:t>
            </w:r>
            <w:r w:rsidRPr="00FF044C">
              <w:rPr>
                <w:rFonts w:ascii="Arial Narrow" w:hAnsi="Arial Narrow"/>
                <w:sz w:val="20"/>
              </w:rPr>
              <w:t>Manufacturer</w:t>
            </w:r>
          </w:p>
        </w:tc>
      </w:tr>
      <w:tr w:rsidR="00621F33" w:rsidRPr="00FF044C" w:rsidTr="008A2765">
        <w:trPr>
          <w:cantSplit/>
          <w:trHeight w:val="577"/>
        </w:trPr>
        <w:tc>
          <w:tcPr>
            <w:tcW w:w="2126" w:type="dxa"/>
            <w:tcBorders>
              <w:top w:val="single" w:sz="4" w:space="0" w:color="auto"/>
            </w:tcBorders>
            <w:vAlign w:val="center"/>
          </w:tcPr>
          <w:p w:rsidR="00621F33" w:rsidRPr="00FF044C" w:rsidRDefault="00621F33" w:rsidP="00621F33">
            <w:pPr>
              <w:keepNext/>
              <w:ind w:left="-108"/>
              <w:rPr>
                <w:rFonts w:ascii="Arial Narrow" w:hAnsi="Arial Narrow"/>
                <w:sz w:val="20"/>
              </w:rPr>
            </w:pPr>
            <w:r w:rsidRPr="00FF044C">
              <w:rPr>
                <w:rFonts w:ascii="Arial Narrow" w:hAnsi="Arial Narrow"/>
                <w:sz w:val="20"/>
              </w:rPr>
              <w:t>BRENTUXIMAB VEDOTIN</w:t>
            </w:r>
          </w:p>
          <w:p w:rsidR="00621F33" w:rsidRPr="00FF044C" w:rsidRDefault="00621F33" w:rsidP="00621F33">
            <w:pPr>
              <w:keepNext/>
              <w:ind w:left="-108"/>
              <w:rPr>
                <w:rFonts w:ascii="Arial Narrow" w:hAnsi="Arial Narrow"/>
                <w:sz w:val="20"/>
              </w:rPr>
            </w:pPr>
            <w:r w:rsidRPr="00FF044C">
              <w:rPr>
                <w:rFonts w:ascii="Arial Narrow" w:hAnsi="Arial Narrow"/>
                <w:sz w:val="20"/>
              </w:rPr>
              <w:t xml:space="preserve">50 mg vial for IV infusion, 1 </w:t>
            </w:r>
          </w:p>
        </w:tc>
        <w:tc>
          <w:tcPr>
            <w:tcW w:w="993" w:type="dxa"/>
            <w:tcBorders>
              <w:top w:val="single" w:sz="4" w:space="0" w:color="auto"/>
            </w:tcBorders>
            <w:vAlign w:val="center"/>
          </w:tcPr>
          <w:p w:rsidR="00621F33" w:rsidRPr="00FF044C" w:rsidRDefault="00621F33" w:rsidP="00621F33">
            <w:pPr>
              <w:keepNext/>
              <w:ind w:left="-108"/>
              <w:rPr>
                <w:rFonts w:ascii="Arial Narrow" w:hAnsi="Arial Narrow"/>
                <w:sz w:val="20"/>
              </w:rPr>
            </w:pPr>
          </w:p>
          <w:p w:rsidR="00621F33" w:rsidRPr="00FF044C" w:rsidRDefault="00921674" w:rsidP="00921674">
            <w:pPr>
              <w:keepNext/>
              <w:ind w:left="-108"/>
              <w:rPr>
                <w:rFonts w:ascii="Arial Narrow" w:hAnsi="Arial Narrow"/>
                <w:sz w:val="20"/>
              </w:rPr>
            </w:pPr>
            <w:r w:rsidRPr="00FF044C">
              <w:rPr>
                <w:rFonts w:ascii="Arial Narrow" w:hAnsi="Arial Narrow"/>
                <w:sz w:val="20"/>
              </w:rPr>
              <w:t>200 mg</w:t>
            </w:r>
          </w:p>
        </w:tc>
        <w:tc>
          <w:tcPr>
            <w:tcW w:w="850" w:type="dxa"/>
            <w:tcBorders>
              <w:top w:val="single" w:sz="4" w:space="0" w:color="auto"/>
            </w:tcBorders>
            <w:vAlign w:val="center"/>
          </w:tcPr>
          <w:p w:rsidR="00621F33" w:rsidRPr="00FF044C" w:rsidRDefault="00621F33" w:rsidP="00621F33">
            <w:pPr>
              <w:keepNext/>
              <w:ind w:left="-108"/>
              <w:rPr>
                <w:rFonts w:ascii="Arial Narrow" w:hAnsi="Arial Narrow"/>
                <w:sz w:val="20"/>
              </w:rPr>
            </w:pPr>
          </w:p>
          <w:p w:rsidR="00621F33" w:rsidRPr="00FF044C" w:rsidRDefault="00CA3BA7" w:rsidP="00621F33">
            <w:pPr>
              <w:keepNext/>
              <w:ind w:left="-108"/>
              <w:rPr>
                <w:rFonts w:ascii="Arial Narrow" w:hAnsi="Arial Narrow"/>
                <w:sz w:val="20"/>
              </w:rPr>
            </w:pPr>
            <w:r w:rsidRPr="00FF044C">
              <w:rPr>
                <w:rFonts w:ascii="Arial Narrow" w:hAnsi="Arial Narrow"/>
                <w:sz w:val="20"/>
              </w:rPr>
              <w:t>11</w:t>
            </w:r>
          </w:p>
        </w:tc>
        <w:tc>
          <w:tcPr>
            <w:tcW w:w="2126" w:type="dxa"/>
            <w:tcBorders>
              <w:top w:val="single" w:sz="4" w:space="0" w:color="auto"/>
            </w:tcBorders>
            <w:vAlign w:val="center"/>
          </w:tcPr>
          <w:p w:rsidR="00621F33" w:rsidRPr="00FF044C" w:rsidRDefault="00621F33" w:rsidP="00621F33">
            <w:pPr>
              <w:rPr>
                <w:rFonts w:ascii="Arial Narrow" w:hAnsi="Arial Narrow"/>
                <w:sz w:val="20"/>
              </w:rPr>
            </w:pPr>
          </w:p>
          <w:p w:rsidR="00621F33" w:rsidRPr="00FF044C" w:rsidRDefault="00621F33" w:rsidP="00621F33">
            <w:pPr>
              <w:rPr>
                <w:rFonts w:ascii="Arial Narrow" w:hAnsi="Arial Narrow"/>
                <w:sz w:val="20"/>
              </w:rPr>
            </w:pPr>
            <w:r w:rsidRPr="00FF044C">
              <w:rPr>
                <w:rFonts w:ascii="Arial Narrow" w:hAnsi="Arial Narrow"/>
                <w:sz w:val="20"/>
              </w:rPr>
              <w:t>$</w:t>
            </w:r>
            <w:r w:rsidR="003C460A">
              <w:rPr>
                <w:rFonts w:ascii="Arial Narrow" w:hAnsi="Arial Narrow"/>
                <w:noProof/>
                <w:color w:val="000000"/>
                <w:sz w:val="20"/>
                <w:highlight w:val="black"/>
              </w:rPr>
              <w:t>''''''''''''''''''''''''''</w:t>
            </w:r>
            <w:r w:rsidRPr="00FF044C">
              <w:rPr>
                <w:rFonts w:ascii="Arial Narrow" w:hAnsi="Arial Narrow"/>
                <w:sz w:val="20"/>
              </w:rPr>
              <w:t xml:space="preserve"> (Published)</w:t>
            </w:r>
          </w:p>
          <w:p w:rsidR="00621F33" w:rsidRPr="00FF044C" w:rsidRDefault="00621F33" w:rsidP="00621F33">
            <w:pPr>
              <w:keepNext/>
              <w:rPr>
                <w:rFonts w:ascii="Arial Narrow" w:hAnsi="Arial Narrow"/>
                <w:sz w:val="20"/>
              </w:rPr>
            </w:pPr>
            <w:r w:rsidRPr="00FF044C">
              <w:rPr>
                <w:rFonts w:ascii="Arial Narrow" w:hAnsi="Arial Narrow"/>
                <w:sz w:val="20"/>
              </w:rPr>
              <w:t>$</w:t>
            </w:r>
            <w:r w:rsidR="003C460A">
              <w:rPr>
                <w:rFonts w:ascii="Arial Narrow" w:hAnsi="Arial Narrow"/>
                <w:noProof/>
                <w:color w:val="000000"/>
                <w:sz w:val="20"/>
                <w:highlight w:val="black"/>
              </w:rPr>
              <w:t xml:space="preserve">'''''''''''''''''''''''' </w:t>
            </w:r>
            <w:r w:rsidRPr="00FF044C">
              <w:rPr>
                <w:rFonts w:ascii="Arial Narrow" w:hAnsi="Arial Narrow"/>
                <w:sz w:val="20"/>
              </w:rPr>
              <w:t>(Effective)</w:t>
            </w:r>
          </w:p>
        </w:tc>
        <w:tc>
          <w:tcPr>
            <w:tcW w:w="1134" w:type="dxa"/>
            <w:tcBorders>
              <w:top w:val="single" w:sz="4" w:space="0" w:color="auto"/>
            </w:tcBorders>
            <w:vAlign w:val="center"/>
          </w:tcPr>
          <w:p w:rsidR="00621F33" w:rsidRPr="00FF044C" w:rsidRDefault="009F25D7" w:rsidP="00180674">
            <w:pPr>
              <w:keepNext/>
              <w:rPr>
                <w:rFonts w:ascii="Arial Narrow" w:hAnsi="Arial Narrow"/>
                <w:sz w:val="20"/>
              </w:rPr>
            </w:pPr>
            <w:r w:rsidRPr="00FF044C">
              <w:rPr>
                <w:rFonts w:ascii="Arial Narrow" w:hAnsi="Arial Narrow"/>
                <w:sz w:val="20"/>
              </w:rPr>
              <w:t>Adce</w:t>
            </w:r>
            <w:r w:rsidR="00621F33" w:rsidRPr="00FF044C">
              <w:rPr>
                <w:rFonts w:ascii="Arial Narrow" w:hAnsi="Arial Narrow"/>
                <w:sz w:val="20"/>
              </w:rPr>
              <w:t>tris</w:t>
            </w:r>
            <w:r w:rsidR="00621F33" w:rsidRPr="00FF044C">
              <w:rPr>
                <w:rFonts w:ascii="Arial Narrow" w:hAnsi="Arial Narrow"/>
                <w:sz w:val="20"/>
                <w:vertAlign w:val="superscript"/>
              </w:rPr>
              <w:t>®</w:t>
            </w:r>
          </w:p>
        </w:tc>
        <w:tc>
          <w:tcPr>
            <w:tcW w:w="993" w:type="dxa"/>
            <w:tcBorders>
              <w:top w:val="single" w:sz="4" w:space="0" w:color="auto"/>
            </w:tcBorders>
          </w:tcPr>
          <w:p w:rsidR="00621F33" w:rsidRPr="00FF044C" w:rsidRDefault="00621F33" w:rsidP="00621F33">
            <w:pPr>
              <w:keepNext/>
              <w:jc w:val="center"/>
              <w:rPr>
                <w:rFonts w:ascii="Arial Narrow" w:hAnsi="Arial Narrow"/>
                <w:sz w:val="20"/>
              </w:rPr>
            </w:pPr>
            <w:r w:rsidRPr="00FF044C">
              <w:rPr>
                <w:rFonts w:ascii="Arial Narrow" w:hAnsi="Arial Narrow"/>
                <w:sz w:val="20"/>
              </w:rPr>
              <w:t>Takeda Pharmaceuticals Australia Pty Ltd</w:t>
            </w:r>
          </w:p>
        </w:tc>
      </w:tr>
      <w:tr w:rsidR="00621F33" w:rsidRPr="00FF044C" w:rsidTr="00F7255D">
        <w:trPr>
          <w:cantSplit/>
          <w:trHeight w:val="360"/>
        </w:trPr>
        <w:tc>
          <w:tcPr>
            <w:tcW w:w="8222" w:type="dxa"/>
            <w:gridSpan w:val="6"/>
            <w:tcBorders>
              <w:bottom w:val="single" w:sz="4" w:space="0" w:color="auto"/>
            </w:tcBorders>
          </w:tcPr>
          <w:p w:rsidR="00621F33" w:rsidRPr="00FF044C" w:rsidRDefault="00621F33" w:rsidP="00621F33">
            <w:pPr>
              <w:rPr>
                <w:rFonts w:ascii="Arial Narrow" w:hAnsi="Arial Narrow"/>
                <w:sz w:val="20"/>
              </w:rPr>
            </w:pP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 xml:space="preserve">Category / </w:t>
            </w:r>
          </w:p>
          <w:p w:rsidR="00621F33" w:rsidRPr="00FF044C" w:rsidRDefault="00621F33" w:rsidP="00621F33">
            <w:pPr>
              <w:rPr>
                <w:rFonts w:ascii="Arial Narrow" w:hAnsi="Arial Narrow"/>
                <w:b/>
                <w:sz w:val="20"/>
              </w:rPr>
            </w:pPr>
            <w:r w:rsidRPr="00FF044C">
              <w:rPr>
                <w:rFonts w:ascii="Arial Narrow" w:hAnsi="Arial Narrow"/>
                <w:b/>
                <w:sz w:val="20"/>
              </w:rPr>
              <w:t>Program</w:t>
            </w:r>
          </w:p>
        </w:tc>
        <w:tc>
          <w:tcPr>
            <w:tcW w:w="6096"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t>Section 100 – Efficient Funding of Chemotherapy</w:t>
            </w:r>
          </w:p>
          <w:p w:rsidR="00621F33" w:rsidRPr="00FF044C" w:rsidRDefault="00621F33" w:rsidP="00621F33">
            <w:pPr>
              <w:rPr>
                <w:rFonts w:ascii="Arial Narrow" w:hAnsi="Arial Narrow"/>
                <w:sz w:val="20"/>
              </w:rPr>
            </w:pP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Prescriber type:</w:t>
            </w:r>
          </w:p>
          <w:p w:rsidR="00621F33" w:rsidRPr="00FF044C" w:rsidRDefault="00621F33" w:rsidP="00621F33">
            <w:pPr>
              <w:rPr>
                <w:rFonts w:ascii="Arial Narrow" w:hAnsi="Arial Narrow"/>
                <w:b/>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Severity:</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i/>
                <w:sz w:val="20"/>
              </w:rPr>
            </w:pPr>
            <w:r w:rsidRPr="00FF044C">
              <w:rPr>
                <w:rFonts w:ascii="Arial Narrow" w:hAnsi="Arial Narrow"/>
                <w:i/>
                <w:sz w:val="20"/>
              </w:rPr>
              <w:t>Relapsed or Refractory</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Condition:</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i/>
                <w:sz w:val="20"/>
              </w:rPr>
            </w:pPr>
            <w:r w:rsidRPr="00FF044C">
              <w:rPr>
                <w:rFonts w:ascii="Arial Narrow" w:hAnsi="Arial Narrow"/>
                <w:i/>
                <w:sz w:val="20"/>
              </w:rPr>
              <w:t>Hodgkin lymphoma</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PBS Indication:</w:t>
            </w:r>
          </w:p>
          <w:p w:rsidR="00621F33" w:rsidRPr="00FF044C" w:rsidRDefault="00621F33" w:rsidP="00621F33">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sz w:val="20"/>
              </w:rPr>
            </w:pPr>
            <w:r w:rsidRPr="00FF044C">
              <w:rPr>
                <w:rFonts w:ascii="Arial Narrow" w:hAnsi="Arial Narrow"/>
                <w:i/>
                <w:sz w:val="20"/>
              </w:rPr>
              <w:t>Relapsed or Refractory Hodgkin lymphoma</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Treatment phase:</w:t>
            </w:r>
          </w:p>
          <w:p w:rsidR="00621F33" w:rsidRPr="00FF044C" w:rsidRDefault="00621F33" w:rsidP="00621F33">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sz w:val="20"/>
              </w:rPr>
            </w:pPr>
            <w:r w:rsidRPr="00FF044C">
              <w:rPr>
                <w:rFonts w:ascii="Arial Narrow" w:hAnsi="Arial Narrow"/>
                <w:sz w:val="20"/>
              </w:rPr>
              <w:t>Continuing treatment</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Restriction Level / Method:</w:t>
            </w:r>
          </w:p>
          <w:p w:rsidR="00621F33" w:rsidRPr="00FF044C" w:rsidRDefault="00621F33" w:rsidP="00621F33">
            <w:pPr>
              <w:rPr>
                <w:rFonts w:ascii="Arial Narrow" w:hAnsi="Arial Narrow"/>
                <w:i/>
                <w:sz w:val="20"/>
                <w:highlight w:val="yellow"/>
              </w:rPr>
            </w:pPr>
          </w:p>
          <w:p w:rsidR="00621F33" w:rsidRPr="00FF044C" w:rsidRDefault="00621F33" w:rsidP="00621F33">
            <w:pPr>
              <w:rPr>
                <w:rFonts w:ascii="Arial Narrow" w:hAnsi="Arial Narrow"/>
                <w:i/>
                <w:sz w:val="20"/>
              </w:rPr>
            </w:pPr>
          </w:p>
          <w:p w:rsidR="00621F33" w:rsidRPr="00FF044C" w:rsidRDefault="00621F33" w:rsidP="00621F33">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Restricted benefit</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In Writing</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Telephone</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Emergency</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Electronic</w:t>
            </w:r>
          </w:p>
          <w:p w:rsidR="00621F33" w:rsidRPr="00FF044C" w:rsidRDefault="00621F33" w:rsidP="00621F33">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Streamlined</w:t>
            </w: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t>Clinical criteria:</w:t>
            </w:r>
          </w:p>
          <w:p w:rsidR="00621F33" w:rsidRPr="00FF044C" w:rsidRDefault="00621F33" w:rsidP="00621F33">
            <w:pPr>
              <w:rPr>
                <w:rFonts w:ascii="Arial Narrow" w:hAnsi="Arial Narrow"/>
                <w:i/>
                <w:sz w:val="20"/>
              </w:rPr>
            </w:pPr>
          </w:p>
          <w:p w:rsidR="00621F33" w:rsidRPr="00FF044C" w:rsidRDefault="00621F33" w:rsidP="00621F33">
            <w:pPr>
              <w:rPr>
                <w:rFonts w:ascii="Arial Narrow" w:hAnsi="Arial Narrow"/>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t>Patient mu</w:t>
            </w:r>
            <w:r w:rsidR="00015019">
              <w:rPr>
                <w:rFonts w:ascii="Arial Narrow" w:hAnsi="Arial Narrow"/>
                <w:sz w:val="20"/>
              </w:rPr>
              <w:t>st not have progressive disease</w:t>
            </w:r>
          </w:p>
          <w:p w:rsidR="00621F33" w:rsidRPr="00FF044C" w:rsidRDefault="00015019" w:rsidP="00621F33">
            <w:pPr>
              <w:rPr>
                <w:rFonts w:ascii="Arial Narrow" w:hAnsi="Arial Narrow"/>
                <w:sz w:val="20"/>
              </w:rPr>
            </w:pPr>
            <w:r>
              <w:rPr>
                <w:rFonts w:ascii="Arial Narrow" w:hAnsi="Arial Narrow"/>
                <w:sz w:val="20"/>
              </w:rPr>
              <w:t>AND</w:t>
            </w:r>
          </w:p>
          <w:p w:rsidR="00621F33" w:rsidRPr="00FF044C" w:rsidRDefault="00621F33" w:rsidP="00621F33">
            <w:pPr>
              <w:rPr>
                <w:rFonts w:ascii="Arial Narrow" w:hAnsi="Arial Narrow"/>
                <w:sz w:val="20"/>
              </w:rPr>
            </w:pPr>
            <w:r w:rsidRPr="00FF044C">
              <w:rPr>
                <w:rFonts w:ascii="Arial Narrow" w:hAnsi="Arial Narrow"/>
                <w:sz w:val="20"/>
              </w:rPr>
              <w:t>Patient must have previously been issued with an authority prescription for this drug</w:t>
            </w:r>
          </w:p>
          <w:p w:rsidR="00621F33" w:rsidRPr="00FF044C" w:rsidRDefault="00621F33" w:rsidP="00621F33">
            <w:pPr>
              <w:rPr>
                <w:rFonts w:ascii="Arial Narrow" w:hAnsi="Arial Narrow"/>
                <w:sz w:val="20"/>
              </w:rPr>
            </w:pPr>
            <w:r w:rsidRPr="00FF044C">
              <w:rPr>
                <w:rFonts w:ascii="Arial Narrow" w:hAnsi="Arial Narrow"/>
                <w:sz w:val="20"/>
              </w:rPr>
              <w:t>AND</w:t>
            </w:r>
          </w:p>
          <w:p w:rsidR="00621F33" w:rsidRPr="00FF044C" w:rsidRDefault="00621F33" w:rsidP="00621F33">
            <w:pPr>
              <w:rPr>
                <w:rFonts w:ascii="Arial Narrow" w:hAnsi="Arial Narrow"/>
                <w:i/>
                <w:sz w:val="20"/>
              </w:rPr>
            </w:pPr>
            <w:r w:rsidRPr="00FF044C">
              <w:rPr>
                <w:rFonts w:ascii="Arial Narrow" w:hAnsi="Arial Narrow"/>
                <w:i/>
                <w:sz w:val="20"/>
              </w:rPr>
              <w:t>Patient must not receive more than 12 cycles of treatment under this restriction</w:t>
            </w:r>
          </w:p>
          <w:p w:rsidR="00621F33" w:rsidRPr="00FF044C" w:rsidRDefault="00621F33" w:rsidP="00621F33">
            <w:pPr>
              <w:rPr>
                <w:rFonts w:ascii="Arial Narrow" w:hAnsi="Arial Narrow"/>
                <w:sz w:val="20"/>
              </w:rPr>
            </w:pP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b/>
                <w:sz w:val="20"/>
              </w:rPr>
            </w:pPr>
            <w:r w:rsidRPr="00FF044C">
              <w:rPr>
                <w:rFonts w:ascii="Arial Narrow" w:hAnsi="Arial Narrow"/>
                <w:b/>
                <w:sz w:val="20"/>
              </w:rPr>
              <w:lastRenderedPageBreak/>
              <w:t>Prescriber Instructions</w:t>
            </w:r>
          </w:p>
          <w:p w:rsidR="00621F33" w:rsidRPr="00FF044C" w:rsidRDefault="00621F33" w:rsidP="00621F33">
            <w:pPr>
              <w:rPr>
                <w:rFonts w:ascii="Arial Narrow" w:hAnsi="Arial Narrow"/>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621F33" w:rsidRPr="00FF044C" w:rsidRDefault="00621F33" w:rsidP="00621F33">
            <w:pPr>
              <w:rPr>
                <w:rFonts w:ascii="Arial Narrow" w:hAnsi="Arial Narrow"/>
                <w:sz w:val="20"/>
              </w:rPr>
            </w:pPr>
            <w:r w:rsidRPr="00FF044C">
              <w:rPr>
                <w:rFonts w:ascii="Arial Narrow" w:hAnsi="Arial Narrow"/>
                <w:sz w:val="20"/>
              </w:rPr>
              <w:t>Authority applications for continuing treatment may be made by telephone to the Department of Human Services on 1800 700 270 (hours of operation 8 a.m. t</w:t>
            </w:r>
            <w:r w:rsidR="00015019">
              <w:rPr>
                <w:rFonts w:ascii="Arial Narrow" w:hAnsi="Arial Narrow"/>
                <w:sz w:val="20"/>
              </w:rPr>
              <w:t>o 5 p.m. EST Monday to Friday).</w:t>
            </w:r>
          </w:p>
          <w:p w:rsidR="00621F33" w:rsidRPr="00FF044C" w:rsidRDefault="00621F33" w:rsidP="00621F33">
            <w:pPr>
              <w:rPr>
                <w:rFonts w:ascii="Arial Narrow" w:hAnsi="Arial Narrow"/>
                <w:sz w:val="20"/>
              </w:rPr>
            </w:pPr>
          </w:p>
          <w:p w:rsidR="00621F33" w:rsidRPr="00FF044C" w:rsidRDefault="00621F33" w:rsidP="00621F33">
            <w:pPr>
              <w:rPr>
                <w:rFonts w:ascii="Arial Narrow" w:hAnsi="Arial Narrow"/>
                <w:sz w:val="20"/>
              </w:rPr>
            </w:pPr>
            <w:r w:rsidRPr="00FF044C">
              <w:rPr>
                <w:rFonts w:ascii="Arial Narrow" w:hAnsi="Arial Narrow"/>
                <w:sz w:val="20"/>
              </w:rPr>
              <w:t>The treatment must not exceed a lifetime total of 16 cycles.</w:t>
            </w:r>
          </w:p>
          <w:p w:rsidR="00621F33" w:rsidRPr="00FF044C" w:rsidRDefault="00621F33" w:rsidP="00621F33">
            <w:pPr>
              <w:rPr>
                <w:rFonts w:ascii="Arial Narrow" w:hAnsi="Arial Narrow"/>
                <w:strike/>
                <w:sz w:val="20"/>
              </w:rPr>
            </w:pPr>
            <w:r w:rsidRPr="00FF044C">
              <w:rPr>
                <w:rFonts w:ascii="Arial Narrow" w:hAnsi="Arial Narrow"/>
                <w:strike/>
                <w:sz w:val="20"/>
              </w:rPr>
              <w:t>Patients should be assessed for response after 4 cycles of brentuximab vedotin treatment.</w:t>
            </w:r>
          </w:p>
          <w:p w:rsidR="00621F33" w:rsidRPr="00FF044C" w:rsidRDefault="00621F33" w:rsidP="00621F33">
            <w:pPr>
              <w:rPr>
                <w:rFonts w:ascii="Arial Narrow" w:hAnsi="Arial Narrow"/>
                <w:strike/>
                <w:sz w:val="20"/>
              </w:rPr>
            </w:pPr>
            <w:r w:rsidRPr="00FF044C">
              <w:rPr>
                <w:rFonts w:ascii="Arial Narrow" w:hAnsi="Arial Narrow"/>
                <w:strike/>
                <w:sz w:val="20"/>
              </w:rPr>
              <w:t>Patients should not be continued on brentuximab vedotin treatment if they are in a progressive disease state after the first assessment of response.</w:t>
            </w:r>
          </w:p>
          <w:p w:rsidR="00621F33" w:rsidRPr="00FF044C" w:rsidRDefault="00621F33" w:rsidP="00621F33">
            <w:pPr>
              <w:rPr>
                <w:rFonts w:ascii="Arial Narrow" w:hAnsi="Arial Narrow"/>
                <w:strike/>
                <w:sz w:val="20"/>
              </w:rPr>
            </w:pPr>
            <w:r w:rsidRPr="00FF044C">
              <w:rPr>
                <w:rFonts w:ascii="Arial Narrow" w:hAnsi="Arial Narrow"/>
                <w:strike/>
                <w:sz w:val="20"/>
              </w:rPr>
              <w:t>The following information is to be provided at time of request for continuation of treatment:</w:t>
            </w:r>
          </w:p>
          <w:p w:rsidR="00621F33" w:rsidRPr="00FF044C" w:rsidRDefault="00621F33" w:rsidP="00621F33">
            <w:pPr>
              <w:rPr>
                <w:rFonts w:ascii="Arial Narrow" w:hAnsi="Arial Narrow"/>
                <w:strike/>
                <w:sz w:val="20"/>
              </w:rPr>
            </w:pPr>
            <w:r w:rsidRPr="00FF044C">
              <w:rPr>
                <w:rFonts w:ascii="Arial Narrow" w:hAnsi="Arial Narrow"/>
                <w:strike/>
                <w:sz w:val="20"/>
              </w:rPr>
              <w:t>The date of initial trea</w:t>
            </w:r>
            <w:r w:rsidR="00015019">
              <w:rPr>
                <w:rFonts w:ascii="Arial Narrow" w:hAnsi="Arial Narrow"/>
                <w:strike/>
                <w:sz w:val="20"/>
              </w:rPr>
              <w:t xml:space="preserve">tment with </w:t>
            </w:r>
            <w:proofErr w:type="spellStart"/>
            <w:r w:rsidR="00015019">
              <w:rPr>
                <w:rFonts w:ascii="Arial Narrow" w:hAnsi="Arial Narrow"/>
                <w:strike/>
                <w:sz w:val="20"/>
              </w:rPr>
              <w:t>brentuximab</w:t>
            </w:r>
            <w:proofErr w:type="spellEnd"/>
            <w:r w:rsidR="00015019">
              <w:rPr>
                <w:rFonts w:ascii="Arial Narrow" w:hAnsi="Arial Narrow"/>
                <w:strike/>
                <w:sz w:val="20"/>
              </w:rPr>
              <w:t xml:space="preserve"> </w:t>
            </w:r>
            <w:proofErr w:type="spellStart"/>
            <w:r w:rsidR="00015019">
              <w:rPr>
                <w:rFonts w:ascii="Arial Narrow" w:hAnsi="Arial Narrow"/>
                <w:strike/>
                <w:sz w:val="20"/>
              </w:rPr>
              <w:t>vedotin</w:t>
            </w:r>
            <w:proofErr w:type="spellEnd"/>
            <w:r w:rsidR="00015019">
              <w:rPr>
                <w:rFonts w:ascii="Arial Narrow" w:hAnsi="Arial Narrow"/>
                <w:strike/>
                <w:sz w:val="20"/>
              </w:rPr>
              <w:t>;</w:t>
            </w:r>
          </w:p>
          <w:p w:rsidR="00621F33" w:rsidRPr="00FF044C" w:rsidRDefault="00621F33" w:rsidP="00621F33">
            <w:pPr>
              <w:rPr>
                <w:rFonts w:ascii="Arial Narrow" w:hAnsi="Arial Narrow"/>
                <w:strike/>
                <w:sz w:val="20"/>
              </w:rPr>
            </w:pPr>
            <w:r w:rsidRPr="00FF044C">
              <w:rPr>
                <w:rFonts w:ascii="Arial Narrow" w:hAnsi="Arial Narrow"/>
                <w:strike/>
                <w:sz w:val="20"/>
              </w:rPr>
              <w:t>The date and means by which the patient’s disease was assessed as being responsive or not to brentuximab vedotin treatment;</w:t>
            </w:r>
          </w:p>
          <w:p w:rsidR="00621F33" w:rsidRPr="00FF044C" w:rsidRDefault="00621F33" w:rsidP="00621F33">
            <w:pPr>
              <w:rPr>
                <w:rFonts w:ascii="Arial Narrow" w:hAnsi="Arial Narrow"/>
                <w:strike/>
                <w:sz w:val="20"/>
              </w:rPr>
            </w:pPr>
            <w:r w:rsidRPr="00FF044C">
              <w:rPr>
                <w:rFonts w:ascii="Arial Narrow" w:hAnsi="Arial Narrow"/>
                <w:strike/>
                <w:sz w:val="20"/>
              </w:rPr>
              <w:t>A declaration of the patient’s response to initial treatment (catego</w:t>
            </w:r>
            <w:r w:rsidR="00015019">
              <w:rPr>
                <w:rFonts w:ascii="Arial Narrow" w:hAnsi="Arial Narrow"/>
                <w:strike/>
                <w:sz w:val="20"/>
              </w:rPr>
              <w:t>rised by type of response), and</w:t>
            </w:r>
          </w:p>
          <w:p w:rsidR="00621F33" w:rsidRPr="00FF044C" w:rsidRDefault="00621F33" w:rsidP="00621F33">
            <w:pPr>
              <w:rPr>
                <w:rFonts w:ascii="Arial Narrow" w:hAnsi="Arial Narrow"/>
                <w:strike/>
                <w:sz w:val="20"/>
              </w:rPr>
            </w:pPr>
            <w:r w:rsidRPr="00FF044C">
              <w:rPr>
                <w:rFonts w:ascii="Arial Narrow" w:hAnsi="Arial Narrow"/>
                <w:strike/>
                <w:sz w:val="20"/>
              </w:rPr>
              <w:t>A declaration of whether the patient has had, or is</w:t>
            </w:r>
            <w:r w:rsidR="00015019">
              <w:rPr>
                <w:rFonts w:ascii="Arial Narrow" w:hAnsi="Arial Narrow"/>
                <w:strike/>
                <w:sz w:val="20"/>
              </w:rPr>
              <w:t xml:space="preserve"> planned to have, a transplant.</w:t>
            </w:r>
          </w:p>
          <w:p w:rsidR="00621F33" w:rsidRPr="00FF044C" w:rsidRDefault="00621F33" w:rsidP="00621F33">
            <w:pPr>
              <w:rPr>
                <w:rFonts w:ascii="Arial Narrow" w:hAnsi="Arial Narrow"/>
                <w:sz w:val="20"/>
              </w:rPr>
            </w:pPr>
          </w:p>
        </w:tc>
      </w:tr>
      <w:tr w:rsidR="00621F33" w:rsidRPr="00FF044C" w:rsidTr="00F7255D">
        <w:trPr>
          <w:cantSplit/>
          <w:trHeight w:val="360"/>
        </w:trPr>
        <w:tc>
          <w:tcPr>
            <w:tcW w:w="2126" w:type="dxa"/>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b/>
                <w:sz w:val="20"/>
              </w:rPr>
            </w:pPr>
            <w:r w:rsidRPr="00FF044C">
              <w:rPr>
                <w:rFonts w:ascii="Arial Narrow" w:hAnsi="Arial Narrow"/>
                <w:b/>
                <w:sz w:val="20"/>
              </w:rPr>
              <w:t>Administrative Advice</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621F33" w:rsidRPr="00FF044C" w:rsidRDefault="00621F33" w:rsidP="00621F33">
            <w:pPr>
              <w:rPr>
                <w:rFonts w:ascii="Arial Narrow" w:hAnsi="Arial Narrow"/>
                <w:sz w:val="20"/>
              </w:rPr>
            </w:pPr>
          </w:p>
          <w:p w:rsidR="00621F33" w:rsidRPr="00FF044C" w:rsidRDefault="00621F33" w:rsidP="00621F33">
            <w:pPr>
              <w:rPr>
                <w:rFonts w:ascii="Arial Narrow" w:hAnsi="Arial Narrow"/>
                <w:sz w:val="20"/>
              </w:rPr>
            </w:pPr>
            <w:r w:rsidRPr="00FF044C">
              <w:rPr>
                <w:rFonts w:ascii="Arial Narrow" w:hAnsi="Arial Narrow"/>
                <w:sz w:val="20"/>
              </w:rPr>
              <w:t>No increase in the maximum numbe</w:t>
            </w:r>
            <w:r w:rsidR="00015019">
              <w:rPr>
                <w:rFonts w:ascii="Arial Narrow" w:hAnsi="Arial Narrow"/>
                <w:sz w:val="20"/>
              </w:rPr>
              <w:t>r of repeats may be authorised.</w:t>
            </w:r>
          </w:p>
          <w:p w:rsidR="00621F33" w:rsidRPr="00FF044C" w:rsidRDefault="00621F33" w:rsidP="00621F33">
            <w:pPr>
              <w:rPr>
                <w:rFonts w:ascii="Arial Narrow" w:hAnsi="Arial Narrow"/>
                <w:sz w:val="20"/>
              </w:rPr>
            </w:pPr>
            <w:r w:rsidRPr="00FF044C">
              <w:rPr>
                <w:rFonts w:ascii="Arial Narrow" w:hAnsi="Arial Narrow"/>
                <w:sz w:val="20"/>
              </w:rPr>
              <w:t>No increase in the maximum quantity or number of units may be authorised</w:t>
            </w:r>
          </w:p>
          <w:p w:rsidR="00621F33" w:rsidRPr="00FF044C" w:rsidRDefault="00621F33" w:rsidP="00621F33">
            <w:pPr>
              <w:rPr>
                <w:rFonts w:ascii="Arial Narrow" w:hAnsi="Arial Narrow"/>
                <w:sz w:val="20"/>
              </w:rPr>
            </w:pPr>
          </w:p>
        </w:tc>
      </w:tr>
    </w:tbl>
    <w:p w:rsidR="00621F33" w:rsidRPr="00FF044C" w:rsidRDefault="00621F33" w:rsidP="00621F33"/>
    <w:p w:rsidR="00DC5FC0" w:rsidRPr="00FF044C" w:rsidRDefault="00DC5FC0" w:rsidP="00DC5FC0">
      <w:pPr>
        <w:keepNext/>
        <w:widowControl/>
        <w:ind w:firstLine="720"/>
        <w:rPr>
          <w:rStyle w:val="CommentReference"/>
        </w:rPr>
      </w:pPr>
    </w:p>
    <w:p w:rsidR="00173093" w:rsidRPr="00FF044C" w:rsidRDefault="00173093" w:rsidP="0075545E">
      <w:pPr>
        <w:pStyle w:val="ListParagraph"/>
        <w:numPr>
          <w:ilvl w:val="1"/>
          <w:numId w:val="1"/>
        </w:numPr>
      </w:pPr>
      <w:r w:rsidRPr="00FF044C">
        <w:t>The submission presented a cost-per-responder analysis compared with salvage chemotherapy (represented by gemcitabine</w:t>
      </w:r>
      <w:r w:rsidR="00A93CD6" w:rsidRPr="00FF044C">
        <w:t xml:space="preserve"> </w:t>
      </w:r>
      <w:r w:rsidRPr="00FF044C">
        <w:t>+</w:t>
      </w:r>
      <w:r w:rsidR="00A93CD6" w:rsidRPr="00FF044C">
        <w:t xml:space="preserve"> </w:t>
      </w:r>
      <w:proofErr w:type="spellStart"/>
      <w:r w:rsidR="00015019">
        <w:t>vinorelbine</w:t>
      </w:r>
      <w:proofErr w:type="spellEnd"/>
      <w:r w:rsidR="00015019">
        <w:t>).</w:t>
      </w:r>
    </w:p>
    <w:p w:rsidR="0075545E" w:rsidRPr="00FF044C" w:rsidRDefault="0075545E" w:rsidP="00AB01FD"/>
    <w:p w:rsidR="0075545E" w:rsidRPr="00FF044C" w:rsidRDefault="0075545E" w:rsidP="0075545E">
      <w:pPr>
        <w:ind w:firstLine="720"/>
        <w:rPr>
          <w:i/>
          <w:szCs w:val="22"/>
        </w:rPr>
      </w:pPr>
      <w:r w:rsidRPr="00FF044C">
        <w:rPr>
          <w:i/>
          <w:szCs w:val="22"/>
        </w:rPr>
        <w:t>For more detail on PBAC’s view, see section 7 “PBAC outcome”</w:t>
      </w:r>
    </w:p>
    <w:p w:rsidR="00173093" w:rsidRPr="00FF044C" w:rsidRDefault="00173093" w:rsidP="00173093">
      <w:pPr>
        <w:rPr>
          <w:b/>
          <w:szCs w:val="22"/>
        </w:rPr>
      </w:pPr>
    </w:p>
    <w:p w:rsidR="0075545E" w:rsidRPr="00FF044C" w:rsidRDefault="0075545E" w:rsidP="00173093"/>
    <w:p w:rsidR="00173093" w:rsidRPr="00FF044C" w:rsidRDefault="00173093" w:rsidP="00173093">
      <w:pPr>
        <w:pStyle w:val="PBACHeading1"/>
      </w:pPr>
      <w:bookmarkStart w:id="6" w:name="_Toc392858191"/>
      <w:bookmarkStart w:id="7" w:name="_Toc461617167"/>
      <w:r w:rsidRPr="00FF044C">
        <w:t>Background</w:t>
      </w:r>
      <w:bookmarkEnd w:id="6"/>
      <w:bookmarkEnd w:id="7"/>
    </w:p>
    <w:p w:rsidR="00173093" w:rsidRPr="00FF044C" w:rsidRDefault="00173093" w:rsidP="00173093">
      <w:pPr>
        <w:rPr>
          <w:szCs w:val="22"/>
        </w:rPr>
      </w:pPr>
    </w:p>
    <w:p w:rsidR="00173093" w:rsidRPr="00FF044C" w:rsidRDefault="00837FCC" w:rsidP="0075545E">
      <w:pPr>
        <w:widowControl/>
        <w:numPr>
          <w:ilvl w:val="1"/>
          <w:numId w:val="1"/>
        </w:numPr>
        <w:contextualSpacing/>
        <w:rPr>
          <w:szCs w:val="22"/>
        </w:rPr>
      </w:pPr>
      <w:r w:rsidRPr="00FF044C">
        <w:rPr>
          <w:szCs w:val="22"/>
        </w:rPr>
        <w:t>B</w:t>
      </w:r>
      <w:r w:rsidR="00173093" w:rsidRPr="00FF044C">
        <w:rPr>
          <w:szCs w:val="22"/>
        </w:rPr>
        <w:t>rentuximab vedotin was TGA registered on 19 December 2013 for the treatment of adult patients with relapsed or refractory CD30</w:t>
      </w:r>
      <w:r w:rsidR="00173093" w:rsidRPr="00FF044C">
        <w:rPr>
          <w:szCs w:val="22"/>
          <w:vertAlign w:val="superscript"/>
        </w:rPr>
        <w:t>+</w:t>
      </w:r>
      <w:r w:rsidR="00173093" w:rsidRPr="00FF044C">
        <w:rPr>
          <w:szCs w:val="22"/>
        </w:rPr>
        <w:t xml:space="preserve"> Hodgkin lymphoma:</w:t>
      </w:r>
    </w:p>
    <w:p w:rsidR="00173093" w:rsidRPr="00FF044C" w:rsidRDefault="00173093" w:rsidP="0075545E">
      <w:pPr>
        <w:widowControl/>
        <w:numPr>
          <w:ilvl w:val="0"/>
          <w:numId w:val="5"/>
        </w:numPr>
        <w:contextualSpacing/>
        <w:rPr>
          <w:szCs w:val="22"/>
        </w:rPr>
      </w:pPr>
      <w:r w:rsidRPr="00FF044C">
        <w:rPr>
          <w:szCs w:val="22"/>
        </w:rPr>
        <w:t>Following ASCT; or</w:t>
      </w:r>
    </w:p>
    <w:p w:rsidR="00173093" w:rsidRPr="00FF044C" w:rsidRDefault="00173093" w:rsidP="0075545E">
      <w:pPr>
        <w:widowControl/>
        <w:numPr>
          <w:ilvl w:val="0"/>
          <w:numId w:val="5"/>
        </w:numPr>
        <w:contextualSpacing/>
        <w:rPr>
          <w:szCs w:val="22"/>
        </w:rPr>
      </w:pPr>
      <w:r w:rsidRPr="00FF044C">
        <w:rPr>
          <w:szCs w:val="22"/>
        </w:rPr>
        <w:t>Following at least two prior therapies when ASCT or multi-agent chemotherapy is not a treatment option.</w:t>
      </w:r>
    </w:p>
    <w:p w:rsidR="00D06DE3" w:rsidRPr="00FF044C" w:rsidRDefault="00D06DE3" w:rsidP="00D06DE3">
      <w:pPr>
        <w:widowControl/>
        <w:ind w:left="720"/>
        <w:contextualSpacing/>
        <w:rPr>
          <w:szCs w:val="22"/>
        </w:rPr>
      </w:pPr>
      <w:r w:rsidRPr="00FF044C">
        <w:rPr>
          <w:szCs w:val="22"/>
        </w:rPr>
        <w:t xml:space="preserve">The </w:t>
      </w:r>
      <w:r w:rsidR="00AA309F" w:rsidRPr="00FF044C">
        <w:rPr>
          <w:szCs w:val="22"/>
        </w:rPr>
        <w:t xml:space="preserve">sponsor’s </w:t>
      </w:r>
      <w:r w:rsidRPr="00FF044C">
        <w:rPr>
          <w:szCs w:val="22"/>
        </w:rPr>
        <w:t>Pre-PBAC response (p.1) noted that the basis of the TGA’s registration for the use of brentuximab vedotin in the ASCT naïve group of patients was not a clinical trial, unlike the post-ASCT population (Study 0003, item 7.03</w:t>
      </w:r>
      <w:r w:rsidR="00503B37" w:rsidRPr="00FF044C">
        <w:rPr>
          <w:szCs w:val="22"/>
        </w:rPr>
        <w:t>, November 2016 PBAC meeting</w:t>
      </w:r>
      <w:r w:rsidRPr="00FF044C">
        <w:rPr>
          <w:szCs w:val="22"/>
        </w:rPr>
        <w:t>).</w:t>
      </w:r>
      <w:r w:rsidR="00EB1F22" w:rsidRPr="00FF044C">
        <w:t xml:space="preserve"> </w:t>
      </w:r>
      <w:r w:rsidR="00EB1F22" w:rsidRPr="00FF044C">
        <w:rPr>
          <w:szCs w:val="22"/>
        </w:rPr>
        <w:t>Rather, registration for this group of patients with high unmet clinical need was based on a report compiled by the sponsor on the efficacy and safety of brentuximab vedotin in 59 ASCT Naïve patients, comprising data from a number of sources, including the sponsor’s Named Patient Program (NPP).</w:t>
      </w:r>
    </w:p>
    <w:p w:rsidR="00036EC4" w:rsidRPr="00FF044C" w:rsidRDefault="00036EC4" w:rsidP="00347F15">
      <w:pPr>
        <w:pStyle w:val="ListParagraph"/>
        <w:widowControl/>
        <w:rPr>
          <w:szCs w:val="22"/>
        </w:rPr>
      </w:pPr>
    </w:p>
    <w:p w:rsidR="00173093" w:rsidRPr="00FF044C" w:rsidRDefault="005D5578" w:rsidP="0075545E">
      <w:pPr>
        <w:pStyle w:val="ListParagraph"/>
        <w:widowControl/>
        <w:numPr>
          <w:ilvl w:val="1"/>
          <w:numId w:val="1"/>
        </w:numPr>
        <w:rPr>
          <w:szCs w:val="22"/>
        </w:rPr>
      </w:pPr>
      <w:r w:rsidRPr="00FF044C">
        <w:rPr>
          <w:szCs w:val="22"/>
        </w:rPr>
        <w:t>Brentuximab</w:t>
      </w:r>
      <w:r w:rsidR="00173093" w:rsidRPr="00FF044C">
        <w:rPr>
          <w:szCs w:val="22"/>
        </w:rPr>
        <w:t xml:space="preserve"> </w:t>
      </w:r>
      <w:r w:rsidR="004015CA" w:rsidRPr="00FF044C">
        <w:rPr>
          <w:szCs w:val="22"/>
        </w:rPr>
        <w:t xml:space="preserve">vedotin </w:t>
      </w:r>
      <w:r w:rsidR="00173093" w:rsidRPr="00FF044C">
        <w:rPr>
          <w:szCs w:val="22"/>
        </w:rPr>
        <w:t xml:space="preserve">was recommended for listing by the PBAC in March 2014 for the treatment of adult patients with relapsed or refractory systemic </w:t>
      </w:r>
      <w:r w:rsidR="00C45098" w:rsidRPr="00FF044C">
        <w:rPr>
          <w:szCs w:val="22"/>
        </w:rPr>
        <w:t>A</w:t>
      </w:r>
      <w:r w:rsidR="00173093" w:rsidRPr="00FF044C">
        <w:rPr>
          <w:szCs w:val="22"/>
        </w:rPr>
        <w:t xml:space="preserve">naplastic </w:t>
      </w:r>
      <w:r w:rsidR="00C45098" w:rsidRPr="00FF044C">
        <w:rPr>
          <w:szCs w:val="22"/>
        </w:rPr>
        <w:t xml:space="preserve">Large Cell </w:t>
      </w:r>
      <w:r w:rsidR="00B36688" w:rsidRPr="00FF044C">
        <w:rPr>
          <w:szCs w:val="22"/>
        </w:rPr>
        <w:t>Lymphoma</w:t>
      </w:r>
      <w:r w:rsidR="00B36688">
        <w:rPr>
          <w:szCs w:val="22"/>
        </w:rPr>
        <w:t xml:space="preserve"> (sALCL) and was listed on the PBS on 1 December 2014</w:t>
      </w:r>
      <w:r w:rsidR="00015019">
        <w:rPr>
          <w:szCs w:val="22"/>
        </w:rPr>
        <w:t>.</w:t>
      </w:r>
    </w:p>
    <w:p w:rsidR="001B74D1" w:rsidRPr="00FF044C" w:rsidRDefault="001B74D1" w:rsidP="001B74D1">
      <w:pPr>
        <w:pStyle w:val="ListParagraph"/>
        <w:widowControl/>
        <w:rPr>
          <w:szCs w:val="22"/>
        </w:rPr>
      </w:pPr>
    </w:p>
    <w:p w:rsidR="001B74D1" w:rsidRPr="00FF044C" w:rsidRDefault="001B74D1" w:rsidP="0075545E">
      <w:pPr>
        <w:pStyle w:val="ListParagraph"/>
        <w:widowControl/>
        <w:numPr>
          <w:ilvl w:val="1"/>
          <w:numId w:val="1"/>
        </w:numPr>
        <w:rPr>
          <w:szCs w:val="22"/>
        </w:rPr>
      </w:pPr>
      <w:r w:rsidRPr="00FF044C">
        <w:rPr>
          <w:szCs w:val="22"/>
        </w:rPr>
        <w:t xml:space="preserve">Brentuximab vedotin was previously considered at the March 2015 PBAC meeting for the treatment of patients with relapsed or refractory Hodgkin lymphoma post ASCT. </w:t>
      </w:r>
      <w:r w:rsidRPr="00FF044C">
        <w:rPr>
          <w:szCs w:val="22"/>
        </w:rPr>
        <w:lastRenderedPageBreak/>
        <w:t>A resubmission in this indication was also submitted for consideration at the November 201</w:t>
      </w:r>
      <w:r w:rsidR="00015019">
        <w:rPr>
          <w:szCs w:val="22"/>
        </w:rPr>
        <w:t>6 PBAC meeting (see item 7.03).</w:t>
      </w:r>
    </w:p>
    <w:p w:rsidR="0075545E" w:rsidRPr="00FF044C" w:rsidRDefault="0075545E" w:rsidP="0075545E">
      <w:pPr>
        <w:pStyle w:val="ListParagraph"/>
        <w:rPr>
          <w:szCs w:val="22"/>
        </w:rPr>
      </w:pPr>
    </w:p>
    <w:p w:rsidR="0075545E" w:rsidRPr="00FF044C" w:rsidRDefault="0075545E" w:rsidP="0075545E">
      <w:pPr>
        <w:ind w:firstLine="720"/>
        <w:rPr>
          <w:i/>
          <w:szCs w:val="22"/>
        </w:rPr>
      </w:pPr>
      <w:r w:rsidRPr="00FF044C">
        <w:rPr>
          <w:i/>
          <w:szCs w:val="22"/>
        </w:rPr>
        <w:t>For more detail on PBAC’s view, see section 7 “PBAC outcome”</w:t>
      </w:r>
    </w:p>
    <w:p w:rsidR="0075545E" w:rsidRPr="00FF044C" w:rsidRDefault="0075545E" w:rsidP="0075545E">
      <w:pPr>
        <w:pStyle w:val="ListParagraph"/>
        <w:widowControl/>
        <w:rPr>
          <w:szCs w:val="22"/>
        </w:rPr>
      </w:pPr>
    </w:p>
    <w:p w:rsidR="001B74D1" w:rsidRPr="00FF044C" w:rsidRDefault="001B74D1" w:rsidP="001B74D1">
      <w:pPr>
        <w:pStyle w:val="ListParagraph"/>
        <w:widowControl/>
        <w:rPr>
          <w:szCs w:val="22"/>
        </w:rPr>
      </w:pPr>
    </w:p>
    <w:p w:rsidR="00173093" w:rsidRPr="00FF044C" w:rsidRDefault="00173093" w:rsidP="00173093">
      <w:pPr>
        <w:pStyle w:val="PBACHeading1"/>
      </w:pPr>
      <w:bookmarkStart w:id="8" w:name="_Toc392858192"/>
      <w:bookmarkStart w:id="9" w:name="_Toc461617168"/>
      <w:r w:rsidRPr="00FF044C">
        <w:t>Clinical place for the proposed therapy</w:t>
      </w:r>
      <w:bookmarkEnd w:id="8"/>
      <w:bookmarkEnd w:id="9"/>
    </w:p>
    <w:p w:rsidR="00173093" w:rsidRPr="00FF044C" w:rsidRDefault="00173093" w:rsidP="00173093">
      <w:pPr>
        <w:rPr>
          <w:szCs w:val="22"/>
        </w:rPr>
      </w:pPr>
    </w:p>
    <w:p w:rsidR="00173093" w:rsidRPr="00FF044C" w:rsidRDefault="00173093" w:rsidP="0075545E">
      <w:pPr>
        <w:widowControl/>
        <w:numPr>
          <w:ilvl w:val="1"/>
          <w:numId w:val="1"/>
        </w:numPr>
        <w:contextualSpacing/>
        <w:rPr>
          <w:szCs w:val="22"/>
        </w:rPr>
      </w:pPr>
      <w:r w:rsidRPr="00FF044C">
        <w:rPr>
          <w:szCs w:val="24"/>
        </w:rPr>
        <w:t>Hodgkin lymphoma is a neoplasm characterised by the presence of clonal malignant Reed-Sternberg cells. Brentuximab vedotin is an antibody-drug conjugate that targets the cell membrane protein CD30 which is expresse</w:t>
      </w:r>
      <w:r w:rsidR="00015019">
        <w:rPr>
          <w:szCs w:val="24"/>
        </w:rPr>
        <w:t>d on the surface of such cells.</w:t>
      </w:r>
    </w:p>
    <w:p w:rsidR="00173093" w:rsidRPr="00FF044C" w:rsidRDefault="00173093" w:rsidP="00173093">
      <w:pPr>
        <w:widowControl/>
        <w:ind w:left="720"/>
        <w:contextualSpacing/>
        <w:rPr>
          <w:szCs w:val="22"/>
        </w:rPr>
      </w:pPr>
    </w:p>
    <w:p w:rsidR="00173093" w:rsidRPr="00FF044C" w:rsidRDefault="00173093" w:rsidP="0075545E">
      <w:pPr>
        <w:widowControl/>
        <w:numPr>
          <w:ilvl w:val="1"/>
          <w:numId w:val="1"/>
        </w:numPr>
        <w:contextualSpacing/>
        <w:rPr>
          <w:szCs w:val="22"/>
        </w:rPr>
      </w:pPr>
      <w:r w:rsidRPr="00FF044C">
        <w:t>Th</w:t>
      </w:r>
      <w:r w:rsidR="00347F15" w:rsidRPr="00FF044C">
        <w:t>e</w:t>
      </w:r>
      <w:r w:rsidRPr="00FF044C">
        <w:t xml:space="preserve"> submission proposed that the place in therapy was for the treatment of patients with relapsed or refractory Hodgkin lymphoma following at least two prior therapies when ASCT or multi-agent chemotherapy is not a treatment option.</w:t>
      </w:r>
    </w:p>
    <w:p w:rsidR="00173093" w:rsidRPr="00FF044C" w:rsidRDefault="00173093" w:rsidP="00173093">
      <w:pPr>
        <w:pStyle w:val="Header"/>
        <w:rPr>
          <w:szCs w:val="22"/>
        </w:rPr>
      </w:pPr>
    </w:p>
    <w:p w:rsidR="00173093" w:rsidRPr="00FF044C" w:rsidRDefault="00173093" w:rsidP="00173093">
      <w:pPr>
        <w:ind w:left="720"/>
      </w:pPr>
      <w:r w:rsidRPr="00FF044C">
        <w:t xml:space="preserve">Figure 1 presents </w:t>
      </w:r>
      <w:r w:rsidR="001B74D1" w:rsidRPr="00FF044C">
        <w:t>treatment pathways for ASCT naïve and post ASCT patient groups</w:t>
      </w:r>
      <w:r w:rsidR="00015019">
        <w:t>.</w:t>
      </w:r>
    </w:p>
    <w:p w:rsidR="00173093" w:rsidRPr="00FF044C" w:rsidRDefault="00173093" w:rsidP="00173093"/>
    <w:p w:rsidR="00173093" w:rsidRPr="00FF044C" w:rsidRDefault="00173093" w:rsidP="00173093">
      <w:pPr>
        <w:ind w:firstLine="720"/>
        <w:rPr>
          <w:rStyle w:val="CommentReference"/>
        </w:rPr>
      </w:pPr>
      <w:r w:rsidRPr="00FF044C">
        <w:rPr>
          <w:rStyle w:val="CommentReference"/>
        </w:rPr>
        <w:t>Figure 1: Hodgkin lymphoma treatment</w:t>
      </w:r>
      <w:r w:rsidR="001B74D1" w:rsidRPr="00FF044C">
        <w:rPr>
          <w:rStyle w:val="CommentReference"/>
        </w:rPr>
        <w:t xml:space="preserve"> pathways – post ASCT and ASCT n</w:t>
      </w:r>
      <w:r w:rsidRPr="00FF044C">
        <w:rPr>
          <w:rStyle w:val="CommentReference"/>
        </w:rPr>
        <w:t>aïve patient groups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Hodgkin lymphoma treatment pathways – post ASCT and ASCT naïve patient groups"/>
        <w:tblDescription w:val="&#10;"/>
      </w:tblPr>
      <w:tblGrid>
        <w:gridCol w:w="1255"/>
        <w:gridCol w:w="2728"/>
        <w:gridCol w:w="846"/>
        <w:gridCol w:w="1907"/>
        <w:gridCol w:w="1690"/>
      </w:tblGrid>
      <w:tr w:rsidR="00173093" w:rsidRPr="00FF044C" w:rsidTr="008B7D83">
        <w:trPr>
          <w:trHeight w:val="433"/>
          <w:tblHeader/>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3093" w:rsidRPr="00FF044C" w:rsidRDefault="00173093" w:rsidP="00E47679">
            <w:pPr>
              <w:jc w:val="center"/>
              <w:rPr>
                <w:rFonts w:ascii="Arial Narrow" w:hAnsi="Arial Narrow"/>
                <w:b/>
                <w:sz w:val="20"/>
              </w:rPr>
            </w:pPr>
            <w:r w:rsidRPr="00FF044C">
              <w:rPr>
                <w:rFonts w:ascii="Arial Narrow" w:hAnsi="Arial Narrow"/>
                <w:b/>
                <w:sz w:val="20"/>
              </w:rPr>
              <w:t>Front-line treatment</w:t>
            </w:r>
          </w:p>
        </w:tc>
        <w:tc>
          <w:tcPr>
            <w:tcW w:w="2835" w:type="dxa"/>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center"/>
              <w:rPr>
                <w:rFonts w:ascii="Arial Narrow" w:hAnsi="Arial Narrow"/>
                <w:sz w:val="20"/>
              </w:rPr>
            </w:pPr>
            <w:r w:rsidRPr="00FF044C">
              <w:rPr>
                <w:rFonts w:ascii="Arial Narrow" w:hAnsi="Arial Narrow"/>
                <w:sz w:val="20"/>
              </w:rPr>
              <w:t>Multi-agent chemotherapy ± RT</w:t>
            </w:r>
          </w:p>
          <w:p w:rsidR="00173093" w:rsidRPr="00FF044C" w:rsidRDefault="00173093" w:rsidP="00E47679">
            <w:pPr>
              <w:jc w:val="center"/>
              <w:rPr>
                <w:rFonts w:ascii="Arial Narrow" w:hAnsi="Arial Narrow"/>
                <w:sz w:val="20"/>
              </w:rPr>
            </w:pPr>
            <w:r w:rsidRPr="00FF044C">
              <w:rPr>
                <w:rFonts w:ascii="Arial Narrow" w:hAnsi="Arial Narrow"/>
                <w:sz w:val="20"/>
              </w:rPr>
              <w:t>(e.g., ABVD, BEACOPP)</w:t>
            </w:r>
          </w:p>
        </w:tc>
        <w:tc>
          <w:tcPr>
            <w:tcW w:w="567" w:type="dxa"/>
            <w:tcBorders>
              <w:left w:val="single" w:sz="4" w:space="0" w:color="auto"/>
              <w:right w:val="single" w:sz="4" w:space="0" w:color="auto"/>
            </w:tcBorders>
          </w:tcPr>
          <w:p w:rsidR="00173093" w:rsidRPr="00FF044C" w:rsidRDefault="00173093" w:rsidP="00E47679">
            <w:pPr>
              <w:rPr>
                <w:rFonts w:ascii="Arial Narrow" w:hAnsi="Arial Narrow"/>
                <w:sz w:val="20"/>
              </w:rPr>
            </w:pPr>
            <w:r w:rsidRPr="00FF044C">
              <w:rPr>
                <w:rFonts w:ascii="Arial Narrow" w:hAnsi="Arial Narrow"/>
                <w:noProof/>
                <w:sz w:val="20"/>
                <w:lang w:eastAsia="en-AU"/>
              </w:rPr>
              <mc:AlternateContent>
                <mc:Choice Requires="wps">
                  <w:drawing>
                    <wp:inline distT="0" distB="0" distL="0" distR="0">
                      <wp:extent cx="327804" cy="0"/>
                      <wp:effectExtent l="0" t="76200" r="15240" b="114300"/>
                      <wp:docPr id="8" name="Straight Arrow Connector 8" title="Connector"/>
                      <wp:cNvGraphicFramePr/>
                      <a:graphic xmlns:a="http://schemas.openxmlformats.org/drawingml/2006/main">
                        <a:graphicData uri="http://schemas.microsoft.com/office/word/2010/wordprocessingShape">
                          <wps:wsp>
                            <wps:cNvCnPr/>
                            <wps:spPr>
                              <a:xfrm>
                                <a:off x="0" y="0"/>
                                <a:ext cx="327804" cy="0"/>
                              </a:xfrm>
                              <a:prstGeom prst="straightConnector1">
                                <a:avLst/>
                              </a:prstGeom>
                              <a:noFill/>
                              <a:ln w="22225" cap="flat" cmpd="sng" algn="ctr">
                                <a:solidFill>
                                  <a:sysClr val="windowText" lastClr="000000"/>
                                </a:solidFill>
                                <a:prstDash val="solid"/>
                                <a:tailEnd type="arrow"/>
                              </a:ln>
                              <a:effectLst/>
                            </wps:spPr>
                            <wps:bodyPr/>
                          </wps:wsp>
                        </a:graphicData>
                      </a:graphic>
                    </wp:inline>
                  </w:drawing>
                </mc:Choice>
                <mc:Fallback>
                  <w:pict>
                    <v:shapetype id="_x0000_t32" coordsize="21600,21600" o:spt="32" o:oned="t" path="m,l21600,21600e" filled="f">
                      <v:path arrowok="t" fillok="f" o:connecttype="none"/>
                      <o:lock v:ext="edit" shapetype="t"/>
                    </v:shapetype>
                    <v:shape id="Straight Arrow Connector 8" o:spid="_x0000_s1026" type="#_x0000_t32" alt="Title: Connector" style="width:25.8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" strokecolor="windowText" strokeweight="1.75pt">
                      <v:stroke endarrow="open"/>
                      <w10:anchorlock/>
                    </v:shape>
                  </w:pict>
                </mc:Fallback>
              </mc:AlternateContent>
            </w:r>
          </w:p>
        </w:tc>
        <w:tc>
          <w:tcPr>
            <w:tcW w:w="1984" w:type="dxa"/>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jc w:val="center"/>
              <w:rPr>
                <w:rFonts w:ascii="Arial Narrow" w:hAnsi="Arial Narrow"/>
                <w:sz w:val="20"/>
              </w:rPr>
            </w:pPr>
            <w:r w:rsidRPr="00FF044C">
              <w:rPr>
                <w:rFonts w:ascii="Arial Narrow" w:hAnsi="Arial Narrow"/>
                <w:sz w:val="20"/>
              </w:rPr>
              <w:t>70% long term cure</w:t>
            </w:r>
          </w:p>
        </w:tc>
        <w:tc>
          <w:tcPr>
            <w:tcW w:w="1763" w:type="dxa"/>
            <w:tcBorders>
              <w:left w:val="single" w:sz="4" w:space="0" w:color="auto"/>
            </w:tcBorders>
            <w:shd w:val="clear" w:color="auto" w:fill="auto"/>
            <w:vAlign w:val="center"/>
          </w:tcPr>
          <w:p w:rsidR="00173093" w:rsidRPr="00FF044C" w:rsidRDefault="00173093" w:rsidP="00E47679">
            <w:pPr>
              <w:jc w:val="center"/>
              <w:rPr>
                <w:rFonts w:ascii="Arial Narrow" w:hAnsi="Arial Narrow"/>
                <w:b/>
                <w:sz w:val="20"/>
              </w:rPr>
            </w:pPr>
          </w:p>
        </w:tc>
      </w:tr>
      <w:tr w:rsidR="00173093" w:rsidRPr="00FF044C" w:rsidTr="00E47679">
        <w:trPr>
          <w:trHeight w:val="425"/>
        </w:trPr>
        <w:tc>
          <w:tcPr>
            <w:tcW w:w="1276" w:type="dxa"/>
            <w:tcBorders>
              <w:top w:val="single" w:sz="4" w:space="0" w:color="auto"/>
              <w:bottom w:val="single" w:sz="4" w:space="0" w:color="auto"/>
            </w:tcBorders>
            <w:vAlign w:val="center"/>
          </w:tcPr>
          <w:p w:rsidR="00173093" w:rsidRPr="00FF044C" w:rsidRDefault="00173093" w:rsidP="00E47679">
            <w:pPr>
              <w:jc w:val="center"/>
              <w:rPr>
                <w:rFonts w:ascii="Arial Narrow" w:hAnsi="Arial Narrow"/>
                <w:b/>
                <w:sz w:val="20"/>
              </w:rPr>
            </w:pPr>
          </w:p>
        </w:tc>
        <w:tc>
          <w:tcPr>
            <w:tcW w:w="2835" w:type="dxa"/>
            <w:tcBorders>
              <w:top w:val="single" w:sz="4" w:space="0" w:color="auto"/>
              <w:bottom w:val="single" w:sz="4" w:space="0" w:color="auto"/>
            </w:tcBorders>
          </w:tcPr>
          <w:p w:rsidR="00173093" w:rsidRPr="00FF044C" w:rsidRDefault="00173093" w:rsidP="00E47679">
            <w:pPr>
              <w:jc w:val="left"/>
              <w:rPr>
                <w:rFonts w:ascii="Arial Narrow" w:hAnsi="Arial Narrow"/>
                <w:i/>
                <w:sz w:val="20"/>
              </w:rPr>
            </w:pPr>
            <w:r w:rsidRPr="00FF044C">
              <w:rPr>
                <w:rFonts w:ascii="Arial Narrow" w:hAnsi="Arial Narrow"/>
                <w:i/>
                <w:noProof/>
                <w:sz w:val="20"/>
                <w:lang w:eastAsia="en-AU"/>
              </w:rPr>
              <mc:AlternateContent>
                <mc:Choice Requires="wps">
                  <w:drawing>
                    <wp:anchor distT="0" distB="0" distL="114300" distR="114300" simplePos="0" relativeHeight="251666432" behindDoc="0" locked="0" layoutInCell="1" allowOverlap="1" wp14:anchorId="4300A795" wp14:editId="0B29E4A9">
                      <wp:simplePos x="0" y="0"/>
                      <wp:positionH relativeFrom="column">
                        <wp:posOffset>1067608</wp:posOffset>
                      </wp:positionH>
                      <wp:positionV relativeFrom="paragraph">
                        <wp:posOffset>-9179</wp:posOffset>
                      </wp:positionV>
                      <wp:extent cx="0" cy="274032"/>
                      <wp:effectExtent l="95250" t="0" r="76200" b="50165"/>
                      <wp:wrapNone/>
                      <wp:docPr id="10" name="Straight Arrow Connector 10" title="Connector"/>
                      <wp:cNvGraphicFramePr/>
                      <a:graphic xmlns:a="http://schemas.openxmlformats.org/drawingml/2006/main">
                        <a:graphicData uri="http://schemas.microsoft.com/office/word/2010/wordprocessingShape">
                          <wps:wsp>
                            <wps:cNvCnPr/>
                            <wps:spPr>
                              <a:xfrm>
                                <a:off x="0" y="0"/>
                                <a:ext cx="0" cy="274032"/>
                              </a:xfrm>
                              <a:prstGeom prst="straightConnector1">
                                <a:avLst/>
                              </a:prstGeom>
                              <a:noFill/>
                              <a:ln w="222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10" o:spid="_x0000_s1026" type="#_x0000_t32" alt="Title: Connector" style="position:absolute;margin-left:84.05pt;margin-top:-.7pt;width:0;height:21.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" strokecolor="windowText" strokeweight="1.75pt">
                      <v:stroke endarrow="open"/>
                    </v:shape>
                  </w:pict>
                </mc:Fallback>
              </mc:AlternateContent>
            </w:r>
            <w:r w:rsidRPr="00FF044C">
              <w:rPr>
                <w:rFonts w:ascii="Arial Narrow" w:hAnsi="Arial Narrow"/>
                <w:i/>
                <w:sz w:val="20"/>
              </w:rPr>
              <w:t>30% progress</w:t>
            </w:r>
          </w:p>
          <w:p w:rsidR="00173093" w:rsidRPr="00FF044C" w:rsidRDefault="00173093" w:rsidP="00E47679">
            <w:pPr>
              <w:jc w:val="left"/>
              <w:rPr>
                <w:rFonts w:ascii="Arial Narrow" w:hAnsi="Arial Narrow"/>
                <w:sz w:val="20"/>
              </w:rPr>
            </w:pPr>
            <w:r w:rsidRPr="00FF044C">
              <w:rPr>
                <w:rFonts w:ascii="Arial Narrow" w:hAnsi="Arial Narrow"/>
                <w:i/>
                <w:sz w:val="20"/>
              </w:rPr>
              <w:t>or relapse</w:t>
            </w:r>
          </w:p>
        </w:tc>
        <w:tc>
          <w:tcPr>
            <w:tcW w:w="567" w:type="dxa"/>
          </w:tcPr>
          <w:p w:rsidR="00173093" w:rsidRPr="00FF044C" w:rsidRDefault="00173093" w:rsidP="00E47679">
            <w:pPr>
              <w:rPr>
                <w:rFonts w:ascii="Arial Narrow" w:hAnsi="Arial Narrow"/>
                <w:sz w:val="20"/>
              </w:rPr>
            </w:pPr>
          </w:p>
        </w:tc>
        <w:tc>
          <w:tcPr>
            <w:tcW w:w="1984" w:type="dxa"/>
            <w:tcBorders>
              <w:top w:val="single" w:sz="4" w:space="0" w:color="auto"/>
              <w:bottom w:val="single" w:sz="4" w:space="0" w:color="auto"/>
            </w:tcBorders>
            <w:vAlign w:val="center"/>
          </w:tcPr>
          <w:p w:rsidR="00173093" w:rsidRPr="00FF044C" w:rsidRDefault="00173093" w:rsidP="00E47679">
            <w:pPr>
              <w:jc w:val="center"/>
              <w:rPr>
                <w:rFonts w:ascii="Arial Narrow" w:hAnsi="Arial Narrow"/>
                <w:sz w:val="20"/>
              </w:rPr>
            </w:pPr>
          </w:p>
        </w:tc>
        <w:tc>
          <w:tcPr>
            <w:tcW w:w="1763" w:type="dxa"/>
            <w:tcBorders>
              <w:bottom w:val="single" w:sz="4" w:space="0" w:color="auto"/>
            </w:tcBorders>
            <w:vAlign w:val="center"/>
          </w:tcPr>
          <w:p w:rsidR="00173093" w:rsidRPr="00FF044C" w:rsidRDefault="00173093" w:rsidP="00E47679">
            <w:pPr>
              <w:jc w:val="center"/>
              <w:rPr>
                <w:rFonts w:ascii="Arial Narrow" w:hAnsi="Arial Narrow"/>
                <w:sz w:val="20"/>
              </w:rPr>
            </w:pPr>
          </w:p>
        </w:tc>
      </w:tr>
      <w:tr w:rsidR="00173093" w:rsidRPr="00FF044C" w:rsidTr="00E47679">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3093" w:rsidRPr="00FF044C" w:rsidRDefault="00173093" w:rsidP="00E47679">
            <w:pPr>
              <w:jc w:val="center"/>
              <w:rPr>
                <w:rFonts w:ascii="Arial Narrow" w:hAnsi="Arial Narrow"/>
                <w:b/>
                <w:sz w:val="20"/>
              </w:rPr>
            </w:pPr>
            <w:r w:rsidRPr="00FF044C">
              <w:rPr>
                <w:rFonts w:ascii="Arial Narrow" w:hAnsi="Arial Narrow"/>
                <w:b/>
                <w:sz w:val="20"/>
              </w:rPr>
              <w:t>Second-line treatment</w:t>
            </w:r>
          </w:p>
        </w:tc>
        <w:tc>
          <w:tcPr>
            <w:tcW w:w="2835" w:type="dxa"/>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center"/>
              <w:rPr>
                <w:rFonts w:ascii="Arial Narrow" w:hAnsi="Arial Narrow"/>
                <w:sz w:val="20"/>
              </w:rPr>
            </w:pPr>
            <w:r w:rsidRPr="00FF044C">
              <w:rPr>
                <w:rFonts w:ascii="Arial Narrow" w:hAnsi="Arial Narrow"/>
                <w:sz w:val="20"/>
              </w:rPr>
              <w:t>Combination chemotherapy ± RT</w:t>
            </w:r>
          </w:p>
          <w:p w:rsidR="00173093" w:rsidRPr="00FF044C" w:rsidRDefault="00173093" w:rsidP="00E47679">
            <w:pPr>
              <w:jc w:val="center"/>
              <w:rPr>
                <w:rFonts w:ascii="Arial Narrow" w:hAnsi="Arial Narrow"/>
                <w:sz w:val="20"/>
              </w:rPr>
            </w:pPr>
            <w:r w:rsidRPr="00FF044C">
              <w:rPr>
                <w:rFonts w:ascii="Arial Narrow" w:hAnsi="Arial Narrow"/>
                <w:sz w:val="20"/>
              </w:rPr>
              <w:t>(e.g., DHAP, ICE, GVD)</w:t>
            </w:r>
          </w:p>
        </w:tc>
        <w:tc>
          <w:tcPr>
            <w:tcW w:w="567" w:type="dxa"/>
            <w:tcBorders>
              <w:left w:val="single" w:sz="4" w:space="0" w:color="auto"/>
              <w:right w:val="single" w:sz="4" w:space="0" w:color="auto"/>
            </w:tcBorders>
          </w:tcPr>
          <w:p w:rsidR="00173093" w:rsidRPr="00FF044C" w:rsidRDefault="00173093" w:rsidP="00E47679">
            <w:pPr>
              <w:rPr>
                <w:rFonts w:ascii="Arial Narrow" w:hAnsi="Arial Narrow"/>
                <w:sz w:val="20"/>
              </w:rPr>
            </w:pPr>
            <w:r w:rsidRPr="00FF044C">
              <w:rPr>
                <w:rFonts w:ascii="Arial Narrow" w:hAnsi="Arial Narrow"/>
                <w:noProof/>
                <w:sz w:val="20"/>
                <w:lang w:eastAsia="en-AU"/>
              </w:rPr>
              <mc:AlternateContent>
                <mc:Choice Requires="wps">
                  <w:drawing>
                    <wp:inline distT="0" distB="0" distL="0" distR="0" wp14:anchorId="618A35AD" wp14:editId="0E3A0FA2">
                      <wp:extent cx="379095" cy="0"/>
                      <wp:effectExtent l="0" t="76200" r="20955" b="114300"/>
                      <wp:docPr id="13" name="Straight Arrow Connector 13" title="Connector"/>
                      <wp:cNvGraphicFramePr/>
                      <a:graphic xmlns:a="http://schemas.openxmlformats.org/drawingml/2006/main">
                        <a:graphicData uri="http://schemas.microsoft.com/office/word/2010/wordprocessingShape">
                          <wps:wsp>
                            <wps:cNvCnPr/>
                            <wps:spPr>
                              <a:xfrm>
                                <a:off x="0" y="0"/>
                                <a:ext cx="379095" cy="0"/>
                              </a:xfrm>
                              <a:prstGeom prst="straightConnector1">
                                <a:avLst/>
                              </a:prstGeom>
                              <a:noFill/>
                              <a:ln w="22225" cap="flat" cmpd="sng" algn="ctr">
                                <a:solidFill>
                                  <a:sysClr val="windowText" lastClr="000000"/>
                                </a:solidFill>
                                <a:prstDash val="solid"/>
                                <a:tailEnd type="arrow"/>
                              </a:ln>
                              <a:effectLst/>
                            </wps:spPr>
                            <wps:bodyPr/>
                          </wps:wsp>
                        </a:graphicData>
                      </a:graphic>
                    </wp:inline>
                  </w:drawing>
                </mc:Choice>
                <mc:Fallback>
                  <w:pict>
                    <v:shape id="Straight Arrow Connector 13" o:spid="_x0000_s1026" type="#_x0000_t32" alt="Title: Connector" style="width:29.8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" strokecolor="windowText" strokeweight="1.75pt">
                      <v:stroke endarrow="open"/>
                      <w10:anchorlock/>
                    </v:shape>
                  </w:pict>
                </mc:Fallback>
              </mc:AlternateContent>
            </w:r>
          </w:p>
        </w:tc>
        <w:tc>
          <w:tcPr>
            <w:tcW w:w="1984" w:type="dxa"/>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jc w:val="center"/>
              <w:rPr>
                <w:rFonts w:ascii="Arial Narrow" w:hAnsi="Arial Narrow"/>
                <w:sz w:val="20"/>
              </w:rPr>
            </w:pPr>
            <w:r w:rsidRPr="00FF044C">
              <w:rPr>
                <w:rFonts w:ascii="Arial Narrow" w:hAnsi="Arial Narrow"/>
                <w:sz w:val="20"/>
              </w:rPr>
              <w:t>~30% ineligible for ASCT</w:t>
            </w:r>
          </w:p>
        </w:tc>
        <w:tc>
          <w:tcPr>
            <w:tcW w:w="176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173093" w:rsidRPr="00FF044C" w:rsidRDefault="00173093" w:rsidP="00E47679">
            <w:pPr>
              <w:jc w:val="left"/>
              <w:rPr>
                <w:rFonts w:ascii="Arial Narrow" w:hAnsi="Arial Narrow"/>
                <w:sz w:val="20"/>
              </w:rPr>
            </w:pPr>
            <w:r w:rsidRPr="00FF044C">
              <w:rPr>
                <w:rFonts w:ascii="Arial Narrow" w:hAnsi="Arial Narrow"/>
                <w:b/>
                <w:sz w:val="20"/>
              </w:rPr>
              <w:t>PBAC item 6.01: ASCT naïve</w:t>
            </w:r>
          </w:p>
        </w:tc>
      </w:tr>
      <w:tr w:rsidR="00173093" w:rsidRPr="00FF044C" w:rsidTr="00E47679">
        <w:tc>
          <w:tcPr>
            <w:tcW w:w="1276" w:type="dxa"/>
            <w:tcBorders>
              <w:top w:val="single" w:sz="4" w:space="0" w:color="auto"/>
              <w:bottom w:val="single" w:sz="4" w:space="0" w:color="auto"/>
            </w:tcBorders>
            <w:vAlign w:val="center"/>
          </w:tcPr>
          <w:p w:rsidR="00173093" w:rsidRPr="00FF044C" w:rsidRDefault="00173093" w:rsidP="00E47679">
            <w:pPr>
              <w:jc w:val="center"/>
              <w:rPr>
                <w:rFonts w:ascii="Arial Narrow" w:hAnsi="Arial Narrow"/>
                <w:b/>
                <w:sz w:val="20"/>
              </w:rPr>
            </w:pPr>
          </w:p>
        </w:tc>
        <w:tc>
          <w:tcPr>
            <w:tcW w:w="2835" w:type="dxa"/>
            <w:tcBorders>
              <w:top w:val="single" w:sz="4" w:space="0" w:color="auto"/>
              <w:bottom w:val="single" w:sz="4" w:space="0" w:color="auto"/>
            </w:tcBorders>
          </w:tcPr>
          <w:p w:rsidR="00173093" w:rsidRPr="00FF044C" w:rsidRDefault="00C9228B" w:rsidP="00E47679">
            <w:pPr>
              <w:jc w:val="left"/>
              <w:rPr>
                <w:rFonts w:ascii="Arial Narrow" w:hAnsi="Arial Narrow"/>
                <w:i/>
                <w:sz w:val="20"/>
              </w:rPr>
            </w:pPr>
            <w:r w:rsidRPr="00FF044C">
              <w:rPr>
                <w:rFonts w:ascii="Arial Narrow" w:hAnsi="Arial Narrow"/>
                <w:i/>
                <w:noProof/>
                <w:sz w:val="20"/>
                <w:lang w:eastAsia="en-AU"/>
              </w:rPr>
              <mc:AlternateContent>
                <mc:Choice Requires="wps">
                  <w:drawing>
                    <wp:anchor distT="0" distB="0" distL="114300" distR="114300" simplePos="0" relativeHeight="251668480" behindDoc="0" locked="0" layoutInCell="1" allowOverlap="1" wp14:anchorId="3FAECCFC" wp14:editId="2FFAAD8C">
                      <wp:simplePos x="0" y="0"/>
                      <wp:positionH relativeFrom="column">
                        <wp:posOffset>1067435</wp:posOffset>
                      </wp:positionH>
                      <wp:positionV relativeFrom="paragraph">
                        <wp:posOffset>-6824</wp:posOffset>
                      </wp:positionV>
                      <wp:extent cx="0" cy="281940"/>
                      <wp:effectExtent l="95250" t="0" r="57150" b="60960"/>
                      <wp:wrapNone/>
                      <wp:docPr id="11" name="Straight Arrow Connector 11" title="Connector"/>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222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11" o:spid="_x0000_s1026" type="#_x0000_t32" alt="Title: Connector" style="position:absolute;margin-left:84.05pt;margin-top:-.55pt;width:0;height:22.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" strokecolor="windowText" strokeweight="1.75pt">
                      <v:stroke endarrow="open"/>
                    </v:shape>
                  </w:pict>
                </mc:Fallback>
              </mc:AlternateContent>
            </w:r>
            <w:r w:rsidR="00173093" w:rsidRPr="00FF044C">
              <w:rPr>
                <w:rFonts w:ascii="Arial Narrow" w:hAnsi="Arial Narrow"/>
                <w:i/>
                <w:sz w:val="20"/>
              </w:rPr>
              <w:t>70% achieve</w:t>
            </w:r>
          </w:p>
          <w:p w:rsidR="00173093" w:rsidRPr="00FF044C" w:rsidRDefault="00173093" w:rsidP="00E47679">
            <w:pPr>
              <w:jc w:val="left"/>
              <w:rPr>
                <w:rFonts w:ascii="Arial Narrow" w:hAnsi="Arial Narrow"/>
                <w:sz w:val="20"/>
              </w:rPr>
            </w:pPr>
            <w:r w:rsidRPr="00FF044C">
              <w:rPr>
                <w:rFonts w:ascii="Arial Narrow" w:hAnsi="Arial Narrow"/>
                <w:i/>
                <w:sz w:val="20"/>
              </w:rPr>
              <w:t>CR or PR</w:t>
            </w:r>
          </w:p>
        </w:tc>
        <w:tc>
          <w:tcPr>
            <w:tcW w:w="567" w:type="dxa"/>
          </w:tcPr>
          <w:p w:rsidR="00173093" w:rsidRPr="00FF044C" w:rsidRDefault="00173093" w:rsidP="00E47679">
            <w:pPr>
              <w:rPr>
                <w:rFonts w:ascii="Arial Narrow" w:hAnsi="Arial Narrow"/>
                <w:sz w:val="20"/>
              </w:rPr>
            </w:pPr>
          </w:p>
        </w:tc>
        <w:tc>
          <w:tcPr>
            <w:tcW w:w="1984" w:type="dxa"/>
            <w:tcBorders>
              <w:top w:val="single" w:sz="4" w:space="0" w:color="auto"/>
              <w:bottom w:val="single" w:sz="4" w:space="0" w:color="auto"/>
            </w:tcBorders>
            <w:vAlign w:val="center"/>
          </w:tcPr>
          <w:p w:rsidR="00173093" w:rsidRPr="00FF044C" w:rsidRDefault="00173093" w:rsidP="00E47679">
            <w:pPr>
              <w:jc w:val="center"/>
              <w:rPr>
                <w:rFonts w:ascii="Arial Narrow" w:hAnsi="Arial Narrow"/>
                <w:sz w:val="20"/>
              </w:rPr>
            </w:pPr>
          </w:p>
        </w:tc>
        <w:tc>
          <w:tcPr>
            <w:tcW w:w="1763" w:type="dxa"/>
            <w:tcBorders>
              <w:top w:val="single" w:sz="4" w:space="0" w:color="auto"/>
              <w:bottom w:val="single" w:sz="4" w:space="0" w:color="auto"/>
            </w:tcBorders>
            <w:vAlign w:val="center"/>
          </w:tcPr>
          <w:p w:rsidR="00173093" w:rsidRPr="00FF044C" w:rsidRDefault="00173093" w:rsidP="00E47679">
            <w:pPr>
              <w:jc w:val="center"/>
              <w:rPr>
                <w:rFonts w:ascii="Arial Narrow" w:hAnsi="Arial Narrow"/>
                <w:sz w:val="20"/>
              </w:rPr>
            </w:pPr>
          </w:p>
        </w:tc>
      </w:tr>
      <w:tr w:rsidR="00173093" w:rsidRPr="00FF044C" w:rsidTr="00E47679">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3093" w:rsidRPr="00FF044C" w:rsidRDefault="00173093" w:rsidP="00E47679">
            <w:pPr>
              <w:jc w:val="center"/>
              <w:rPr>
                <w:rFonts w:ascii="Arial Narrow" w:hAnsi="Arial Narrow"/>
                <w:b/>
                <w:sz w:val="20"/>
              </w:rPr>
            </w:pPr>
            <w:r w:rsidRPr="00FF044C">
              <w:rPr>
                <w:rFonts w:ascii="Arial Narrow" w:hAnsi="Arial Narrow"/>
                <w:b/>
                <w:sz w:val="20"/>
              </w:rPr>
              <w:t>ASCT</w:t>
            </w:r>
          </w:p>
        </w:tc>
        <w:tc>
          <w:tcPr>
            <w:tcW w:w="2835" w:type="dxa"/>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center"/>
              <w:rPr>
                <w:rFonts w:ascii="Arial Narrow" w:hAnsi="Arial Narrow"/>
                <w:sz w:val="20"/>
              </w:rPr>
            </w:pPr>
            <w:r w:rsidRPr="00FF044C">
              <w:rPr>
                <w:rFonts w:ascii="Arial Narrow" w:hAnsi="Arial Narrow"/>
                <w:sz w:val="20"/>
              </w:rPr>
              <w:t>High dose chemotherapy</w:t>
            </w:r>
          </w:p>
          <w:p w:rsidR="00173093" w:rsidRPr="00FF044C" w:rsidRDefault="00173093" w:rsidP="00E47679">
            <w:pPr>
              <w:jc w:val="center"/>
              <w:rPr>
                <w:rFonts w:ascii="Arial Narrow" w:hAnsi="Arial Narrow"/>
                <w:sz w:val="20"/>
              </w:rPr>
            </w:pPr>
            <w:r w:rsidRPr="00FF044C">
              <w:rPr>
                <w:rFonts w:ascii="Arial Narrow" w:hAnsi="Arial Narrow"/>
                <w:sz w:val="20"/>
              </w:rPr>
              <w:t>&amp; ASCT</w:t>
            </w:r>
          </w:p>
        </w:tc>
        <w:tc>
          <w:tcPr>
            <w:tcW w:w="567" w:type="dxa"/>
            <w:tcBorders>
              <w:left w:val="single" w:sz="4" w:space="0" w:color="auto"/>
              <w:right w:val="single" w:sz="4" w:space="0" w:color="auto"/>
            </w:tcBorders>
          </w:tcPr>
          <w:p w:rsidR="00173093" w:rsidRPr="00FF044C" w:rsidRDefault="00173093" w:rsidP="00E47679">
            <w:pPr>
              <w:rPr>
                <w:rFonts w:ascii="Arial Narrow" w:hAnsi="Arial Narrow"/>
                <w:sz w:val="20"/>
              </w:rPr>
            </w:pPr>
            <w:r w:rsidRPr="00FF044C">
              <w:rPr>
                <w:rFonts w:ascii="Arial Narrow" w:hAnsi="Arial Narrow"/>
                <w:noProof/>
                <w:sz w:val="20"/>
                <w:lang w:eastAsia="en-AU"/>
              </w:rPr>
              <mc:AlternateContent>
                <mc:Choice Requires="wps">
                  <w:drawing>
                    <wp:inline distT="0" distB="0" distL="0" distR="0">
                      <wp:extent cx="378460" cy="0"/>
                      <wp:effectExtent l="0" t="76200" r="21590" b="114300"/>
                      <wp:docPr id="14" name="Straight Arrow Connector 14" title="Connector"/>
                      <wp:cNvGraphicFramePr/>
                      <a:graphic xmlns:a="http://schemas.openxmlformats.org/drawingml/2006/main">
                        <a:graphicData uri="http://schemas.microsoft.com/office/word/2010/wordprocessingShape">
                          <wps:wsp>
                            <wps:cNvCnPr/>
                            <wps:spPr>
                              <a:xfrm>
                                <a:off x="0" y="0"/>
                                <a:ext cx="378460" cy="0"/>
                              </a:xfrm>
                              <a:prstGeom prst="straightConnector1">
                                <a:avLst/>
                              </a:prstGeom>
                              <a:noFill/>
                              <a:ln w="22225" cap="flat" cmpd="sng" algn="ctr">
                                <a:solidFill>
                                  <a:sysClr val="windowText" lastClr="000000"/>
                                </a:solidFill>
                                <a:prstDash val="solid"/>
                                <a:tailEnd type="arrow"/>
                              </a:ln>
                              <a:effectLst/>
                            </wps:spPr>
                            <wps:bodyPr/>
                          </wps:wsp>
                        </a:graphicData>
                      </a:graphic>
                    </wp:inline>
                  </w:drawing>
                </mc:Choice>
                <mc:Fallback>
                  <w:pict>
                    <v:shape id="Straight Arrow Connector 14" o:spid="_x0000_s1026" type="#_x0000_t32" alt="Title: Connector" style="width:29.8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" strokecolor="windowText" strokeweight="1.75pt">
                      <v:stroke endarrow="open"/>
                      <w10:anchorlock/>
                    </v:shape>
                  </w:pict>
                </mc:Fallback>
              </mc:AlternateContent>
            </w:r>
          </w:p>
        </w:tc>
        <w:tc>
          <w:tcPr>
            <w:tcW w:w="1984" w:type="dxa"/>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jc w:val="center"/>
              <w:rPr>
                <w:rFonts w:ascii="Arial Narrow" w:hAnsi="Arial Narrow"/>
                <w:sz w:val="20"/>
              </w:rPr>
            </w:pPr>
            <w:r w:rsidRPr="00FF044C">
              <w:rPr>
                <w:rFonts w:ascii="Arial Narrow" w:hAnsi="Arial Narrow"/>
                <w:sz w:val="20"/>
              </w:rPr>
              <w:t>~65% progress or relapse</w:t>
            </w:r>
          </w:p>
        </w:tc>
        <w:tc>
          <w:tcPr>
            <w:tcW w:w="176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173093" w:rsidRPr="00FF044C" w:rsidRDefault="00173093" w:rsidP="00E47679">
            <w:pPr>
              <w:rPr>
                <w:rFonts w:ascii="Arial Narrow" w:hAnsi="Arial Narrow"/>
                <w:b/>
                <w:sz w:val="20"/>
              </w:rPr>
            </w:pPr>
            <w:r w:rsidRPr="00FF044C">
              <w:rPr>
                <w:rFonts w:ascii="Arial Narrow" w:hAnsi="Arial Narrow"/>
                <w:b/>
                <w:sz w:val="20"/>
              </w:rPr>
              <w:t>PBAC item 7.03:</w:t>
            </w:r>
          </w:p>
          <w:p w:rsidR="00173093" w:rsidRPr="00FF044C" w:rsidRDefault="00173093" w:rsidP="00E47679">
            <w:pPr>
              <w:rPr>
                <w:rFonts w:ascii="Arial Narrow" w:hAnsi="Arial Narrow"/>
                <w:b/>
                <w:sz w:val="20"/>
              </w:rPr>
            </w:pPr>
            <w:r w:rsidRPr="00FF044C">
              <w:rPr>
                <w:rFonts w:ascii="Arial Narrow" w:hAnsi="Arial Narrow"/>
                <w:b/>
                <w:sz w:val="20"/>
              </w:rPr>
              <w:t>Post ASCT</w:t>
            </w:r>
          </w:p>
        </w:tc>
      </w:tr>
    </w:tbl>
    <w:p w:rsidR="00173093" w:rsidRPr="00FF044C" w:rsidRDefault="00173093" w:rsidP="00173093">
      <w:pPr>
        <w:pStyle w:val="TableFooter"/>
        <w:ind w:left="720"/>
        <w:rPr>
          <w:szCs w:val="18"/>
        </w:rPr>
      </w:pPr>
      <w:r w:rsidRPr="00FF044C">
        <w:rPr>
          <w:szCs w:val="18"/>
        </w:rPr>
        <w:t>Source: Figure ES-1, pi of the submission</w:t>
      </w:r>
    </w:p>
    <w:p w:rsidR="00173093" w:rsidRPr="00FF044C" w:rsidRDefault="00173093" w:rsidP="00173093">
      <w:pPr>
        <w:pStyle w:val="TableFooter"/>
        <w:ind w:left="720"/>
        <w:rPr>
          <w:szCs w:val="18"/>
        </w:rPr>
      </w:pPr>
      <w:r w:rsidRPr="00FF044C">
        <w:rPr>
          <w:szCs w:val="18"/>
        </w:rPr>
        <w:t>ABVD = the combination of doxorubicin (Adriamycin) + bleomycin + vinblastine + dacarbazine; ASCT = autologous stem cell transplant; BEACOPP = the combination of bleomycin + etoposide + doxorubicin + cyclophosphamide + vincristine + procarbazine + prednisone; DHAP = the combination of cisplati</w:t>
      </w:r>
      <w:bookmarkStart w:id="10" w:name="_GoBack"/>
      <w:bookmarkEnd w:id="10"/>
      <w:r w:rsidRPr="00FF044C">
        <w:rPr>
          <w:szCs w:val="18"/>
        </w:rPr>
        <w:t xml:space="preserve">n + </w:t>
      </w:r>
      <w:proofErr w:type="spellStart"/>
      <w:r w:rsidRPr="00FF044C">
        <w:rPr>
          <w:szCs w:val="18"/>
        </w:rPr>
        <w:t>cytarabine</w:t>
      </w:r>
      <w:proofErr w:type="spellEnd"/>
      <w:r w:rsidRPr="00FF044C">
        <w:rPr>
          <w:szCs w:val="18"/>
        </w:rPr>
        <w:t xml:space="preserve"> + dexamethasone; GVD = the combination of gemcitabine + vinorelbine + doxorubicin; ICE = the combination of ifosfamide + carboplatin + etoposide; RT = Radiotherapy.</w:t>
      </w:r>
    </w:p>
    <w:p w:rsidR="0075545E" w:rsidRPr="00FF044C" w:rsidRDefault="0075545E" w:rsidP="0075545E">
      <w:pPr>
        <w:pStyle w:val="ListParagraph"/>
        <w:ind w:left="709"/>
        <w:rPr>
          <w:i/>
          <w:szCs w:val="22"/>
        </w:rPr>
      </w:pPr>
    </w:p>
    <w:p w:rsidR="0075545E" w:rsidRPr="00FF044C" w:rsidRDefault="0075545E" w:rsidP="0075545E">
      <w:pPr>
        <w:pStyle w:val="ListParagraph"/>
        <w:ind w:left="709"/>
        <w:rPr>
          <w:i/>
          <w:szCs w:val="22"/>
        </w:rPr>
      </w:pPr>
      <w:r w:rsidRPr="00FF044C">
        <w:rPr>
          <w:i/>
          <w:szCs w:val="22"/>
        </w:rPr>
        <w:t>For more detail on PBAC’s view, see section 7 “PBAC outcome”</w:t>
      </w:r>
    </w:p>
    <w:p w:rsidR="00173093" w:rsidRPr="00FF044C" w:rsidRDefault="00173093" w:rsidP="00173093">
      <w:pPr>
        <w:pStyle w:val="Header"/>
        <w:rPr>
          <w:szCs w:val="22"/>
        </w:rPr>
      </w:pPr>
    </w:p>
    <w:p w:rsidR="0075545E" w:rsidRPr="00FF044C" w:rsidRDefault="0075545E" w:rsidP="00173093">
      <w:pPr>
        <w:pStyle w:val="Header"/>
        <w:rPr>
          <w:szCs w:val="22"/>
        </w:rPr>
      </w:pPr>
    </w:p>
    <w:p w:rsidR="00173093" w:rsidRPr="00FF044C" w:rsidRDefault="00173093" w:rsidP="00EF24C4">
      <w:pPr>
        <w:pStyle w:val="PBACHeading1"/>
      </w:pPr>
      <w:bookmarkStart w:id="11" w:name="_Toc461617169"/>
      <w:r w:rsidRPr="00FF044C">
        <w:t>Comparator</w:t>
      </w:r>
      <w:bookmarkEnd w:id="11"/>
    </w:p>
    <w:p w:rsidR="00173093" w:rsidRPr="00FF044C" w:rsidRDefault="00173093" w:rsidP="00173093"/>
    <w:p w:rsidR="00173093" w:rsidRPr="00FF044C" w:rsidRDefault="00173093" w:rsidP="0075545E">
      <w:pPr>
        <w:pStyle w:val="ListParagraph"/>
        <w:widowControl/>
        <w:numPr>
          <w:ilvl w:val="1"/>
          <w:numId w:val="1"/>
        </w:numPr>
        <w:rPr>
          <w:i/>
          <w:szCs w:val="22"/>
        </w:rPr>
      </w:pPr>
      <w:r w:rsidRPr="00FF044C">
        <w:t xml:space="preserve">The submission did not nominate a </w:t>
      </w:r>
      <w:r w:rsidR="001B74D1" w:rsidRPr="00FF044C">
        <w:t xml:space="preserve">single </w:t>
      </w:r>
      <w:r w:rsidRPr="00FF044C">
        <w:t>main comparator as it argued that there was large variety of salvage treatm</w:t>
      </w:r>
      <w:r w:rsidR="001B74D1" w:rsidRPr="00FF044C">
        <w:t>ent options for this population</w:t>
      </w:r>
      <w:r w:rsidRPr="00FF044C">
        <w:t xml:space="preserve">. </w:t>
      </w:r>
      <w:r w:rsidR="001B74D1" w:rsidRPr="00FF044C">
        <w:t>T</w:t>
      </w:r>
      <w:r w:rsidRPr="00FF044C">
        <w:t>he evidence provided in the submission to support the clinical effectiveness and safety of salvage chemotherapy was mainly from studies evaluat</w:t>
      </w:r>
      <w:r w:rsidR="00015019">
        <w:t>ing gemcitabine-based regimens.</w:t>
      </w:r>
    </w:p>
    <w:p w:rsidR="0075545E" w:rsidRPr="00FF044C" w:rsidRDefault="0075545E" w:rsidP="0075545E">
      <w:pPr>
        <w:pStyle w:val="ListParagraph"/>
        <w:ind w:left="709"/>
        <w:rPr>
          <w:i/>
          <w:szCs w:val="22"/>
          <w:highlight w:val="yellow"/>
        </w:rPr>
      </w:pPr>
    </w:p>
    <w:p w:rsidR="0075545E" w:rsidRPr="00FF044C" w:rsidRDefault="0075545E" w:rsidP="0075545E">
      <w:pPr>
        <w:pStyle w:val="ListParagraph"/>
        <w:ind w:left="709"/>
        <w:rPr>
          <w:i/>
          <w:szCs w:val="22"/>
        </w:rPr>
      </w:pPr>
      <w:r w:rsidRPr="00FF044C">
        <w:rPr>
          <w:i/>
          <w:szCs w:val="22"/>
        </w:rPr>
        <w:t>For more detail on PBAC’s view, see section 7 “PBAC outcome”</w:t>
      </w:r>
    </w:p>
    <w:p w:rsidR="0075545E" w:rsidRPr="00FF044C" w:rsidRDefault="0075545E" w:rsidP="0075545E">
      <w:pPr>
        <w:pStyle w:val="ListParagraph"/>
        <w:widowControl/>
        <w:rPr>
          <w:i/>
          <w:szCs w:val="22"/>
        </w:rPr>
      </w:pPr>
    </w:p>
    <w:p w:rsidR="00173093" w:rsidRPr="00FF044C" w:rsidRDefault="00173093" w:rsidP="0073453F">
      <w:pPr>
        <w:pStyle w:val="ListParagraph"/>
        <w:widowControl/>
        <w:ind w:left="426"/>
      </w:pPr>
    </w:p>
    <w:p w:rsidR="00173093" w:rsidRPr="00FF044C" w:rsidRDefault="00173093" w:rsidP="00347F15">
      <w:pPr>
        <w:pStyle w:val="PBACHeading1"/>
        <w:keepNext/>
      </w:pPr>
      <w:bookmarkStart w:id="12" w:name="_Toc392858193"/>
      <w:bookmarkStart w:id="13" w:name="_Toc461617170"/>
      <w:r w:rsidRPr="00FF044C">
        <w:lastRenderedPageBreak/>
        <w:t>Consideration of the evidence</w:t>
      </w:r>
      <w:bookmarkEnd w:id="12"/>
      <w:bookmarkEnd w:id="13"/>
    </w:p>
    <w:p w:rsidR="00173093" w:rsidRPr="00FF044C" w:rsidRDefault="00173093" w:rsidP="00347F15">
      <w:pPr>
        <w:keepNext/>
      </w:pPr>
    </w:p>
    <w:p w:rsidR="0075545E" w:rsidRPr="00FF044C" w:rsidRDefault="0075545E" w:rsidP="00AB01FD">
      <w:pPr>
        <w:pStyle w:val="Heading2"/>
        <w:keepNext/>
        <w:rPr>
          <w:i/>
        </w:rPr>
      </w:pPr>
      <w:bookmarkStart w:id="14" w:name="_Toc392858194"/>
      <w:bookmarkStart w:id="15" w:name="_Toc461617171"/>
      <w:r w:rsidRPr="00FF044C">
        <w:rPr>
          <w:i/>
        </w:rPr>
        <w:t>Sponsor hearing</w:t>
      </w:r>
    </w:p>
    <w:p w:rsidR="00DF57B7" w:rsidRPr="00FF044C" w:rsidRDefault="00DF57B7" w:rsidP="00DF57B7"/>
    <w:p w:rsidR="00E41422" w:rsidRPr="00FF044C" w:rsidRDefault="00E41422" w:rsidP="00E41422">
      <w:pPr>
        <w:numPr>
          <w:ilvl w:val="1"/>
          <w:numId w:val="1"/>
        </w:numPr>
        <w:contextualSpacing/>
        <w:rPr>
          <w:bCs/>
          <w:szCs w:val="22"/>
        </w:rPr>
      </w:pPr>
      <w:r w:rsidRPr="00FF044C">
        <w:rPr>
          <w:bCs/>
          <w:szCs w:val="22"/>
        </w:rPr>
        <w:t xml:space="preserve">The sponsor requested a hearing for this item.  At the hearing, a haematologist presented clinical case studies to </w:t>
      </w:r>
      <w:r w:rsidR="00904EAB" w:rsidRPr="00FF044C">
        <w:rPr>
          <w:bCs/>
          <w:szCs w:val="22"/>
        </w:rPr>
        <w:t>support</w:t>
      </w:r>
      <w:r w:rsidRPr="00FF044C">
        <w:rPr>
          <w:bCs/>
          <w:szCs w:val="22"/>
        </w:rPr>
        <w:t xml:space="preserve"> the effectiveness of brentuximab vedotin in providing a ‘bridge to transplant’ for younger patients while providing palliative benefit to the older </w:t>
      </w:r>
      <w:r w:rsidR="00AB01FD" w:rsidRPr="00FF044C">
        <w:rPr>
          <w:bCs/>
          <w:szCs w:val="22"/>
        </w:rPr>
        <w:t xml:space="preserve">ASCT naïve </w:t>
      </w:r>
      <w:r w:rsidRPr="00FF044C">
        <w:rPr>
          <w:bCs/>
          <w:szCs w:val="22"/>
        </w:rPr>
        <w:t>HL population, and addressed other matters in response to the Committee’s questions.  The PBAC considered that the hearing was informative as it provided a clinical perspective on the benefits of brentuximab vedotin to different patient populations with relapsed HL.</w:t>
      </w:r>
    </w:p>
    <w:p w:rsidR="0075545E" w:rsidRPr="00FF044C" w:rsidRDefault="0075545E" w:rsidP="0075545E">
      <w:pPr>
        <w:rPr>
          <w:bCs/>
          <w:szCs w:val="22"/>
          <w:highlight w:val="yellow"/>
        </w:rPr>
      </w:pPr>
    </w:p>
    <w:p w:rsidR="0075545E" w:rsidRPr="00FF044C" w:rsidRDefault="0075545E" w:rsidP="00AB01FD">
      <w:pPr>
        <w:pStyle w:val="Heading2"/>
        <w:keepNext/>
        <w:rPr>
          <w:i/>
        </w:rPr>
      </w:pPr>
      <w:r w:rsidRPr="00FF044C">
        <w:rPr>
          <w:i/>
        </w:rPr>
        <w:t>Consumer comments</w:t>
      </w:r>
    </w:p>
    <w:p w:rsidR="00DF57B7" w:rsidRPr="00FF044C" w:rsidRDefault="00DF57B7" w:rsidP="00DF57B7"/>
    <w:p w:rsidR="00E00B17" w:rsidRPr="00FF044C" w:rsidRDefault="00E00B17" w:rsidP="00E00B17">
      <w:pPr>
        <w:numPr>
          <w:ilvl w:val="1"/>
          <w:numId w:val="1"/>
        </w:numPr>
        <w:contextualSpacing/>
        <w:rPr>
          <w:bCs/>
          <w:szCs w:val="22"/>
        </w:rPr>
      </w:pPr>
      <w:r w:rsidRPr="00FF044C">
        <w:rPr>
          <w:bCs/>
          <w:szCs w:val="22"/>
        </w:rPr>
        <w:t>The PBAC noted and welcomed the input from individuals (4), health professionals (2) and organisations (3) via the Consumer Comments facility on the PBS website.  The comments highlighted the tolerability of brentuximab vedotin in heavily pre-treated patients and its particular benefit as a bridging agent to stem cell transplant.</w:t>
      </w:r>
    </w:p>
    <w:p w:rsidR="00E00B17" w:rsidRPr="00FF044C" w:rsidRDefault="00E00B17" w:rsidP="00E00B17">
      <w:pPr>
        <w:contextualSpacing/>
        <w:rPr>
          <w:bCs/>
          <w:szCs w:val="22"/>
        </w:rPr>
      </w:pPr>
    </w:p>
    <w:p w:rsidR="00E00B17" w:rsidRPr="00FF044C" w:rsidRDefault="00E00B17" w:rsidP="00E00B17">
      <w:pPr>
        <w:numPr>
          <w:ilvl w:val="1"/>
          <w:numId w:val="1"/>
        </w:numPr>
        <w:contextualSpacing/>
        <w:rPr>
          <w:bCs/>
          <w:szCs w:val="22"/>
        </w:rPr>
      </w:pPr>
      <w:r w:rsidRPr="00FF044C">
        <w:rPr>
          <w:bCs/>
          <w:szCs w:val="22"/>
        </w:rPr>
        <w:t xml:space="preserve">The PBAC noted advice from the Leukaemia Foundation that brentuximab vedotin is well tolerated and provides an improved quality of life to patients with </w:t>
      </w:r>
      <w:r w:rsidR="008F4BA4" w:rsidRPr="00FF044C">
        <w:rPr>
          <w:bCs/>
          <w:szCs w:val="22"/>
        </w:rPr>
        <w:t>Hodgkin lymphoma</w:t>
      </w:r>
      <w:r w:rsidRPr="00FF044C">
        <w:rPr>
          <w:bCs/>
          <w:szCs w:val="22"/>
        </w:rPr>
        <w:t xml:space="preserve">. The PBAC specifically noted a comment from Lymphoma Australia emphasizing the benefit of brentuximab vedotin, especially in younger patients with refractory disease where it </w:t>
      </w:r>
      <w:r w:rsidR="00625954" w:rsidRPr="00FF044C">
        <w:rPr>
          <w:bCs/>
          <w:szCs w:val="22"/>
        </w:rPr>
        <w:t>can serve</w:t>
      </w:r>
      <w:r w:rsidRPr="00FF044C">
        <w:rPr>
          <w:bCs/>
          <w:szCs w:val="22"/>
        </w:rPr>
        <w:t xml:space="preserve"> as a bridge to transplant. The PBAC also noted Rare Cancer Australia’s support for PBS listing of brentuximab vedotin. The PBAC </w:t>
      </w:r>
      <w:r w:rsidR="00AA309F" w:rsidRPr="00FF044C">
        <w:rPr>
          <w:bCs/>
          <w:szCs w:val="22"/>
        </w:rPr>
        <w:t>considered</w:t>
      </w:r>
      <w:r w:rsidRPr="00FF044C">
        <w:rPr>
          <w:bCs/>
          <w:szCs w:val="22"/>
        </w:rPr>
        <w:t xml:space="preserve"> that this advice </w:t>
      </w:r>
      <w:r w:rsidR="00E41422" w:rsidRPr="00FF044C">
        <w:rPr>
          <w:bCs/>
          <w:szCs w:val="22"/>
        </w:rPr>
        <w:t>was</w:t>
      </w:r>
      <w:r w:rsidRPr="00FF044C">
        <w:rPr>
          <w:bCs/>
          <w:szCs w:val="22"/>
        </w:rPr>
        <w:t xml:space="preserve"> </w:t>
      </w:r>
      <w:r w:rsidR="00C57CAC" w:rsidRPr="00FF044C">
        <w:rPr>
          <w:bCs/>
          <w:szCs w:val="22"/>
        </w:rPr>
        <w:t xml:space="preserve">supportive </w:t>
      </w:r>
      <w:r w:rsidRPr="00FF044C">
        <w:rPr>
          <w:bCs/>
          <w:szCs w:val="22"/>
        </w:rPr>
        <w:t>of the evidence provided in the submission.</w:t>
      </w:r>
    </w:p>
    <w:p w:rsidR="00DA7EAB" w:rsidRPr="00FF044C" w:rsidRDefault="00DA7EAB" w:rsidP="00DA7EAB"/>
    <w:p w:rsidR="00173093" w:rsidRPr="00FF044C" w:rsidRDefault="00173093" w:rsidP="00347F15">
      <w:pPr>
        <w:pStyle w:val="Heading2"/>
        <w:keepNext/>
        <w:rPr>
          <w:i/>
        </w:rPr>
      </w:pPr>
      <w:r w:rsidRPr="00FF044C">
        <w:rPr>
          <w:i/>
        </w:rPr>
        <w:t>Clinical trials</w:t>
      </w:r>
      <w:bookmarkEnd w:id="14"/>
      <w:bookmarkEnd w:id="15"/>
    </w:p>
    <w:p w:rsidR="00173093" w:rsidRPr="00FF044C" w:rsidRDefault="00173093" w:rsidP="00347F15">
      <w:pPr>
        <w:keepNext/>
        <w:rPr>
          <w:szCs w:val="22"/>
        </w:rPr>
      </w:pPr>
    </w:p>
    <w:p w:rsidR="00173093" w:rsidRPr="00FF044C" w:rsidRDefault="00173093" w:rsidP="0075545E">
      <w:pPr>
        <w:pStyle w:val="ListParagraph"/>
        <w:keepNext/>
        <w:widowControl/>
        <w:numPr>
          <w:ilvl w:val="1"/>
          <w:numId w:val="1"/>
        </w:numPr>
      </w:pPr>
      <w:r w:rsidRPr="00FF044C">
        <w:t>The submission was based on a naïve comparison of brentuximab vedotin versus salvage chemotherapy using the following evidence:</w:t>
      </w:r>
    </w:p>
    <w:p w:rsidR="00173093" w:rsidRPr="00FF044C" w:rsidRDefault="00173093" w:rsidP="00173093">
      <w:pPr>
        <w:ind w:firstLine="720"/>
        <w:rPr>
          <w:u w:val="single"/>
        </w:rPr>
      </w:pPr>
      <w:r w:rsidRPr="00FF044C">
        <w:rPr>
          <w:u w:val="single"/>
        </w:rPr>
        <w:t>Brentuximab vedotin (7 studies; N=3</w:t>
      </w:r>
      <w:r w:rsidR="00AC2F30" w:rsidRPr="00FF044C">
        <w:rPr>
          <w:u w:val="single"/>
        </w:rPr>
        <w:t>75</w:t>
      </w:r>
      <w:r w:rsidRPr="00FF044C">
        <w:rPr>
          <w:u w:val="single"/>
        </w:rPr>
        <w:t>)</w:t>
      </w:r>
    </w:p>
    <w:p w:rsidR="00173093" w:rsidRPr="00FF044C" w:rsidRDefault="00173093" w:rsidP="0075545E">
      <w:pPr>
        <w:pStyle w:val="ListParagraph"/>
        <w:numPr>
          <w:ilvl w:val="0"/>
          <w:numId w:val="2"/>
        </w:numPr>
        <w:ind w:left="1080"/>
      </w:pPr>
      <w:r w:rsidRPr="00FF044C">
        <w:t xml:space="preserve">One </w:t>
      </w:r>
      <w:r w:rsidRPr="00FF044C">
        <w:rPr>
          <w:i/>
        </w:rPr>
        <w:t>post-hoc</w:t>
      </w:r>
      <w:r w:rsidRPr="00FF044C">
        <w:t xml:space="preserve"> analysis of a case series (the Millennium Report) which included data from Phase I studies (SG035-0001, SG035-0002, SGN35-007, TB-BC010088) as well as data from th</w:t>
      </w:r>
      <w:r w:rsidR="00015019">
        <w:t>e Global Named Patient Program.</w:t>
      </w:r>
    </w:p>
    <w:p w:rsidR="00173093" w:rsidRPr="00FF044C" w:rsidRDefault="00173093" w:rsidP="0075545E">
      <w:pPr>
        <w:pStyle w:val="ListParagraph"/>
        <w:numPr>
          <w:ilvl w:val="0"/>
          <w:numId w:val="2"/>
        </w:numPr>
        <w:ind w:left="1080"/>
      </w:pPr>
      <w:r w:rsidRPr="00FF044C">
        <w:t>Six retrospective observational studies (</w:t>
      </w:r>
      <w:r w:rsidR="006C2CF1" w:rsidRPr="00FF044C">
        <w:t>Bröckelmann</w:t>
      </w:r>
      <w:r w:rsidRPr="00FF044C">
        <w:t xml:space="preserve"> 2016; Zinzani 2015; Sasse 2013; Viviani 2015; Onishi 2015; Gibb 2013).</w:t>
      </w:r>
    </w:p>
    <w:p w:rsidR="00122EBE" w:rsidRPr="00FF044C" w:rsidRDefault="00173093" w:rsidP="001411FF">
      <w:pPr>
        <w:ind w:left="720"/>
      </w:pPr>
      <w:r w:rsidRPr="00FF044C">
        <w:t xml:space="preserve">The submission </w:t>
      </w:r>
      <w:r w:rsidR="001411FF" w:rsidRPr="00FF044C">
        <w:t xml:space="preserve">also </w:t>
      </w:r>
      <w:r w:rsidRPr="00FF044C">
        <w:t>presented the baseline patient characteristics of the ongoing Phase 4 single-arm study, C25007</w:t>
      </w:r>
      <w:r w:rsidR="001411FF" w:rsidRPr="00FF044C">
        <w:t xml:space="preserve"> (n=60)</w:t>
      </w:r>
      <w:r w:rsidRPr="00FF044C">
        <w:t xml:space="preserve">. </w:t>
      </w:r>
      <w:r w:rsidR="00122EBE" w:rsidRPr="00FF044C">
        <w:t>The results of Study C25007</w:t>
      </w:r>
      <w:r w:rsidR="001411FF" w:rsidRPr="00FF044C">
        <w:t xml:space="preserve"> </w:t>
      </w:r>
      <w:r w:rsidR="00122EBE" w:rsidRPr="00FF044C">
        <w:t xml:space="preserve">were provided during evaluation and </w:t>
      </w:r>
      <w:r w:rsidR="00B50221" w:rsidRPr="00FF044C">
        <w:t>were incorporated into the analysis where possible.</w:t>
      </w:r>
    </w:p>
    <w:p w:rsidR="00173093" w:rsidRPr="00FF044C" w:rsidRDefault="00173093" w:rsidP="00173093"/>
    <w:p w:rsidR="00173093" w:rsidRPr="00FF044C" w:rsidRDefault="00173093" w:rsidP="00173093">
      <w:pPr>
        <w:ind w:firstLine="720"/>
      </w:pPr>
      <w:r w:rsidRPr="00FF044C">
        <w:rPr>
          <w:u w:val="single"/>
        </w:rPr>
        <w:t>Salvage chemotherapy</w:t>
      </w:r>
      <w:r w:rsidRPr="00FF044C">
        <w:t xml:space="preserve"> (5 studies; N=155):</w:t>
      </w:r>
    </w:p>
    <w:p w:rsidR="00173093" w:rsidRPr="00FF044C" w:rsidRDefault="00173093" w:rsidP="0075545E">
      <w:pPr>
        <w:pStyle w:val="ListParagraph"/>
        <w:numPr>
          <w:ilvl w:val="0"/>
          <w:numId w:val="2"/>
        </w:numPr>
        <w:ind w:left="1080"/>
      </w:pPr>
      <w:r w:rsidRPr="00FF044C">
        <w:t>Four prospective single-arm Phase II studies of gemcitabine as a single agent or in combination with other chemotherapies (Santoro 2000; Venkatesh 2004; Oki 2008; Zinzani 2000); and</w:t>
      </w:r>
    </w:p>
    <w:p w:rsidR="00173093" w:rsidRPr="00FF044C" w:rsidRDefault="00173093" w:rsidP="0075545E">
      <w:pPr>
        <w:pStyle w:val="ListParagraph"/>
        <w:numPr>
          <w:ilvl w:val="0"/>
          <w:numId w:val="2"/>
        </w:numPr>
        <w:ind w:left="1080"/>
      </w:pPr>
      <w:r w:rsidRPr="00FF044C">
        <w:t>One retrospective observational study of gemcitabine as a single agent (Validire 2008).</w:t>
      </w:r>
    </w:p>
    <w:p w:rsidR="00173093" w:rsidRPr="00FF044C" w:rsidRDefault="00173093" w:rsidP="003E63F1">
      <w:pPr>
        <w:pStyle w:val="ListParagraph"/>
        <w:widowControl/>
        <w:ind w:left="426"/>
      </w:pPr>
    </w:p>
    <w:p w:rsidR="00173093" w:rsidRPr="00FF044C" w:rsidRDefault="00173093" w:rsidP="0075545E">
      <w:pPr>
        <w:pStyle w:val="ListParagraph"/>
        <w:widowControl/>
        <w:numPr>
          <w:ilvl w:val="1"/>
          <w:numId w:val="1"/>
        </w:numPr>
        <w:rPr>
          <w:szCs w:val="22"/>
        </w:rPr>
      </w:pPr>
      <w:r w:rsidRPr="00FF044C">
        <w:rPr>
          <w:szCs w:val="22"/>
        </w:rPr>
        <w:t>Details of the trials presented in the submission are provided in the table below.</w:t>
      </w:r>
    </w:p>
    <w:p w:rsidR="00173093" w:rsidRPr="00FF044C" w:rsidRDefault="00173093" w:rsidP="003E63F1">
      <w:pPr>
        <w:pStyle w:val="ListParagraph"/>
        <w:widowControl/>
        <w:ind w:left="426"/>
      </w:pPr>
    </w:p>
    <w:p w:rsidR="00173093" w:rsidRPr="00FF044C" w:rsidRDefault="00173093" w:rsidP="00474E8E">
      <w:pPr>
        <w:ind w:firstLine="720"/>
        <w:rPr>
          <w:rStyle w:val="CommentReference"/>
          <w:b w:val="0"/>
        </w:rPr>
      </w:pPr>
      <w:r w:rsidRPr="00FF044C">
        <w:rPr>
          <w:rStyle w:val="CommentReference"/>
        </w:rPr>
        <w:lastRenderedPageBreak/>
        <w:t>Table 1: List of studies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4112"/>
        <w:gridCol w:w="2551"/>
      </w:tblGrid>
      <w:tr w:rsidR="00173093" w:rsidRPr="00FF044C" w:rsidTr="00E47679">
        <w:trPr>
          <w:cantSplit/>
          <w:tblHeader/>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Heading"/>
              <w:keepNext w:val="0"/>
              <w:widowControl w:val="0"/>
              <w:spacing w:before="0" w:after="0"/>
              <w:rPr>
                <w:rFonts w:cs="Arial"/>
                <w:lang w:eastAsia="en-AU"/>
              </w:rPr>
            </w:pPr>
            <w:r w:rsidRPr="00FF044C">
              <w:rPr>
                <w:rFonts w:cs="Arial"/>
                <w:lang w:eastAsia="en-AU"/>
              </w:rPr>
              <w:t>Study</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Heading"/>
              <w:keepNext w:val="0"/>
              <w:widowControl w:val="0"/>
              <w:spacing w:before="0" w:after="0"/>
              <w:jc w:val="center"/>
              <w:rPr>
                <w:rFonts w:cs="Arial"/>
                <w:lang w:eastAsia="en-AU"/>
              </w:rPr>
            </w:pPr>
            <w:r w:rsidRPr="00FF044C">
              <w:t>Protocol title/ Publication title</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Heading"/>
              <w:keepNext w:val="0"/>
              <w:widowControl w:val="0"/>
              <w:spacing w:before="0" w:after="0"/>
              <w:jc w:val="center"/>
              <w:rPr>
                <w:rFonts w:cs="Arial"/>
                <w:lang w:eastAsia="en-AU"/>
              </w:rPr>
            </w:pPr>
            <w:r w:rsidRPr="00FF044C">
              <w:t>Publication citation</w:t>
            </w:r>
          </w:p>
        </w:tc>
      </w:tr>
      <w:tr w:rsidR="00173093" w:rsidRPr="00FF044C" w:rsidTr="00E47679">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b/>
                <w:iCs/>
                <w:lang w:eastAsia="en-AU"/>
              </w:rPr>
            </w:pPr>
            <w:r w:rsidRPr="00FF044C">
              <w:rPr>
                <w:rFonts w:cs="Arial"/>
                <w:b/>
                <w:iCs/>
                <w:lang w:eastAsia="en-AU"/>
              </w:rPr>
              <w:t>Brentuximab vedotin</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Millennium report 2012</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Case series report: brentuximab vedotin in patients with relapsed or refractory Hodgkin lymphoma who have not received prior autologous stem cell transplantation.</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Millenium Pharmaceuticals November 2012</w:t>
            </w:r>
          </w:p>
          <w:p w:rsidR="00173093" w:rsidRPr="00FF044C" w:rsidRDefault="00173093" w:rsidP="00E47679">
            <w:pPr>
              <w:jc w:val="left"/>
              <w:rPr>
                <w:rFonts w:ascii="Arial Narrow" w:hAnsi="Arial Narrow"/>
                <w:b/>
                <w:sz w:val="20"/>
              </w:rPr>
            </w:pP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6C2CF1" w:rsidP="00E47679">
            <w:pPr>
              <w:jc w:val="left"/>
              <w:rPr>
                <w:rFonts w:ascii="Arial Narrow" w:hAnsi="Arial Narrow"/>
                <w:sz w:val="20"/>
              </w:rPr>
            </w:pPr>
            <w:r w:rsidRPr="00FF044C">
              <w:rPr>
                <w:rFonts w:ascii="Arial Narrow" w:hAnsi="Arial Narrow"/>
                <w:sz w:val="20"/>
              </w:rPr>
              <w:t>Bröckelmann</w:t>
            </w:r>
            <w:r w:rsidR="00173093" w:rsidRPr="00FF044C">
              <w:rPr>
                <w:rFonts w:ascii="Arial Narrow" w:hAnsi="Arial Narrow"/>
                <w:sz w:val="20"/>
              </w:rPr>
              <w:t xml:space="preserve"> 2016</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6C2CF1" w:rsidP="00E47679">
            <w:pPr>
              <w:jc w:val="left"/>
              <w:rPr>
                <w:rFonts w:ascii="Arial Narrow" w:hAnsi="Arial Narrow"/>
                <w:sz w:val="20"/>
              </w:rPr>
            </w:pPr>
            <w:r w:rsidRPr="00FF044C">
              <w:rPr>
                <w:rFonts w:ascii="Arial Narrow" w:hAnsi="Arial Narrow"/>
                <w:sz w:val="20"/>
              </w:rPr>
              <w:t>Bröckelmann</w:t>
            </w:r>
            <w:r w:rsidR="00173093" w:rsidRPr="00FF044C">
              <w:rPr>
                <w:rFonts w:ascii="Arial Narrow" w:hAnsi="Arial Narrow"/>
                <w:sz w:val="20"/>
              </w:rPr>
              <w:t xml:space="preserve"> PJ, Zagadailov EA, Corman S et al. Brentuximab vedotin (BV) in patients who are ineligible for autologous stem cell transplant  (ASCT) with relapsed or refractory Hodgkin lymphoma (RRHL): a UK and Germany retrospective study.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Poster presented at European Hematology Association 21st Congress, Copenhagen, Denmark 9-12 June 2016.  </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Gibb 2013</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Gibb A, Jones C, Bloor A, et al. Brentuximab vedotin in refractory CD30+ lymphomas: a bridge to allogeneic transplantation in approximately one quarter of patients treated on a Named Patient Program at a single UK centre.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i/>
                <w:sz w:val="20"/>
              </w:rPr>
              <w:t>Haematol</w:t>
            </w:r>
            <w:r w:rsidRPr="00FF044C">
              <w:rPr>
                <w:rFonts w:ascii="Arial Narrow" w:hAnsi="Arial Narrow"/>
                <w:sz w:val="20"/>
              </w:rPr>
              <w:t xml:space="preserve"> 2013;98(4):611–614</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Onishi 2015</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Onishi M, Solomon G, Holmberg L et al. Brentuximab vedotin administered to platinum refractory transplant naive hodgkin lymphoma patients can increase the proportion achieving FDG PET negative status.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i/>
                <w:sz w:val="20"/>
              </w:rPr>
              <w:t>Hematol Oncol</w:t>
            </w:r>
            <w:r w:rsidRPr="00FF044C">
              <w:rPr>
                <w:rFonts w:ascii="Arial Narrow" w:hAnsi="Arial Narrow"/>
                <w:sz w:val="20"/>
              </w:rPr>
              <w:t xml:space="preserve"> 2015; 33(4): 187-191</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Sasse 2013</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Sasse S, Rothe A, Goergen H, et al. Brentuximab Vedotin (SGN-35) in patients with transplant-naïve relapsed/refractory Hodgkin Lymphoma.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i/>
                <w:sz w:val="20"/>
              </w:rPr>
              <w:t>Leuk Lymphoma</w:t>
            </w:r>
            <w:r w:rsidRPr="00FF044C">
              <w:rPr>
                <w:rFonts w:ascii="Arial Narrow" w:hAnsi="Arial Narrow"/>
                <w:sz w:val="20"/>
              </w:rPr>
              <w:t xml:space="preserve"> 2013; 54 (10):2144–148.</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Viviani 2015</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Viviani S, Guidetti A, Dalto S, et al. Brentuximab vedotin (BV) an effective treatment for transplant ineligible patients with relapsed/refractory (R/R) hodgkin lymphoma (HL).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Haematologica Conference: 20th Congress of the European Hematology Association Vienna Austria Conference Start: 20150611 Conference End: 20150614 Conference Publication: (var </w:t>
            </w:r>
            <w:proofErr w:type="spellStart"/>
            <w:r w:rsidRPr="00FF044C">
              <w:rPr>
                <w:rFonts w:ascii="Arial Narrow" w:hAnsi="Arial Narrow"/>
                <w:sz w:val="20"/>
              </w:rPr>
              <w:t>pagings</w:t>
            </w:r>
            <w:proofErr w:type="spellEnd"/>
            <w:r w:rsidRPr="00FF044C">
              <w:rPr>
                <w:rFonts w:ascii="Arial Narrow" w:hAnsi="Arial Narrow"/>
                <w:sz w:val="20"/>
              </w:rPr>
              <w:t>) 2015; 100(pp 455-456): 22</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Zinzani 2015</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Zinzani PL, Pellegrini C, Cantonetti M et al. Brentuximab vedotin in transplant naïve relapsed/refractory Hodgkin lymphoma: experience in 30 patients.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i/>
                <w:sz w:val="20"/>
              </w:rPr>
              <w:t>The Oncologist</w:t>
            </w:r>
            <w:r w:rsidRPr="00FF044C">
              <w:rPr>
                <w:rFonts w:ascii="Arial Narrow" w:hAnsi="Arial Narrow"/>
                <w:sz w:val="20"/>
              </w:rPr>
              <w:t xml:space="preserve"> 2015; 20 (12): 1413-1416.</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C25007</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 xml:space="preserve">Clinical study protocol C25007. A single-arm study of brentuximab vedotin in patients with relapsed or refractory Hodgkin lymphoma who are not suitable for stem cell transplantation or </w:t>
            </w:r>
            <w:proofErr w:type="spellStart"/>
            <w:r w:rsidRPr="00FF044C">
              <w:rPr>
                <w:rFonts w:ascii="Arial Narrow" w:hAnsi="Arial Narrow"/>
                <w:sz w:val="20"/>
              </w:rPr>
              <w:t>multiagent</w:t>
            </w:r>
            <w:proofErr w:type="spellEnd"/>
            <w:r w:rsidRPr="00FF044C">
              <w:rPr>
                <w:rFonts w:ascii="Arial Narrow" w:hAnsi="Arial Narrow"/>
                <w:sz w:val="20"/>
              </w:rPr>
              <w:t xml:space="preserve"> chemotherapy.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jc w:val="left"/>
              <w:rPr>
                <w:rFonts w:ascii="Arial Narrow" w:hAnsi="Arial Narrow"/>
                <w:sz w:val="20"/>
              </w:rPr>
            </w:pPr>
            <w:r w:rsidRPr="00FF044C">
              <w:rPr>
                <w:rFonts w:ascii="Arial Narrow" w:hAnsi="Arial Narrow"/>
                <w:sz w:val="20"/>
              </w:rPr>
              <w:t>Millenium Pharmaceuticals July 2013.</w:t>
            </w:r>
          </w:p>
        </w:tc>
      </w:tr>
      <w:tr w:rsidR="00173093" w:rsidRPr="00FF044C" w:rsidTr="00E47679">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b/>
                <w:bCs/>
                <w:lang w:eastAsia="en-AU"/>
              </w:rPr>
            </w:pPr>
            <w:r w:rsidRPr="00FF044C">
              <w:rPr>
                <w:rFonts w:cs="Arial"/>
                <w:b/>
                <w:bCs/>
                <w:lang w:eastAsia="en-AU"/>
              </w:rPr>
              <w:t>Salvage chemotherapy</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lang w:eastAsia="en-AU"/>
              </w:rPr>
            </w:pPr>
            <w:r w:rsidRPr="00FF044C">
              <w:rPr>
                <w:rFonts w:cs="Arial"/>
                <w:lang w:eastAsia="en-AU"/>
              </w:rPr>
              <w:t>Oki 2008</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t xml:space="preserve">Oki Y, Pro B, </w:t>
            </w:r>
            <w:proofErr w:type="spellStart"/>
            <w:r w:rsidRPr="00FF044C">
              <w:t>Fayad</w:t>
            </w:r>
            <w:proofErr w:type="spellEnd"/>
            <w:r w:rsidRPr="00FF044C">
              <w:t xml:space="preserve"> LE et al. Phase 2 study of gemcitabine in combination with rituximab in patients with recurrent or refractory Hodgkin lymphoma.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i/>
              </w:rPr>
              <w:t>Cancer</w:t>
            </w:r>
            <w:r w:rsidRPr="00FF044C">
              <w:t xml:space="preserve"> 2008; 112 (4): 831-836.</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lang w:eastAsia="en-AU"/>
              </w:rPr>
            </w:pPr>
            <w:r w:rsidRPr="00FF044C">
              <w:t>Santoro 2000</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rFonts w:cs="Arial"/>
                <w:lang w:eastAsia="en-AU"/>
              </w:rPr>
              <w:t xml:space="preserve">Santoro A, </w:t>
            </w:r>
            <w:proofErr w:type="spellStart"/>
            <w:r w:rsidRPr="00FF044C">
              <w:rPr>
                <w:rFonts w:cs="Arial"/>
                <w:lang w:eastAsia="en-AU"/>
              </w:rPr>
              <w:t>Bredenfeld</w:t>
            </w:r>
            <w:proofErr w:type="spellEnd"/>
            <w:r w:rsidRPr="00FF044C">
              <w:rPr>
                <w:rFonts w:cs="Arial"/>
                <w:lang w:eastAsia="en-AU"/>
              </w:rPr>
              <w:t xml:space="preserve"> H, </w:t>
            </w:r>
            <w:proofErr w:type="spellStart"/>
            <w:proofErr w:type="gramStart"/>
            <w:r w:rsidRPr="00FF044C">
              <w:rPr>
                <w:rFonts w:cs="Arial"/>
                <w:lang w:eastAsia="en-AU"/>
              </w:rPr>
              <w:t>Devizzi</w:t>
            </w:r>
            <w:proofErr w:type="spellEnd"/>
            <w:r w:rsidRPr="00FF044C">
              <w:rPr>
                <w:rFonts w:cs="Arial"/>
                <w:lang w:eastAsia="en-AU"/>
              </w:rPr>
              <w:t xml:space="preserve"> L et al. Gemcitabine in the treatment of refractory Hodgkin’s</w:t>
            </w:r>
            <w:proofErr w:type="gramEnd"/>
            <w:r w:rsidRPr="00FF044C">
              <w:rPr>
                <w:rFonts w:cs="Arial"/>
                <w:lang w:eastAsia="en-AU"/>
              </w:rPr>
              <w:t xml:space="preserve"> disease: results of a multicenter phase II study.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rFonts w:cs="Arial"/>
                <w:i/>
                <w:lang w:eastAsia="en-AU"/>
              </w:rPr>
              <w:t>Journal of Clinical Oncology</w:t>
            </w:r>
            <w:r w:rsidRPr="00FF044C">
              <w:rPr>
                <w:rFonts w:cs="Arial"/>
                <w:lang w:eastAsia="en-AU"/>
              </w:rPr>
              <w:t xml:space="preserve"> 2000; 18 (13): 2615-2619.</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lang w:eastAsia="en-AU"/>
              </w:rPr>
            </w:pPr>
            <w:r w:rsidRPr="00FF044C">
              <w:t>Validire 2008</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proofErr w:type="spellStart"/>
            <w:r w:rsidRPr="00FF044C">
              <w:t>Validire</w:t>
            </w:r>
            <w:proofErr w:type="spellEnd"/>
            <w:r w:rsidRPr="00FF044C">
              <w:t xml:space="preserve"> P, </w:t>
            </w:r>
            <w:proofErr w:type="spellStart"/>
            <w:r w:rsidRPr="00FF044C">
              <w:t>Ferme</w:t>
            </w:r>
            <w:proofErr w:type="spellEnd"/>
            <w:r w:rsidRPr="00FF044C">
              <w:t xml:space="preserve"> C, Brice P et al. A multicentre study of gemcitabine-containing regimen in relapsed or refractory Hodgkin’s lymphoma patients.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i/>
              </w:rPr>
              <w:t>Anti-Cancer Drugs</w:t>
            </w:r>
            <w:r w:rsidRPr="00FF044C">
              <w:t xml:space="preserve"> 2008; 18: 309-315</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lang w:eastAsia="en-AU"/>
              </w:rPr>
            </w:pPr>
            <w:r w:rsidRPr="00FF044C">
              <w:t>Venkatesh 2004</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t xml:space="preserve">Venkatesh H, Di Bella N, Flynn TP et al. Results of a phase II multicenter trial of single-agent gemcitabine in patients with relapsed or chemotherapy-refractory Hodgkin’s Lymphoma.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i/>
              </w:rPr>
              <w:t>Clinical Lymphoma</w:t>
            </w:r>
            <w:r w:rsidRPr="00FF044C">
              <w:t xml:space="preserve"> 2004; 5 (2): 110-115.   </w:t>
            </w:r>
          </w:p>
        </w:tc>
      </w:tr>
      <w:tr w:rsidR="00173093" w:rsidRPr="00FF044C" w:rsidTr="00E47679">
        <w:trPr>
          <w:cantSplit/>
        </w:trPr>
        <w:tc>
          <w:tcPr>
            <w:tcW w:w="1017"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pStyle w:val="TableText0"/>
              <w:keepNext w:val="0"/>
              <w:widowControl w:val="0"/>
              <w:spacing w:before="0" w:after="0"/>
              <w:rPr>
                <w:rFonts w:cs="Arial"/>
                <w:lang w:eastAsia="en-AU"/>
              </w:rPr>
            </w:pPr>
            <w:r w:rsidRPr="00FF044C">
              <w:lastRenderedPageBreak/>
              <w:t>Zinzani 2000</w:t>
            </w:r>
          </w:p>
        </w:tc>
        <w:tc>
          <w:tcPr>
            <w:tcW w:w="2458"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proofErr w:type="spellStart"/>
            <w:r w:rsidRPr="00FF044C">
              <w:t>Zinzani</w:t>
            </w:r>
            <w:proofErr w:type="spellEnd"/>
            <w:r w:rsidRPr="00FF044C">
              <w:t xml:space="preserve"> PL, </w:t>
            </w:r>
            <w:proofErr w:type="spellStart"/>
            <w:r w:rsidRPr="00FF044C">
              <w:t>Bendandi</w:t>
            </w:r>
            <w:proofErr w:type="spellEnd"/>
            <w:r w:rsidRPr="00FF044C">
              <w:t xml:space="preserve"> M, </w:t>
            </w:r>
            <w:proofErr w:type="spellStart"/>
            <w:r w:rsidRPr="00FF044C">
              <w:t>Stefoni</w:t>
            </w:r>
            <w:proofErr w:type="spellEnd"/>
            <w:r w:rsidRPr="00FF044C">
              <w:t xml:space="preserve"> V et al. Value of gemcitabine treatment in heavily </w:t>
            </w:r>
            <w:proofErr w:type="spellStart"/>
            <w:r w:rsidRPr="00FF044C">
              <w:t>pretreated</w:t>
            </w:r>
            <w:proofErr w:type="spellEnd"/>
            <w:r w:rsidRPr="00FF044C">
              <w:t xml:space="preserve"> Hodgkin’s disease patients. </w:t>
            </w:r>
          </w:p>
        </w:tc>
        <w:tc>
          <w:tcPr>
            <w:tcW w:w="1525" w:type="pct"/>
            <w:tcBorders>
              <w:top w:val="single" w:sz="4" w:space="0" w:color="auto"/>
              <w:left w:val="single" w:sz="4" w:space="0" w:color="auto"/>
              <w:bottom w:val="single" w:sz="4" w:space="0" w:color="auto"/>
              <w:right w:val="single" w:sz="4" w:space="0" w:color="auto"/>
            </w:tcBorders>
          </w:tcPr>
          <w:p w:rsidR="00173093" w:rsidRPr="00FF044C" w:rsidRDefault="00173093" w:rsidP="00E47679">
            <w:pPr>
              <w:pStyle w:val="TableText0"/>
              <w:keepNext w:val="0"/>
              <w:widowControl w:val="0"/>
              <w:spacing w:before="0" w:after="0"/>
              <w:rPr>
                <w:rFonts w:cs="Arial"/>
                <w:lang w:eastAsia="en-AU"/>
              </w:rPr>
            </w:pPr>
            <w:r w:rsidRPr="00FF044C">
              <w:rPr>
                <w:i/>
              </w:rPr>
              <w:t>Haematologica</w:t>
            </w:r>
            <w:r w:rsidRPr="00FF044C">
              <w:t xml:space="preserve"> 2000; 85: 926-929.</w:t>
            </w:r>
          </w:p>
        </w:tc>
      </w:tr>
    </w:tbl>
    <w:p w:rsidR="00173093" w:rsidRPr="00FF044C" w:rsidRDefault="00173093" w:rsidP="00173093">
      <w:pPr>
        <w:ind w:left="720"/>
        <w:rPr>
          <w:rStyle w:val="CommentReference"/>
          <w:b w:val="0"/>
          <w:sz w:val="18"/>
          <w:szCs w:val="18"/>
        </w:rPr>
      </w:pPr>
      <w:r w:rsidRPr="00FF044C">
        <w:rPr>
          <w:rStyle w:val="CommentReference"/>
          <w:b w:val="0"/>
          <w:sz w:val="18"/>
          <w:szCs w:val="18"/>
        </w:rPr>
        <w:t>Source: Table B.2.3, pp30-33 of the submission</w:t>
      </w:r>
    </w:p>
    <w:p w:rsidR="00173093" w:rsidRPr="00FF044C" w:rsidRDefault="00173093" w:rsidP="00173093">
      <w:pPr>
        <w:pStyle w:val="TableFooter"/>
        <w:ind w:left="720"/>
        <w:rPr>
          <w:rStyle w:val="CommentReference"/>
          <w:b w:val="0"/>
          <w:sz w:val="18"/>
          <w:szCs w:val="18"/>
        </w:rPr>
      </w:pPr>
      <w:r w:rsidRPr="00FF044C">
        <w:t>ASCT = Autologous stem cell transplant</w:t>
      </w:r>
      <w:r w:rsidRPr="00FF044C">
        <w:rPr>
          <w:rStyle w:val="CommentReference"/>
          <w:b w:val="0"/>
          <w:sz w:val="18"/>
          <w:szCs w:val="18"/>
        </w:rPr>
        <w:t xml:space="preserve">; FDG = </w:t>
      </w:r>
      <w:proofErr w:type="spellStart"/>
      <w:r w:rsidRPr="00FF044C">
        <w:rPr>
          <w:rStyle w:val="CommentReference"/>
          <w:b w:val="0"/>
          <w:sz w:val="18"/>
          <w:szCs w:val="18"/>
        </w:rPr>
        <w:t>flurodeoxyglucose</w:t>
      </w:r>
      <w:proofErr w:type="spellEnd"/>
      <w:r w:rsidRPr="00FF044C">
        <w:rPr>
          <w:rStyle w:val="CommentReference"/>
          <w:b w:val="0"/>
          <w:sz w:val="18"/>
          <w:szCs w:val="18"/>
        </w:rPr>
        <w:t>; PET = positron emission tomography</w:t>
      </w:r>
    </w:p>
    <w:p w:rsidR="00173093" w:rsidRPr="00FF044C" w:rsidRDefault="00173093" w:rsidP="00415DAD">
      <w:pPr>
        <w:pStyle w:val="ListParagraph"/>
        <w:widowControl/>
        <w:ind w:left="426"/>
      </w:pPr>
    </w:p>
    <w:p w:rsidR="00173093" w:rsidRPr="00FF044C" w:rsidRDefault="00173093" w:rsidP="0075545E">
      <w:pPr>
        <w:pStyle w:val="ListParagraph"/>
        <w:widowControl/>
        <w:numPr>
          <w:ilvl w:val="1"/>
          <w:numId w:val="1"/>
        </w:numPr>
        <w:rPr>
          <w:szCs w:val="22"/>
        </w:rPr>
      </w:pPr>
      <w:r w:rsidRPr="00FF044C">
        <w:rPr>
          <w:szCs w:val="22"/>
        </w:rPr>
        <w:t>The key features of the evidence used in the naïve comparison are summarised in Table 2.</w:t>
      </w:r>
    </w:p>
    <w:p w:rsidR="00173093" w:rsidRPr="00FF044C" w:rsidRDefault="00173093" w:rsidP="004454A0">
      <w:pPr>
        <w:widowControl/>
        <w:jc w:val="left"/>
      </w:pPr>
    </w:p>
    <w:p w:rsidR="00173093" w:rsidRPr="00FF044C" w:rsidRDefault="00173093" w:rsidP="00F04B1D">
      <w:pPr>
        <w:ind w:left="720"/>
      </w:pPr>
      <w:r w:rsidRPr="00FF044C">
        <w:rPr>
          <w:rStyle w:val="CommentReference"/>
        </w:rPr>
        <w:t>Table 2: Key features of the included evidence – naïve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3"/>
        <w:gridCol w:w="412"/>
        <w:gridCol w:w="12"/>
        <w:gridCol w:w="1683"/>
        <w:gridCol w:w="442"/>
        <w:gridCol w:w="1420"/>
        <w:gridCol w:w="2268"/>
        <w:gridCol w:w="994"/>
      </w:tblGrid>
      <w:tr w:rsidR="00F04B1D" w:rsidRPr="00FF044C" w:rsidTr="00C45098">
        <w:trPr>
          <w:trHeight w:val="20"/>
          <w:tblHeader/>
        </w:trPr>
        <w:tc>
          <w:tcPr>
            <w:tcW w:w="678" w:type="pct"/>
            <w:shd w:val="clear" w:color="auto" w:fill="auto"/>
          </w:tcPr>
          <w:p w:rsidR="00173093" w:rsidRPr="00FF044C" w:rsidRDefault="00173093" w:rsidP="00F04B1D">
            <w:pPr>
              <w:pStyle w:val="Tabletext"/>
              <w:keepNext/>
              <w:rPr>
                <w:b/>
              </w:rPr>
            </w:pPr>
            <w:r w:rsidRPr="00FF044C">
              <w:rPr>
                <w:b/>
              </w:rPr>
              <w:t>Study</w:t>
            </w:r>
          </w:p>
        </w:tc>
        <w:tc>
          <w:tcPr>
            <w:tcW w:w="253" w:type="pct"/>
            <w:gridSpan w:val="2"/>
            <w:shd w:val="clear" w:color="auto" w:fill="auto"/>
          </w:tcPr>
          <w:p w:rsidR="00173093" w:rsidRPr="00FF044C" w:rsidRDefault="00173093" w:rsidP="00F04B1D">
            <w:pPr>
              <w:pStyle w:val="Tabletext"/>
              <w:keepNext/>
              <w:rPr>
                <w:b/>
              </w:rPr>
            </w:pPr>
            <w:r w:rsidRPr="00FF044C">
              <w:rPr>
                <w:b/>
              </w:rPr>
              <w:t>N</w:t>
            </w:r>
          </w:p>
        </w:tc>
        <w:tc>
          <w:tcPr>
            <w:tcW w:w="1006" w:type="pct"/>
            <w:shd w:val="clear" w:color="auto" w:fill="auto"/>
          </w:tcPr>
          <w:p w:rsidR="00173093" w:rsidRPr="00FF044C" w:rsidRDefault="00173093" w:rsidP="00F04B1D">
            <w:pPr>
              <w:pStyle w:val="Tabletext"/>
              <w:keepNext/>
              <w:rPr>
                <w:b/>
              </w:rPr>
            </w:pPr>
            <w:r w:rsidRPr="00FF044C">
              <w:rPr>
                <w:b/>
              </w:rPr>
              <w:t>Design/ median follow-up or study period</w:t>
            </w:r>
          </w:p>
        </w:tc>
        <w:tc>
          <w:tcPr>
            <w:tcW w:w="264" w:type="pct"/>
            <w:shd w:val="clear" w:color="auto" w:fill="auto"/>
          </w:tcPr>
          <w:p w:rsidR="00173093" w:rsidRPr="00FF044C" w:rsidRDefault="00173093" w:rsidP="00F04B1D">
            <w:pPr>
              <w:pStyle w:val="Tabletext"/>
              <w:keepNext/>
              <w:rPr>
                <w:b/>
              </w:rPr>
            </w:pPr>
            <w:r w:rsidRPr="00FF044C">
              <w:rPr>
                <w:b/>
              </w:rPr>
              <w:t>Risk of bias</w:t>
            </w:r>
          </w:p>
        </w:tc>
        <w:tc>
          <w:tcPr>
            <w:tcW w:w="849" w:type="pct"/>
            <w:shd w:val="clear" w:color="auto" w:fill="auto"/>
          </w:tcPr>
          <w:p w:rsidR="00173093" w:rsidRPr="00FF044C" w:rsidRDefault="00173093" w:rsidP="00F04B1D">
            <w:pPr>
              <w:pStyle w:val="Tabletext"/>
              <w:keepNext/>
              <w:rPr>
                <w:b/>
              </w:rPr>
            </w:pPr>
            <w:r w:rsidRPr="00FF044C">
              <w:rPr>
                <w:b/>
              </w:rPr>
              <w:t>Patient population</w:t>
            </w:r>
          </w:p>
        </w:tc>
        <w:tc>
          <w:tcPr>
            <w:tcW w:w="1356" w:type="pct"/>
            <w:shd w:val="clear" w:color="auto" w:fill="auto"/>
          </w:tcPr>
          <w:p w:rsidR="00173093" w:rsidRPr="00FF044C" w:rsidRDefault="00173093" w:rsidP="00F04B1D">
            <w:pPr>
              <w:pStyle w:val="Tabletext"/>
              <w:keepNext/>
              <w:rPr>
                <w:b/>
              </w:rPr>
            </w:pPr>
            <w:r w:rsidRPr="00FF044C">
              <w:rPr>
                <w:b/>
              </w:rPr>
              <w:t>Outcomes</w:t>
            </w:r>
          </w:p>
        </w:tc>
        <w:tc>
          <w:tcPr>
            <w:tcW w:w="593" w:type="pct"/>
            <w:shd w:val="clear" w:color="auto" w:fill="auto"/>
          </w:tcPr>
          <w:p w:rsidR="00173093" w:rsidRPr="00FF044C" w:rsidRDefault="00173093" w:rsidP="00F04B1D">
            <w:pPr>
              <w:pStyle w:val="Tabletext"/>
              <w:keepNext/>
              <w:rPr>
                <w:b/>
              </w:rPr>
            </w:pPr>
            <w:r w:rsidRPr="00FF044C">
              <w:rPr>
                <w:b/>
              </w:rPr>
              <w:t>Use in economic evaluation</w:t>
            </w:r>
          </w:p>
        </w:tc>
      </w:tr>
      <w:tr w:rsidR="00173093" w:rsidRPr="00FF044C" w:rsidTr="00347F15">
        <w:trPr>
          <w:trHeight w:val="56"/>
        </w:trPr>
        <w:tc>
          <w:tcPr>
            <w:tcW w:w="5000" w:type="pct"/>
            <w:gridSpan w:val="8"/>
            <w:shd w:val="clear" w:color="auto" w:fill="auto"/>
          </w:tcPr>
          <w:p w:rsidR="00173093" w:rsidRPr="00FF044C" w:rsidRDefault="00173093" w:rsidP="00F04B1D">
            <w:pPr>
              <w:pStyle w:val="Tabletext"/>
              <w:widowControl w:val="0"/>
              <w:rPr>
                <w:b/>
              </w:rPr>
            </w:pPr>
            <w:r w:rsidRPr="00FF044C">
              <w:rPr>
                <w:b/>
              </w:rPr>
              <w:t>Brentuximab vedotin</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 xml:space="preserve">Millennium </w:t>
            </w:r>
            <w:r w:rsidR="00F04B1D" w:rsidRPr="00FF044C">
              <w:t>R</w:t>
            </w:r>
            <w:r w:rsidRPr="00FF044C">
              <w:t>eport 2012</w:t>
            </w:r>
          </w:p>
        </w:tc>
        <w:tc>
          <w:tcPr>
            <w:tcW w:w="253" w:type="pct"/>
            <w:gridSpan w:val="2"/>
            <w:shd w:val="clear" w:color="auto" w:fill="auto"/>
            <w:vAlign w:val="center"/>
          </w:tcPr>
          <w:p w:rsidR="00173093" w:rsidRPr="00FF044C" w:rsidRDefault="00173093" w:rsidP="00F04B1D">
            <w:pPr>
              <w:pStyle w:val="Tabletext"/>
              <w:widowControl w:val="0"/>
            </w:pPr>
            <w:r w:rsidRPr="00FF044C">
              <w:t>59</w:t>
            </w:r>
          </w:p>
        </w:tc>
        <w:tc>
          <w:tcPr>
            <w:tcW w:w="1006" w:type="pct"/>
            <w:shd w:val="clear" w:color="auto" w:fill="auto"/>
            <w:vAlign w:val="center"/>
          </w:tcPr>
          <w:p w:rsidR="00173093" w:rsidRPr="00FF044C" w:rsidRDefault="00173093" w:rsidP="00122EBE">
            <w:pPr>
              <w:pStyle w:val="Tabletext"/>
              <w:widowControl w:val="0"/>
              <w:rPr>
                <w:vertAlign w:val="superscript"/>
              </w:rPr>
            </w:pPr>
            <w:r w:rsidRPr="00FF044C">
              <w:rPr>
                <w:i/>
              </w:rPr>
              <w:t>Post-hoc</w:t>
            </w:r>
            <w:r w:rsidRPr="00FF044C">
              <w:t xml:space="preserve"> case series, single-arm</w:t>
            </w:r>
            <w:r w:rsidR="00122EBE" w:rsidRPr="00FF044C">
              <w:t>,</w:t>
            </w:r>
            <w:r w:rsidRPr="00FF044C">
              <w:t xml:space="preserve"> MC, NR</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ORR, CR, PR, patients proceeding to SCT</w:t>
            </w:r>
          </w:p>
        </w:tc>
        <w:tc>
          <w:tcPr>
            <w:tcW w:w="593" w:type="pct"/>
            <w:shd w:val="clear" w:color="auto" w:fill="auto"/>
            <w:vAlign w:val="center"/>
          </w:tcPr>
          <w:p w:rsidR="00173093" w:rsidRPr="00FF044C" w:rsidRDefault="00173093" w:rsidP="0085247A">
            <w:pPr>
              <w:pStyle w:val="Tabletext"/>
              <w:widowControl w:val="0"/>
            </w:pPr>
            <w:r w:rsidRPr="00FF044C">
              <w:t>Subgroup  (n=</w:t>
            </w:r>
            <w:r w:rsidR="0085247A" w:rsidRPr="00FF044C">
              <w:t>41</w:t>
            </w:r>
            <w:r w:rsidRPr="00FF044C">
              <w:t>)</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proofErr w:type="spellStart"/>
            <w:r w:rsidRPr="00FF044C">
              <w:t>Brocklemann</w:t>
            </w:r>
            <w:proofErr w:type="spellEnd"/>
            <w:r w:rsidRPr="00FF044C">
              <w:t xml:space="preserve"> 2016</w:t>
            </w:r>
          </w:p>
        </w:tc>
        <w:tc>
          <w:tcPr>
            <w:tcW w:w="253" w:type="pct"/>
            <w:gridSpan w:val="2"/>
            <w:shd w:val="clear" w:color="auto" w:fill="auto"/>
            <w:vAlign w:val="center"/>
          </w:tcPr>
          <w:p w:rsidR="00173093" w:rsidRPr="00FF044C" w:rsidRDefault="00173093" w:rsidP="00F04B1D">
            <w:pPr>
              <w:pStyle w:val="Tabletext"/>
              <w:widowControl w:val="0"/>
            </w:pPr>
            <w:r w:rsidRPr="00FF044C">
              <w:t>136</w:t>
            </w:r>
          </w:p>
        </w:tc>
        <w:tc>
          <w:tcPr>
            <w:tcW w:w="1006" w:type="pct"/>
            <w:shd w:val="clear" w:color="auto" w:fill="auto"/>
            <w:vAlign w:val="center"/>
          </w:tcPr>
          <w:p w:rsidR="00173093" w:rsidRPr="00FF044C" w:rsidRDefault="00173093" w:rsidP="00F04B1D">
            <w:pPr>
              <w:pStyle w:val="Tabletext"/>
              <w:widowControl w:val="0"/>
              <w:rPr>
                <w:vertAlign w:val="superscript"/>
              </w:rPr>
            </w:pPr>
            <w:r w:rsidRPr="00FF044C">
              <w:t>Retro, observational, MC, 38.5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PFS, OS, RR</w:t>
            </w:r>
          </w:p>
        </w:tc>
        <w:tc>
          <w:tcPr>
            <w:tcW w:w="593" w:type="pct"/>
            <w:shd w:val="clear" w:color="auto" w:fill="auto"/>
            <w:vAlign w:val="center"/>
          </w:tcPr>
          <w:p w:rsidR="00173093" w:rsidRPr="00FF044C" w:rsidRDefault="00173093" w:rsidP="00F04B1D">
            <w:pPr>
              <w:pStyle w:val="Tabletext"/>
              <w:widowControl w:val="0"/>
            </w:pPr>
            <w:r w:rsidRPr="00FF044C">
              <w:t>Used</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Zinzani 2015</w:t>
            </w:r>
          </w:p>
        </w:tc>
        <w:tc>
          <w:tcPr>
            <w:tcW w:w="253" w:type="pct"/>
            <w:gridSpan w:val="2"/>
            <w:shd w:val="clear" w:color="auto" w:fill="auto"/>
            <w:vAlign w:val="center"/>
          </w:tcPr>
          <w:p w:rsidR="00173093" w:rsidRPr="00FF044C" w:rsidRDefault="00173093" w:rsidP="00F04B1D">
            <w:pPr>
              <w:pStyle w:val="Tabletext"/>
              <w:widowControl w:val="0"/>
            </w:pPr>
            <w:r w:rsidRPr="00FF044C">
              <w:t>30</w:t>
            </w:r>
          </w:p>
        </w:tc>
        <w:tc>
          <w:tcPr>
            <w:tcW w:w="1006" w:type="pct"/>
            <w:shd w:val="clear" w:color="auto" w:fill="auto"/>
            <w:vAlign w:val="center"/>
          </w:tcPr>
          <w:p w:rsidR="00173093" w:rsidRPr="00FF044C" w:rsidRDefault="00173093" w:rsidP="00F04B1D">
            <w:pPr>
              <w:pStyle w:val="Tabletext"/>
              <w:widowControl w:val="0"/>
            </w:pPr>
            <w:r w:rsidRPr="00FF044C">
              <w:t>Retro, observational, MC,18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PFS, OS, RR, patients proceeding to SCT</w:t>
            </w:r>
          </w:p>
        </w:tc>
        <w:tc>
          <w:tcPr>
            <w:tcW w:w="593" w:type="pct"/>
            <w:shd w:val="clear" w:color="auto" w:fill="auto"/>
            <w:vAlign w:val="center"/>
          </w:tcPr>
          <w:p w:rsidR="00173093" w:rsidRPr="00FF044C" w:rsidRDefault="00173093" w:rsidP="00F04B1D">
            <w:pPr>
              <w:pStyle w:val="Tabletext"/>
              <w:widowControl w:val="0"/>
            </w:pPr>
            <w:r w:rsidRPr="00FF044C">
              <w:t>Used</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Sasse 2013</w:t>
            </w:r>
          </w:p>
        </w:tc>
        <w:tc>
          <w:tcPr>
            <w:tcW w:w="253" w:type="pct"/>
            <w:gridSpan w:val="2"/>
            <w:shd w:val="clear" w:color="auto" w:fill="auto"/>
            <w:vAlign w:val="center"/>
          </w:tcPr>
          <w:p w:rsidR="00173093" w:rsidRPr="00FF044C" w:rsidRDefault="00173093" w:rsidP="00F04B1D">
            <w:pPr>
              <w:pStyle w:val="Tabletext"/>
              <w:widowControl w:val="0"/>
            </w:pPr>
            <w:r w:rsidRPr="00FF044C">
              <w:t>14</w:t>
            </w:r>
          </w:p>
        </w:tc>
        <w:tc>
          <w:tcPr>
            <w:tcW w:w="1006" w:type="pct"/>
            <w:shd w:val="clear" w:color="auto" w:fill="auto"/>
            <w:vAlign w:val="center"/>
          </w:tcPr>
          <w:p w:rsidR="00173093" w:rsidRPr="00FF044C" w:rsidRDefault="00173093" w:rsidP="00F04B1D">
            <w:pPr>
              <w:pStyle w:val="Tabletext"/>
              <w:widowControl w:val="0"/>
            </w:pPr>
            <w:r w:rsidRPr="00FF044C">
              <w:t>Retro, observational, SC, NR</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122EBE">
            <w:pPr>
              <w:pStyle w:val="Tabletext"/>
              <w:widowControl w:val="0"/>
            </w:pPr>
            <w:r w:rsidRPr="00FF044C">
              <w:t>ORR, patients proceeding to SCT, PFS</w:t>
            </w:r>
            <w:r w:rsidR="00122EBE" w:rsidRPr="00FF044C">
              <w:t>,</w:t>
            </w:r>
            <w:r w:rsidRPr="00FF044C">
              <w:t xml:space="preserve"> OS</w:t>
            </w:r>
          </w:p>
        </w:tc>
        <w:tc>
          <w:tcPr>
            <w:tcW w:w="593" w:type="pct"/>
            <w:shd w:val="clear" w:color="auto" w:fill="auto"/>
            <w:vAlign w:val="center"/>
          </w:tcPr>
          <w:p w:rsidR="00173093" w:rsidRPr="00FF044C" w:rsidRDefault="00173093" w:rsidP="00F04B1D">
            <w:pPr>
              <w:pStyle w:val="Tabletext"/>
              <w:widowControl w:val="0"/>
            </w:pPr>
            <w:r w:rsidRPr="00FF044C">
              <w:t>Used</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Viviani 2015</w:t>
            </w:r>
          </w:p>
        </w:tc>
        <w:tc>
          <w:tcPr>
            <w:tcW w:w="253" w:type="pct"/>
            <w:gridSpan w:val="2"/>
            <w:shd w:val="clear" w:color="auto" w:fill="auto"/>
            <w:vAlign w:val="center"/>
          </w:tcPr>
          <w:p w:rsidR="00173093" w:rsidRPr="00FF044C" w:rsidRDefault="00173093" w:rsidP="00F04B1D">
            <w:pPr>
              <w:pStyle w:val="Tabletext"/>
              <w:widowControl w:val="0"/>
            </w:pPr>
            <w:r w:rsidRPr="00FF044C">
              <w:t>45</w:t>
            </w:r>
          </w:p>
        </w:tc>
        <w:tc>
          <w:tcPr>
            <w:tcW w:w="1006" w:type="pct"/>
            <w:shd w:val="clear" w:color="auto" w:fill="auto"/>
            <w:vAlign w:val="center"/>
          </w:tcPr>
          <w:p w:rsidR="00173093" w:rsidRPr="00FF044C" w:rsidRDefault="00173093" w:rsidP="00F04B1D">
            <w:pPr>
              <w:pStyle w:val="Tabletext"/>
              <w:widowControl w:val="0"/>
            </w:pPr>
            <w:r w:rsidRPr="00FF044C">
              <w:t>Retro, observational, MC,14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Patients proceeding to SCT PFS, OS</w:t>
            </w:r>
          </w:p>
        </w:tc>
        <w:tc>
          <w:tcPr>
            <w:tcW w:w="593" w:type="pct"/>
            <w:shd w:val="clear" w:color="auto" w:fill="auto"/>
            <w:vAlign w:val="center"/>
          </w:tcPr>
          <w:p w:rsidR="00173093" w:rsidRPr="00FF044C" w:rsidRDefault="00173093" w:rsidP="00F04B1D">
            <w:pPr>
              <w:pStyle w:val="Tabletext"/>
              <w:widowControl w:val="0"/>
            </w:pPr>
            <w:r w:rsidRPr="00FF044C">
              <w:t>Subgroup (n=20)</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Onishi 2015</w:t>
            </w:r>
          </w:p>
        </w:tc>
        <w:tc>
          <w:tcPr>
            <w:tcW w:w="253" w:type="pct"/>
            <w:gridSpan w:val="2"/>
            <w:shd w:val="clear" w:color="auto" w:fill="auto"/>
            <w:vAlign w:val="center"/>
          </w:tcPr>
          <w:p w:rsidR="00173093" w:rsidRPr="00FF044C" w:rsidRDefault="00173093" w:rsidP="00F04B1D">
            <w:pPr>
              <w:pStyle w:val="Tabletext"/>
              <w:widowControl w:val="0"/>
            </w:pPr>
            <w:r w:rsidRPr="00FF044C">
              <w:t>16</w:t>
            </w:r>
          </w:p>
        </w:tc>
        <w:tc>
          <w:tcPr>
            <w:tcW w:w="1006" w:type="pct"/>
            <w:shd w:val="clear" w:color="auto" w:fill="auto"/>
            <w:vAlign w:val="center"/>
          </w:tcPr>
          <w:p w:rsidR="00173093" w:rsidRPr="00FF044C" w:rsidRDefault="00173093" w:rsidP="00F04B1D">
            <w:pPr>
              <w:pStyle w:val="Tabletext"/>
              <w:widowControl w:val="0"/>
            </w:pPr>
            <w:r w:rsidRPr="00FF044C">
              <w:t>Retro, observational, MC,17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PFS, OS, RR, patients proceeding to SCT</w:t>
            </w:r>
          </w:p>
        </w:tc>
        <w:tc>
          <w:tcPr>
            <w:tcW w:w="593" w:type="pct"/>
            <w:shd w:val="clear" w:color="auto" w:fill="auto"/>
            <w:vAlign w:val="center"/>
          </w:tcPr>
          <w:p w:rsidR="00173093" w:rsidRPr="00FF044C" w:rsidRDefault="00173093" w:rsidP="00F04B1D">
            <w:pPr>
              <w:pStyle w:val="Tabletext"/>
              <w:widowControl w:val="0"/>
            </w:pPr>
            <w:r w:rsidRPr="00FF044C">
              <w:t>Subgroup (n=15)</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Gibb 2013</w:t>
            </w:r>
          </w:p>
        </w:tc>
        <w:tc>
          <w:tcPr>
            <w:tcW w:w="253" w:type="pct"/>
            <w:gridSpan w:val="2"/>
            <w:shd w:val="clear" w:color="auto" w:fill="auto"/>
            <w:vAlign w:val="center"/>
          </w:tcPr>
          <w:p w:rsidR="00173093" w:rsidRPr="00FF044C" w:rsidRDefault="00173093" w:rsidP="00F04B1D">
            <w:pPr>
              <w:pStyle w:val="Tabletext"/>
              <w:widowControl w:val="0"/>
            </w:pPr>
            <w:r w:rsidRPr="00FF044C">
              <w:t>75</w:t>
            </w:r>
          </w:p>
        </w:tc>
        <w:tc>
          <w:tcPr>
            <w:tcW w:w="1006" w:type="pct"/>
            <w:shd w:val="clear" w:color="auto" w:fill="auto"/>
            <w:vAlign w:val="center"/>
          </w:tcPr>
          <w:p w:rsidR="00173093" w:rsidRPr="00FF044C" w:rsidRDefault="00173093" w:rsidP="00F04B1D">
            <w:pPr>
              <w:pStyle w:val="Tabletext"/>
              <w:widowControl w:val="0"/>
            </w:pPr>
            <w:r w:rsidRPr="00FF044C">
              <w:t>Retro, observational, SC,13 mths</w:t>
            </w:r>
          </w:p>
        </w:tc>
        <w:tc>
          <w:tcPr>
            <w:tcW w:w="264" w:type="pct"/>
            <w:shd w:val="clear" w:color="auto" w:fill="auto"/>
            <w:vAlign w:val="center"/>
          </w:tcPr>
          <w:p w:rsidR="00173093" w:rsidRPr="00FF044C" w:rsidRDefault="00173093" w:rsidP="00F04B1D">
            <w:pPr>
              <w:pStyle w:val="Tabletext"/>
              <w:widowControl w:val="0"/>
            </w:pPr>
            <w:r w:rsidRPr="00FF044C">
              <w:t xml:space="preserve">High </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F04B1D">
            <w:pPr>
              <w:pStyle w:val="Tabletext"/>
              <w:widowControl w:val="0"/>
            </w:pPr>
            <w:r w:rsidRPr="00FF044C">
              <w:t>PFS, CR,</w:t>
            </w:r>
            <w:r w:rsidR="00122EBE" w:rsidRPr="00FF044C">
              <w:t xml:space="preserve"> PR</w:t>
            </w:r>
            <w:r w:rsidRPr="00FF044C">
              <w:t>, patients proceeding to SCT</w:t>
            </w:r>
          </w:p>
        </w:tc>
        <w:tc>
          <w:tcPr>
            <w:tcW w:w="593" w:type="pct"/>
            <w:shd w:val="clear" w:color="auto" w:fill="auto"/>
            <w:vAlign w:val="center"/>
          </w:tcPr>
          <w:p w:rsidR="00173093" w:rsidRPr="00FF044C" w:rsidRDefault="00173093" w:rsidP="00F04B1D">
            <w:pPr>
              <w:pStyle w:val="Tabletext"/>
              <w:widowControl w:val="0"/>
            </w:pPr>
            <w:r w:rsidRPr="00FF044C">
              <w:t>Subgroup (n=12)</w:t>
            </w:r>
          </w:p>
        </w:tc>
      </w:tr>
      <w:tr w:rsidR="00F04B1D"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C25007</w:t>
            </w:r>
          </w:p>
        </w:tc>
        <w:tc>
          <w:tcPr>
            <w:tcW w:w="253" w:type="pct"/>
            <w:gridSpan w:val="2"/>
            <w:shd w:val="clear" w:color="auto" w:fill="auto"/>
            <w:vAlign w:val="center"/>
          </w:tcPr>
          <w:p w:rsidR="00173093" w:rsidRPr="00FF044C" w:rsidRDefault="00173093" w:rsidP="00F04B1D">
            <w:pPr>
              <w:pStyle w:val="Tabletext"/>
              <w:widowControl w:val="0"/>
            </w:pPr>
            <w:r w:rsidRPr="00FF044C">
              <w:t>60</w:t>
            </w:r>
          </w:p>
        </w:tc>
        <w:tc>
          <w:tcPr>
            <w:tcW w:w="1006" w:type="pct"/>
            <w:shd w:val="clear" w:color="auto" w:fill="auto"/>
            <w:vAlign w:val="center"/>
          </w:tcPr>
          <w:p w:rsidR="00173093" w:rsidRPr="00FF044C" w:rsidRDefault="00173093" w:rsidP="00F04B1D">
            <w:pPr>
              <w:pStyle w:val="Tabletext"/>
              <w:widowControl w:val="0"/>
            </w:pPr>
            <w:r w:rsidRPr="00FF044C">
              <w:t>Prospective, single-arm, MC, NA</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tcPr>
          <w:p w:rsidR="00173093" w:rsidRPr="00FF044C" w:rsidRDefault="00173093" w:rsidP="00122EBE">
            <w:pPr>
              <w:pStyle w:val="Tabletext"/>
              <w:widowControl w:val="0"/>
            </w:pPr>
            <w:r w:rsidRPr="00FF044C">
              <w:t>ORR, CR</w:t>
            </w:r>
            <w:r w:rsidR="00664484" w:rsidRPr="00FF044C">
              <w:t>,</w:t>
            </w:r>
            <w:r w:rsidRPr="00FF044C">
              <w:t xml:space="preserve"> PFS, OS, patients proceeding to SCT</w:t>
            </w:r>
          </w:p>
        </w:tc>
        <w:tc>
          <w:tcPr>
            <w:tcW w:w="593" w:type="pct"/>
            <w:shd w:val="clear" w:color="auto" w:fill="auto"/>
            <w:vAlign w:val="center"/>
          </w:tcPr>
          <w:p w:rsidR="00173093" w:rsidRPr="00FF044C" w:rsidRDefault="00122EBE" w:rsidP="00F04B1D">
            <w:pPr>
              <w:pStyle w:val="Tabletext"/>
              <w:widowControl w:val="0"/>
              <w:rPr>
                <w:vertAlign w:val="superscript"/>
              </w:rPr>
            </w:pPr>
            <w:r w:rsidRPr="00FF044C">
              <w:t>n=56</w:t>
            </w:r>
            <w:r w:rsidRPr="00FF044C">
              <w:rPr>
                <w:vertAlign w:val="superscript"/>
              </w:rPr>
              <w:t xml:space="preserve"> a</w:t>
            </w:r>
          </w:p>
        </w:tc>
      </w:tr>
      <w:tr w:rsidR="00173093" w:rsidRPr="00FF044C" w:rsidTr="00E47679">
        <w:trPr>
          <w:trHeight w:val="20"/>
        </w:trPr>
        <w:tc>
          <w:tcPr>
            <w:tcW w:w="5000" w:type="pct"/>
            <w:gridSpan w:val="8"/>
            <w:shd w:val="clear" w:color="auto" w:fill="auto"/>
          </w:tcPr>
          <w:p w:rsidR="00173093" w:rsidRPr="00FF044C" w:rsidRDefault="00173093" w:rsidP="00F04B1D">
            <w:pPr>
              <w:pStyle w:val="Tabletext"/>
              <w:widowControl w:val="0"/>
              <w:rPr>
                <w:b/>
              </w:rPr>
            </w:pPr>
            <w:r w:rsidRPr="00FF044C">
              <w:rPr>
                <w:b/>
              </w:rPr>
              <w:t xml:space="preserve">Salvage chemotherapy </w:t>
            </w:r>
          </w:p>
        </w:tc>
      </w:tr>
      <w:tr w:rsidR="00173093"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Santoro 2000</w:t>
            </w:r>
          </w:p>
        </w:tc>
        <w:tc>
          <w:tcPr>
            <w:tcW w:w="246" w:type="pct"/>
            <w:shd w:val="clear" w:color="auto" w:fill="auto"/>
            <w:vAlign w:val="center"/>
          </w:tcPr>
          <w:p w:rsidR="00173093" w:rsidRPr="00FF044C" w:rsidRDefault="00173093" w:rsidP="00F04B1D">
            <w:pPr>
              <w:pStyle w:val="Tabletext"/>
              <w:widowControl w:val="0"/>
            </w:pPr>
            <w:r w:rsidRPr="00FF044C">
              <w:t>23</w:t>
            </w:r>
          </w:p>
        </w:tc>
        <w:tc>
          <w:tcPr>
            <w:tcW w:w="1013" w:type="pct"/>
            <w:gridSpan w:val="2"/>
            <w:shd w:val="clear" w:color="auto" w:fill="auto"/>
            <w:vAlign w:val="center"/>
          </w:tcPr>
          <w:p w:rsidR="00173093" w:rsidRPr="00FF044C" w:rsidRDefault="00173093" w:rsidP="00F04B1D">
            <w:pPr>
              <w:pStyle w:val="Tabletext"/>
              <w:widowControl w:val="0"/>
            </w:pPr>
            <w:r w:rsidRPr="00FF044C">
              <w:t>Prospective, single-arm, MC, NR</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 no prior ASCT</w:t>
            </w:r>
          </w:p>
        </w:tc>
        <w:tc>
          <w:tcPr>
            <w:tcW w:w="1356" w:type="pct"/>
            <w:shd w:val="clear" w:color="auto" w:fill="auto"/>
            <w:vAlign w:val="center"/>
          </w:tcPr>
          <w:p w:rsidR="00173093" w:rsidRPr="00FF044C" w:rsidRDefault="00173093" w:rsidP="00F04B1D">
            <w:pPr>
              <w:pStyle w:val="Tabletext"/>
              <w:widowControl w:val="0"/>
            </w:pPr>
            <w:r w:rsidRPr="00FF044C">
              <w:t>PFS, OS, ORR</w:t>
            </w:r>
          </w:p>
        </w:tc>
        <w:tc>
          <w:tcPr>
            <w:tcW w:w="593" w:type="pct"/>
            <w:shd w:val="clear" w:color="auto" w:fill="auto"/>
            <w:vAlign w:val="center"/>
          </w:tcPr>
          <w:p w:rsidR="00173093" w:rsidRPr="00FF044C" w:rsidRDefault="00173093" w:rsidP="00F04B1D">
            <w:pPr>
              <w:pStyle w:val="Tabletext"/>
              <w:widowControl w:val="0"/>
            </w:pPr>
            <w:r w:rsidRPr="00FF044C">
              <w:t>Used</w:t>
            </w:r>
          </w:p>
        </w:tc>
      </w:tr>
      <w:tr w:rsidR="00173093"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Venkatesh 2004</w:t>
            </w:r>
          </w:p>
        </w:tc>
        <w:tc>
          <w:tcPr>
            <w:tcW w:w="246" w:type="pct"/>
            <w:shd w:val="clear" w:color="auto" w:fill="auto"/>
            <w:vAlign w:val="center"/>
          </w:tcPr>
          <w:p w:rsidR="00173093" w:rsidRPr="00FF044C" w:rsidRDefault="00173093" w:rsidP="00F04B1D">
            <w:pPr>
              <w:pStyle w:val="Tabletext"/>
              <w:widowControl w:val="0"/>
            </w:pPr>
            <w:r w:rsidRPr="00FF044C">
              <w:t>29</w:t>
            </w:r>
          </w:p>
        </w:tc>
        <w:tc>
          <w:tcPr>
            <w:tcW w:w="1013" w:type="pct"/>
            <w:gridSpan w:val="2"/>
            <w:shd w:val="clear" w:color="auto" w:fill="auto"/>
            <w:vAlign w:val="center"/>
          </w:tcPr>
          <w:p w:rsidR="00173093" w:rsidRPr="00FF044C" w:rsidRDefault="00173093" w:rsidP="00F04B1D">
            <w:pPr>
              <w:pStyle w:val="Tabletext"/>
              <w:widowControl w:val="0"/>
              <w:rPr>
                <w:vertAlign w:val="superscript"/>
              </w:rPr>
            </w:pPr>
            <w:r w:rsidRPr="00FF044C">
              <w:t>Prospective, single-arm, MC,12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with/without ASCT</w:t>
            </w:r>
          </w:p>
        </w:tc>
        <w:tc>
          <w:tcPr>
            <w:tcW w:w="1356" w:type="pct"/>
            <w:shd w:val="clear" w:color="auto" w:fill="auto"/>
            <w:vAlign w:val="center"/>
          </w:tcPr>
          <w:p w:rsidR="00173093" w:rsidRPr="00FF044C" w:rsidRDefault="00173093" w:rsidP="00F04B1D">
            <w:pPr>
              <w:pStyle w:val="Tabletext"/>
              <w:widowControl w:val="0"/>
            </w:pPr>
            <w:r w:rsidRPr="00FF044C">
              <w:t>RR, duration of response, time to progression</w:t>
            </w:r>
          </w:p>
        </w:tc>
        <w:tc>
          <w:tcPr>
            <w:tcW w:w="593" w:type="pct"/>
            <w:shd w:val="clear" w:color="auto" w:fill="auto"/>
            <w:vAlign w:val="center"/>
          </w:tcPr>
          <w:p w:rsidR="00173093" w:rsidRPr="00FF044C" w:rsidRDefault="00173093" w:rsidP="00F04B1D">
            <w:pPr>
              <w:pStyle w:val="Tabletext"/>
              <w:widowControl w:val="0"/>
            </w:pPr>
            <w:r w:rsidRPr="00FF044C">
              <w:t>Subgroup (n=11)</w:t>
            </w:r>
          </w:p>
        </w:tc>
      </w:tr>
      <w:tr w:rsidR="00173093"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Oki 2008</w:t>
            </w:r>
          </w:p>
        </w:tc>
        <w:tc>
          <w:tcPr>
            <w:tcW w:w="246" w:type="pct"/>
            <w:shd w:val="clear" w:color="auto" w:fill="auto"/>
            <w:vAlign w:val="center"/>
          </w:tcPr>
          <w:p w:rsidR="00173093" w:rsidRPr="00FF044C" w:rsidRDefault="00173093" w:rsidP="00F04B1D">
            <w:pPr>
              <w:pStyle w:val="Tabletext"/>
              <w:widowControl w:val="0"/>
            </w:pPr>
            <w:r w:rsidRPr="00FF044C">
              <w:t>34</w:t>
            </w:r>
          </w:p>
        </w:tc>
        <w:tc>
          <w:tcPr>
            <w:tcW w:w="1013" w:type="pct"/>
            <w:gridSpan w:val="2"/>
            <w:shd w:val="clear" w:color="auto" w:fill="auto"/>
            <w:vAlign w:val="center"/>
          </w:tcPr>
          <w:p w:rsidR="00173093" w:rsidRPr="00FF044C" w:rsidRDefault="00173093" w:rsidP="00F04B1D">
            <w:pPr>
              <w:pStyle w:val="Tabletext"/>
              <w:widowControl w:val="0"/>
            </w:pPr>
            <w:r w:rsidRPr="00FF044C">
              <w:t>Prospective, single-arm, SC,NR</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with/without ASCT</w:t>
            </w:r>
          </w:p>
        </w:tc>
        <w:tc>
          <w:tcPr>
            <w:tcW w:w="1356" w:type="pct"/>
            <w:shd w:val="clear" w:color="auto" w:fill="auto"/>
            <w:vAlign w:val="center"/>
          </w:tcPr>
          <w:p w:rsidR="00173093" w:rsidRPr="00FF044C" w:rsidRDefault="00173093" w:rsidP="00F04B1D">
            <w:pPr>
              <w:pStyle w:val="Tabletext"/>
              <w:widowControl w:val="0"/>
            </w:pPr>
            <w:r w:rsidRPr="00FF044C">
              <w:t>ORR, failure-free survival, response duration</w:t>
            </w:r>
          </w:p>
        </w:tc>
        <w:tc>
          <w:tcPr>
            <w:tcW w:w="593" w:type="pct"/>
            <w:shd w:val="clear" w:color="auto" w:fill="auto"/>
            <w:vAlign w:val="center"/>
          </w:tcPr>
          <w:p w:rsidR="00173093" w:rsidRPr="00FF044C" w:rsidRDefault="00173093" w:rsidP="00F04B1D">
            <w:pPr>
              <w:pStyle w:val="Tabletext"/>
              <w:widowControl w:val="0"/>
            </w:pPr>
            <w:r w:rsidRPr="00FF044C">
              <w:t>Subgroup (n=15)</w:t>
            </w:r>
          </w:p>
        </w:tc>
      </w:tr>
      <w:tr w:rsidR="00173093"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Zinzani 2000</w:t>
            </w:r>
          </w:p>
        </w:tc>
        <w:tc>
          <w:tcPr>
            <w:tcW w:w="246" w:type="pct"/>
            <w:shd w:val="clear" w:color="auto" w:fill="auto"/>
            <w:vAlign w:val="center"/>
          </w:tcPr>
          <w:p w:rsidR="00173093" w:rsidRPr="00FF044C" w:rsidRDefault="00173093" w:rsidP="00F04B1D">
            <w:pPr>
              <w:pStyle w:val="Tabletext"/>
              <w:widowControl w:val="0"/>
            </w:pPr>
            <w:r w:rsidRPr="00FF044C">
              <w:t>14</w:t>
            </w:r>
          </w:p>
        </w:tc>
        <w:tc>
          <w:tcPr>
            <w:tcW w:w="1013" w:type="pct"/>
            <w:gridSpan w:val="2"/>
            <w:shd w:val="clear" w:color="auto" w:fill="auto"/>
            <w:vAlign w:val="center"/>
          </w:tcPr>
          <w:p w:rsidR="00173093" w:rsidRPr="00FF044C" w:rsidRDefault="00173093" w:rsidP="00F04B1D">
            <w:pPr>
              <w:pStyle w:val="Tabletext"/>
              <w:widowControl w:val="0"/>
            </w:pPr>
            <w:r w:rsidRPr="00FF044C">
              <w:t>Prospective, single-arm, SC,NR</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with/without ASCT</w:t>
            </w:r>
          </w:p>
        </w:tc>
        <w:tc>
          <w:tcPr>
            <w:tcW w:w="1356" w:type="pct"/>
            <w:shd w:val="clear" w:color="auto" w:fill="auto"/>
            <w:vAlign w:val="center"/>
          </w:tcPr>
          <w:p w:rsidR="00173093" w:rsidRPr="00FF044C" w:rsidRDefault="00173093" w:rsidP="00F04B1D">
            <w:pPr>
              <w:pStyle w:val="Tabletext"/>
              <w:widowControl w:val="0"/>
            </w:pPr>
            <w:r w:rsidRPr="00FF044C">
              <w:t>RR</w:t>
            </w:r>
          </w:p>
        </w:tc>
        <w:tc>
          <w:tcPr>
            <w:tcW w:w="593" w:type="pct"/>
            <w:shd w:val="clear" w:color="auto" w:fill="auto"/>
            <w:vAlign w:val="center"/>
          </w:tcPr>
          <w:p w:rsidR="00173093" w:rsidRPr="00FF044C" w:rsidRDefault="00173093" w:rsidP="00F04B1D">
            <w:pPr>
              <w:pStyle w:val="Tabletext"/>
              <w:widowControl w:val="0"/>
            </w:pPr>
            <w:r w:rsidRPr="00FF044C">
              <w:t>Subgroup (n=</w:t>
            </w:r>
            <w:r w:rsidR="00875812" w:rsidRPr="00FF044C">
              <w:t>12</w:t>
            </w:r>
            <w:r w:rsidRPr="00FF044C">
              <w:t>)</w:t>
            </w:r>
          </w:p>
        </w:tc>
      </w:tr>
      <w:tr w:rsidR="00173093" w:rsidRPr="00FF044C" w:rsidTr="00C45098">
        <w:trPr>
          <w:trHeight w:val="20"/>
        </w:trPr>
        <w:tc>
          <w:tcPr>
            <w:tcW w:w="678" w:type="pct"/>
            <w:shd w:val="clear" w:color="auto" w:fill="auto"/>
            <w:vAlign w:val="center"/>
          </w:tcPr>
          <w:p w:rsidR="00173093" w:rsidRPr="00FF044C" w:rsidRDefault="00173093" w:rsidP="00F04B1D">
            <w:pPr>
              <w:pStyle w:val="Tabletext"/>
              <w:widowControl w:val="0"/>
            </w:pPr>
            <w:r w:rsidRPr="00FF044C">
              <w:t>Validire 2008</w:t>
            </w:r>
          </w:p>
        </w:tc>
        <w:tc>
          <w:tcPr>
            <w:tcW w:w="246" w:type="pct"/>
            <w:shd w:val="clear" w:color="auto" w:fill="auto"/>
            <w:vAlign w:val="center"/>
          </w:tcPr>
          <w:p w:rsidR="00173093" w:rsidRPr="00FF044C" w:rsidRDefault="00173093" w:rsidP="00F04B1D">
            <w:pPr>
              <w:pStyle w:val="Tabletext"/>
              <w:widowControl w:val="0"/>
            </w:pPr>
            <w:r w:rsidRPr="00FF044C">
              <w:t>55</w:t>
            </w:r>
          </w:p>
        </w:tc>
        <w:tc>
          <w:tcPr>
            <w:tcW w:w="1013" w:type="pct"/>
            <w:gridSpan w:val="2"/>
            <w:shd w:val="clear" w:color="auto" w:fill="auto"/>
            <w:vAlign w:val="center"/>
          </w:tcPr>
          <w:p w:rsidR="00173093" w:rsidRPr="00FF044C" w:rsidRDefault="00173093" w:rsidP="00F04B1D">
            <w:pPr>
              <w:pStyle w:val="Tabletext"/>
              <w:widowControl w:val="0"/>
            </w:pPr>
            <w:r w:rsidRPr="00FF044C">
              <w:t>Retro, observational; MC,14 mths</w:t>
            </w:r>
          </w:p>
        </w:tc>
        <w:tc>
          <w:tcPr>
            <w:tcW w:w="264" w:type="pct"/>
            <w:shd w:val="clear" w:color="auto" w:fill="auto"/>
            <w:vAlign w:val="center"/>
          </w:tcPr>
          <w:p w:rsidR="00173093" w:rsidRPr="00FF044C" w:rsidRDefault="00173093" w:rsidP="00F04B1D">
            <w:pPr>
              <w:pStyle w:val="Tabletext"/>
              <w:widowControl w:val="0"/>
            </w:pPr>
            <w:r w:rsidRPr="00FF044C">
              <w:t>High</w:t>
            </w:r>
          </w:p>
        </w:tc>
        <w:tc>
          <w:tcPr>
            <w:tcW w:w="849" w:type="pct"/>
            <w:shd w:val="clear" w:color="auto" w:fill="auto"/>
          </w:tcPr>
          <w:p w:rsidR="00173093" w:rsidRPr="00FF044C" w:rsidRDefault="00173093" w:rsidP="00F04B1D">
            <w:pPr>
              <w:pStyle w:val="Tabletext"/>
              <w:widowControl w:val="0"/>
            </w:pPr>
            <w:r w:rsidRPr="00FF044C">
              <w:t>R/R HL with/without ASCT</w:t>
            </w:r>
          </w:p>
        </w:tc>
        <w:tc>
          <w:tcPr>
            <w:tcW w:w="1356" w:type="pct"/>
            <w:shd w:val="clear" w:color="auto" w:fill="auto"/>
            <w:vAlign w:val="center"/>
          </w:tcPr>
          <w:p w:rsidR="00173093" w:rsidRPr="00FF044C" w:rsidRDefault="00173093" w:rsidP="00F04B1D">
            <w:pPr>
              <w:pStyle w:val="Tabletext"/>
              <w:widowControl w:val="0"/>
            </w:pPr>
            <w:r w:rsidRPr="00FF044C">
              <w:t>OS,RR</w:t>
            </w:r>
          </w:p>
        </w:tc>
        <w:tc>
          <w:tcPr>
            <w:tcW w:w="593" w:type="pct"/>
            <w:shd w:val="clear" w:color="auto" w:fill="auto"/>
            <w:vAlign w:val="center"/>
          </w:tcPr>
          <w:p w:rsidR="00173093" w:rsidRPr="00FF044C" w:rsidRDefault="00173093" w:rsidP="00875812">
            <w:pPr>
              <w:pStyle w:val="Tabletext"/>
              <w:widowControl w:val="0"/>
            </w:pPr>
            <w:r w:rsidRPr="00FF044C">
              <w:t>Subgroup (n=</w:t>
            </w:r>
            <w:r w:rsidR="00875812" w:rsidRPr="00FF044C">
              <w:t>21</w:t>
            </w:r>
            <w:r w:rsidR="00FC6856" w:rsidRPr="00FF044C">
              <w:t>)</w:t>
            </w:r>
          </w:p>
        </w:tc>
      </w:tr>
    </w:tbl>
    <w:p w:rsidR="00173093" w:rsidRPr="00FF044C" w:rsidRDefault="00173093" w:rsidP="00173093">
      <w:pPr>
        <w:pStyle w:val="TableFooter"/>
      </w:pPr>
      <w:r w:rsidRPr="00FF044C">
        <w:tab/>
        <w:t>Source: compiled during evaluation</w:t>
      </w:r>
    </w:p>
    <w:p w:rsidR="00173093" w:rsidRPr="00FF044C" w:rsidRDefault="00173093" w:rsidP="00173093">
      <w:pPr>
        <w:pStyle w:val="TableFooter"/>
        <w:ind w:left="720"/>
      </w:pPr>
      <w:r w:rsidRPr="00FF044C">
        <w:t>ASCT = autologous stem cell transplant; CR = complete response; HL = Hodgkin lymphoma; MC = multi-centre; mths = months; retro = retrospective; ORR = overall response rate; OS = overall survival; PFS = progression free survival; PR = partial response; R/R = relapsed/refractory; RR = response rate; SC = single-centre; SCT = any stem cell transplant</w:t>
      </w:r>
      <w:r w:rsidR="00122EBE" w:rsidRPr="00FF044C">
        <w:t>.</w:t>
      </w:r>
    </w:p>
    <w:p w:rsidR="00664484" w:rsidRPr="00FF044C" w:rsidRDefault="00F04B1D" w:rsidP="00122EBE">
      <w:pPr>
        <w:pStyle w:val="TableFooter"/>
        <w:ind w:left="720"/>
      </w:pPr>
      <w:proofErr w:type="spellStart"/>
      <w:proofErr w:type="gramStart"/>
      <w:r w:rsidRPr="00FF044C">
        <w:rPr>
          <w:vertAlign w:val="superscript"/>
        </w:rPr>
        <w:t>a</w:t>
      </w:r>
      <w:proofErr w:type="spellEnd"/>
      <w:proofErr w:type="gramEnd"/>
      <w:r w:rsidRPr="00FF044C">
        <w:rPr>
          <w:vertAlign w:val="superscript"/>
        </w:rPr>
        <w:t xml:space="preserve"> </w:t>
      </w:r>
      <w:r w:rsidR="00122EBE" w:rsidRPr="00FF044C">
        <w:rPr>
          <w:i/>
          <w:szCs w:val="18"/>
        </w:rPr>
        <w:t>Ongoing study, results were provided during evaluation</w:t>
      </w:r>
    </w:p>
    <w:p w:rsidR="00173093" w:rsidRPr="00FF044C" w:rsidRDefault="00173093" w:rsidP="00173093">
      <w:pPr>
        <w:pStyle w:val="ListParagraph"/>
        <w:widowControl/>
        <w:rPr>
          <w:szCs w:val="22"/>
        </w:rPr>
      </w:pPr>
    </w:p>
    <w:p w:rsidR="00173093" w:rsidRPr="00FF044C" w:rsidRDefault="00C05C7B" w:rsidP="0075545E">
      <w:pPr>
        <w:pStyle w:val="ListParagraph"/>
        <w:widowControl/>
        <w:numPr>
          <w:ilvl w:val="1"/>
          <w:numId w:val="1"/>
        </w:numPr>
        <w:rPr>
          <w:szCs w:val="22"/>
        </w:rPr>
      </w:pPr>
      <w:r w:rsidRPr="00FF044C">
        <w:rPr>
          <w:szCs w:val="22"/>
        </w:rPr>
        <w:t>T</w:t>
      </w:r>
      <w:r w:rsidR="00173093" w:rsidRPr="00FF044C">
        <w:rPr>
          <w:szCs w:val="22"/>
        </w:rPr>
        <w:t xml:space="preserve">he salvage chemotherapy reported in the included studies </w:t>
      </w:r>
      <w:r w:rsidR="008A42CC" w:rsidRPr="00FF044C">
        <w:rPr>
          <w:szCs w:val="22"/>
        </w:rPr>
        <w:t xml:space="preserve">were </w:t>
      </w:r>
      <w:r w:rsidR="00173093" w:rsidRPr="00FF044C">
        <w:rPr>
          <w:szCs w:val="22"/>
        </w:rPr>
        <w:t>gemcitabine-based</w:t>
      </w:r>
      <w:r w:rsidR="008A42CC" w:rsidRPr="00FF044C">
        <w:rPr>
          <w:szCs w:val="22"/>
        </w:rPr>
        <w:t xml:space="preserve"> regimens</w:t>
      </w:r>
      <w:r w:rsidR="00691C52" w:rsidRPr="00FF044C">
        <w:rPr>
          <w:szCs w:val="22"/>
        </w:rPr>
        <w:t xml:space="preserve"> with single agent</w:t>
      </w:r>
      <w:r w:rsidR="00173093" w:rsidRPr="00FF044C">
        <w:rPr>
          <w:szCs w:val="22"/>
        </w:rPr>
        <w:t xml:space="preserve"> gemcitabine (Santoro 2000, Venkatesh 2004 and Zinzani 2000), gemcitabine alone or in combination with other chemotherapy (Validire 2008), </w:t>
      </w:r>
      <w:r w:rsidR="008A42CC" w:rsidRPr="00FF044C">
        <w:rPr>
          <w:szCs w:val="22"/>
        </w:rPr>
        <w:t xml:space="preserve">and </w:t>
      </w:r>
      <w:r w:rsidR="00173093" w:rsidRPr="00FF044C">
        <w:rPr>
          <w:szCs w:val="22"/>
        </w:rPr>
        <w:t>gemcitabine with rituximab (Oki 2008).</w:t>
      </w:r>
    </w:p>
    <w:p w:rsidR="00173093" w:rsidRPr="00FF044C" w:rsidRDefault="00173093" w:rsidP="00173093">
      <w:pPr>
        <w:pStyle w:val="ListParagraph"/>
        <w:widowControl/>
        <w:rPr>
          <w:szCs w:val="22"/>
        </w:rPr>
      </w:pPr>
    </w:p>
    <w:p w:rsidR="00173093" w:rsidRPr="00FF044C" w:rsidRDefault="000F3FB6" w:rsidP="0075545E">
      <w:pPr>
        <w:pStyle w:val="ListParagraph"/>
        <w:widowControl/>
        <w:numPr>
          <w:ilvl w:val="1"/>
          <w:numId w:val="1"/>
        </w:numPr>
        <w:rPr>
          <w:szCs w:val="22"/>
        </w:rPr>
      </w:pPr>
      <w:r w:rsidRPr="00FF044C">
        <w:rPr>
          <w:szCs w:val="22"/>
        </w:rPr>
        <w:lastRenderedPageBreak/>
        <w:t>C</w:t>
      </w:r>
      <w:r w:rsidR="00173093" w:rsidRPr="00FF044C">
        <w:rPr>
          <w:szCs w:val="22"/>
        </w:rPr>
        <w:t>linical response comprising complete response, partial response, and overall response (complete or partial response) was the primary outcome</w:t>
      </w:r>
      <w:r w:rsidRPr="00FF044C">
        <w:rPr>
          <w:szCs w:val="22"/>
        </w:rPr>
        <w:t>,</w:t>
      </w:r>
      <w:r w:rsidR="00173093" w:rsidRPr="00FF044C">
        <w:rPr>
          <w:szCs w:val="22"/>
        </w:rPr>
        <w:t xml:space="preserve"> whereas survival, duration of response and toxicity were secondary outcomes.</w:t>
      </w:r>
    </w:p>
    <w:p w:rsidR="00173093" w:rsidRPr="00FF044C" w:rsidRDefault="00173093" w:rsidP="00173093">
      <w:pPr>
        <w:pStyle w:val="ListParagraph"/>
        <w:rPr>
          <w:szCs w:val="22"/>
        </w:rPr>
      </w:pPr>
    </w:p>
    <w:p w:rsidR="00173093" w:rsidRPr="00FF044C" w:rsidRDefault="00173093" w:rsidP="0075545E">
      <w:pPr>
        <w:pStyle w:val="ListParagraph"/>
        <w:widowControl/>
        <w:numPr>
          <w:ilvl w:val="1"/>
          <w:numId w:val="1"/>
        </w:numPr>
        <w:rPr>
          <w:szCs w:val="22"/>
        </w:rPr>
      </w:pPr>
      <w:r w:rsidRPr="00FF044C">
        <w:rPr>
          <w:szCs w:val="22"/>
        </w:rPr>
        <w:t>The majority of the included studies used the International Working Group Criteria (</w:t>
      </w:r>
      <w:proofErr w:type="spellStart"/>
      <w:r w:rsidRPr="00FF044C">
        <w:rPr>
          <w:szCs w:val="22"/>
        </w:rPr>
        <w:t>Cheson</w:t>
      </w:r>
      <w:proofErr w:type="spellEnd"/>
      <w:r w:rsidRPr="00FF044C">
        <w:rPr>
          <w:szCs w:val="22"/>
        </w:rPr>
        <w:t xml:space="preserve"> 2007, </w:t>
      </w:r>
      <w:proofErr w:type="spellStart"/>
      <w:r w:rsidRPr="00FF044C">
        <w:rPr>
          <w:szCs w:val="22"/>
        </w:rPr>
        <w:t>Cheson</w:t>
      </w:r>
      <w:proofErr w:type="spellEnd"/>
      <w:r w:rsidRPr="00FF044C">
        <w:rPr>
          <w:szCs w:val="22"/>
        </w:rPr>
        <w:t xml:space="preserve"> 1999 and </w:t>
      </w:r>
      <w:proofErr w:type="spellStart"/>
      <w:r w:rsidRPr="00FF044C">
        <w:rPr>
          <w:szCs w:val="22"/>
        </w:rPr>
        <w:t>Cheson</w:t>
      </w:r>
      <w:proofErr w:type="spellEnd"/>
      <w:r w:rsidRPr="00FF044C">
        <w:rPr>
          <w:szCs w:val="22"/>
        </w:rPr>
        <w:t xml:space="preserve"> 1992) to assess clinical response; however, the older versions of the International Working Group Criteria (before </w:t>
      </w:r>
      <w:proofErr w:type="spellStart"/>
      <w:r w:rsidRPr="00FF044C">
        <w:rPr>
          <w:szCs w:val="22"/>
        </w:rPr>
        <w:t>Cheson</w:t>
      </w:r>
      <w:proofErr w:type="spellEnd"/>
      <w:r w:rsidRPr="00FF044C">
        <w:rPr>
          <w:szCs w:val="22"/>
        </w:rPr>
        <w:t xml:space="preserve"> 2007) were used in the salvage chemotherapy studies in the era before positron emission tomography (PET). PET scan results, as interpreted using the Deauville scores, were incorporated in the updated assessment criteria in </w:t>
      </w:r>
      <w:proofErr w:type="spellStart"/>
      <w:r w:rsidRPr="00FF044C">
        <w:rPr>
          <w:szCs w:val="22"/>
        </w:rPr>
        <w:t>Cheson</w:t>
      </w:r>
      <w:proofErr w:type="spellEnd"/>
      <w:r w:rsidRPr="00FF044C">
        <w:rPr>
          <w:szCs w:val="22"/>
        </w:rPr>
        <w:t xml:space="preserve"> 2007 which was used to assess response in </w:t>
      </w:r>
      <w:r w:rsidR="0038658D" w:rsidRPr="00FF044C">
        <w:rPr>
          <w:szCs w:val="22"/>
        </w:rPr>
        <w:t>b</w:t>
      </w:r>
      <w:r w:rsidRPr="00FF044C">
        <w:rPr>
          <w:szCs w:val="22"/>
        </w:rPr>
        <w:t xml:space="preserve">rentuximab vedotin studies. PET scan, as described in </w:t>
      </w:r>
      <w:proofErr w:type="spellStart"/>
      <w:r w:rsidRPr="00FF044C">
        <w:rPr>
          <w:szCs w:val="22"/>
        </w:rPr>
        <w:t>Cheson</w:t>
      </w:r>
      <w:proofErr w:type="spellEnd"/>
      <w:r w:rsidRPr="00FF044C">
        <w:rPr>
          <w:szCs w:val="22"/>
        </w:rPr>
        <w:t xml:space="preserve"> 2007, is a more powerful imaging tool than the conventional computerised tomography (CT) that would eliminate the ‘Complete Response Uncertain’ category from the older response assessment criteria resulting in a higher reporting of clinical response. This would favour brentu</w:t>
      </w:r>
      <w:r w:rsidR="00D4761F" w:rsidRPr="00FF044C">
        <w:rPr>
          <w:szCs w:val="22"/>
        </w:rPr>
        <w:t>ximab vedotin.</w:t>
      </w:r>
      <w:r w:rsidR="008748ED" w:rsidRPr="00FF044C">
        <w:rPr>
          <w:szCs w:val="22"/>
        </w:rPr>
        <w:t xml:space="preserve"> The ESC considered </w:t>
      </w:r>
      <w:r w:rsidR="001A4EDC" w:rsidRPr="00FF044C">
        <w:rPr>
          <w:szCs w:val="22"/>
        </w:rPr>
        <w:t>that</w:t>
      </w:r>
      <w:r w:rsidR="008748ED" w:rsidRPr="00FF044C">
        <w:rPr>
          <w:szCs w:val="22"/>
        </w:rPr>
        <w:t xml:space="preserve"> these differences </w:t>
      </w:r>
      <w:r w:rsidR="00A15FBA" w:rsidRPr="00FF044C">
        <w:rPr>
          <w:szCs w:val="22"/>
        </w:rPr>
        <w:t>in</w:t>
      </w:r>
      <w:r w:rsidR="008748ED" w:rsidRPr="00FF044C">
        <w:rPr>
          <w:szCs w:val="22"/>
        </w:rPr>
        <w:t xml:space="preserve"> technique</w:t>
      </w:r>
      <w:r w:rsidR="00A15FBA" w:rsidRPr="00FF044C">
        <w:rPr>
          <w:szCs w:val="22"/>
        </w:rPr>
        <w:t>s</w:t>
      </w:r>
      <w:r w:rsidR="008748ED" w:rsidRPr="00FF044C">
        <w:rPr>
          <w:szCs w:val="22"/>
        </w:rPr>
        <w:t xml:space="preserve"> employed to measure clinical response made the comparative effectiveness data difficult to interpret.</w:t>
      </w:r>
      <w:r w:rsidR="00F46F2E" w:rsidRPr="00FF044C">
        <w:rPr>
          <w:szCs w:val="22"/>
        </w:rPr>
        <w:t xml:space="preserve"> The sponsor’s </w:t>
      </w:r>
      <w:r w:rsidR="00F46F2E" w:rsidRPr="00FF044C">
        <w:rPr>
          <w:bCs/>
          <w:szCs w:val="22"/>
        </w:rPr>
        <w:t>Pre-PBAC Response (p.3) argued that the differences in imaging techniques would have little impact on the patient relevant outcomes, i.e. rates of ORR (which captured both CR and PR), or the number of patients proceeding to ASCT.</w:t>
      </w:r>
      <w:r w:rsidR="0008552C" w:rsidRPr="00FF044C">
        <w:rPr>
          <w:bCs/>
          <w:szCs w:val="22"/>
        </w:rPr>
        <w:t xml:space="preserve"> The PBAC considered that this was reasonable.</w:t>
      </w:r>
    </w:p>
    <w:p w:rsidR="00173093" w:rsidRPr="00FF044C" w:rsidRDefault="00173093" w:rsidP="00173093">
      <w:pPr>
        <w:rPr>
          <w:szCs w:val="22"/>
        </w:rPr>
      </w:pPr>
    </w:p>
    <w:p w:rsidR="00173093" w:rsidRPr="00FF044C" w:rsidRDefault="00173093" w:rsidP="00347F15">
      <w:pPr>
        <w:pStyle w:val="Heading2"/>
        <w:keepNext/>
        <w:rPr>
          <w:i/>
        </w:rPr>
      </w:pPr>
      <w:bookmarkStart w:id="16" w:name="_Toc392858195"/>
      <w:bookmarkStart w:id="17" w:name="_Toc461617172"/>
      <w:r w:rsidRPr="00FF044C">
        <w:rPr>
          <w:i/>
        </w:rPr>
        <w:t>Comparative effectiveness</w:t>
      </w:r>
      <w:bookmarkEnd w:id="16"/>
      <w:bookmarkEnd w:id="17"/>
    </w:p>
    <w:p w:rsidR="00173093" w:rsidRPr="00FF044C" w:rsidRDefault="00173093" w:rsidP="00347F15">
      <w:pPr>
        <w:keepNext/>
      </w:pPr>
    </w:p>
    <w:p w:rsidR="00173093" w:rsidRPr="00FF044C" w:rsidRDefault="00173093" w:rsidP="00347F15">
      <w:pPr>
        <w:keepNext/>
        <w:rPr>
          <w:u w:val="single"/>
        </w:rPr>
      </w:pPr>
      <w:r w:rsidRPr="00FF044C">
        <w:rPr>
          <w:u w:val="single"/>
        </w:rPr>
        <w:t>Benefits</w:t>
      </w:r>
    </w:p>
    <w:p w:rsidR="00173093" w:rsidRPr="00FF044C" w:rsidRDefault="00173093" w:rsidP="00347F15">
      <w:pPr>
        <w:keepNext/>
        <w:rPr>
          <w:u w:val="single"/>
        </w:rPr>
      </w:pPr>
    </w:p>
    <w:p w:rsidR="00173093" w:rsidRPr="00FF044C" w:rsidRDefault="00173093" w:rsidP="0075545E">
      <w:pPr>
        <w:pStyle w:val="ListParagraph"/>
        <w:keepNext/>
        <w:widowControl/>
        <w:numPr>
          <w:ilvl w:val="1"/>
          <w:numId w:val="1"/>
        </w:numPr>
      </w:pPr>
      <w:r w:rsidRPr="00FF044C">
        <w:t>Table 3 summarises the results for overall survival and progression free survival as reported in the included studies</w:t>
      </w:r>
      <w:r w:rsidR="005D5578" w:rsidRPr="00FF044C">
        <w:t>.</w:t>
      </w:r>
    </w:p>
    <w:p w:rsidR="005D5578" w:rsidRPr="00FF044C" w:rsidRDefault="005D5578" w:rsidP="00347F15">
      <w:pPr>
        <w:pStyle w:val="ListParagraph"/>
        <w:keepNext/>
        <w:widowControl/>
      </w:pPr>
    </w:p>
    <w:p w:rsidR="005D5578" w:rsidRPr="00FF044C" w:rsidRDefault="005D5578" w:rsidP="005D5578">
      <w:pPr>
        <w:ind w:firstLine="720"/>
        <w:rPr>
          <w:rFonts w:ascii="Arial Narrow" w:hAnsi="Arial Narrow"/>
          <w:b/>
          <w:snapToGrid/>
          <w:sz w:val="20"/>
          <w:szCs w:val="16"/>
        </w:rPr>
      </w:pPr>
      <w:r w:rsidRPr="00FF044C">
        <w:rPr>
          <w:rStyle w:val="CommentReference"/>
        </w:rPr>
        <w:t xml:space="preserve">Table 3: </w:t>
      </w:r>
      <w:r w:rsidRPr="00FF044C">
        <w:rPr>
          <w:rFonts w:ascii="Arial Narrow" w:hAnsi="Arial Narrow"/>
          <w:b/>
          <w:snapToGrid/>
          <w:sz w:val="20"/>
          <w:szCs w:val="16"/>
        </w:rPr>
        <w:t>Results of clinically relevant outcomes (OS and PFS) for the included studies</w:t>
      </w:r>
    </w:p>
    <w:tbl>
      <w:tblPr>
        <w:tblStyle w:val="TableGrid"/>
        <w:tblW w:w="4594" w:type="pct"/>
        <w:tblInd w:w="737" w:type="dxa"/>
        <w:tblCellMar>
          <w:left w:w="28" w:type="dxa"/>
          <w:right w:w="28" w:type="dxa"/>
        </w:tblCellMar>
        <w:tblLook w:val="04A0" w:firstRow="1" w:lastRow="0" w:firstColumn="1" w:lastColumn="0" w:noHBand="0" w:noVBand="1"/>
        <w:tblCaption w:val="Table 3: Results of clinically relevant outcomes (OS and PFS) for the included studies"/>
      </w:tblPr>
      <w:tblGrid>
        <w:gridCol w:w="1701"/>
        <w:gridCol w:w="1419"/>
        <w:gridCol w:w="1133"/>
        <w:gridCol w:w="1133"/>
        <w:gridCol w:w="993"/>
        <w:gridCol w:w="1090"/>
        <w:gridCol w:w="876"/>
      </w:tblGrid>
      <w:tr w:rsidR="00122EBE" w:rsidRPr="00FF044C" w:rsidTr="00122EBE">
        <w:trPr>
          <w:tblHeader/>
        </w:trPr>
        <w:tc>
          <w:tcPr>
            <w:tcW w:w="1019" w:type="pct"/>
          </w:tcPr>
          <w:p w:rsidR="00122EBE" w:rsidRPr="00FF044C" w:rsidRDefault="00122EBE" w:rsidP="008A42CC">
            <w:pPr>
              <w:pStyle w:val="Tabletext"/>
            </w:pPr>
            <w:r w:rsidRPr="00FF044C">
              <w:rPr>
                <w:rFonts w:ascii="Times New Roman" w:hAnsi="Times New Roman"/>
              </w:rPr>
              <w:t>─</w:t>
            </w:r>
          </w:p>
        </w:tc>
        <w:tc>
          <w:tcPr>
            <w:tcW w:w="2803" w:type="pct"/>
            <w:gridSpan w:val="4"/>
            <w:tcBorders>
              <w:right w:val="double" w:sz="4" w:space="0" w:color="auto"/>
            </w:tcBorders>
          </w:tcPr>
          <w:p w:rsidR="00122EBE" w:rsidRPr="00FF044C" w:rsidRDefault="00122EBE" w:rsidP="008A42CC">
            <w:pPr>
              <w:pStyle w:val="Tabletext"/>
              <w:jc w:val="center"/>
              <w:rPr>
                <w:b/>
              </w:rPr>
            </w:pPr>
            <w:r w:rsidRPr="00FF044C">
              <w:rPr>
                <w:b/>
              </w:rPr>
              <w:t>Brentuximab vedotin</w:t>
            </w:r>
          </w:p>
        </w:tc>
        <w:tc>
          <w:tcPr>
            <w:tcW w:w="1178" w:type="pct"/>
            <w:gridSpan w:val="2"/>
          </w:tcPr>
          <w:p w:rsidR="00122EBE" w:rsidRPr="00FF044C" w:rsidRDefault="00122EBE" w:rsidP="008A42CC">
            <w:pPr>
              <w:pStyle w:val="Tabletext"/>
              <w:jc w:val="center"/>
              <w:rPr>
                <w:b/>
              </w:rPr>
            </w:pPr>
            <w:r w:rsidRPr="00FF044C">
              <w:rPr>
                <w:b/>
              </w:rPr>
              <w:t>Salvage chemotherapy</w:t>
            </w:r>
          </w:p>
        </w:tc>
      </w:tr>
      <w:tr w:rsidR="00122EBE" w:rsidRPr="00FF044C" w:rsidTr="000F5278">
        <w:trPr>
          <w:tblHeader/>
        </w:trPr>
        <w:tc>
          <w:tcPr>
            <w:tcW w:w="1019" w:type="pct"/>
            <w:vAlign w:val="center"/>
          </w:tcPr>
          <w:p w:rsidR="00122EBE" w:rsidRPr="00FF044C" w:rsidRDefault="00122EBE" w:rsidP="008A42CC">
            <w:pPr>
              <w:pStyle w:val="Tabletext"/>
              <w:rPr>
                <w:b/>
              </w:rPr>
            </w:pPr>
            <w:r w:rsidRPr="00FF044C">
              <w:rPr>
                <w:b/>
              </w:rPr>
              <w:t>Study</w:t>
            </w:r>
          </w:p>
        </w:tc>
        <w:tc>
          <w:tcPr>
            <w:tcW w:w="850" w:type="pct"/>
          </w:tcPr>
          <w:p w:rsidR="00122EBE" w:rsidRPr="00FF044C" w:rsidRDefault="00122EBE" w:rsidP="008A42CC">
            <w:pPr>
              <w:pStyle w:val="Tabletext"/>
              <w:jc w:val="center"/>
              <w:rPr>
                <w:b/>
              </w:rPr>
            </w:pPr>
            <w:r w:rsidRPr="00FF044C">
              <w:rPr>
                <w:b/>
              </w:rPr>
              <w:t>Bröckelmann 2016</w:t>
            </w:r>
          </w:p>
        </w:tc>
        <w:tc>
          <w:tcPr>
            <w:tcW w:w="679" w:type="pct"/>
          </w:tcPr>
          <w:p w:rsidR="00122EBE" w:rsidRPr="00FF044C" w:rsidRDefault="00122EBE" w:rsidP="008A42CC">
            <w:pPr>
              <w:pStyle w:val="Tabletext"/>
              <w:jc w:val="center"/>
              <w:rPr>
                <w:b/>
              </w:rPr>
            </w:pPr>
            <w:r w:rsidRPr="00FF044C">
              <w:rPr>
                <w:b/>
              </w:rPr>
              <w:t>Sasse 2013</w:t>
            </w:r>
          </w:p>
        </w:tc>
        <w:tc>
          <w:tcPr>
            <w:tcW w:w="679" w:type="pct"/>
          </w:tcPr>
          <w:p w:rsidR="00122EBE" w:rsidRPr="00FF044C" w:rsidRDefault="00122EBE" w:rsidP="008A42CC">
            <w:pPr>
              <w:pStyle w:val="Tabletext"/>
              <w:jc w:val="center"/>
              <w:rPr>
                <w:b/>
              </w:rPr>
            </w:pPr>
            <w:r w:rsidRPr="00FF044C">
              <w:rPr>
                <w:b/>
              </w:rPr>
              <w:t>Viviani 2015</w:t>
            </w:r>
          </w:p>
        </w:tc>
        <w:tc>
          <w:tcPr>
            <w:tcW w:w="594" w:type="pct"/>
            <w:tcBorders>
              <w:right w:val="double" w:sz="4" w:space="0" w:color="auto"/>
            </w:tcBorders>
          </w:tcPr>
          <w:p w:rsidR="00122EBE" w:rsidRPr="00FF044C" w:rsidRDefault="00122EBE" w:rsidP="008A42CC">
            <w:pPr>
              <w:pStyle w:val="Tabletext"/>
              <w:jc w:val="center"/>
              <w:rPr>
                <w:b/>
              </w:rPr>
            </w:pPr>
            <w:r w:rsidRPr="00FF044C">
              <w:rPr>
                <w:b/>
              </w:rPr>
              <w:t>Study C25007</w:t>
            </w:r>
          </w:p>
        </w:tc>
        <w:tc>
          <w:tcPr>
            <w:tcW w:w="653" w:type="pct"/>
          </w:tcPr>
          <w:p w:rsidR="00122EBE" w:rsidRPr="00FF044C" w:rsidRDefault="00122EBE" w:rsidP="008A42CC">
            <w:pPr>
              <w:pStyle w:val="Tabletext"/>
              <w:jc w:val="center"/>
              <w:rPr>
                <w:b/>
              </w:rPr>
            </w:pPr>
            <w:r w:rsidRPr="00FF044C">
              <w:rPr>
                <w:b/>
              </w:rPr>
              <w:t>Santoro 2000</w:t>
            </w:r>
          </w:p>
        </w:tc>
        <w:tc>
          <w:tcPr>
            <w:tcW w:w="525" w:type="pct"/>
            <w:tcBorders>
              <w:right w:val="single" w:sz="4" w:space="0" w:color="auto"/>
            </w:tcBorders>
          </w:tcPr>
          <w:p w:rsidR="00122EBE" w:rsidRPr="00FF044C" w:rsidRDefault="00122EBE" w:rsidP="008A42CC">
            <w:pPr>
              <w:pStyle w:val="Tabletext"/>
              <w:jc w:val="center"/>
              <w:rPr>
                <w:b/>
              </w:rPr>
            </w:pPr>
            <w:r w:rsidRPr="00FF044C">
              <w:rPr>
                <w:b/>
              </w:rPr>
              <w:t>Oki 2008</w:t>
            </w:r>
          </w:p>
        </w:tc>
      </w:tr>
      <w:tr w:rsidR="00122EBE" w:rsidRPr="00FF044C" w:rsidTr="000F5278">
        <w:trPr>
          <w:tblHeader/>
        </w:trPr>
        <w:tc>
          <w:tcPr>
            <w:tcW w:w="1019" w:type="pct"/>
            <w:vAlign w:val="center"/>
          </w:tcPr>
          <w:p w:rsidR="00122EBE" w:rsidRPr="00FF044C" w:rsidRDefault="00D4761F" w:rsidP="008A42CC">
            <w:pPr>
              <w:pStyle w:val="Tabletext"/>
              <w:rPr>
                <w:b/>
              </w:rPr>
            </w:pPr>
            <w:r w:rsidRPr="00FF044C">
              <w:t>N</w:t>
            </w:r>
          </w:p>
        </w:tc>
        <w:tc>
          <w:tcPr>
            <w:tcW w:w="850" w:type="pct"/>
          </w:tcPr>
          <w:p w:rsidR="00122EBE" w:rsidRPr="00FF044C" w:rsidRDefault="00122EBE" w:rsidP="008A42CC">
            <w:pPr>
              <w:pStyle w:val="Tabletext"/>
              <w:jc w:val="center"/>
              <w:rPr>
                <w:b/>
              </w:rPr>
            </w:pPr>
            <w:r w:rsidRPr="00FF044C">
              <w:rPr>
                <w:b/>
              </w:rPr>
              <w:t>125</w:t>
            </w:r>
          </w:p>
        </w:tc>
        <w:tc>
          <w:tcPr>
            <w:tcW w:w="679" w:type="pct"/>
          </w:tcPr>
          <w:p w:rsidR="00122EBE" w:rsidRPr="00FF044C" w:rsidRDefault="00122EBE" w:rsidP="008A42CC">
            <w:pPr>
              <w:pStyle w:val="Tabletext"/>
              <w:jc w:val="center"/>
              <w:rPr>
                <w:b/>
              </w:rPr>
            </w:pPr>
            <w:r w:rsidRPr="00FF044C">
              <w:rPr>
                <w:b/>
              </w:rPr>
              <w:t>14</w:t>
            </w:r>
          </w:p>
        </w:tc>
        <w:tc>
          <w:tcPr>
            <w:tcW w:w="679" w:type="pct"/>
          </w:tcPr>
          <w:p w:rsidR="00122EBE" w:rsidRPr="00FF044C" w:rsidRDefault="00122EBE" w:rsidP="008A42CC">
            <w:pPr>
              <w:pStyle w:val="Tabletext"/>
              <w:jc w:val="center"/>
              <w:rPr>
                <w:b/>
              </w:rPr>
            </w:pPr>
            <w:r w:rsidRPr="00FF044C">
              <w:rPr>
                <w:b/>
              </w:rPr>
              <w:t>20</w:t>
            </w:r>
          </w:p>
        </w:tc>
        <w:tc>
          <w:tcPr>
            <w:tcW w:w="594" w:type="pct"/>
            <w:tcBorders>
              <w:right w:val="double" w:sz="4" w:space="0" w:color="auto"/>
            </w:tcBorders>
          </w:tcPr>
          <w:p w:rsidR="00122EBE" w:rsidRPr="00FF044C" w:rsidRDefault="00122EBE" w:rsidP="008A42CC">
            <w:pPr>
              <w:pStyle w:val="Tabletext"/>
              <w:jc w:val="center"/>
              <w:rPr>
                <w:b/>
              </w:rPr>
            </w:pPr>
            <w:r w:rsidRPr="00FF044C">
              <w:rPr>
                <w:b/>
              </w:rPr>
              <w:t>56</w:t>
            </w:r>
          </w:p>
        </w:tc>
        <w:tc>
          <w:tcPr>
            <w:tcW w:w="653" w:type="pct"/>
          </w:tcPr>
          <w:p w:rsidR="00122EBE" w:rsidRPr="00FF044C" w:rsidRDefault="00122EBE" w:rsidP="008A42CC">
            <w:pPr>
              <w:pStyle w:val="Tabletext"/>
              <w:jc w:val="center"/>
              <w:rPr>
                <w:b/>
              </w:rPr>
            </w:pPr>
            <w:r w:rsidRPr="00FF044C">
              <w:rPr>
                <w:b/>
              </w:rPr>
              <w:t>23</w:t>
            </w:r>
          </w:p>
        </w:tc>
        <w:tc>
          <w:tcPr>
            <w:tcW w:w="525" w:type="pct"/>
            <w:tcBorders>
              <w:right w:val="single" w:sz="4" w:space="0" w:color="auto"/>
            </w:tcBorders>
          </w:tcPr>
          <w:p w:rsidR="00122EBE" w:rsidRPr="00FF044C" w:rsidRDefault="00122EBE" w:rsidP="008A42CC">
            <w:pPr>
              <w:pStyle w:val="Tabletext"/>
              <w:jc w:val="center"/>
              <w:rPr>
                <w:b/>
              </w:rPr>
            </w:pPr>
            <w:r w:rsidRPr="00FF044C">
              <w:rPr>
                <w:b/>
              </w:rPr>
              <w:t>15</w:t>
            </w:r>
          </w:p>
        </w:tc>
      </w:tr>
      <w:tr w:rsidR="00122EBE" w:rsidRPr="00FF044C" w:rsidTr="000F5278">
        <w:tc>
          <w:tcPr>
            <w:tcW w:w="1019" w:type="pct"/>
          </w:tcPr>
          <w:p w:rsidR="00122EBE" w:rsidRPr="00FF044C" w:rsidRDefault="00122EBE" w:rsidP="008A42CC">
            <w:pPr>
              <w:pStyle w:val="Tabletext"/>
            </w:pPr>
            <w:r w:rsidRPr="00FF044C">
              <w:t>Median follow-up, months</w:t>
            </w:r>
          </w:p>
        </w:tc>
        <w:tc>
          <w:tcPr>
            <w:tcW w:w="850" w:type="pct"/>
          </w:tcPr>
          <w:p w:rsidR="00122EBE" w:rsidRPr="00FF044C" w:rsidRDefault="00122EBE" w:rsidP="00122EBE">
            <w:pPr>
              <w:pStyle w:val="Tabletext"/>
              <w:jc w:val="center"/>
              <w:rPr>
                <w:vertAlign w:val="superscript"/>
              </w:rPr>
            </w:pPr>
            <w:r w:rsidRPr="00FF044C">
              <w:t xml:space="preserve">38.5 (10.4, 94.4) </w:t>
            </w:r>
            <w:r w:rsidRPr="00FF044C">
              <w:rPr>
                <w:vertAlign w:val="superscript"/>
              </w:rPr>
              <w:t>a</w:t>
            </w:r>
          </w:p>
        </w:tc>
        <w:tc>
          <w:tcPr>
            <w:tcW w:w="679" w:type="pct"/>
          </w:tcPr>
          <w:p w:rsidR="00122EBE" w:rsidRPr="00FF044C" w:rsidRDefault="00122EBE" w:rsidP="008A42CC">
            <w:pPr>
              <w:pStyle w:val="Tabletext"/>
              <w:jc w:val="center"/>
            </w:pPr>
            <w:r w:rsidRPr="00FF044C">
              <w:t>NR</w:t>
            </w:r>
          </w:p>
        </w:tc>
        <w:tc>
          <w:tcPr>
            <w:tcW w:w="679" w:type="pct"/>
          </w:tcPr>
          <w:p w:rsidR="00122EBE" w:rsidRPr="00FF044C" w:rsidRDefault="00122EBE" w:rsidP="008A42CC">
            <w:pPr>
              <w:pStyle w:val="Tabletext"/>
              <w:jc w:val="center"/>
            </w:pPr>
            <w:r w:rsidRPr="00FF044C">
              <w:t>14 (1,36)</w:t>
            </w:r>
          </w:p>
        </w:tc>
        <w:tc>
          <w:tcPr>
            <w:tcW w:w="594" w:type="pct"/>
            <w:tcBorders>
              <w:right w:val="double" w:sz="4" w:space="0" w:color="auto"/>
            </w:tcBorders>
          </w:tcPr>
          <w:p w:rsidR="00122EBE" w:rsidRPr="00FF044C" w:rsidRDefault="00122EBE" w:rsidP="008A42CC">
            <w:pPr>
              <w:pStyle w:val="Tabletext"/>
              <w:jc w:val="center"/>
            </w:pPr>
            <w:r w:rsidRPr="00FF044C">
              <w:t>NR</w:t>
            </w:r>
          </w:p>
        </w:tc>
        <w:tc>
          <w:tcPr>
            <w:tcW w:w="653" w:type="pct"/>
          </w:tcPr>
          <w:p w:rsidR="00122EBE" w:rsidRPr="00FF044C" w:rsidRDefault="00122EBE" w:rsidP="008A42CC">
            <w:pPr>
              <w:pStyle w:val="Tabletext"/>
              <w:jc w:val="center"/>
            </w:pPr>
            <w:r w:rsidRPr="00FF044C">
              <w:t>NR</w:t>
            </w:r>
          </w:p>
        </w:tc>
        <w:tc>
          <w:tcPr>
            <w:tcW w:w="525" w:type="pct"/>
            <w:tcBorders>
              <w:right w:val="single" w:sz="4" w:space="0" w:color="auto"/>
            </w:tcBorders>
          </w:tcPr>
          <w:p w:rsidR="00122EBE" w:rsidRPr="00FF044C" w:rsidRDefault="00122EBE" w:rsidP="008A42CC">
            <w:pPr>
              <w:pStyle w:val="Tabletext"/>
              <w:jc w:val="center"/>
            </w:pPr>
            <w:r w:rsidRPr="00FF044C">
              <w:t>NR</w:t>
            </w:r>
          </w:p>
        </w:tc>
      </w:tr>
      <w:tr w:rsidR="00122EBE" w:rsidRPr="00FF044C" w:rsidTr="000F5278">
        <w:tc>
          <w:tcPr>
            <w:tcW w:w="1019" w:type="pct"/>
          </w:tcPr>
          <w:p w:rsidR="00122EBE" w:rsidRPr="00FF044C" w:rsidRDefault="00122EBE" w:rsidP="008A42CC">
            <w:pPr>
              <w:pStyle w:val="Tabletext"/>
            </w:pPr>
            <w:r w:rsidRPr="00FF044C">
              <w:t xml:space="preserve">Median PFS, months (95%CI) </w:t>
            </w:r>
          </w:p>
        </w:tc>
        <w:tc>
          <w:tcPr>
            <w:tcW w:w="850" w:type="pct"/>
          </w:tcPr>
          <w:p w:rsidR="00122EBE" w:rsidRPr="00FF044C" w:rsidRDefault="00122EBE" w:rsidP="008A42CC">
            <w:pPr>
              <w:pStyle w:val="Tabletext"/>
              <w:jc w:val="center"/>
            </w:pPr>
            <w:r w:rsidRPr="00FF044C">
              <w:t>15.1 (8.9, 22.0)</w:t>
            </w:r>
          </w:p>
        </w:tc>
        <w:tc>
          <w:tcPr>
            <w:tcW w:w="679" w:type="pct"/>
          </w:tcPr>
          <w:p w:rsidR="00122EBE" w:rsidRPr="00FF044C" w:rsidRDefault="00122EBE" w:rsidP="008A42CC">
            <w:pPr>
              <w:pStyle w:val="Tabletext"/>
              <w:jc w:val="center"/>
            </w:pPr>
            <w:r w:rsidRPr="00FF044C">
              <w:t>9 (NR)</w:t>
            </w:r>
          </w:p>
        </w:tc>
        <w:tc>
          <w:tcPr>
            <w:tcW w:w="679" w:type="pct"/>
          </w:tcPr>
          <w:p w:rsidR="00122EBE" w:rsidRPr="00FF044C" w:rsidRDefault="00122EBE" w:rsidP="008A42CC">
            <w:pPr>
              <w:pStyle w:val="Tabletext"/>
              <w:jc w:val="center"/>
            </w:pPr>
            <w:r w:rsidRPr="00FF044C">
              <w:t>NR</w:t>
            </w:r>
          </w:p>
        </w:tc>
        <w:tc>
          <w:tcPr>
            <w:tcW w:w="594" w:type="pct"/>
            <w:tcBorders>
              <w:right w:val="double" w:sz="4" w:space="0" w:color="auto"/>
            </w:tcBorders>
          </w:tcPr>
          <w:p w:rsidR="00122EBE" w:rsidRPr="00FF044C" w:rsidRDefault="00122EBE" w:rsidP="008A42CC">
            <w:pPr>
              <w:pStyle w:val="Tabletext"/>
              <w:jc w:val="center"/>
            </w:pPr>
            <w:r w:rsidRPr="00FF044C">
              <w:t>5 (NR)</w:t>
            </w:r>
          </w:p>
        </w:tc>
        <w:tc>
          <w:tcPr>
            <w:tcW w:w="653" w:type="pct"/>
          </w:tcPr>
          <w:p w:rsidR="00122EBE" w:rsidRPr="00FF044C" w:rsidRDefault="00122EBE" w:rsidP="008A42CC">
            <w:pPr>
              <w:pStyle w:val="Tabletext"/>
              <w:jc w:val="center"/>
            </w:pPr>
            <w:r w:rsidRPr="00FF044C">
              <w:t>NR</w:t>
            </w:r>
          </w:p>
        </w:tc>
        <w:tc>
          <w:tcPr>
            <w:tcW w:w="525" w:type="pct"/>
            <w:tcBorders>
              <w:right w:val="single" w:sz="4" w:space="0" w:color="auto"/>
            </w:tcBorders>
          </w:tcPr>
          <w:p w:rsidR="00122EBE" w:rsidRPr="00FF044C" w:rsidRDefault="00122EBE" w:rsidP="00122EBE">
            <w:pPr>
              <w:pStyle w:val="Tabletext"/>
              <w:jc w:val="center"/>
              <w:rPr>
                <w:vertAlign w:val="superscript"/>
              </w:rPr>
            </w:pPr>
            <w:r w:rsidRPr="00FF044C">
              <w:t xml:space="preserve">2.3 (NR) </w:t>
            </w:r>
            <w:r w:rsidRPr="00FF044C">
              <w:rPr>
                <w:vertAlign w:val="superscript"/>
              </w:rPr>
              <w:t>b</w:t>
            </w:r>
          </w:p>
        </w:tc>
      </w:tr>
      <w:tr w:rsidR="00122EBE" w:rsidRPr="00FF044C" w:rsidTr="000F5278">
        <w:tc>
          <w:tcPr>
            <w:tcW w:w="1019" w:type="pct"/>
          </w:tcPr>
          <w:p w:rsidR="00122EBE" w:rsidRPr="00FF044C" w:rsidRDefault="00122EBE" w:rsidP="008A42CC">
            <w:pPr>
              <w:pStyle w:val="Tabletext"/>
            </w:pPr>
            <w:r w:rsidRPr="00FF044C">
              <w:t xml:space="preserve">Median OS, months (95%CI) </w:t>
            </w:r>
          </w:p>
        </w:tc>
        <w:tc>
          <w:tcPr>
            <w:tcW w:w="850" w:type="pct"/>
          </w:tcPr>
          <w:p w:rsidR="00122EBE" w:rsidRPr="00FF044C" w:rsidRDefault="00122EBE" w:rsidP="008A42CC">
            <w:pPr>
              <w:pStyle w:val="Tabletext"/>
              <w:jc w:val="center"/>
            </w:pPr>
            <w:r w:rsidRPr="00FF044C">
              <w:t>17.8 (13.7-33.5)</w:t>
            </w:r>
          </w:p>
        </w:tc>
        <w:tc>
          <w:tcPr>
            <w:tcW w:w="679" w:type="pct"/>
          </w:tcPr>
          <w:p w:rsidR="00122EBE" w:rsidRPr="00FF044C" w:rsidRDefault="00122EBE" w:rsidP="008A42CC">
            <w:pPr>
              <w:pStyle w:val="Tabletext"/>
              <w:jc w:val="center"/>
            </w:pPr>
            <w:r w:rsidRPr="00FF044C">
              <w:t>Not reached</w:t>
            </w:r>
          </w:p>
        </w:tc>
        <w:tc>
          <w:tcPr>
            <w:tcW w:w="679" w:type="pct"/>
          </w:tcPr>
          <w:p w:rsidR="00122EBE" w:rsidRPr="00FF044C" w:rsidRDefault="00122EBE" w:rsidP="008A42CC">
            <w:pPr>
              <w:pStyle w:val="Tabletext"/>
              <w:jc w:val="center"/>
            </w:pPr>
            <w:r w:rsidRPr="00FF044C">
              <w:t>Not reached</w:t>
            </w:r>
          </w:p>
        </w:tc>
        <w:tc>
          <w:tcPr>
            <w:tcW w:w="594" w:type="pct"/>
            <w:tcBorders>
              <w:right w:val="double" w:sz="4" w:space="0" w:color="auto"/>
            </w:tcBorders>
          </w:tcPr>
          <w:p w:rsidR="00122EBE" w:rsidRPr="00FF044C" w:rsidRDefault="00122EBE" w:rsidP="008A42CC">
            <w:pPr>
              <w:pStyle w:val="Tabletext"/>
              <w:jc w:val="center"/>
            </w:pPr>
            <w:r w:rsidRPr="00FF044C">
              <w:t>Not reached</w:t>
            </w:r>
          </w:p>
        </w:tc>
        <w:tc>
          <w:tcPr>
            <w:tcW w:w="653" w:type="pct"/>
          </w:tcPr>
          <w:p w:rsidR="00122EBE" w:rsidRPr="00FF044C" w:rsidRDefault="00122EBE" w:rsidP="00122EBE">
            <w:pPr>
              <w:pStyle w:val="Tabletext"/>
              <w:jc w:val="center"/>
            </w:pPr>
            <w:r w:rsidRPr="00FF044C">
              <w:t>10.7 (4-34.7)</w:t>
            </w:r>
          </w:p>
        </w:tc>
        <w:tc>
          <w:tcPr>
            <w:tcW w:w="525" w:type="pct"/>
            <w:tcBorders>
              <w:right w:val="single" w:sz="4" w:space="0" w:color="auto"/>
            </w:tcBorders>
          </w:tcPr>
          <w:p w:rsidR="00122EBE" w:rsidRPr="00FF044C" w:rsidRDefault="00122EBE" w:rsidP="008A42CC">
            <w:pPr>
              <w:pStyle w:val="Tabletext"/>
              <w:jc w:val="center"/>
            </w:pPr>
            <w:r w:rsidRPr="00FF044C">
              <w:t>NR</w:t>
            </w:r>
          </w:p>
        </w:tc>
      </w:tr>
      <w:tr w:rsidR="00122EBE" w:rsidRPr="00FF044C" w:rsidTr="000F5278">
        <w:tc>
          <w:tcPr>
            <w:tcW w:w="1019" w:type="pct"/>
          </w:tcPr>
          <w:p w:rsidR="00122EBE" w:rsidRPr="00FF044C" w:rsidRDefault="00122EBE" w:rsidP="008A42CC">
            <w:pPr>
              <w:pStyle w:val="Tabletext"/>
            </w:pPr>
            <w:r w:rsidRPr="00FF044C">
              <w:t>OS at 1 year, % (95% CI)</w:t>
            </w:r>
          </w:p>
        </w:tc>
        <w:tc>
          <w:tcPr>
            <w:tcW w:w="850" w:type="pct"/>
          </w:tcPr>
          <w:p w:rsidR="00122EBE" w:rsidRPr="00FF044C" w:rsidRDefault="00122EBE" w:rsidP="008A42CC">
            <w:pPr>
              <w:pStyle w:val="Tabletext"/>
              <w:jc w:val="center"/>
            </w:pPr>
            <w:r w:rsidRPr="00FF044C">
              <w:t>68.2% (59.2, 77.1)</w:t>
            </w:r>
          </w:p>
        </w:tc>
        <w:tc>
          <w:tcPr>
            <w:tcW w:w="679" w:type="pct"/>
          </w:tcPr>
          <w:p w:rsidR="00122EBE" w:rsidRPr="00FF044C" w:rsidRDefault="00122EBE" w:rsidP="008A42CC">
            <w:pPr>
              <w:pStyle w:val="Tabletext"/>
              <w:jc w:val="center"/>
            </w:pPr>
            <w:r w:rsidRPr="00FF044C">
              <w:t>69% (39-100)</w:t>
            </w:r>
          </w:p>
        </w:tc>
        <w:tc>
          <w:tcPr>
            <w:tcW w:w="679" w:type="pct"/>
          </w:tcPr>
          <w:p w:rsidR="00122EBE" w:rsidRPr="00FF044C" w:rsidRDefault="00122EBE" w:rsidP="008A42CC">
            <w:pPr>
              <w:pStyle w:val="Tabletext"/>
              <w:jc w:val="center"/>
            </w:pPr>
            <w:r w:rsidRPr="00FF044C">
              <w:t>NR</w:t>
            </w:r>
          </w:p>
        </w:tc>
        <w:tc>
          <w:tcPr>
            <w:tcW w:w="594" w:type="pct"/>
            <w:tcBorders>
              <w:right w:val="double" w:sz="4" w:space="0" w:color="auto"/>
            </w:tcBorders>
            <w:vAlign w:val="center"/>
          </w:tcPr>
          <w:p w:rsidR="00122EBE" w:rsidRPr="00FF044C" w:rsidRDefault="003C460A" w:rsidP="008A42CC">
            <w:pPr>
              <w:pStyle w:val="Tabletext"/>
              <w:jc w:val="center"/>
            </w:pPr>
            <w:r>
              <w:rPr>
                <w:rFonts w:cs="Arial"/>
                <w:noProof/>
                <w:color w:val="000000"/>
                <w:highlight w:val="black"/>
              </w:rPr>
              <w:t>'''''</w:t>
            </w:r>
            <w:r w:rsidR="00122EBE" w:rsidRPr="00FF044C">
              <w:rPr>
                <w:rFonts w:cs="Arial"/>
              </w:rPr>
              <w:t>% (</w:t>
            </w:r>
            <w:r>
              <w:rPr>
                <w:rFonts w:cs="Arial"/>
                <w:noProof/>
                <w:color w:val="000000"/>
                <w:highlight w:val="black"/>
              </w:rPr>
              <w:t>'''''''</w:t>
            </w:r>
            <w:r w:rsidR="00122EBE" w:rsidRPr="00FF044C">
              <w:rPr>
                <w:rFonts w:cs="Arial"/>
              </w:rPr>
              <w:t>-</w:t>
            </w:r>
            <w:r>
              <w:rPr>
                <w:rFonts w:cs="Arial"/>
                <w:noProof/>
                <w:color w:val="000000"/>
                <w:highlight w:val="black"/>
              </w:rPr>
              <w:t>'''''</w:t>
            </w:r>
            <w:r w:rsidR="00122EBE" w:rsidRPr="00FF044C">
              <w:rPr>
                <w:rFonts w:cs="Arial"/>
              </w:rPr>
              <w:t>)</w:t>
            </w:r>
          </w:p>
        </w:tc>
        <w:tc>
          <w:tcPr>
            <w:tcW w:w="653" w:type="pct"/>
          </w:tcPr>
          <w:p w:rsidR="00122EBE" w:rsidRPr="00FF044C" w:rsidRDefault="00122EBE" w:rsidP="008A42CC">
            <w:pPr>
              <w:pStyle w:val="Tabletext"/>
              <w:jc w:val="center"/>
            </w:pPr>
            <w:r w:rsidRPr="00FF044C">
              <w:t>NR</w:t>
            </w:r>
          </w:p>
        </w:tc>
        <w:tc>
          <w:tcPr>
            <w:tcW w:w="525" w:type="pct"/>
            <w:tcBorders>
              <w:right w:val="single" w:sz="4" w:space="0" w:color="auto"/>
            </w:tcBorders>
          </w:tcPr>
          <w:p w:rsidR="00122EBE" w:rsidRPr="00FF044C" w:rsidRDefault="00122EBE" w:rsidP="008A42CC">
            <w:pPr>
              <w:pStyle w:val="Tabletext"/>
              <w:jc w:val="center"/>
            </w:pPr>
            <w:r w:rsidRPr="00FF044C">
              <w:t>NR</w:t>
            </w:r>
          </w:p>
        </w:tc>
      </w:tr>
      <w:tr w:rsidR="00122EBE" w:rsidRPr="00FF044C" w:rsidTr="000F5278">
        <w:tc>
          <w:tcPr>
            <w:tcW w:w="1019" w:type="pct"/>
          </w:tcPr>
          <w:p w:rsidR="00122EBE" w:rsidRPr="00FF044C" w:rsidRDefault="00122EBE" w:rsidP="008A42CC">
            <w:pPr>
              <w:pStyle w:val="Tabletext"/>
            </w:pPr>
            <w:r w:rsidRPr="00FF044C">
              <w:t>OS at 2 years, % (95% CI)</w:t>
            </w:r>
          </w:p>
        </w:tc>
        <w:tc>
          <w:tcPr>
            <w:tcW w:w="850" w:type="pct"/>
          </w:tcPr>
          <w:p w:rsidR="00122EBE" w:rsidRPr="00FF044C" w:rsidRDefault="00122EBE" w:rsidP="008A42CC">
            <w:pPr>
              <w:pStyle w:val="Tabletext"/>
              <w:jc w:val="center"/>
            </w:pPr>
            <w:r w:rsidRPr="00FF044C">
              <w:t>NR</w:t>
            </w:r>
          </w:p>
        </w:tc>
        <w:tc>
          <w:tcPr>
            <w:tcW w:w="679" w:type="pct"/>
          </w:tcPr>
          <w:p w:rsidR="00122EBE" w:rsidRPr="00FF044C" w:rsidRDefault="00122EBE" w:rsidP="008A42CC">
            <w:pPr>
              <w:pStyle w:val="Tabletext"/>
              <w:jc w:val="center"/>
            </w:pPr>
            <w:r w:rsidRPr="00FF044C">
              <w:t>NR</w:t>
            </w:r>
          </w:p>
        </w:tc>
        <w:tc>
          <w:tcPr>
            <w:tcW w:w="679" w:type="pct"/>
          </w:tcPr>
          <w:p w:rsidR="00122EBE" w:rsidRPr="00FF044C" w:rsidRDefault="00122EBE" w:rsidP="008A42CC">
            <w:pPr>
              <w:pStyle w:val="Tabletext"/>
              <w:jc w:val="center"/>
            </w:pPr>
            <w:r w:rsidRPr="00FF044C">
              <w:t>70%</w:t>
            </w:r>
          </w:p>
        </w:tc>
        <w:tc>
          <w:tcPr>
            <w:tcW w:w="594" w:type="pct"/>
            <w:tcBorders>
              <w:right w:val="double" w:sz="4" w:space="0" w:color="auto"/>
            </w:tcBorders>
            <w:vAlign w:val="center"/>
          </w:tcPr>
          <w:p w:rsidR="00122EBE" w:rsidRPr="00FF044C" w:rsidRDefault="003C460A" w:rsidP="008A42CC">
            <w:pPr>
              <w:pStyle w:val="Tabletext"/>
              <w:jc w:val="center"/>
            </w:pPr>
            <w:r>
              <w:rPr>
                <w:rFonts w:cs="Arial"/>
                <w:noProof/>
                <w:color w:val="000000"/>
                <w:highlight w:val="black"/>
              </w:rPr>
              <w:t>'''''''</w:t>
            </w:r>
            <w:r w:rsidR="00122EBE" w:rsidRPr="00FF044C">
              <w:rPr>
                <w:rFonts w:cs="Arial"/>
              </w:rPr>
              <w:t xml:space="preserve">% </w:t>
            </w:r>
            <w:r>
              <w:rPr>
                <w:rFonts w:cs="Arial"/>
                <w:noProof/>
                <w:color w:val="000000"/>
                <w:highlight w:val="black"/>
              </w:rPr>
              <w:t>''''''''</w:t>
            </w:r>
            <w:r w:rsidR="00122EBE" w:rsidRPr="00FF044C">
              <w:rPr>
                <w:rFonts w:cs="Arial"/>
              </w:rPr>
              <w:t>-</w:t>
            </w:r>
            <w:r>
              <w:rPr>
                <w:rFonts w:cs="Arial"/>
                <w:noProof/>
                <w:color w:val="000000"/>
                <w:highlight w:val="black"/>
              </w:rPr>
              <w:t>'''''</w:t>
            </w:r>
            <w:r w:rsidR="00122EBE" w:rsidRPr="00FF044C">
              <w:rPr>
                <w:rFonts w:cs="Arial"/>
              </w:rPr>
              <w:t>)</w:t>
            </w:r>
          </w:p>
        </w:tc>
        <w:tc>
          <w:tcPr>
            <w:tcW w:w="653" w:type="pct"/>
          </w:tcPr>
          <w:p w:rsidR="00122EBE" w:rsidRPr="00FF044C" w:rsidRDefault="00122EBE" w:rsidP="008A42CC">
            <w:pPr>
              <w:pStyle w:val="Tabletext"/>
              <w:jc w:val="center"/>
            </w:pPr>
            <w:r w:rsidRPr="00FF044C">
              <w:t>NR</w:t>
            </w:r>
          </w:p>
        </w:tc>
        <w:tc>
          <w:tcPr>
            <w:tcW w:w="525" w:type="pct"/>
            <w:tcBorders>
              <w:right w:val="single" w:sz="4" w:space="0" w:color="auto"/>
            </w:tcBorders>
          </w:tcPr>
          <w:p w:rsidR="00122EBE" w:rsidRPr="00FF044C" w:rsidRDefault="00122EBE" w:rsidP="008A42CC">
            <w:pPr>
              <w:pStyle w:val="Tabletext"/>
              <w:jc w:val="center"/>
            </w:pPr>
            <w:r w:rsidRPr="00FF044C">
              <w:t>NR</w:t>
            </w:r>
          </w:p>
        </w:tc>
      </w:tr>
    </w:tbl>
    <w:p w:rsidR="00122EBE" w:rsidRPr="00FF044C" w:rsidRDefault="00122EBE" w:rsidP="00122EBE">
      <w:pPr>
        <w:pStyle w:val="TableFooter"/>
        <w:ind w:left="720"/>
      </w:pPr>
      <w:r w:rsidRPr="00FF044C">
        <w:t xml:space="preserve">Table B.6.5, p71 of the submission and the Addendum document </w:t>
      </w:r>
      <w:proofErr w:type="spellStart"/>
      <w:r w:rsidRPr="00FF044C">
        <w:t>Brentuximab</w:t>
      </w:r>
      <w:proofErr w:type="spellEnd"/>
      <w:r w:rsidRPr="00FF044C">
        <w:t xml:space="preserve"> </w:t>
      </w:r>
      <w:proofErr w:type="spellStart"/>
      <w:r w:rsidRPr="00FF044C">
        <w:t>vedotin_ASCT</w:t>
      </w:r>
      <w:proofErr w:type="spellEnd"/>
      <w:r w:rsidRPr="00FF044C">
        <w:t xml:space="preserve"> </w:t>
      </w:r>
      <w:proofErr w:type="spellStart"/>
      <w:r w:rsidRPr="00FF044C">
        <w:t>Naive_Addendum</w:t>
      </w:r>
      <w:proofErr w:type="spellEnd"/>
      <w:r w:rsidRPr="00FF044C">
        <w:t xml:space="preserve"> 1_Study C25007 results.docx</w:t>
      </w:r>
    </w:p>
    <w:p w:rsidR="00122EBE" w:rsidRPr="00FF044C" w:rsidRDefault="00122EBE" w:rsidP="00122EBE">
      <w:pPr>
        <w:pStyle w:val="TableFooter"/>
        <w:ind w:left="720"/>
      </w:pPr>
      <w:r w:rsidRPr="00FF044C">
        <w:t xml:space="preserve">CI = confidence interval; NR = not reported; OS = overall survival; </w:t>
      </w:r>
      <w:r w:rsidR="00015019">
        <w:t>PFS = progression free survival</w:t>
      </w:r>
    </w:p>
    <w:p w:rsidR="00122EBE" w:rsidRPr="00FF044C" w:rsidRDefault="00122EBE" w:rsidP="00122EBE">
      <w:pPr>
        <w:pStyle w:val="TableFooter"/>
        <w:ind w:left="720"/>
      </w:pPr>
      <w:proofErr w:type="gramStart"/>
      <w:r w:rsidRPr="00FF044C">
        <w:rPr>
          <w:vertAlign w:val="superscript"/>
        </w:rPr>
        <w:t>a</w:t>
      </w:r>
      <w:proofErr w:type="gramEnd"/>
      <w:r w:rsidRPr="00FF044C">
        <w:rPr>
          <w:vertAlign w:val="superscript"/>
        </w:rPr>
        <w:t xml:space="preserve"> </w:t>
      </w:r>
      <w:r w:rsidRPr="00FF044C">
        <w:t>Hodgkin lymphoma diagnosis, not from start of brentuximab vedotin</w:t>
      </w:r>
    </w:p>
    <w:p w:rsidR="00122EBE" w:rsidRPr="00FF044C" w:rsidRDefault="00122EBE" w:rsidP="00122EBE">
      <w:pPr>
        <w:pStyle w:val="TableFooter"/>
        <w:ind w:left="720"/>
      </w:pPr>
      <w:proofErr w:type="gramStart"/>
      <w:r w:rsidRPr="00FF044C">
        <w:rPr>
          <w:vertAlign w:val="superscript"/>
        </w:rPr>
        <w:t>b</w:t>
      </w:r>
      <w:proofErr w:type="gramEnd"/>
      <w:r w:rsidRPr="00FF044C">
        <w:rPr>
          <w:vertAlign w:val="superscript"/>
        </w:rPr>
        <w:t xml:space="preserve"> </w:t>
      </w:r>
      <w:r w:rsidRPr="00FF044C">
        <w:t>Reported as failure-free survival</w:t>
      </w:r>
    </w:p>
    <w:p w:rsidR="005D5578" w:rsidRPr="00FF044C" w:rsidRDefault="005D5578" w:rsidP="00347F15">
      <w:pPr>
        <w:pStyle w:val="ListParagraph"/>
        <w:keepNext/>
        <w:widowControl/>
      </w:pPr>
    </w:p>
    <w:p w:rsidR="005D5578" w:rsidRPr="00FF044C" w:rsidRDefault="005D5578" w:rsidP="0075545E">
      <w:pPr>
        <w:pStyle w:val="ListParagraph"/>
        <w:keepNext/>
        <w:widowControl/>
        <w:numPr>
          <w:ilvl w:val="1"/>
          <w:numId w:val="1"/>
        </w:numPr>
      </w:pPr>
      <w:r w:rsidRPr="00FF044C">
        <w:t xml:space="preserve">The submission noted that the median overall survival </w:t>
      </w:r>
      <w:r w:rsidR="000F3FB6" w:rsidRPr="00FF044C">
        <w:t xml:space="preserve">with brentuximab </w:t>
      </w:r>
      <w:r w:rsidRPr="00FF044C">
        <w:t xml:space="preserve">was 17.8 months in </w:t>
      </w:r>
      <w:r w:rsidR="006C2CF1" w:rsidRPr="00FF044C">
        <w:t>Bröckelmann</w:t>
      </w:r>
      <w:r w:rsidRPr="00FF044C">
        <w:t xml:space="preserve"> 2016 study </w:t>
      </w:r>
      <w:r w:rsidR="00B50221" w:rsidRPr="00FF044C">
        <w:t>and</w:t>
      </w:r>
      <w:r w:rsidRPr="00FF044C">
        <w:t xml:space="preserve"> 10.7 months</w:t>
      </w:r>
      <w:r w:rsidR="000F3FB6" w:rsidRPr="00FF044C">
        <w:t xml:space="preserve"> with salvage chemotherapy</w:t>
      </w:r>
      <w:r w:rsidR="00B50221" w:rsidRPr="00FF044C">
        <w:t xml:space="preserve"> in Santoro 2000</w:t>
      </w:r>
      <w:r w:rsidRPr="00FF044C">
        <w:t>. Median progression-free</w:t>
      </w:r>
      <w:r w:rsidR="00B50221" w:rsidRPr="00FF044C">
        <w:t xml:space="preserve"> survival with brentuximab was 15 months </w:t>
      </w:r>
      <w:r w:rsidRPr="00FF044C">
        <w:t xml:space="preserve">in </w:t>
      </w:r>
      <w:r w:rsidRPr="00FF044C">
        <w:lastRenderedPageBreak/>
        <w:t xml:space="preserve">the </w:t>
      </w:r>
      <w:r w:rsidR="006C2CF1" w:rsidRPr="00FF044C">
        <w:t>Bröckelmann</w:t>
      </w:r>
      <w:r w:rsidR="00B50221" w:rsidRPr="00FF044C">
        <w:t xml:space="preserve"> 2016 study and 2.3 months with salvage chemotherapy</w:t>
      </w:r>
      <w:r w:rsidRPr="00FF044C">
        <w:t xml:space="preserve"> </w:t>
      </w:r>
      <w:r w:rsidR="00B50221" w:rsidRPr="00FF044C">
        <w:t xml:space="preserve">in </w:t>
      </w:r>
      <w:r w:rsidRPr="00FF044C">
        <w:t>the subgr</w:t>
      </w:r>
      <w:r w:rsidR="00B50221" w:rsidRPr="00FF044C">
        <w:t>oup of patients in Oki 2008</w:t>
      </w:r>
      <w:r w:rsidR="00015019">
        <w:t>.</w:t>
      </w:r>
    </w:p>
    <w:p w:rsidR="000522C2" w:rsidRPr="00FF044C" w:rsidRDefault="000522C2" w:rsidP="000522C2">
      <w:pPr>
        <w:pStyle w:val="ListParagraph"/>
        <w:keepNext/>
        <w:widowControl/>
      </w:pPr>
    </w:p>
    <w:p w:rsidR="000522C2" w:rsidRPr="00FF044C" w:rsidRDefault="000522C2" w:rsidP="0075545E">
      <w:pPr>
        <w:pStyle w:val="ListParagraph"/>
        <w:keepNext/>
        <w:widowControl/>
        <w:numPr>
          <w:ilvl w:val="1"/>
          <w:numId w:val="1"/>
        </w:numPr>
      </w:pPr>
      <w:r w:rsidRPr="00FF044C">
        <w:t xml:space="preserve">The submission acknowledged the </w:t>
      </w:r>
      <w:r w:rsidR="00B221D5" w:rsidRPr="00FF044C">
        <w:t xml:space="preserve">limitations in the </w:t>
      </w:r>
      <w:r w:rsidRPr="00FF044C">
        <w:t>available survival data and presented response as the key outcome</w:t>
      </w:r>
      <w:r w:rsidR="00015019">
        <w:t xml:space="preserve"> to support the clinical claim.</w:t>
      </w:r>
    </w:p>
    <w:p w:rsidR="005D5578" w:rsidRPr="00FF044C" w:rsidRDefault="005D5578" w:rsidP="00347F15">
      <w:pPr>
        <w:pStyle w:val="ListParagraph"/>
        <w:keepNext/>
        <w:widowControl/>
      </w:pPr>
    </w:p>
    <w:p w:rsidR="005D5578" w:rsidRPr="00FF044C" w:rsidRDefault="005D5578" w:rsidP="0075545E">
      <w:pPr>
        <w:pStyle w:val="ListParagraph"/>
        <w:keepNext/>
        <w:widowControl/>
        <w:numPr>
          <w:ilvl w:val="1"/>
          <w:numId w:val="1"/>
        </w:numPr>
      </w:pPr>
      <w:r w:rsidRPr="00FF044C">
        <w:t xml:space="preserve">Table 4 summarises the overall response rates </w:t>
      </w:r>
      <w:r w:rsidR="00116EA0" w:rsidRPr="00FF044C">
        <w:t xml:space="preserve">(i.e. complete or partial response) </w:t>
      </w:r>
      <w:r w:rsidRPr="00FF044C">
        <w:t>for brentuximab vedotin an</w:t>
      </w:r>
      <w:r w:rsidR="00015019">
        <w:t>d salvage chemotherapy studies.</w:t>
      </w:r>
    </w:p>
    <w:p w:rsidR="005D5578" w:rsidRPr="00FF044C" w:rsidRDefault="005D5578" w:rsidP="00347F15">
      <w:pPr>
        <w:pStyle w:val="ListParagraph"/>
      </w:pPr>
    </w:p>
    <w:p w:rsidR="003C6348" w:rsidRPr="00FF044C" w:rsidRDefault="003C6348" w:rsidP="003C6348">
      <w:pPr>
        <w:pStyle w:val="Caption"/>
        <w:keepNext/>
        <w:spacing w:after="0"/>
        <w:ind w:left="720"/>
        <w:rPr>
          <w:rFonts w:ascii="Arial Narrow" w:hAnsi="Arial Narrow"/>
          <w:bCs w:val="0"/>
          <w:snapToGrid/>
          <w:color w:val="auto"/>
          <w:sz w:val="20"/>
          <w:szCs w:val="16"/>
        </w:rPr>
      </w:pPr>
      <w:r w:rsidRPr="00FF044C">
        <w:rPr>
          <w:rFonts w:ascii="Arial Narrow" w:hAnsi="Arial Narrow"/>
          <w:bCs w:val="0"/>
          <w:snapToGrid/>
          <w:color w:val="auto"/>
          <w:sz w:val="20"/>
          <w:szCs w:val="16"/>
        </w:rPr>
        <w:t>Table 4: Overall response rates for brentuximab vedotin and salvage chemotherapy</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4: Overall response rates for brentuximab vedotin and salvage chemotherapy"/>
      </w:tblPr>
      <w:tblGrid>
        <w:gridCol w:w="2126"/>
        <w:gridCol w:w="1276"/>
        <w:gridCol w:w="1276"/>
        <w:gridCol w:w="1134"/>
        <w:gridCol w:w="1417"/>
        <w:gridCol w:w="1134"/>
      </w:tblGrid>
      <w:tr w:rsidR="006D068C" w:rsidRPr="00FF044C" w:rsidTr="006D068C">
        <w:trPr>
          <w:cantSplit/>
          <w:tblHeader/>
        </w:trPr>
        <w:tc>
          <w:tcPr>
            <w:tcW w:w="2126" w:type="dxa"/>
          </w:tcPr>
          <w:p w:rsidR="006D068C" w:rsidRPr="00FF044C" w:rsidRDefault="006D068C" w:rsidP="008A42CC">
            <w:pPr>
              <w:pStyle w:val="Tabletext"/>
              <w:rPr>
                <w:b/>
              </w:rPr>
            </w:pPr>
          </w:p>
        </w:tc>
        <w:tc>
          <w:tcPr>
            <w:tcW w:w="1276" w:type="dxa"/>
            <w:tcBorders>
              <w:right w:val="double" w:sz="4" w:space="0" w:color="auto"/>
            </w:tcBorders>
            <w:vAlign w:val="center"/>
          </w:tcPr>
          <w:p w:rsidR="006D068C" w:rsidRPr="00FF044C" w:rsidRDefault="006D068C" w:rsidP="008A42CC">
            <w:pPr>
              <w:pStyle w:val="Tabletext"/>
              <w:jc w:val="center"/>
              <w:rPr>
                <w:b/>
              </w:rPr>
            </w:pPr>
            <w:r w:rsidRPr="00FF044C">
              <w:rPr>
                <w:b/>
              </w:rPr>
              <w:t>Brentuximab vedotin</w:t>
            </w:r>
          </w:p>
        </w:tc>
        <w:tc>
          <w:tcPr>
            <w:tcW w:w="1276" w:type="dxa"/>
            <w:tcBorders>
              <w:left w:val="double" w:sz="4" w:space="0" w:color="auto"/>
            </w:tcBorders>
            <w:vAlign w:val="center"/>
          </w:tcPr>
          <w:p w:rsidR="006D068C" w:rsidRPr="00FF044C" w:rsidRDefault="006D068C" w:rsidP="008A42CC">
            <w:pPr>
              <w:pStyle w:val="Tabletext"/>
              <w:jc w:val="center"/>
              <w:rPr>
                <w:b/>
              </w:rPr>
            </w:pPr>
            <w:r w:rsidRPr="00FF044C">
              <w:rPr>
                <w:b/>
              </w:rPr>
              <w:t>Salvage chemotherapy</w:t>
            </w:r>
          </w:p>
        </w:tc>
        <w:tc>
          <w:tcPr>
            <w:tcW w:w="1134" w:type="dxa"/>
            <w:vAlign w:val="center"/>
          </w:tcPr>
          <w:p w:rsidR="006D068C" w:rsidRPr="00FF044C" w:rsidRDefault="006D068C" w:rsidP="008A42CC">
            <w:pPr>
              <w:pStyle w:val="Tabletext"/>
              <w:jc w:val="center"/>
              <w:rPr>
                <w:b/>
              </w:rPr>
            </w:pPr>
            <w:r w:rsidRPr="00FF044C">
              <w:rPr>
                <w:b/>
              </w:rPr>
              <w:t>RR (95% CI)</w:t>
            </w:r>
          </w:p>
        </w:tc>
        <w:tc>
          <w:tcPr>
            <w:tcW w:w="1417" w:type="dxa"/>
            <w:vAlign w:val="center"/>
          </w:tcPr>
          <w:p w:rsidR="006D068C" w:rsidRPr="00FF044C" w:rsidRDefault="006D068C" w:rsidP="008A42CC">
            <w:pPr>
              <w:pStyle w:val="Tabletext"/>
              <w:jc w:val="center"/>
              <w:rPr>
                <w:b/>
              </w:rPr>
            </w:pPr>
            <w:r w:rsidRPr="00FF044C">
              <w:rPr>
                <w:b/>
              </w:rPr>
              <w:t>RD (95% CI)</w:t>
            </w:r>
          </w:p>
        </w:tc>
        <w:tc>
          <w:tcPr>
            <w:tcW w:w="1134" w:type="dxa"/>
            <w:vAlign w:val="center"/>
          </w:tcPr>
          <w:p w:rsidR="006D068C" w:rsidRPr="00FF044C" w:rsidRDefault="006D068C" w:rsidP="008A42CC">
            <w:pPr>
              <w:pStyle w:val="Tabletext"/>
              <w:jc w:val="center"/>
              <w:rPr>
                <w:b/>
              </w:rPr>
            </w:pPr>
            <w:r w:rsidRPr="00FF044C">
              <w:rPr>
                <w:b/>
              </w:rPr>
              <w:t>NNT (95% CI)</w:t>
            </w:r>
          </w:p>
        </w:tc>
      </w:tr>
      <w:tr w:rsidR="006D068C" w:rsidRPr="00FF044C" w:rsidTr="006D068C">
        <w:trPr>
          <w:cantSplit/>
        </w:trPr>
        <w:tc>
          <w:tcPr>
            <w:tcW w:w="2126" w:type="dxa"/>
          </w:tcPr>
          <w:p w:rsidR="006D068C" w:rsidRPr="00FF044C" w:rsidRDefault="006D068C" w:rsidP="008A42CC">
            <w:pPr>
              <w:pStyle w:val="Tabletext"/>
            </w:pPr>
            <w:r w:rsidRPr="00FF044C">
              <w:t>Millennium Report</w:t>
            </w:r>
          </w:p>
        </w:tc>
        <w:tc>
          <w:tcPr>
            <w:tcW w:w="1276" w:type="dxa"/>
            <w:tcBorders>
              <w:right w:val="double" w:sz="4" w:space="0" w:color="auto"/>
            </w:tcBorders>
          </w:tcPr>
          <w:p w:rsidR="006D068C" w:rsidRPr="00FF044C" w:rsidRDefault="006D068C" w:rsidP="008A42CC">
            <w:pPr>
              <w:pStyle w:val="Tabletext"/>
              <w:jc w:val="center"/>
            </w:pPr>
            <w:r w:rsidRPr="00FF044C">
              <w:t>22/41 (54%)</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Bröckelmann (2016)</w:t>
            </w:r>
          </w:p>
        </w:tc>
        <w:tc>
          <w:tcPr>
            <w:tcW w:w="1276" w:type="dxa"/>
            <w:tcBorders>
              <w:right w:val="double" w:sz="4" w:space="0" w:color="auto"/>
            </w:tcBorders>
          </w:tcPr>
          <w:p w:rsidR="006D068C" w:rsidRPr="00FF044C" w:rsidRDefault="006D068C" w:rsidP="008A42CC">
            <w:pPr>
              <w:pStyle w:val="Tabletext"/>
              <w:jc w:val="center"/>
            </w:pPr>
            <w:r w:rsidRPr="00FF044C">
              <w:t>101/136 (74%)</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Zinzani (2015)</w:t>
            </w:r>
          </w:p>
        </w:tc>
        <w:tc>
          <w:tcPr>
            <w:tcW w:w="1276" w:type="dxa"/>
            <w:tcBorders>
              <w:right w:val="double" w:sz="4" w:space="0" w:color="auto"/>
            </w:tcBorders>
          </w:tcPr>
          <w:p w:rsidR="006D068C" w:rsidRPr="00FF044C" w:rsidRDefault="006D068C" w:rsidP="008A42CC">
            <w:pPr>
              <w:pStyle w:val="Tabletext"/>
              <w:jc w:val="center"/>
            </w:pPr>
            <w:r w:rsidRPr="00FF044C">
              <w:t>12/30 (40%)</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Sasse (2013)</w:t>
            </w:r>
          </w:p>
        </w:tc>
        <w:tc>
          <w:tcPr>
            <w:tcW w:w="1276" w:type="dxa"/>
            <w:tcBorders>
              <w:right w:val="double" w:sz="4" w:space="0" w:color="auto"/>
            </w:tcBorders>
          </w:tcPr>
          <w:p w:rsidR="006D068C" w:rsidRPr="00FF044C" w:rsidRDefault="006D068C" w:rsidP="008A42CC">
            <w:pPr>
              <w:pStyle w:val="Tabletext"/>
              <w:jc w:val="center"/>
            </w:pPr>
            <w:r w:rsidRPr="00FF044C">
              <w:t>10/14 (71%)</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Viviani (2015)</w:t>
            </w:r>
          </w:p>
        </w:tc>
        <w:tc>
          <w:tcPr>
            <w:tcW w:w="1276" w:type="dxa"/>
            <w:tcBorders>
              <w:right w:val="double" w:sz="4" w:space="0" w:color="auto"/>
            </w:tcBorders>
          </w:tcPr>
          <w:p w:rsidR="006D068C" w:rsidRPr="00FF044C" w:rsidRDefault="006D068C" w:rsidP="008A42CC">
            <w:pPr>
              <w:pStyle w:val="Tabletext"/>
              <w:jc w:val="center"/>
            </w:pPr>
            <w:r w:rsidRPr="00FF044C">
              <w:t>15/20 (75%)</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Onishi (2015)</w:t>
            </w:r>
          </w:p>
        </w:tc>
        <w:tc>
          <w:tcPr>
            <w:tcW w:w="1276" w:type="dxa"/>
            <w:tcBorders>
              <w:right w:val="double" w:sz="4" w:space="0" w:color="auto"/>
            </w:tcBorders>
          </w:tcPr>
          <w:p w:rsidR="006D068C" w:rsidRPr="00FF044C" w:rsidRDefault="006D068C" w:rsidP="008A42CC">
            <w:pPr>
              <w:pStyle w:val="Tabletext"/>
              <w:jc w:val="center"/>
            </w:pPr>
            <w:r w:rsidRPr="00FF044C">
              <w:t>NR</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Gibb (2012)</w:t>
            </w:r>
          </w:p>
        </w:tc>
        <w:tc>
          <w:tcPr>
            <w:tcW w:w="1276" w:type="dxa"/>
            <w:tcBorders>
              <w:right w:val="double" w:sz="4" w:space="0" w:color="auto"/>
            </w:tcBorders>
          </w:tcPr>
          <w:p w:rsidR="006D068C" w:rsidRPr="00FF044C" w:rsidRDefault="006D068C" w:rsidP="008A42CC">
            <w:pPr>
              <w:pStyle w:val="Tabletext"/>
              <w:jc w:val="center"/>
            </w:pPr>
            <w:r w:rsidRPr="00FF044C">
              <w:t>7/12 (58%)</w:t>
            </w:r>
          </w:p>
        </w:tc>
        <w:tc>
          <w:tcPr>
            <w:tcW w:w="1276" w:type="dxa"/>
            <w:tcBorders>
              <w:left w:val="double" w:sz="4" w:space="0" w:color="auto"/>
            </w:tcBorders>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rPr>
                <w:i/>
                <w:vertAlign w:val="superscript"/>
              </w:rPr>
            </w:pPr>
            <w:r w:rsidRPr="00FF044C">
              <w:rPr>
                <w:i/>
              </w:rPr>
              <w:t>Study C25007</w:t>
            </w:r>
            <w:r w:rsidR="00D13EA3" w:rsidRPr="00FF044C">
              <w:rPr>
                <w:i/>
              </w:rPr>
              <w:t xml:space="preserve"> </w:t>
            </w:r>
            <w:r w:rsidRPr="00FF044C">
              <w:rPr>
                <w:i/>
                <w:vertAlign w:val="superscript"/>
              </w:rPr>
              <w:t>a</w:t>
            </w:r>
          </w:p>
        </w:tc>
        <w:tc>
          <w:tcPr>
            <w:tcW w:w="1276" w:type="dxa"/>
            <w:tcBorders>
              <w:right w:val="double" w:sz="4" w:space="0" w:color="auto"/>
            </w:tcBorders>
          </w:tcPr>
          <w:p w:rsidR="006D068C" w:rsidRPr="00FF044C" w:rsidRDefault="006D068C" w:rsidP="008A42CC">
            <w:pPr>
              <w:pStyle w:val="Tabletext"/>
              <w:jc w:val="center"/>
              <w:rPr>
                <w:i/>
              </w:rPr>
            </w:pPr>
            <w:r w:rsidRPr="00FF044C">
              <w:rPr>
                <w:i/>
              </w:rPr>
              <w:t>30/56 (54%)</w:t>
            </w:r>
          </w:p>
        </w:tc>
        <w:tc>
          <w:tcPr>
            <w:tcW w:w="1276" w:type="dxa"/>
            <w:tcBorders>
              <w:left w:val="double" w:sz="4" w:space="0" w:color="auto"/>
            </w:tcBorders>
          </w:tcPr>
          <w:p w:rsidR="006D068C" w:rsidRPr="00FF044C" w:rsidRDefault="006D068C" w:rsidP="008A42CC">
            <w:pPr>
              <w:pStyle w:val="Tabletext"/>
              <w:jc w:val="center"/>
            </w:pPr>
          </w:p>
        </w:tc>
        <w:tc>
          <w:tcPr>
            <w:tcW w:w="1134" w:type="dxa"/>
          </w:tcPr>
          <w:p w:rsidR="006D068C" w:rsidRPr="00FF044C" w:rsidRDefault="006D068C" w:rsidP="008A42CC">
            <w:pPr>
              <w:pStyle w:val="Tabletext"/>
              <w:jc w:val="center"/>
            </w:pPr>
          </w:p>
        </w:tc>
        <w:tc>
          <w:tcPr>
            <w:tcW w:w="1417" w:type="dxa"/>
          </w:tcPr>
          <w:p w:rsidR="006D068C" w:rsidRPr="00FF044C" w:rsidRDefault="006D068C" w:rsidP="008A42CC">
            <w:pPr>
              <w:pStyle w:val="Tabletext"/>
              <w:jc w:val="center"/>
            </w:pPr>
          </w:p>
        </w:tc>
        <w:tc>
          <w:tcPr>
            <w:tcW w:w="1134" w:type="dxa"/>
          </w:tcPr>
          <w:p w:rsidR="006D068C" w:rsidRPr="00FF044C" w:rsidRDefault="006D068C" w:rsidP="008A42CC">
            <w:pPr>
              <w:pStyle w:val="Tabletext"/>
              <w:jc w:val="center"/>
            </w:pPr>
          </w:p>
        </w:tc>
      </w:tr>
      <w:tr w:rsidR="006D068C" w:rsidRPr="00FF044C" w:rsidTr="006D068C">
        <w:trPr>
          <w:cantSplit/>
        </w:trPr>
        <w:tc>
          <w:tcPr>
            <w:tcW w:w="2126" w:type="dxa"/>
          </w:tcPr>
          <w:p w:rsidR="006D068C" w:rsidRPr="00FF044C" w:rsidRDefault="006D068C" w:rsidP="008A42CC">
            <w:pPr>
              <w:pStyle w:val="Tabletext"/>
            </w:pPr>
            <w:r w:rsidRPr="00FF044C">
              <w:t>Santoro (2000)</w:t>
            </w:r>
          </w:p>
        </w:tc>
        <w:tc>
          <w:tcPr>
            <w:tcW w:w="1276" w:type="dxa"/>
            <w:tcBorders>
              <w:right w:val="double" w:sz="4" w:space="0" w:color="auto"/>
            </w:tcBorders>
          </w:tcPr>
          <w:p w:rsidR="006D068C" w:rsidRPr="00FF044C" w:rsidRDefault="006D068C" w:rsidP="008A42CC">
            <w:pPr>
              <w:pStyle w:val="Tabletext"/>
              <w:jc w:val="center"/>
            </w:pPr>
            <w:r w:rsidRPr="00FF044C">
              <w:t>-</w:t>
            </w:r>
          </w:p>
        </w:tc>
        <w:tc>
          <w:tcPr>
            <w:tcW w:w="1276" w:type="dxa"/>
            <w:tcBorders>
              <w:left w:val="double" w:sz="4" w:space="0" w:color="auto"/>
            </w:tcBorders>
          </w:tcPr>
          <w:p w:rsidR="006D068C" w:rsidRPr="00FF044C" w:rsidRDefault="006D068C" w:rsidP="008A42CC">
            <w:pPr>
              <w:pStyle w:val="Tabletext"/>
              <w:jc w:val="center"/>
            </w:pPr>
            <w:r w:rsidRPr="00FF044C">
              <w:t>9/23 (39%)</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Venkatesh (2004)</w:t>
            </w:r>
          </w:p>
        </w:tc>
        <w:tc>
          <w:tcPr>
            <w:tcW w:w="1276" w:type="dxa"/>
            <w:tcBorders>
              <w:right w:val="double" w:sz="4" w:space="0" w:color="auto"/>
            </w:tcBorders>
          </w:tcPr>
          <w:p w:rsidR="006D068C" w:rsidRPr="00FF044C" w:rsidRDefault="006D068C" w:rsidP="008A42CC">
            <w:pPr>
              <w:pStyle w:val="Tabletext"/>
              <w:jc w:val="center"/>
            </w:pPr>
            <w:r w:rsidRPr="00FF044C">
              <w:t>-</w:t>
            </w:r>
          </w:p>
        </w:tc>
        <w:tc>
          <w:tcPr>
            <w:tcW w:w="1276" w:type="dxa"/>
            <w:tcBorders>
              <w:left w:val="double" w:sz="4" w:space="0" w:color="auto"/>
            </w:tcBorders>
          </w:tcPr>
          <w:p w:rsidR="006D068C" w:rsidRPr="00FF044C" w:rsidRDefault="006D068C" w:rsidP="008A42CC">
            <w:pPr>
              <w:pStyle w:val="Tabletext"/>
              <w:jc w:val="center"/>
            </w:pPr>
            <w:r w:rsidRPr="00FF044C">
              <w:t>1/11 (9%)</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Oki (2008)</w:t>
            </w:r>
          </w:p>
        </w:tc>
        <w:tc>
          <w:tcPr>
            <w:tcW w:w="1276" w:type="dxa"/>
            <w:tcBorders>
              <w:right w:val="double" w:sz="4" w:space="0" w:color="auto"/>
            </w:tcBorders>
          </w:tcPr>
          <w:p w:rsidR="006D068C" w:rsidRPr="00FF044C" w:rsidRDefault="006D068C" w:rsidP="008A42CC">
            <w:pPr>
              <w:pStyle w:val="Tabletext"/>
              <w:jc w:val="center"/>
            </w:pPr>
            <w:r w:rsidRPr="00FF044C">
              <w:t>-</w:t>
            </w:r>
          </w:p>
        </w:tc>
        <w:tc>
          <w:tcPr>
            <w:tcW w:w="1276" w:type="dxa"/>
            <w:tcBorders>
              <w:left w:val="double" w:sz="4" w:space="0" w:color="auto"/>
            </w:tcBorders>
          </w:tcPr>
          <w:p w:rsidR="006D068C" w:rsidRPr="00FF044C" w:rsidRDefault="006D068C" w:rsidP="008A42CC">
            <w:pPr>
              <w:pStyle w:val="Tabletext"/>
              <w:jc w:val="center"/>
            </w:pPr>
            <w:r w:rsidRPr="00FF044C">
              <w:t>5/15 (33%)</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Zinzani (2000)</w:t>
            </w:r>
          </w:p>
        </w:tc>
        <w:tc>
          <w:tcPr>
            <w:tcW w:w="1276" w:type="dxa"/>
            <w:tcBorders>
              <w:right w:val="double" w:sz="4" w:space="0" w:color="auto"/>
            </w:tcBorders>
          </w:tcPr>
          <w:p w:rsidR="006D068C" w:rsidRPr="00FF044C" w:rsidRDefault="006D068C" w:rsidP="008A42CC">
            <w:pPr>
              <w:pStyle w:val="Tabletext"/>
              <w:jc w:val="center"/>
            </w:pPr>
            <w:r w:rsidRPr="00FF044C">
              <w:t>-</w:t>
            </w:r>
          </w:p>
        </w:tc>
        <w:tc>
          <w:tcPr>
            <w:tcW w:w="1276" w:type="dxa"/>
            <w:tcBorders>
              <w:left w:val="double" w:sz="4" w:space="0" w:color="auto"/>
            </w:tcBorders>
          </w:tcPr>
          <w:p w:rsidR="006D068C" w:rsidRPr="00FF044C" w:rsidRDefault="006D068C" w:rsidP="008A42CC">
            <w:pPr>
              <w:pStyle w:val="Tabletext"/>
              <w:jc w:val="center"/>
            </w:pPr>
            <w:r w:rsidRPr="00FF044C">
              <w:t>4/12 (33%)</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Validire (2008)</w:t>
            </w:r>
          </w:p>
        </w:tc>
        <w:tc>
          <w:tcPr>
            <w:tcW w:w="1276" w:type="dxa"/>
            <w:tcBorders>
              <w:right w:val="double" w:sz="4" w:space="0" w:color="auto"/>
            </w:tcBorders>
          </w:tcPr>
          <w:p w:rsidR="006D068C" w:rsidRPr="00FF044C" w:rsidRDefault="006D068C" w:rsidP="008A42CC">
            <w:pPr>
              <w:pStyle w:val="Tabletext"/>
              <w:jc w:val="center"/>
            </w:pPr>
            <w:r w:rsidRPr="00FF044C">
              <w:t>-</w:t>
            </w:r>
          </w:p>
        </w:tc>
        <w:tc>
          <w:tcPr>
            <w:tcW w:w="1276" w:type="dxa"/>
            <w:tcBorders>
              <w:left w:val="double" w:sz="4" w:space="0" w:color="auto"/>
            </w:tcBorders>
          </w:tcPr>
          <w:p w:rsidR="006D068C" w:rsidRPr="00FF044C" w:rsidRDefault="006D068C" w:rsidP="008A42CC">
            <w:pPr>
              <w:pStyle w:val="Tabletext"/>
              <w:jc w:val="center"/>
            </w:pPr>
            <w:r w:rsidRPr="00FF044C">
              <w:t>5/21 (24%)</w:t>
            </w:r>
          </w:p>
        </w:tc>
        <w:tc>
          <w:tcPr>
            <w:tcW w:w="1134" w:type="dxa"/>
          </w:tcPr>
          <w:p w:rsidR="006D068C" w:rsidRPr="00FF044C" w:rsidRDefault="006D068C" w:rsidP="008A42CC">
            <w:pPr>
              <w:pStyle w:val="Tabletext"/>
              <w:jc w:val="center"/>
            </w:pPr>
            <w:r w:rsidRPr="00FF044C">
              <w:t>-</w:t>
            </w:r>
          </w:p>
        </w:tc>
        <w:tc>
          <w:tcPr>
            <w:tcW w:w="1417" w:type="dxa"/>
          </w:tcPr>
          <w:p w:rsidR="006D068C" w:rsidRPr="00FF044C" w:rsidRDefault="006D068C" w:rsidP="008A42CC">
            <w:pPr>
              <w:pStyle w:val="Tabletext"/>
              <w:jc w:val="center"/>
            </w:pPr>
            <w:r w:rsidRPr="00FF044C">
              <w:t>-</w:t>
            </w:r>
          </w:p>
        </w:tc>
        <w:tc>
          <w:tcPr>
            <w:tcW w:w="1134" w:type="dxa"/>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rPr>
                <w:b/>
              </w:rPr>
            </w:pPr>
            <w:r w:rsidRPr="00FF044C">
              <w:rPr>
                <w:b/>
              </w:rPr>
              <w:t>Naïve pooled comparison without Study C25007</w:t>
            </w:r>
          </w:p>
        </w:tc>
        <w:tc>
          <w:tcPr>
            <w:tcW w:w="1276" w:type="dxa"/>
            <w:tcBorders>
              <w:right w:val="double" w:sz="4" w:space="0" w:color="auto"/>
            </w:tcBorders>
          </w:tcPr>
          <w:p w:rsidR="006D068C" w:rsidRPr="00FF044C" w:rsidRDefault="006D068C" w:rsidP="008A42CC">
            <w:pPr>
              <w:pStyle w:val="Tabletext"/>
              <w:jc w:val="center"/>
              <w:rPr>
                <w:b/>
              </w:rPr>
            </w:pPr>
            <w:r w:rsidRPr="00FF044C">
              <w:rPr>
                <w:b/>
              </w:rPr>
              <w:t>167/253 (66.0%)</w:t>
            </w:r>
          </w:p>
        </w:tc>
        <w:tc>
          <w:tcPr>
            <w:tcW w:w="1276" w:type="dxa"/>
            <w:tcBorders>
              <w:left w:val="double" w:sz="4" w:space="0" w:color="auto"/>
            </w:tcBorders>
          </w:tcPr>
          <w:p w:rsidR="006D068C" w:rsidRPr="00FF044C" w:rsidRDefault="006D068C" w:rsidP="008A42CC">
            <w:pPr>
              <w:pStyle w:val="Tabletext"/>
              <w:jc w:val="center"/>
              <w:rPr>
                <w:b/>
              </w:rPr>
            </w:pPr>
            <w:r w:rsidRPr="00FF044C">
              <w:rPr>
                <w:b/>
              </w:rPr>
              <w:t>24/82 (29.3%)</w:t>
            </w:r>
          </w:p>
        </w:tc>
        <w:tc>
          <w:tcPr>
            <w:tcW w:w="1134" w:type="dxa"/>
          </w:tcPr>
          <w:p w:rsidR="006D068C" w:rsidRPr="00FF044C" w:rsidRDefault="006D068C" w:rsidP="008A42CC">
            <w:pPr>
              <w:pStyle w:val="Tabletext"/>
              <w:jc w:val="center"/>
              <w:rPr>
                <w:b/>
              </w:rPr>
            </w:pPr>
            <w:r w:rsidRPr="00FF044C">
              <w:rPr>
                <w:b/>
              </w:rPr>
              <w:t>2.3 (1.6,3.2)</w:t>
            </w:r>
          </w:p>
        </w:tc>
        <w:tc>
          <w:tcPr>
            <w:tcW w:w="1417" w:type="dxa"/>
          </w:tcPr>
          <w:p w:rsidR="006D068C" w:rsidRPr="00FF044C" w:rsidRDefault="006D068C" w:rsidP="008A42CC">
            <w:pPr>
              <w:pStyle w:val="Tabletext"/>
              <w:jc w:val="center"/>
            </w:pPr>
            <w:r w:rsidRPr="00FF044C">
              <w:rPr>
                <w:b/>
              </w:rPr>
              <w:t>36.7% (25.3, 48.2)</w:t>
            </w:r>
          </w:p>
        </w:tc>
        <w:tc>
          <w:tcPr>
            <w:tcW w:w="1134" w:type="dxa"/>
          </w:tcPr>
          <w:p w:rsidR="006D068C" w:rsidRPr="00FF044C" w:rsidRDefault="006D068C" w:rsidP="008A42CC">
            <w:pPr>
              <w:pStyle w:val="Tabletext"/>
              <w:jc w:val="center"/>
            </w:pPr>
            <w:r w:rsidRPr="00FF044C">
              <w:rPr>
                <w:b/>
              </w:rPr>
              <w:t>3 (2.0, 4.0)</w:t>
            </w:r>
          </w:p>
        </w:tc>
      </w:tr>
      <w:tr w:rsidR="006D068C" w:rsidRPr="00FF044C" w:rsidTr="006D068C">
        <w:trPr>
          <w:cantSplit/>
        </w:trPr>
        <w:tc>
          <w:tcPr>
            <w:tcW w:w="2126" w:type="dxa"/>
          </w:tcPr>
          <w:p w:rsidR="006D068C" w:rsidRPr="00FF044C" w:rsidRDefault="006D068C" w:rsidP="008A42CC">
            <w:pPr>
              <w:pStyle w:val="Tabletext"/>
              <w:rPr>
                <w:b/>
              </w:rPr>
            </w:pPr>
            <w:r w:rsidRPr="00FF044C">
              <w:rPr>
                <w:b/>
              </w:rPr>
              <w:t>Naïve pooled comparison including Study C25007</w:t>
            </w:r>
          </w:p>
        </w:tc>
        <w:tc>
          <w:tcPr>
            <w:tcW w:w="1276" w:type="dxa"/>
            <w:tcBorders>
              <w:right w:val="double" w:sz="4" w:space="0" w:color="auto"/>
            </w:tcBorders>
          </w:tcPr>
          <w:p w:rsidR="006D068C" w:rsidRPr="00FF044C" w:rsidRDefault="006D068C" w:rsidP="008A42CC">
            <w:pPr>
              <w:pStyle w:val="Tabletext"/>
              <w:jc w:val="center"/>
              <w:rPr>
                <w:b/>
              </w:rPr>
            </w:pPr>
            <w:r w:rsidRPr="00FF044C">
              <w:rPr>
                <w:b/>
              </w:rPr>
              <w:t>197/309 (63.8%)</w:t>
            </w:r>
          </w:p>
        </w:tc>
        <w:tc>
          <w:tcPr>
            <w:tcW w:w="1276" w:type="dxa"/>
            <w:tcBorders>
              <w:left w:val="double" w:sz="4" w:space="0" w:color="auto"/>
            </w:tcBorders>
          </w:tcPr>
          <w:p w:rsidR="006D068C" w:rsidRPr="00FF044C" w:rsidRDefault="006D068C" w:rsidP="008A42CC">
            <w:pPr>
              <w:pStyle w:val="Tabletext"/>
              <w:jc w:val="center"/>
              <w:rPr>
                <w:b/>
              </w:rPr>
            </w:pPr>
            <w:r w:rsidRPr="00FF044C">
              <w:rPr>
                <w:b/>
              </w:rPr>
              <w:t>24/82 (29.3%)</w:t>
            </w:r>
          </w:p>
        </w:tc>
        <w:tc>
          <w:tcPr>
            <w:tcW w:w="1134" w:type="dxa"/>
          </w:tcPr>
          <w:p w:rsidR="006D068C" w:rsidRPr="00FF044C" w:rsidRDefault="006D068C" w:rsidP="008A42CC">
            <w:pPr>
              <w:pStyle w:val="Tabletext"/>
              <w:jc w:val="center"/>
              <w:rPr>
                <w:b/>
              </w:rPr>
            </w:pPr>
            <w:r w:rsidRPr="00FF044C">
              <w:rPr>
                <w:b/>
              </w:rPr>
              <w:t>2.2 (1.5,3.1)</w:t>
            </w:r>
          </w:p>
        </w:tc>
        <w:tc>
          <w:tcPr>
            <w:tcW w:w="1417" w:type="dxa"/>
          </w:tcPr>
          <w:p w:rsidR="006D068C" w:rsidRPr="00FF044C" w:rsidRDefault="006D068C" w:rsidP="008A42CC">
            <w:pPr>
              <w:pStyle w:val="Tabletext"/>
              <w:jc w:val="center"/>
              <w:rPr>
                <w:b/>
              </w:rPr>
            </w:pPr>
            <w:r w:rsidRPr="00FF044C">
              <w:rPr>
                <w:b/>
              </w:rPr>
              <w:t>34.5% (23.3,45.7)</w:t>
            </w:r>
          </w:p>
        </w:tc>
        <w:tc>
          <w:tcPr>
            <w:tcW w:w="1134" w:type="dxa"/>
          </w:tcPr>
          <w:p w:rsidR="006D068C" w:rsidRPr="00FF044C" w:rsidRDefault="006D068C" w:rsidP="008A42CC">
            <w:pPr>
              <w:pStyle w:val="Tabletext"/>
              <w:jc w:val="center"/>
              <w:rPr>
                <w:b/>
              </w:rPr>
            </w:pPr>
            <w:r w:rsidRPr="00FF044C">
              <w:rPr>
                <w:b/>
              </w:rPr>
              <w:t>3 (2.0,4.0)</w:t>
            </w:r>
          </w:p>
        </w:tc>
      </w:tr>
    </w:tbl>
    <w:p w:rsidR="006D068C" w:rsidRPr="00FF044C" w:rsidRDefault="006D068C" w:rsidP="006D068C">
      <w:pPr>
        <w:ind w:left="720"/>
        <w:rPr>
          <w:rFonts w:ascii="Arial Narrow" w:hAnsi="Arial Narrow"/>
          <w:sz w:val="18"/>
        </w:rPr>
      </w:pPr>
      <w:r w:rsidRPr="00FF044C">
        <w:rPr>
          <w:rFonts w:ascii="Arial Narrow" w:hAnsi="Arial Narrow"/>
          <w:sz w:val="18"/>
        </w:rPr>
        <w:t>Source: Tables B.6.1, B.6.2 and B.6.3, pp67-68 of the submission and Response rate pooled analysis - Section B (C25007 update).xlsx</w:t>
      </w:r>
    </w:p>
    <w:p w:rsidR="006D068C" w:rsidRPr="00FF044C" w:rsidRDefault="006D068C" w:rsidP="006D068C">
      <w:pPr>
        <w:ind w:left="720"/>
        <w:rPr>
          <w:rFonts w:ascii="Arial Narrow" w:hAnsi="Arial Narrow"/>
          <w:sz w:val="18"/>
        </w:rPr>
      </w:pPr>
      <w:r w:rsidRPr="00FF044C">
        <w:rPr>
          <w:rFonts w:ascii="Arial Narrow" w:hAnsi="Arial Narrow"/>
          <w:sz w:val="18"/>
        </w:rPr>
        <w:t xml:space="preserve">CI = confidence interval; NNT = number needed to treat; NR = not reported; RD = risk difference; RR = relative risk; </w:t>
      </w:r>
      <w:r w:rsidRPr="00FF044C">
        <w:rPr>
          <w:rFonts w:ascii="Arial Narrow" w:hAnsi="Arial Narrow"/>
          <w:b/>
          <w:sz w:val="18"/>
        </w:rPr>
        <w:t>bold</w:t>
      </w:r>
      <w:r w:rsidRPr="00FF044C">
        <w:rPr>
          <w:rFonts w:ascii="Arial Narrow" w:hAnsi="Arial Narrow"/>
          <w:sz w:val="18"/>
        </w:rPr>
        <w:t xml:space="preserve"> = statistically significant</w:t>
      </w:r>
    </w:p>
    <w:p w:rsidR="006D068C" w:rsidRPr="00FF044C" w:rsidRDefault="006D068C" w:rsidP="006D068C">
      <w:pPr>
        <w:ind w:left="720"/>
        <w:rPr>
          <w:bCs/>
        </w:rPr>
      </w:pPr>
      <w:proofErr w:type="gramStart"/>
      <w:r w:rsidRPr="00FF044C">
        <w:rPr>
          <w:rFonts w:ascii="Arial Narrow" w:hAnsi="Arial Narrow"/>
          <w:sz w:val="18"/>
          <w:vertAlign w:val="superscript"/>
        </w:rPr>
        <w:t>a</w:t>
      </w:r>
      <w:proofErr w:type="gramEnd"/>
      <w:r w:rsidRPr="00FF044C">
        <w:rPr>
          <w:rFonts w:ascii="Arial Narrow" w:hAnsi="Arial Narrow"/>
          <w:sz w:val="18"/>
        </w:rPr>
        <w:t xml:space="preserve"> Study results (per independent review) provided during evaluation</w:t>
      </w:r>
    </w:p>
    <w:p w:rsidR="003C6348" w:rsidRPr="00FF044C" w:rsidRDefault="003C6348" w:rsidP="00347F15">
      <w:pPr>
        <w:pStyle w:val="ListParagraph"/>
      </w:pPr>
    </w:p>
    <w:p w:rsidR="005D5578" w:rsidRPr="00FF044C" w:rsidRDefault="005D5578" w:rsidP="0075545E">
      <w:pPr>
        <w:pStyle w:val="ListParagraph"/>
        <w:keepNext/>
        <w:widowControl/>
        <w:numPr>
          <w:ilvl w:val="1"/>
          <w:numId w:val="1"/>
        </w:numPr>
      </w:pPr>
      <w:r w:rsidRPr="00FF044C">
        <w:t>Table 5 summarises the complete response rates for brentuximab vedotin an</w:t>
      </w:r>
      <w:r w:rsidR="00015019">
        <w:t>d salvage chemotherapy studies.</w:t>
      </w:r>
    </w:p>
    <w:p w:rsidR="005D5578" w:rsidRPr="00FF044C" w:rsidRDefault="005D5578" w:rsidP="00347F15">
      <w:pPr>
        <w:pStyle w:val="ListParagraph"/>
      </w:pPr>
    </w:p>
    <w:p w:rsidR="003C6348" w:rsidRPr="00FF044C" w:rsidRDefault="003C6348" w:rsidP="003C6348">
      <w:pPr>
        <w:pStyle w:val="Caption"/>
        <w:keepNext/>
        <w:spacing w:after="0"/>
        <w:ind w:left="720"/>
        <w:rPr>
          <w:rFonts w:ascii="Arial Narrow" w:hAnsi="Arial Narrow"/>
          <w:bCs w:val="0"/>
          <w:snapToGrid/>
          <w:color w:val="auto"/>
          <w:sz w:val="20"/>
          <w:szCs w:val="16"/>
        </w:rPr>
      </w:pPr>
      <w:r w:rsidRPr="00FF044C">
        <w:rPr>
          <w:rFonts w:ascii="Arial Narrow" w:hAnsi="Arial Narrow"/>
          <w:bCs w:val="0"/>
          <w:snapToGrid/>
          <w:color w:val="auto"/>
          <w:sz w:val="20"/>
          <w:szCs w:val="16"/>
        </w:rPr>
        <w:t>Table 5: Complete response rates for brentuximab vedotin and salvage chemotherapy</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5: Complete response rates for brentuximab vedotin and salvage chemotherapy"/>
      </w:tblPr>
      <w:tblGrid>
        <w:gridCol w:w="2126"/>
        <w:gridCol w:w="1276"/>
        <w:gridCol w:w="1276"/>
        <w:gridCol w:w="1134"/>
        <w:gridCol w:w="1417"/>
        <w:gridCol w:w="1134"/>
      </w:tblGrid>
      <w:tr w:rsidR="006D068C" w:rsidRPr="00FF044C" w:rsidTr="006D068C">
        <w:trPr>
          <w:cantSplit/>
          <w:tblHeader/>
        </w:trPr>
        <w:tc>
          <w:tcPr>
            <w:tcW w:w="2126" w:type="dxa"/>
          </w:tcPr>
          <w:p w:rsidR="006D068C" w:rsidRPr="00FF044C" w:rsidRDefault="006D068C" w:rsidP="008A42CC">
            <w:pPr>
              <w:pStyle w:val="Tabletext"/>
              <w:rPr>
                <w:b/>
              </w:rPr>
            </w:pPr>
          </w:p>
        </w:tc>
        <w:tc>
          <w:tcPr>
            <w:tcW w:w="1276" w:type="dxa"/>
            <w:tcBorders>
              <w:right w:val="double" w:sz="4" w:space="0" w:color="auto"/>
            </w:tcBorders>
            <w:vAlign w:val="center"/>
          </w:tcPr>
          <w:p w:rsidR="006D068C" w:rsidRPr="00FF044C" w:rsidRDefault="006D068C" w:rsidP="008A42CC">
            <w:pPr>
              <w:pStyle w:val="Tabletext"/>
              <w:jc w:val="center"/>
              <w:rPr>
                <w:b/>
              </w:rPr>
            </w:pPr>
            <w:r w:rsidRPr="00FF044C">
              <w:rPr>
                <w:b/>
              </w:rPr>
              <w:t>Brentuximab vedotin</w:t>
            </w:r>
          </w:p>
        </w:tc>
        <w:tc>
          <w:tcPr>
            <w:tcW w:w="1276" w:type="dxa"/>
            <w:tcBorders>
              <w:left w:val="double" w:sz="4" w:space="0" w:color="auto"/>
            </w:tcBorders>
            <w:vAlign w:val="center"/>
          </w:tcPr>
          <w:p w:rsidR="006D068C" w:rsidRPr="00FF044C" w:rsidRDefault="006D068C" w:rsidP="008A42CC">
            <w:pPr>
              <w:pStyle w:val="Tabletext"/>
              <w:jc w:val="center"/>
              <w:rPr>
                <w:b/>
              </w:rPr>
            </w:pPr>
            <w:r w:rsidRPr="00FF044C">
              <w:rPr>
                <w:b/>
              </w:rPr>
              <w:t>Salvage chemotherapy</w:t>
            </w:r>
          </w:p>
        </w:tc>
        <w:tc>
          <w:tcPr>
            <w:tcW w:w="1134" w:type="dxa"/>
            <w:vAlign w:val="center"/>
          </w:tcPr>
          <w:p w:rsidR="006D068C" w:rsidRPr="00FF044C" w:rsidRDefault="006D068C" w:rsidP="008A42CC">
            <w:pPr>
              <w:pStyle w:val="Tabletext"/>
              <w:jc w:val="center"/>
              <w:rPr>
                <w:b/>
              </w:rPr>
            </w:pPr>
            <w:r w:rsidRPr="00FF044C">
              <w:rPr>
                <w:b/>
              </w:rPr>
              <w:t>RR (95% CI)</w:t>
            </w:r>
          </w:p>
        </w:tc>
        <w:tc>
          <w:tcPr>
            <w:tcW w:w="1417" w:type="dxa"/>
            <w:vAlign w:val="center"/>
          </w:tcPr>
          <w:p w:rsidR="006D068C" w:rsidRPr="00FF044C" w:rsidRDefault="006D068C" w:rsidP="008A42CC">
            <w:pPr>
              <w:pStyle w:val="Tabletext"/>
              <w:jc w:val="center"/>
              <w:rPr>
                <w:b/>
              </w:rPr>
            </w:pPr>
            <w:r w:rsidRPr="00FF044C">
              <w:rPr>
                <w:b/>
              </w:rPr>
              <w:t>RD (95% CI)</w:t>
            </w:r>
          </w:p>
        </w:tc>
        <w:tc>
          <w:tcPr>
            <w:tcW w:w="1134" w:type="dxa"/>
            <w:vAlign w:val="center"/>
          </w:tcPr>
          <w:p w:rsidR="006D068C" w:rsidRPr="00FF044C" w:rsidRDefault="006D068C" w:rsidP="008A42CC">
            <w:pPr>
              <w:pStyle w:val="Tabletext"/>
              <w:jc w:val="center"/>
              <w:rPr>
                <w:b/>
              </w:rPr>
            </w:pPr>
            <w:r w:rsidRPr="00FF044C">
              <w:rPr>
                <w:b/>
              </w:rPr>
              <w:t>NNT (95% CI)</w:t>
            </w:r>
          </w:p>
        </w:tc>
      </w:tr>
      <w:tr w:rsidR="006D068C" w:rsidRPr="00FF044C" w:rsidTr="006D068C">
        <w:trPr>
          <w:cantSplit/>
        </w:trPr>
        <w:tc>
          <w:tcPr>
            <w:tcW w:w="2126" w:type="dxa"/>
          </w:tcPr>
          <w:p w:rsidR="006D068C" w:rsidRPr="00FF044C" w:rsidRDefault="006D068C" w:rsidP="008A42CC">
            <w:pPr>
              <w:pStyle w:val="Tabletext"/>
            </w:pPr>
            <w:r w:rsidRPr="00FF044C">
              <w:t>Millennium Report</w:t>
            </w:r>
          </w:p>
        </w:tc>
        <w:tc>
          <w:tcPr>
            <w:tcW w:w="1276" w:type="dxa"/>
            <w:tcBorders>
              <w:right w:val="double" w:sz="4" w:space="0" w:color="auto"/>
            </w:tcBorders>
            <w:vAlign w:val="center"/>
          </w:tcPr>
          <w:p w:rsidR="006D068C" w:rsidRPr="00FF044C" w:rsidRDefault="006D068C" w:rsidP="008A42CC">
            <w:pPr>
              <w:pStyle w:val="Tabletext"/>
              <w:jc w:val="center"/>
            </w:pPr>
            <w:r w:rsidRPr="00FF044C">
              <w:t>9/41 (22%)</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Bröckelmann (2016)</w:t>
            </w:r>
          </w:p>
        </w:tc>
        <w:tc>
          <w:tcPr>
            <w:tcW w:w="1276" w:type="dxa"/>
            <w:tcBorders>
              <w:right w:val="double" w:sz="4" w:space="0" w:color="auto"/>
            </w:tcBorders>
            <w:vAlign w:val="center"/>
          </w:tcPr>
          <w:p w:rsidR="006D068C" w:rsidRPr="00FF044C" w:rsidRDefault="006D068C" w:rsidP="008A42CC">
            <w:pPr>
              <w:pStyle w:val="Tabletext"/>
              <w:jc w:val="center"/>
            </w:pPr>
            <w:r w:rsidRPr="00FF044C">
              <w:t>47/136 (35%)</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Zinzani (2015)</w:t>
            </w:r>
          </w:p>
        </w:tc>
        <w:tc>
          <w:tcPr>
            <w:tcW w:w="1276" w:type="dxa"/>
            <w:tcBorders>
              <w:right w:val="double" w:sz="4" w:space="0" w:color="auto"/>
            </w:tcBorders>
            <w:vAlign w:val="center"/>
          </w:tcPr>
          <w:p w:rsidR="006D068C" w:rsidRPr="00FF044C" w:rsidRDefault="006D068C" w:rsidP="008A42CC">
            <w:pPr>
              <w:pStyle w:val="Tabletext"/>
              <w:jc w:val="center"/>
            </w:pPr>
            <w:r w:rsidRPr="00FF044C">
              <w:t>9/30 (30%)</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Sasse (2013)</w:t>
            </w:r>
          </w:p>
        </w:tc>
        <w:tc>
          <w:tcPr>
            <w:tcW w:w="1276" w:type="dxa"/>
            <w:tcBorders>
              <w:right w:val="double" w:sz="4" w:space="0" w:color="auto"/>
            </w:tcBorders>
            <w:vAlign w:val="center"/>
          </w:tcPr>
          <w:p w:rsidR="006D068C" w:rsidRPr="00FF044C" w:rsidRDefault="006D068C" w:rsidP="008A42CC">
            <w:pPr>
              <w:pStyle w:val="Tabletext"/>
              <w:jc w:val="center"/>
            </w:pPr>
            <w:r w:rsidRPr="00FF044C">
              <w:t>5/14 (36%)</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Viviani (2015)</w:t>
            </w:r>
          </w:p>
        </w:tc>
        <w:tc>
          <w:tcPr>
            <w:tcW w:w="1276" w:type="dxa"/>
            <w:tcBorders>
              <w:right w:val="double" w:sz="4" w:space="0" w:color="auto"/>
            </w:tcBorders>
            <w:vAlign w:val="center"/>
          </w:tcPr>
          <w:p w:rsidR="006D068C" w:rsidRPr="00FF044C" w:rsidRDefault="006D068C" w:rsidP="008A42CC">
            <w:pPr>
              <w:pStyle w:val="Tabletext"/>
              <w:jc w:val="center"/>
            </w:pPr>
            <w:r w:rsidRPr="00FF044C">
              <w:t>8/20 (40%)</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Onishi (2015)</w:t>
            </w:r>
          </w:p>
        </w:tc>
        <w:tc>
          <w:tcPr>
            <w:tcW w:w="1276" w:type="dxa"/>
            <w:tcBorders>
              <w:right w:val="double" w:sz="4" w:space="0" w:color="auto"/>
            </w:tcBorders>
            <w:vAlign w:val="center"/>
          </w:tcPr>
          <w:p w:rsidR="006D068C" w:rsidRPr="00FF044C" w:rsidRDefault="006D068C" w:rsidP="008A42CC">
            <w:pPr>
              <w:pStyle w:val="Tabletext"/>
              <w:jc w:val="center"/>
            </w:pPr>
            <w:r w:rsidRPr="00FF044C">
              <w:t>8/15 (53%)</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Gibb (2012)</w:t>
            </w:r>
          </w:p>
        </w:tc>
        <w:tc>
          <w:tcPr>
            <w:tcW w:w="1276" w:type="dxa"/>
            <w:tcBorders>
              <w:right w:val="double" w:sz="4" w:space="0" w:color="auto"/>
            </w:tcBorders>
            <w:vAlign w:val="center"/>
          </w:tcPr>
          <w:p w:rsidR="006D068C" w:rsidRPr="00FF044C" w:rsidRDefault="006D068C" w:rsidP="008A42CC">
            <w:pPr>
              <w:pStyle w:val="Tabletext"/>
              <w:jc w:val="center"/>
            </w:pPr>
            <w:r w:rsidRPr="00FF044C">
              <w:t>2/12 (17%)</w:t>
            </w:r>
          </w:p>
        </w:tc>
        <w:tc>
          <w:tcPr>
            <w:tcW w:w="1276" w:type="dxa"/>
            <w:tcBorders>
              <w:left w:val="double" w:sz="4" w:space="0" w:color="auto"/>
            </w:tcBorders>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Study C25007</w:t>
            </w:r>
            <w:r w:rsidR="00D13EA3" w:rsidRPr="00FF044C">
              <w:t xml:space="preserve"> </w:t>
            </w:r>
            <w:r w:rsidRPr="00FF044C">
              <w:rPr>
                <w:vertAlign w:val="superscript"/>
              </w:rPr>
              <w:t>a</w:t>
            </w:r>
          </w:p>
        </w:tc>
        <w:tc>
          <w:tcPr>
            <w:tcW w:w="1276" w:type="dxa"/>
            <w:tcBorders>
              <w:right w:val="double" w:sz="4" w:space="0" w:color="auto"/>
            </w:tcBorders>
            <w:vAlign w:val="center"/>
          </w:tcPr>
          <w:p w:rsidR="006D068C" w:rsidRPr="00FF044C" w:rsidRDefault="006D068C" w:rsidP="008A42CC">
            <w:pPr>
              <w:pStyle w:val="Tabletext"/>
              <w:jc w:val="center"/>
            </w:pPr>
            <w:r w:rsidRPr="00FF044C">
              <w:t>7/56 (13%)</w:t>
            </w:r>
          </w:p>
        </w:tc>
        <w:tc>
          <w:tcPr>
            <w:tcW w:w="1276" w:type="dxa"/>
            <w:tcBorders>
              <w:left w:val="double" w:sz="4" w:space="0" w:color="auto"/>
            </w:tcBorders>
            <w:vAlign w:val="center"/>
          </w:tcPr>
          <w:p w:rsidR="006D068C" w:rsidRPr="00FF044C" w:rsidRDefault="006D068C" w:rsidP="008A42CC">
            <w:pPr>
              <w:pStyle w:val="Tabletext"/>
              <w:jc w:val="center"/>
            </w:pPr>
          </w:p>
        </w:tc>
        <w:tc>
          <w:tcPr>
            <w:tcW w:w="1134" w:type="dxa"/>
            <w:vAlign w:val="center"/>
          </w:tcPr>
          <w:p w:rsidR="006D068C" w:rsidRPr="00FF044C" w:rsidRDefault="006D068C" w:rsidP="008A42CC">
            <w:pPr>
              <w:pStyle w:val="Tabletext"/>
              <w:jc w:val="center"/>
            </w:pPr>
          </w:p>
        </w:tc>
        <w:tc>
          <w:tcPr>
            <w:tcW w:w="1417" w:type="dxa"/>
            <w:vAlign w:val="center"/>
          </w:tcPr>
          <w:p w:rsidR="006D068C" w:rsidRPr="00FF044C" w:rsidRDefault="006D068C" w:rsidP="008A42CC">
            <w:pPr>
              <w:pStyle w:val="Tabletext"/>
              <w:jc w:val="center"/>
            </w:pPr>
          </w:p>
        </w:tc>
        <w:tc>
          <w:tcPr>
            <w:tcW w:w="1134" w:type="dxa"/>
            <w:vAlign w:val="center"/>
          </w:tcPr>
          <w:p w:rsidR="006D068C" w:rsidRPr="00FF044C" w:rsidRDefault="006D068C" w:rsidP="008A42CC">
            <w:pPr>
              <w:pStyle w:val="Tabletext"/>
              <w:jc w:val="center"/>
            </w:pPr>
          </w:p>
        </w:tc>
      </w:tr>
      <w:tr w:rsidR="006D068C" w:rsidRPr="00FF044C" w:rsidTr="006D068C">
        <w:trPr>
          <w:cantSplit/>
        </w:trPr>
        <w:tc>
          <w:tcPr>
            <w:tcW w:w="2126" w:type="dxa"/>
          </w:tcPr>
          <w:p w:rsidR="006D068C" w:rsidRPr="00FF044C" w:rsidRDefault="006D068C" w:rsidP="008A42CC">
            <w:pPr>
              <w:pStyle w:val="Tabletext"/>
            </w:pPr>
            <w:r w:rsidRPr="00FF044C">
              <w:t>Santoro (2000)</w:t>
            </w:r>
          </w:p>
        </w:tc>
        <w:tc>
          <w:tcPr>
            <w:tcW w:w="1276" w:type="dxa"/>
            <w:tcBorders>
              <w:right w:val="double" w:sz="4" w:space="0" w:color="auto"/>
            </w:tcBorders>
            <w:vAlign w:val="center"/>
          </w:tcPr>
          <w:p w:rsidR="006D068C" w:rsidRPr="00FF044C" w:rsidRDefault="006D068C" w:rsidP="008A42CC">
            <w:pPr>
              <w:pStyle w:val="Tabletext"/>
              <w:jc w:val="center"/>
            </w:pPr>
            <w:r w:rsidRPr="00FF044C">
              <w:t>-</w:t>
            </w:r>
          </w:p>
        </w:tc>
        <w:tc>
          <w:tcPr>
            <w:tcW w:w="1276" w:type="dxa"/>
            <w:tcBorders>
              <w:left w:val="double" w:sz="4" w:space="0" w:color="auto"/>
            </w:tcBorders>
            <w:vAlign w:val="center"/>
          </w:tcPr>
          <w:p w:rsidR="006D068C" w:rsidRPr="00FF044C" w:rsidRDefault="006D068C" w:rsidP="008A42CC">
            <w:pPr>
              <w:pStyle w:val="Tabletext"/>
              <w:jc w:val="center"/>
            </w:pPr>
            <w:r w:rsidRPr="00FF044C">
              <w:t>2/23 (9%)</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Venkatesh (2004)</w:t>
            </w:r>
          </w:p>
        </w:tc>
        <w:tc>
          <w:tcPr>
            <w:tcW w:w="1276" w:type="dxa"/>
            <w:tcBorders>
              <w:right w:val="double" w:sz="4" w:space="0" w:color="auto"/>
            </w:tcBorders>
            <w:vAlign w:val="center"/>
          </w:tcPr>
          <w:p w:rsidR="006D068C" w:rsidRPr="00FF044C" w:rsidRDefault="006D068C" w:rsidP="008A42CC">
            <w:pPr>
              <w:pStyle w:val="Tabletext"/>
              <w:jc w:val="center"/>
            </w:pPr>
            <w:r w:rsidRPr="00FF044C">
              <w:t>-</w:t>
            </w:r>
          </w:p>
        </w:tc>
        <w:tc>
          <w:tcPr>
            <w:tcW w:w="1276" w:type="dxa"/>
            <w:tcBorders>
              <w:left w:val="double" w:sz="4" w:space="0" w:color="auto"/>
            </w:tcBorders>
            <w:vAlign w:val="center"/>
          </w:tcPr>
          <w:p w:rsidR="006D068C" w:rsidRPr="00FF044C" w:rsidRDefault="006D068C" w:rsidP="008A42CC">
            <w:pPr>
              <w:pStyle w:val="Tabletext"/>
              <w:jc w:val="center"/>
            </w:pPr>
            <w:r w:rsidRPr="00FF044C">
              <w:t>0/11 (0)</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Oki (2008)</w:t>
            </w:r>
          </w:p>
        </w:tc>
        <w:tc>
          <w:tcPr>
            <w:tcW w:w="1276" w:type="dxa"/>
            <w:tcBorders>
              <w:right w:val="double" w:sz="4" w:space="0" w:color="auto"/>
            </w:tcBorders>
            <w:vAlign w:val="center"/>
          </w:tcPr>
          <w:p w:rsidR="006D068C" w:rsidRPr="00FF044C" w:rsidRDefault="006D068C" w:rsidP="008A42CC">
            <w:pPr>
              <w:pStyle w:val="Tabletext"/>
              <w:jc w:val="center"/>
            </w:pPr>
            <w:r w:rsidRPr="00FF044C">
              <w:t>-</w:t>
            </w:r>
          </w:p>
        </w:tc>
        <w:tc>
          <w:tcPr>
            <w:tcW w:w="1276" w:type="dxa"/>
            <w:tcBorders>
              <w:left w:val="double" w:sz="4" w:space="0" w:color="auto"/>
            </w:tcBorders>
            <w:vAlign w:val="center"/>
          </w:tcPr>
          <w:p w:rsidR="006D068C" w:rsidRPr="00FF044C" w:rsidRDefault="006D068C" w:rsidP="008A42CC">
            <w:pPr>
              <w:pStyle w:val="Tabletext"/>
              <w:jc w:val="center"/>
            </w:pPr>
            <w:r w:rsidRPr="00FF044C">
              <w:t>NR</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Zinzani (2000)</w:t>
            </w:r>
          </w:p>
        </w:tc>
        <w:tc>
          <w:tcPr>
            <w:tcW w:w="1276" w:type="dxa"/>
            <w:tcBorders>
              <w:right w:val="double" w:sz="4" w:space="0" w:color="auto"/>
            </w:tcBorders>
            <w:vAlign w:val="center"/>
          </w:tcPr>
          <w:p w:rsidR="006D068C" w:rsidRPr="00FF044C" w:rsidRDefault="006D068C" w:rsidP="008A42CC">
            <w:pPr>
              <w:pStyle w:val="Tabletext"/>
              <w:jc w:val="center"/>
            </w:pPr>
            <w:r w:rsidRPr="00FF044C">
              <w:t>-</w:t>
            </w:r>
          </w:p>
        </w:tc>
        <w:tc>
          <w:tcPr>
            <w:tcW w:w="1276" w:type="dxa"/>
            <w:tcBorders>
              <w:left w:val="double" w:sz="4" w:space="0" w:color="auto"/>
            </w:tcBorders>
            <w:vAlign w:val="center"/>
          </w:tcPr>
          <w:p w:rsidR="006D068C" w:rsidRPr="00FF044C" w:rsidRDefault="006D068C" w:rsidP="008A42CC">
            <w:pPr>
              <w:pStyle w:val="Tabletext"/>
              <w:jc w:val="center"/>
            </w:pPr>
            <w:r w:rsidRPr="00FF044C">
              <w:t>1/12 (8%)</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pPr>
            <w:r w:rsidRPr="00FF044C">
              <w:t>Validire (2008)</w:t>
            </w:r>
          </w:p>
        </w:tc>
        <w:tc>
          <w:tcPr>
            <w:tcW w:w="1276" w:type="dxa"/>
            <w:tcBorders>
              <w:right w:val="double" w:sz="4" w:space="0" w:color="auto"/>
            </w:tcBorders>
            <w:vAlign w:val="center"/>
          </w:tcPr>
          <w:p w:rsidR="006D068C" w:rsidRPr="00FF044C" w:rsidRDefault="006D068C" w:rsidP="008A42CC">
            <w:pPr>
              <w:pStyle w:val="Tabletext"/>
              <w:jc w:val="center"/>
            </w:pPr>
            <w:r w:rsidRPr="00FF044C">
              <w:t>-</w:t>
            </w:r>
          </w:p>
        </w:tc>
        <w:tc>
          <w:tcPr>
            <w:tcW w:w="1276" w:type="dxa"/>
            <w:tcBorders>
              <w:left w:val="double" w:sz="4" w:space="0" w:color="auto"/>
            </w:tcBorders>
            <w:vAlign w:val="center"/>
          </w:tcPr>
          <w:p w:rsidR="006D068C" w:rsidRPr="00FF044C" w:rsidRDefault="006D068C" w:rsidP="008A42CC">
            <w:pPr>
              <w:pStyle w:val="Tabletext"/>
              <w:jc w:val="center"/>
            </w:pPr>
            <w:r w:rsidRPr="00FF044C">
              <w:t>NR</w:t>
            </w:r>
          </w:p>
        </w:tc>
        <w:tc>
          <w:tcPr>
            <w:tcW w:w="1134" w:type="dxa"/>
            <w:vAlign w:val="center"/>
          </w:tcPr>
          <w:p w:rsidR="006D068C" w:rsidRPr="00FF044C" w:rsidRDefault="006D068C" w:rsidP="008A42CC">
            <w:pPr>
              <w:pStyle w:val="Tabletext"/>
              <w:jc w:val="center"/>
            </w:pPr>
            <w:r w:rsidRPr="00FF044C">
              <w:t>-</w:t>
            </w:r>
          </w:p>
        </w:tc>
        <w:tc>
          <w:tcPr>
            <w:tcW w:w="1417" w:type="dxa"/>
            <w:vAlign w:val="center"/>
          </w:tcPr>
          <w:p w:rsidR="006D068C" w:rsidRPr="00FF044C" w:rsidRDefault="006D068C" w:rsidP="008A42CC">
            <w:pPr>
              <w:pStyle w:val="Tabletext"/>
              <w:jc w:val="center"/>
            </w:pPr>
            <w:r w:rsidRPr="00FF044C">
              <w:t>-</w:t>
            </w:r>
          </w:p>
        </w:tc>
        <w:tc>
          <w:tcPr>
            <w:tcW w:w="1134" w:type="dxa"/>
            <w:vAlign w:val="center"/>
          </w:tcPr>
          <w:p w:rsidR="006D068C" w:rsidRPr="00FF044C" w:rsidRDefault="006D068C" w:rsidP="008A42CC">
            <w:pPr>
              <w:pStyle w:val="Tabletext"/>
              <w:jc w:val="center"/>
            </w:pPr>
            <w:r w:rsidRPr="00FF044C">
              <w:t>-</w:t>
            </w:r>
          </w:p>
        </w:tc>
      </w:tr>
      <w:tr w:rsidR="006D068C" w:rsidRPr="00FF044C" w:rsidTr="006D068C">
        <w:trPr>
          <w:cantSplit/>
        </w:trPr>
        <w:tc>
          <w:tcPr>
            <w:tcW w:w="2126" w:type="dxa"/>
          </w:tcPr>
          <w:p w:rsidR="006D068C" w:rsidRPr="00FF044C" w:rsidRDefault="006D068C" w:rsidP="008A42CC">
            <w:pPr>
              <w:pStyle w:val="Tabletext"/>
              <w:rPr>
                <w:b/>
              </w:rPr>
            </w:pPr>
            <w:r w:rsidRPr="00FF044C">
              <w:lastRenderedPageBreak/>
              <w:t>Naïve pooled comparison without Study C25007</w:t>
            </w:r>
          </w:p>
        </w:tc>
        <w:tc>
          <w:tcPr>
            <w:tcW w:w="1276" w:type="dxa"/>
            <w:tcBorders>
              <w:right w:val="double" w:sz="4" w:space="0" w:color="auto"/>
            </w:tcBorders>
            <w:vAlign w:val="center"/>
          </w:tcPr>
          <w:p w:rsidR="006D068C" w:rsidRPr="00FF044C" w:rsidRDefault="006D068C" w:rsidP="008A42CC">
            <w:pPr>
              <w:pStyle w:val="Tabletext"/>
              <w:jc w:val="center"/>
              <w:rPr>
                <w:b/>
              </w:rPr>
            </w:pPr>
            <w:r w:rsidRPr="00FF044C">
              <w:rPr>
                <w:b/>
              </w:rPr>
              <w:t>88/268 (32.8%)</w:t>
            </w:r>
          </w:p>
        </w:tc>
        <w:tc>
          <w:tcPr>
            <w:tcW w:w="1276" w:type="dxa"/>
            <w:tcBorders>
              <w:left w:val="double" w:sz="4" w:space="0" w:color="auto"/>
            </w:tcBorders>
            <w:vAlign w:val="center"/>
          </w:tcPr>
          <w:p w:rsidR="006D068C" w:rsidRPr="00FF044C" w:rsidRDefault="006D068C" w:rsidP="008A42CC">
            <w:pPr>
              <w:pStyle w:val="Tabletext"/>
              <w:jc w:val="center"/>
              <w:rPr>
                <w:b/>
              </w:rPr>
            </w:pPr>
            <w:r w:rsidRPr="00FF044C">
              <w:rPr>
                <w:b/>
              </w:rPr>
              <w:t>3/46 (6.5%)</w:t>
            </w:r>
          </w:p>
        </w:tc>
        <w:tc>
          <w:tcPr>
            <w:tcW w:w="1134" w:type="dxa"/>
            <w:vAlign w:val="center"/>
          </w:tcPr>
          <w:p w:rsidR="006D068C" w:rsidRPr="00FF044C" w:rsidRDefault="006D068C" w:rsidP="008A42CC">
            <w:pPr>
              <w:pStyle w:val="Tabletext"/>
              <w:jc w:val="center"/>
            </w:pPr>
            <w:r w:rsidRPr="00FF044C">
              <w:rPr>
                <w:b/>
              </w:rPr>
              <w:t>5.03 (1.7,15.2)</w:t>
            </w:r>
          </w:p>
        </w:tc>
        <w:tc>
          <w:tcPr>
            <w:tcW w:w="1417" w:type="dxa"/>
            <w:vAlign w:val="center"/>
          </w:tcPr>
          <w:p w:rsidR="006D068C" w:rsidRPr="00FF044C" w:rsidRDefault="006D068C" w:rsidP="008A42CC">
            <w:pPr>
              <w:pStyle w:val="Tabletext"/>
              <w:jc w:val="center"/>
              <w:rPr>
                <w:b/>
              </w:rPr>
            </w:pPr>
            <w:r w:rsidRPr="00FF044C">
              <w:rPr>
                <w:b/>
              </w:rPr>
              <w:t>26.3% (17.2, 35.4)</w:t>
            </w:r>
          </w:p>
        </w:tc>
        <w:tc>
          <w:tcPr>
            <w:tcW w:w="1134" w:type="dxa"/>
            <w:vAlign w:val="center"/>
          </w:tcPr>
          <w:p w:rsidR="006D068C" w:rsidRPr="00FF044C" w:rsidRDefault="006D068C" w:rsidP="008A42CC">
            <w:pPr>
              <w:pStyle w:val="Tabletext"/>
              <w:jc w:val="center"/>
              <w:rPr>
                <w:b/>
              </w:rPr>
            </w:pPr>
            <w:r w:rsidRPr="00FF044C">
              <w:rPr>
                <w:b/>
              </w:rPr>
              <w:t>4 (3.0, 6.0)</w:t>
            </w:r>
          </w:p>
        </w:tc>
      </w:tr>
      <w:tr w:rsidR="006D068C" w:rsidRPr="00FF044C" w:rsidTr="006D068C">
        <w:trPr>
          <w:cantSplit/>
        </w:trPr>
        <w:tc>
          <w:tcPr>
            <w:tcW w:w="2126" w:type="dxa"/>
          </w:tcPr>
          <w:p w:rsidR="006D068C" w:rsidRPr="00FF044C" w:rsidRDefault="006D068C" w:rsidP="008A42CC">
            <w:pPr>
              <w:pStyle w:val="Tabletext"/>
              <w:rPr>
                <w:b/>
              </w:rPr>
            </w:pPr>
            <w:r w:rsidRPr="00FF044C">
              <w:t>Naïve pooled comparison including Study C25007</w:t>
            </w:r>
          </w:p>
        </w:tc>
        <w:tc>
          <w:tcPr>
            <w:tcW w:w="1276" w:type="dxa"/>
            <w:tcBorders>
              <w:right w:val="double" w:sz="4" w:space="0" w:color="auto"/>
            </w:tcBorders>
            <w:vAlign w:val="center"/>
          </w:tcPr>
          <w:p w:rsidR="006D068C" w:rsidRPr="00FF044C" w:rsidRDefault="006D068C" w:rsidP="008A42CC">
            <w:pPr>
              <w:pStyle w:val="Tabletext"/>
              <w:jc w:val="center"/>
              <w:rPr>
                <w:b/>
              </w:rPr>
            </w:pPr>
            <w:r w:rsidRPr="00FF044C">
              <w:rPr>
                <w:b/>
              </w:rPr>
              <w:t>95/324 (29.3%)</w:t>
            </w:r>
          </w:p>
        </w:tc>
        <w:tc>
          <w:tcPr>
            <w:tcW w:w="1276" w:type="dxa"/>
            <w:tcBorders>
              <w:left w:val="double" w:sz="4" w:space="0" w:color="auto"/>
            </w:tcBorders>
            <w:vAlign w:val="center"/>
          </w:tcPr>
          <w:p w:rsidR="006D068C" w:rsidRPr="00FF044C" w:rsidRDefault="006D068C" w:rsidP="008A42CC">
            <w:pPr>
              <w:pStyle w:val="Tabletext"/>
              <w:jc w:val="center"/>
              <w:rPr>
                <w:b/>
              </w:rPr>
            </w:pPr>
            <w:r w:rsidRPr="00FF044C">
              <w:rPr>
                <w:b/>
              </w:rPr>
              <w:t>3/46 (6.5%)</w:t>
            </w:r>
          </w:p>
        </w:tc>
        <w:tc>
          <w:tcPr>
            <w:tcW w:w="1134" w:type="dxa"/>
            <w:vAlign w:val="center"/>
          </w:tcPr>
          <w:p w:rsidR="006D068C" w:rsidRPr="00FF044C" w:rsidRDefault="006D068C" w:rsidP="008A42CC">
            <w:pPr>
              <w:pStyle w:val="Tabletext"/>
              <w:jc w:val="center"/>
              <w:rPr>
                <w:b/>
              </w:rPr>
            </w:pPr>
            <w:r w:rsidRPr="00FF044C">
              <w:rPr>
                <w:b/>
              </w:rPr>
              <w:t>4.5 (1.5,13.6)</w:t>
            </w:r>
          </w:p>
        </w:tc>
        <w:tc>
          <w:tcPr>
            <w:tcW w:w="1417" w:type="dxa"/>
            <w:vAlign w:val="center"/>
          </w:tcPr>
          <w:p w:rsidR="006D068C" w:rsidRPr="00FF044C" w:rsidRDefault="006D068C" w:rsidP="008A42CC">
            <w:pPr>
              <w:pStyle w:val="Tabletext"/>
              <w:jc w:val="center"/>
              <w:rPr>
                <w:b/>
              </w:rPr>
            </w:pPr>
            <w:r w:rsidRPr="00FF044C">
              <w:rPr>
                <w:b/>
              </w:rPr>
              <w:t>22.8% (14.1,31.5)</w:t>
            </w:r>
          </w:p>
        </w:tc>
        <w:tc>
          <w:tcPr>
            <w:tcW w:w="1134" w:type="dxa"/>
            <w:vAlign w:val="center"/>
          </w:tcPr>
          <w:p w:rsidR="006D068C" w:rsidRPr="00FF044C" w:rsidRDefault="006D068C" w:rsidP="008A42CC">
            <w:pPr>
              <w:pStyle w:val="Tabletext"/>
              <w:jc w:val="center"/>
              <w:rPr>
                <w:b/>
              </w:rPr>
            </w:pPr>
            <w:r w:rsidRPr="00FF044C">
              <w:rPr>
                <w:b/>
              </w:rPr>
              <w:t>5.95 (1.8,19.6)</w:t>
            </w:r>
          </w:p>
        </w:tc>
      </w:tr>
    </w:tbl>
    <w:p w:rsidR="006D068C" w:rsidRPr="00FF044C" w:rsidRDefault="006D068C" w:rsidP="006D068C">
      <w:pPr>
        <w:ind w:left="720"/>
        <w:rPr>
          <w:rFonts w:ascii="Arial Narrow" w:hAnsi="Arial Narrow"/>
          <w:sz w:val="18"/>
        </w:rPr>
      </w:pPr>
      <w:r w:rsidRPr="00FF044C">
        <w:rPr>
          <w:rFonts w:ascii="Arial Narrow" w:hAnsi="Arial Narrow"/>
          <w:sz w:val="18"/>
        </w:rPr>
        <w:t>Source: Tables B.6.1, B.6.2 and B.6.3, pp67-68 of the submission and Response rate pooled analysis - Section B (C25007 update).xlsx</w:t>
      </w:r>
    </w:p>
    <w:p w:rsidR="006D068C" w:rsidRPr="00FF044C" w:rsidRDefault="006D068C" w:rsidP="006D068C">
      <w:pPr>
        <w:ind w:left="720"/>
        <w:rPr>
          <w:rFonts w:ascii="Arial Narrow" w:hAnsi="Arial Narrow"/>
          <w:sz w:val="18"/>
        </w:rPr>
      </w:pPr>
      <w:r w:rsidRPr="00FF044C">
        <w:rPr>
          <w:rFonts w:ascii="Arial Narrow" w:hAnsi="Arial Narrow"/>
          <w:sz w:val="18"/>
        </w:rPr>
        <w:t xml:space="preserve">CI = confidence interval; NNT = number needed to treat; NR = not reported; RD = risk difference; RR = relative risk; </w:t>
      </w:r>
      <w:r w:rsidRPr="00FF044C">
        <w:rPr>
          <w:rFonts w:ascii="Arial Narrow" w:hAnsi="Arial Narrow"/>
          <w:b/>
          <w:sz w:val="18"/>
        </w:rPr>
        <w:t>bold</w:t>
      </w:r>
      <w:r w:rsidRPr="00FF044C">
        <w:rPr>
          <w:rFonts w:ascii="Arial Narrow" w:hAnsi="Arial Narrow"/>
          <w:sz w:val="18"/>
        </w:rPr>
        <w:t xml:space="preserve"> = statistically significant</w:t>
      </w:r>
    </w:p>
    <w:p w:rsidR="006D068C" w:rsidRPr="00FF044C" w:rsidRDefault="006D068C" w:rsidP="006D068C">
      <w:pPr>
        <w:ind w:left="720"/>
        <w:rPr>
          <w:bCs/>
        </w:rPr>
      </w:pPr>
      <w:proofErr w:type="gramStart"/>
      <w:r w:rsidRPr="00FF044C">
        <w:rPr>
          <w:rFonts w:ascii="Arial Narrow" w:hAnsi="Arial Narrow"/>
          <w:sz w:val="18"/>
          <w:vertAlign w:val="superscript"/>
        </w:rPr>
        <w:t>a</w:t>
      </w:r>
      <w:proofErr w:type="gramEnd"/>
      <w:r w:rsidRPr="00FF044C">
        <w:rPr>
          <w:rFonts w:ascii="Arial Narrow" w:hAnsi="Arial Narrow"/>
          <w:sz w:val="18"/>
        </w:rPr>
        <w:t xml:space="preserve"> Study results (per independent review) provided during evaluation</w:t>
      </w:r>
    </w:p>
    <w:p w:rsidR="003C6348" w:rsidRPr="00FF044C" w:rsidRDefault="003C6348" w:rsidP="00347F15">
      <w:pPr>
        <w:pStyle w:val="ListParagraph"/>
      </w:pPr>
    </w:p>
    <w:p w:rsidR="005D5578" w:rsidRPr="00FF044C" w:rsidRDefault="005D5578" w:rsidP="0075545E">
      <w:pPr>
        <w:pStyle w:val="ListParagraph"/>
        <w:keepNext/>
        <w:widowControl/>
        <w:numPr>
          <w:ilvl w:val="1"/>
          <w:numId w:val="1"/>
        </w:numPr>
      </w:pPr>
      <w:r w:rsidRPr="00FF044C">
        <w:t>Table 6 summarises the proportion of patients proceeding to stem cell transplant after treatment with brentuximab vedotin and salvage chemotherapy.</w:t>
      </w:r>
    </w:p>
    <w:p w:rsidR="005D5578" w:rsidRPr="00FF044C" w:rsidRDefault="005D5578" w:rsidP="005D5578">
      <w:pPr>
        <w:ind w:left="720"/>
      </w:pPr>
    </w:p>
    <w:p w:rsidR="003C6348" w:rsidRPr="00FF044C" w:rsidRDefault="003C6348" w:rsidP="003C6348">
      <w:pPr>
        <w:pStyle w:val="Caption"/>
        <w:keepNext/>
        <w:spacing w:after="0"/>
        <w:ind w:left="720"/>
        <w:rPr>
          <w:rFonts w:ascii="Arial Narrow" w:hAnsi="Arial Narrow"/>
          <w:bCs w:val="0"/>
          <w:snapToGrid/>
          <w:color w:val="auto"/>
          <w:sz w:val="20"/>
          <w:szCs w:val="16"/>
        </w:rPr>
      </w:pPr>
      <w:r w:rsidRPr="00FF044C">
        <w:rPr>
          <w:rFonts w:ascii="Arial Narrow" w:hAnsi="Arial Narrow"/>
          <w:bCs w:val="0"/>
          <w:snapToGrid/>
          <w:color w:val="auto"/>
          <w:sz w:val="20"/>
          <w:szCs w:val="16"/>
        </w:rPr>
        <w:t>Table 6: Stem cell transplant outcomes for brentuximab vedotin and salvage chemotherapy</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6: Stem cell transplant outcomes for brentuximab vedotin and salvage chemotherapy"/>
      </w:tblPr>
      <w:tblGrid>
        <w:gridCol w:w="2126"/>
        <w:gridCol w:w="1276"/>
        <w:gridCol w:w="1276"/>
        <w:gridCol w:w="1134"/>
        <w:gridCol w:w="1417"/>
        <w:gridCol w:w="1134"/>
      </w:tblGrid>
      <w:tr w:rsidR="00051215" w:rsidRPr="00FF044C" w:rsidTr="00051215">
        <w:trPr>
          <w:cantSplit/>
          <w:tblHeader/>
        </w:trPr>
        <w:tc>
          <w:tcPr>
            <w:tcW w:w="2126" w:type="dxa"/>
          </w:tcPr>
          <w:p w:rsidR="00051215" w:rsidRPr="00FF044C" w:rsidRDefault="00051215" w:rsidP="008A42CC">
            <w:pPr>
              <w:pStyle w:val="Tabletext"/>
              <w:rPr>
                <w:b/>
              </w:rPr>
            </w:pPr>
          </w:p>
        </w:tc>
        <w:tc>
          <w:tcPr>
            <w:tcW w:w="1276" w:type="dxa"/>
            <w:tcBorders>
              <w:right w:val="double" w:sz="4" w:space="0" w:color="auto"/>
            </w:tcBorders>
            <w:vAlign w:val="center"/>
          </w:tcPr>
          <w:p w:rsidR="00051215" w:rsidRPr="00FF044C" w:rsidRDefault="00051215" w:rsidP="008A42CC">
            <w:pPr>
              <w:pStyle w:val="Tabletext"/>
              <w:jc w:val="center"/>
              <w:rPr>
                <w:b/>
              </w:rPr>
            </w:pPr>
            <w:r w:rsidRPr="00FF044C">
              <w:rPr>
                <w:b/>
              </w:rPr>
              <w:t>Brentuximab vedotin</w:t>
            </w:r>
          </w:p>
        </w:tc>
        <w:tc>
          <w:tcPr>
            <w:tcW w:w="1276" w:type="dxa"/>
            <w:tcBorders>
              <w:left w:val="double" w:sz="4" w:space="0" w:color="auto"/>
            </w:tcBorders>
            <w:vAlign w:val="center"/>
          </w:tcPr>
          <w:p w:rsidR="00051215" w:rsidRPr="00FF044C" w:rsidRDefault="00051215" w:rsidP="008A42CC">
            <w:pPr>
              <w:pStyle w:val="Tabletext"/>
              <w:jc w:val="center"/>
              <w:rPr>
                <w:b/>
              </w:rPr>
            </w:pPr>
            <w:r w:rsidRPr="00FF044C">
              <w:rPr>
                <w:b/>
              </w:rPr>
              <w:t>Salvage chemotherapy</w:t>
            </w:r>
          </w:p>
        </w:tc>
        <w:tc>
          <w:tcPr>
            <w:tcW w:w="1134" w:type="dxa"/>
            <w:vAlign w:val="center"/>
          </w:tcPr>
          <w:p w:rsidR="00051215" w:rsidRPr="00FF044C" w:rsidRDefault="00051215" w:rsidP="008A42CC">
            <w:pPr>
              <w:pStyle w:val="Tabletext"/>
              <w:jc w:val="center"/>
              <w:rPr>
                <w:b/>
              </w:rPr>
            </w:pPr>
            <w:r w:rsidRPr="00FF044C">
              <w:rPr>
                <w:b/>
              </w:rPr>
              <w:t>RR (95% CI)</w:t>
            </w:r>
          </w:p>
        </w:tc>
        <w:tc>
          <w:tcPr>
            <w:tcW w:w="1417" w:type="dxa"/>
            <w:vAlign w:val="center"/>
          </w:tcPr>
          <w:p w:rsidR="00051215" w:rsidRPr="00FF044C" w:rsidRDefault="00051215" w:rsidP="008A42CC">
            <w:pPr>
              <w:pStyle w:val="Tabletext"/>
              <w:jc w:val="center"/>
              <w:rPr>
                <w:b/>
              </w:rPr>
            </w:pPr>
            <w:r w:rsidRPr="00FF044C">
              <w:rPr>
                <w:b/>
              </w:rPr>
              <w:t>RD (95% CI)</w:t>
            </w:r>
          </w:p>
        </w:tc>
        <w:tc>
          <w:tcPr>
            <w:tcW w:w="1134" w:type="dxa"/>
            <w:vAlign w:val="center"/>
          </w:tcPr>
          <w:p w:rsidR="00051215" w:rsidRPr="00FF044C" w:rsidRDefault="00051215" w:rsidP="008A42CC">
            <w:pPr>
              <w:pStyle w:val="Tabletext"/>
              <w:jc w:val="center"/>
              <w:rPr>
                <w:b/>
              </w:rPr>
            </w:pPr>
            <w:r w:rsidRPr="00FF044C">
              <w:rPr>
                <w:b/>
              </w:rPr>
              <w:t>NNT (95% CI)</w:t>
            </w:r>
          </w:p>
        </w:tc>
      </w:tr>
      <w:tr w:rsidR="00051215" w:rsidRPr="00FF044C" w:rsidTr="00051215">
        <w:trPr>
          <w:cantSplit/>
        </w:trPr>
        <w:tc>
          <w:tcPr>
            <w:tcW w:w="2126" w:type="dxa"/>
          </w:tcPr>
          <w:p w:rsidR="00051215" w:rsidRPr="00FF044C" w:rsidRDefault="00051215" w:rsidP="008A42CC">
            <w:pPr>
              <w:pStyle w:val="Tabletext"/>
            </w:pPr>
            <w:r w:rsidRPr="00FF044C">
              <w:t>Millennium Report</w:t>
            </w:r>
          </w:p>
        </w:tc>
        <w:tc>
          <w:tcPr>
            <w:tcW w:w="1276" w:type="dxa"/>
            <w:tcBorders>
              <w:right w:val="double" w:sz="4" w:space="0" w:color="auto"/>
            </w:tcBorders>
            <w:vAlign w:val="center"/>
          </w:tcPr>
          <w:p w:rsidR="00051215" w:rsidRPr="00FF044C" w:rsidRDefault="00051215" w:rsidP="008A42CC">
            <w:pPr>
              <w:pStyle w:val="Tabletext"/>
              <w:jc w:val="center"/>
            </w:pPr>
            <w:r w:rsidRPr="00FF044C">
              <w:t>8/41 (19%)</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Bröckelmann (2016)</w:t>
            </w:r>
          </w:p>
        </w:tc>
        <w:tc>
          <w:tcPr>
            <w:tcW w:w="1276" w:type="dxa"/>
            <w:tcBorders>
              <w:right w:val="double" w:sz="4" w:space="0" w:color="auto"/>
            </w:tcBorders>
            <w:vAlign w:val="center"/>
          </w:tcPr>
          <w:p w:rsidR="00051215" w:rsidRPr="00FF044C" w:rsidRDefault="00051215" w:rsidP="008A42CC">
            <w:pPr>
              <w:pStyle w:val="Tabletext"/>
              <w:jc w:val="center"/>
            </w:pPr>
            <w:r w:rsidRPr="00FF044C">
              <w:t>NR</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Zinzani (2015)</w:t>
            </w:r>
          </w:p>
        </w:tc>
        <w:tc>
          <w:tcPr>
            <w:tcW w:w="1276" w:type="dxa"/>
            <w:tcBorders>
              <w:right w:val="double" w:sz="4" w:space="0" w:color="auto"/>
            </w:tcBorders>
            <w:vAlign w:val="center"/>
          </w:tcPr>
          <w:p w:rsidR="00051215" w:rsidRPr="00FF044C" w:rsidRDefault="00051215" w:rsidP="008A42CC">
            <w:pPr>
              <w:pStyle w:val="Tabletext"/>
              <w:jc w:val="center"/>
            </w:pPr>
            <w:r w:rsidRPr="00FF044C">
              <w:t>14/30 (47%)</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Sasse (2013)</w:t>
            </w:r>
          </w:p>
        </w:tc>
        <w:tc>
          <w:tcPr>
            <w:tcW w:w="1276" w:type="dxa"/>
            <w:tcBorders>
              <w:right w:val="double" w:sz="4" w:space="0" w:color="auto"/>
            </w:tcBorders>
            <w:vAlign w:val="center"/>
          </w:tcPr>
          <w:p w:rsidR="00051215" w:rsidRPr="00FF044C" w:rsidRDefault="00051215" w:rsidP="008A42CC">
            <w:pPr>
              <w:pStyle w:val="Tabletext"/>
              <w:jc w:val="center"/>
            </w:pPr>
            <w:r w:rsidRPr="00FF044C">
              <w:t>5/14 (36%)</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Viviani (2015)</w:t>
            </w:r>
          </w:p>
        </w:tc>
        <w:tc>
          <w:tcPr>
            <w:tcW w:w="1276" w:type="dxa"/>
            <w:tcBorders>
              <w:right w:val="double" w:sz="4" w:space="0" w:color="auto"/>
            </w:tcBorders>
            <w:vAlign w:val="center"/>
          </w:tcPr>
          <w:p w:rsidR="00051215" w:rsidRPr="00FF044C" w:rsidRDefault="00051215" w:rsidP="008A42CC">
            <w:pPr>
              <w:pStyle w:val="Tabletext"/>
              <w:jc w:val="center"/>
            </w:pPr>
            <w:r w:rsidRPr="00FF044C">
              <w:t>7/20 (35%)</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Onishi (2015)</w:t>
            </w:r>
          </w:p>
        </w:tc>
        <w:tc>
          <w:tcPr>
            <w:tcW w:w="1276" w:type="dxa"/>
            <w:tcBorders>
              <w:right w:val="double" w:sz="4" w:space="0" w:color="auto"/>
            </w:tcBorders>
            <w:vAlign w:val="center"/>
          </w:tcPr>
          <w:p w:rsidR="00051215" w:rsidRPr="00FF044C" w:rsidRDefault="00051215" w:rsidP="008A42CC">
            <w:pPr>
              <w:pStyle w:val="Tabletext"/>
              <w:jc w:val="center"/>
            </w:pPr>
            <w:r w:rsidRPr="00FF044C">
              <w:t>12/15 (80%)</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Gibb (2012)</w:t>
            </w:r>
          </w:p>
        </w:tc>
        <w:tc>
          <w:tcPr>
            <w:tcW w:w="1276" w:type="dxa"/>
            <w:tcBorders>
              <w:right w:val="double" w:sz="4" w:space="0" w:color="auto"/>
            </w:tcBorders>
            <w:vAlign w:val="center"/>
          </w:tcPr>
          <w:p w:rsidR="00051215" w:rsidRPr="00FF044C" w:rsidRDefault="00051215" w:rsidP="008A42CC">
            <w:pPr>
              <w:pStyle w:val="Tabletext"/>
              <w:jc w:val="center"/>
            </w:pPr>
            <w:r w:rsidRPr="00FF044C">
              <w:t>1/12 (8%)</w:t>
            </w:r>
          </w:p>
        </w:tc>
        <w:tc>
          <w:tcPr>
            <w:tcW w:w="1276" w:type="dxa"/>
            <w:tcBorders>
              <w:left w:val="double" w:sz="4" w:space="0" w:color="auto"/>
            </w:tcBorders>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Study C25007</w:t>
            </w:r>
            <w:r w:rsidR="00D13EA3" w:rsidRPr="00FF044C">
              <w:t xml:space="preserve"> </w:t>
            </w:r>
            <w:r w:rsidRPr="00FF044C">
              <w:rPr>
                <w:vertAlign w:val="superscript"/>
              </w:rPr>
              <w:t>a</w:t>
            </w:r>
          </w:p>
        </w:tc>
        <w:tc>
          <w:tcPr>
            <w:tcW w:w="1276" w:type="dxa"/>
            <w:tcBorders>
              <w:right w:val="double" w:sz="4" w:space="0" w:color="auto"/>
            </w:tcBorders>
            <w:vAlign w:val="center"/>
          </w:tcPr>
          <w:p w:rsidR="00051215" w:rsidRPr="00FF044C" w:rsidRDefault="00051215" w:rsidP="008A42CC">
            <w:pPr>
              <w:pStyle w:val="Tabletext"/>
              <w:jc w:val="center"/>
            </w:pPr>
            <w:r w:rsidRPr="00FF044C">
              <w:t>28/49 (57%)</w:t>
            </w:r>
          </w:p>
        </w:tc>
        <w:tc>
          <w:tcPr>
            <w:tcW w:w="1276" w:type="dxa"/>
            <w:tcBorders>
              <w:left w:val="double" w:sz="4" w:space="0" w:color="auto"/>
            </w:tcBorders>
            <w:vAlign w:val="center"/>
          </w:tcPr>
          <w:p w:rsidR="00051215" w:rsidRPr="00FF044C" w:rsidRDefault="00051215" w:rsidP="008A42CC">
            <w:pPr>
              <w:pStyle w:val="Tabletext"/>
              <w:jc w:val="center"/>
            </w:pPr>
          </w:p>
        </w:tc>
        <w:tc>
          <w:tcPr>
            <w:tcW w:w="1134" w:type="dxa"/>
            <w:vAlign w:val="center"/>
          </w:tcPr>
          <w:p w:rsidR="00051215" w:rsidRPr="00FF044C" w:rsidRDefault="00051215" w:rsidP="008A42CC">
            <w:pPr>
              <w:pStyle w:val="Tabletext"/>
              <w:jc w:val="center"/>
            </w:pPr>
          </w:p>
        </w:tc>
        <w:tc>
          <w:tcPr>
            <w:tcW w:w="1417" w:type="dxa"/>
            <w:vAlign w:val="center"/>
          </w:tcPr>
          <w:p w:rsidR="00051215" w:rsidRPr="00FF044C" w:rsidRDefault="00051215" w:rsidP="008A42CC">
            <w:pPr>
              <w:pStyle w:val="Tabletext"/>
              <w:jc w:val="center"/>
            </w:pPr>
          </w:p>
        </w:tc>
        <w:tc>
          <w:tcPr>
            <w:tcW w:w="1134" w:type="dxa"/>
            <w:vAlign w:val="center"/>
          </w:tcPr>
          <w:p w:rsidR="00051215" w:rsidRPr="00FF044C" w:rsidRDefault="00051215" w:rsidP="008A42CC">
            <w:pPr>
              <w:pStyle w:val="Tabletext"/>
              <w:jc w:val="center"/>
            </w:pPr>
          </w:p>
        </w:tc>
      </w:tr>
      <w:tr w:rsidR="00051215" w:rsidRPr="00FF044C" w:rsidTr="00051215">
        <w:trPr>
          <w:cantSplit/>
        </w:trPr>
        <w:tc>
          <w:tcPr>
            <w:tcW w:w="2126" w:type="dxa"/>
          </w:tcPr>
          <w:p w:rsidR="00051215" w:rsidRPr="00FF044C" w:rsidRDefault="00051215" w:rsidP="008A42CC">
            <w:pPr>
              <w:pStyle w:val="Tabletext"/>
            </w:pPr>
            <w:r w:rsidRPr="00FF044C">
              <w:t>Santoro (2000)</w:t>
            </w:r>
          </w:p>
        </w:tc>
        <w:tc>
          <w:tcPr>
            <w:tcW w:w="1276" w:type="dxa"/>
            <w:tcBorders>
              <w:right w:val="double" w:sz="4" w:space="0" w:color="auto"/>
            </w:tcBorders>
            <w:vAlign w:val="center"/>
          </w:tcPr>
          <w:p w:rsidR="00051215" w:rsidRPr="00FF044C" w:rsidRDefault="00051215" w:rsidP="008A42CC">
            <w:pPr>
              <w:pStyle w:val="Tabletext"/>
              <w:jc w:val="center"/>
            </w:pPr>
            <w:r w:rsidRPr="00FF044C">
              <w:t>-</w:t>
            </w:r>
          </w:p>
        </w:tc>
        <w:tc>
          <w:tcPr>
            <w:tcW w:w="1276" w:type="dxa"/>
            <w:tcBorders>
              <w:left w:val="double" w:sz="4" w:space="0" w:color="auto"/>
            </w:tcBorders>
            <w:vAlign w:val="center"/>
          </w:tcPr>
          <w:p w:rsidR="00051215" w:rsidRPr="00FF044C" w:rsidRDefault="00051215" w:rsidP="008A42CC">
            <w:pPr>
              <w:pStyle w:val="Tabletext"/>
              <w:jc w:val="center"/>
            </w:pPr>
            <w:r w:rsidRPr="00FF044C">
              <w:t>0</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Venkatesh (2004)</w:t>
            </w:r>
          </w:p>
        </w:tc>
        <w:tc>
          <w:tcPr>
            <w:tcW w:w="1276" w:type="dxa"/>
            <w:tcBorders>
              <w:right w:val="double" w:sz="4" w:space="0" w:color="auto"/>
            </w:tcBorders>
            <w:vAlign w:val="center"/>
          </w:tcPr>
          <w:p w:rsidR="00051215" w:rsidRPr="00FF044C" w:rsidRDefault="00051215" w:rsidP="008A42CC">
            <w:pPr>
              <w:pStyle w:val="Tabletext"/>
              <w:jc w:val="center"/>
            </w:pPr>
            <w:r w:rsidRPr="00FF044C">
              <w:t>-</w:t>
            </w:r>
          </w:p>
        </w:tc>
        <w:tc>
          <w:tcPr>
            <w:tcW w:w="1276" w:type="dxa"/>
            <w:tcBorders>
              <w:left w:val="double" w:sz="4" w:space="0" w:color="auto"/>
            </w:tcBorders>
            <w:vAlign w:val="center"/>
          </w:tcPr>
          <w:p w:rsidR="00051215" w:rsidRPr="00FF044C" w:rsidRDefault="00051215" w:rsidP="008A42CC">
            <w:pPr>
              <w:pStyle w:val="Tabletext"/>
              <w:jc w:val="center"/>
            </w:pPr>
            <w:r w:rsidRPr="00FF044C">
              <w:t>NR</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Oki (2008)</w:t>
            </w:r>
          </w:p>
        </w:tc>
        <w:tc>
          <w:tcPr>
            <w:tcW w:w="1276" w:type="dxa"/>
            <w:tcBorders>
              <w:right w:val="double" w:sz="4" w:space="0" w:color="auto"/>
            </w:tcBorders>
            <w:vAlign w:val="center"/>
          </w:tcPr>
          <w:p w:rsidR="00051215" w:rsidRPr="00FF044C" w:rsidRDefault="00051215" w:rsidP="008A42CC">
            <w:pPr>
              <w:pStyle w:val="Tabletext"/>
              <w:jc w:val="center"/>
            </w:pPr>
            <w:r w:rsidRPr="00FF044C">
              <w:t>-</w:t>
            </w:r>
          </w:p>
        </w:tc>
        <w:tc>
          <w:tcPr>
            <w:tcW w:w="1276" w:type="dxa"/>
            <w:tcBorders>
              <w:left w:val="double" w:sz="4" w:space="0" w:color="auto"/>
            </w:tcBorders>
            <w:vAlign w:val="center"/>
          </w:tcPr>
          <w:p w:rsidR="00051215" w:rsidRPr="00FF044C" w:rsidRDefault="00051215" w:rsidP="008A42CC">
            <w:pPr>
              <w:pStyle w:val="Tabletext"/>
              <w:jc w:val="center"/>
            </w:pPr>
            <w:r w:rsidRPr="00FF044C">
              <w:t>NR</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Zinzani (2000)</w:t>
            </w:r>
          </w:p>
        </w:tc>
        <w:tc>
          <w:tcPr>
            <w:tcW w:w="1276" w:type="dxa"/>
            <w:tcBorders>
              <w:right w:val="double" w:sz="4" w:space="0" w:color="auto"/>
            </w:tcBorders>
            <w:vAlign w:val="center"/>
          </w:tcPr>
          <w:p w:rsidR="00051215" w:rsidRPr="00FF044C" w:rsidRDefault="00051215" w:rsidP="008A42CC">
            <w:pPr>
              <w:pStyle w:val="Tabletext"/>
              <w:jc w:val="center"/>
            </w:pPr>
            <w:r w:rsidRPr="00FF044C">
              <w:t>-</w:t>
            </w:r>
          </w:p>
        </w:tc>
        <w:tc>
          <w:tcPr>
            <w:tcW w:w="1276" w:type="dxa"/>
            <w:tcBorders>
              <w:left w:val="double" w:sz="4" w:space="0" w:color="auto"/>
            </w:tcBorders>
            <w:vAlign w:val="center"/>
          </w:tcPr>
          <w:p w:rsidR="00051215" w:rsidRPr="00FF044C" w:rsidRDefault="00051215" w:rsidP="008A42CC">
            <w:pPr>
              <w:pStyle w:val="Tabletext"/>
              <w:jc w:val="center"/>
            </w:pPr>
            <w:r w:rsidRPr="00FF044C">
              <w:t>NR</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pPr>
            <w:r w:rsidRPr="00FF044C">
              <w:t>Validire (2008)</w:t>
            </w:r>
          </w:p>
        </w:tc>
        <w:tc>
          <w:tcPr>
            <w:tcW w:w="1276" w:type="dxa"/>
            <w:tcBorders>
              <w:right w:val="double" w:sz="4" w:space="0" w:color="auto"/>
            </w:tcBorders>
            <w:vAlign w:val="center"/>
          </w:tcPr>
          <w:p w:rsidR="00051215" w:rsidRPr="00FF044C" w:rsidRDefault="00051215" w:rsidP="008A42CC">
            <w:pPr>
              <w:pStyle w:val="Tabletext"/>
              <w:jc w:val="center"/>
            </w:pPr>
            <w:r w:rsidRPr="00FF044C">
              <w:t>-</w:t>
            </w:r>
          </w:p>
        </w:tc>
        <w:tc>
          <w:tcPr>
            <w:tcW w:w="1276" w:type="dxa"/>
            <w:tcBorders>
              <w:left w:val="double" w:sz="4" w:space="0" w:color="auto"/>
            </w:tcBorders>
            <w:vAlign w:val="center"/>
          </w:tcPr>
          <w:p w:rsidR="00051215" w:rsidRPr="00FF044C" w:rsidRDefault="00051215" w:rsidP="008A42CC">
            <w:pPr>
              <w:pStyle w:val="Tabletext"/>
              <w:jc w:val="center"/>
            </w:pPr>
            <w:r w:rsidRPr="00FF044C">
              <w:t>NR</w:t>
            </w:r>
          </w:p>
        </w:tc>
        <w:tc>
          <w:tcPr>
            <w:tcW w:w="1134" w:type="dxa"/>
            <w:vAlign w:val="center"/>
          </w:tcPr>
          <w:p w:rsidR="00051215" w:rsidRPr="00FF044C" w:rsidRDefault="00051215" w:rsidP="008A42CC">
            <w:pPr>
              <w:pStyle w:val="Tabletext"/>
              <w:jc w:val="center"/>
            </w:pPr>
            <w:r w:rsidRPr="00FF044C">
              <w:t>-</w:t>
            </w:r>
          </w:p>
        </w:tc>
        <w:tc>
          <w:tcPr>
            <w:tcW w:w="1417" w:type="dxa"/>
            <w:vAlign w:val="center"/>
          </w:tcPr>
          <w:p w:rsidR="00051215" w:rsidRPr="00FF044C" w:rsidRDefault="00051215" w:rsidP="008A42CC">
            <w:pPr>
              <w:pStyle w:val="Tabletext"/>
              <w:jc w:val="center"/>
            </w:pPr>
            <w:r w:rsidRPr="00FF044C">
              <w:t>-</w:t>
            </w:r>
          </w:p>
        </w:tc>
        <w:tc>
          <w:tcPr>
            <w:tcW w:w="1134" w:type="dxa"/>
            <w:vAlign w:val="center"/>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rPr>
                <w:b/>
              </w:rPr>
            </w:pPr>
            <w:r w:rsidRPr="00FF044C">
              <w:t>Naïve pooled comparison without Study C25007</w:t>
            </w:r>
          </w:p>
        </w:tc>
        <w:tc>
          <w:tcPr>
            <w:tcW w:w="1276" w:type="dxa"/>
            <w:tcBorders>
              <w:right w:val="double" w:sz="4" w:space="0" w:color="auto"/>
            </w:tcBorders>
            <w:vAlign w:val="center"/>
          </w:tcPr>
          <w:p w:rsidR="00051215" w:rsidRPr="00FF044C" w:rsidRDefault="00051215" w:rsidP="008A42CC">
            <w:pPr>
              <w:pStyle w:val="Tabletext"/>
              <w:jc w:val="center"/>
              <w:rPr>
                <w:b/>
              </w:rPr>
            </w:pPr>
            <w:r w:rsidRPr="00FF044C">
              <w:t>47/132 (35.6%)</w:t>
            </w:r>
          </w:p>
        </w:tc>
        <w:tc>
          <w:tcPr>
            <w:tcW w:w="1276" w:type="dxa"/>
            <w:tcBorders>
              <w:left w:val="double" w:sz="4" w:space="0" w:color="auto"/>
            </w:tcBorders>
          </w:tcPr>
          <w:p w:rsidR="00051215" w:rsidRPr="00FF044C" w:rsidRDefault="00051215" w:rsidP="008A42CC">
            <w:pPr>
              <w:pStyle w:val="Tabletext"/>
              <w:jc w:val="center"/>
            </w:pPr>
            <w:r w:rsidRPr="00FF044C">
              <w:t>-</w:t>
            </w:r>
          </w:p>
        </w:tc>
        <w:tc>
          <w:tcPr>
            <w:tcW w:w="1134" w:type="dxa"/>
          </w:tcPr>
          <w:p w:rsidR="00051215" w:rsidRPr="00FF044C" w:rsidRDefault="00051215" w:rsidP="008A42CC">
            <w:pPr>
              <w:pStyle w:val="Tabletext"/>
              <w:jc w:val="center"/>
            </w:pPr>
            <w:r w:rsidRPr="00FF044C">
              <w:t>-</w:t>
            </w:r>
          </w:p>
        </w:tc>
        <w:tc>
          <w:tcPr>
            <w:tcW w:w="1417" w:type="dxa"/>
          </w:tcPr>
          <w:p w:rsidR="00051215" w:rsidRPr="00FF044C" w:rsidRDefault="00051215" w:rsidP="008A42CC">
            <w:pPr>
              <w:pStyle w:val="Tabletext"/>
              <w:jc w:val="center"/>
            </w:pPr>
            <w:r w:rsidRPr="00FF044C">
              <w:t>-</w:t>
            </w:r>
          </w:p>
        </w:tc>
        <w:tc>
          <w:tcPr>
            <w:tcW w:w="1134" w:type="dxa"/>
          </w:tcPr>
          <w:p w:rsidR="00051215" w:rsidRPr="00FF044C" w:rsidRDefault="00051215" w:rsidP="008A42CC">
            <w:pPr>
              <w:pStyle w:val="Tabletext"/>
              <w:jc w:val="center"/>
            </w:pPr>
            <w:r w:rsidRPr="00FF044C">
              <w:t>-</w:t>
            </w:r>
          </w:p>
        </w:tc>
      </w:tr>
      <w:tr w:rsidR="00051215" w:rsidRPr="00FF044C" w:rsidTr="00051215">
        <w:trPr>
          <w:cantSplit/>
        </w:trPr>
        <w:tc>
          <w:tcPr>
            <w:tcW w:w="2126" w:type="dxa"/>
          </w:tcPr>
          <w:p w:rsidR="00051215" w:rsidRPr="00FF044C" w:rsidRDefault="00051215" w:rsidP="008A42CC">
            <w:pPr>
              <w:pStyle w:val="Tabletext"/>
              <w:rPr>
                <w:b/>
              </w:rPr>
            </w:pPr>
            <w:r w:rsidRPr="00FF044C">
              <w:t>Naïve pooled comparison including Study C25007</w:t>
            </w:r>
          </w:p>
        </w:tc>
        <w:tc>
          <w:tcPr>
            <w:tcW w:w="1276" w:type="dxa"/>
            <w:tcBorders>
              <w:right w:val="double" w:sz="4" w:space="0" w:color="auto"/>
            </w:tcBorders>
            <w:vAlign w:val="center"/>
          </w:tcPr>
          <w:p w:rsidR="00051215" w:rsidRPr="00FF044C" w:rsidRDefault="00051215" w:rsidP="008A42CC">
            <w:pPr>
              <w:pStyle w:val="Tabletext"/>
              <w:jc w:val="center"/>
            </w:pPr>
            <w:r w:rsidRPr="00FF044C">
              <w:t>75/181 (41.4%)</w:t>
            </w:r>
          </w:p>
        </w:tc>
        <w:tc>
          <w:tcPr>
            <w:tcW w:w="1276" w:type="dxa"/>
            <w:tcBorders>
              <w:left w:val="double" w:sz="4" w:space="0" w:color="auto"/>
            </w:tcBorders>
          </w:tcPr>
          <w:p w:rsidR="00051215" w:rsidRPr="00FF044C" w:rsidRDefault="00051215" w:rsidP="008A42CC">
            <w:pPr>
              <w:pStyle w:val="Tabletext"/>
              <w:jc w:val="center"/>
            </w:pPr>
            <w:r w:rsidRPr="00FF044C">
              <w:t>-</w:t>
            </w:r>
          </w:p>
        </w:tc>
        <w:tc>
          <w:tcPr>
            <w:tcW w:w="1134" w:type="dxa"/>
          </w:tcPr>
          <w:p w:rsidR="00051215" w:rsidRPr="00FF044C" w:rsidRDefault="00051215" w:rsidP="008A42CC">
            <w:pPr>
              <w:pStyle w:val="Tabletext"/>
              <w:jc w:val="center"/>
            </w:pPr>
            <w:r w:rsidRPr="00FF044C">
              <w:t>-</w:t>
            </w:r>
          </w:p>
        </w:tc>
        <w:tc>
          <w:tcPr>
            <w:tcW w:w="1417" w:type="dxa"/>
          </w:tcPr>
          <w:p w:rsidR="00051215" w:rsidRPr="00FF044C" w:rsidRDefault="00051215" w:rsidP="008A42CC">
            <w:pPr>
              <w:pStyle w:val="Tabletext"/>
              <w:jc w:val="center"/>
            </w:pPr>
            <w:r w:rsidRPr="00FF044C">
              <w:t>-</w:t>
            </w:r>
          </w:p>
        </w:tc>
        <w:tc>
          <w:tcPr>
            <w:tcW w:w="1134" w:type="dxa"/>
          </w:tcPr>
          <w:p w:rsidR="00051215" w:rsidRPr="00FF044C" w:rsidRDefault="00051215" w:rsidP="008A42CC">
            <w:pPr>
              <w:pStyle w:val="Tabletext"/>
              <w:jc w:val="center"/>
            </w:pPr>
            <w:r w:rsidRPr="00FF044C">
              <w:t>-</w:t>
            </w:r>
          </w:p>
        </w:tc>
      </w:tr>
    </w:tbl>
    <w:p w:rsidR="00051215" w:rsidRPr="00FF044C" w:rsidRDefault="00051215" w:rsidP="00051215">
      <w:pPr>
        <w:ind w:left="720"/>
        <w:rPr>
          <w:rFonts w:ascii="Arial Narrow" w:hAnsi="Arial Narrow"/>
          <w:sz w:val="18"/>
        </w:rPr>
      </w:pPr>
      <w:r w:rsidRPr="00FF044C">
        <w:rPr>
          <w:rFonts w:ascii="Arial Narrow" w:hAnsi="Arial Narrow"/>
          <w:sz w:val="18"/>
        </w:rPr>
        <w:t>Source: Tables B.6.1, B.6.2 and B.6.3, pp67-68 of the submission and Response rate pooled analysis - Section B (C25007 update).xlsx</w:t>
      </w:r>
    </w:p>
    <w:p w:rsidR="00051215" w:rsidRPr="00FF044C" w:rsidRDefault="00051215" w:rsidP="00051215">
      <w:pPr>
        <w:ind w:left="720"/>
        <w:rPr>
          <w:rFonts w:ascii="Arial Narrow" w:hAnsi="Arial Narrow"/>
          <w:sz w:val="18"/>
        </w:rPr>
      </w:pPr>
      <w:r w:rsidRPr="00FF044C">
        <w:rPr>
          <w:rFonts w:ascii="Arial Narrow" w:hAnsi="Arial Narrow"/>
          <w:sz w:val="18"/>
        </w:rPr>
        <w:t>CI = confidence interval; NNT = number needed to treat; NR = not reported; RD = risk difference; RR = relative risk</w:t>
      </w:r>
    </w:p>
    <w:p w:rsidR="00051215" w:rsidRPr="00FF044C" w:rsidRDefault="00051215" w:rsidP="00051215">
      <w:pPr>
        <w:ind w:left="720"/>
        <w:rPr>
          <w:bCs/>
        </w:rPr>
      </w:pPr>
      <w:proofErr w:type="gramStart"/>
      <w:r w:rsidRPr="00FF044C">
        <w:rPr>
          <w:rFonts w:ascii="Arial Narrow" w:hAnsi="Arial Narrow"/>
          <w:sz w:val="18"/>
          <w:vertAlign w:val="superscript"/>
        </w:rPr>
        <w:t>a</w:t>
      </w:r>
      <w:proofErr w:type="gramEnd"/>
      <w:r w:rsidRPr="00FF044C">
        <w:rPr>
          <w:rFonts w:ascii="Arial Narrow" w:hAnsi="Arial Narrow"/>
          <w:sz w:val="18"/>
        </w:rPr>
        <w:t xml:space="preserve"> Study results (per independent review) provided during evaluation</w:t>
      </w:r>
    </w:p>
    <w:p w:rsidR="003C6348" w:rsidRPr="00FF044C" w:rsidRDefault="003C6348" w:rsidP="005D5578">
      <w:pPr>
        <w:ind w:left="720"/>
      </w:pPr>
    </w:p>
    <w:p w:rsidR="00173093" w:rsidRPr="00FF044C" w:rsidRDefault="00173093" w:rsidP="0075545E">
      <w:pPr>
        <w:pStyle w:val="ListParagraph"/>
        <w:widowControl/>
        <w:numPr>
          <w:ilvl w:val="1"/>
          <w:numId w:val="1"/>
        </w:numPr>
      </w:pPr>
      <w:r w:rsidRPr="00FF044C">
        <w:t>It appeared that brentuximab vedotin had a substantial incremental improvement compared with salvage chemotherapy in overall response rate with a risk difference of 37% (95% confidence interval (CI): 25% to 48%) and complete response rate with a risk difference of 26% (95% (CI): 17% to 35%). Further, the criteria to assess clinical response varied across studies; the assessment of response in brentuximab vedotin studies incorporated PET scans which might result in an increase in the reported response rates compared with salvage chemotherapy studies</w:t>
      </w:r>
      <w:r w:rsidR="006958F7" w:rsidRPr="00FF044C">
        <w:t>,</w:t>
      </w:r>
      <w:r w:rsidRPr="00FF044C">
        <w:t xml:space="preserve"> which used older response assessment criteria.</w:t>
      </w:r>
      <w:r w:rsidR="00875812" w:rsidRPr="00FF044C">
        <w:t xml:space="preserve"> The inclusion of the results from Study C25007 in the pooled analyses of brentuximab vedotin resulted in a slight reduction in both overall response rate (from 66% to 64%) and complete response rate (from 33% to 29%).</w:t>
      </w:r>
    </w:p>
    <w:p w:rsidR="00051215" w:rsidRPr="00FF044C" w:rsidRDefault="00051215" w:rsidP="00051215">
      <w:pPr>
        <w:pStyle w:val="ListParagraph"/>
        <w:widowControl/>
        <w:rPr>
          <w:i/>
        </w:rPr>
      </w:pPr>
    </w:p>
    <w:p w:rsidR="00173093" w:rsidRPr="00FF044C" w:rsidRDefault="00F85808" w:rsidP="0075545E">
      <w:pPr>
        <w:pStyle w:val="ListParagraph"/>
        <w:widowControl/>
        <w:numPr>
          <w:ilvl w:val="1"/>
          <w:numId w:val="1"/>
        </w:numPr>
      </w:pPr>
      <w:r w:rsidRPr="00FF044C">
        <w:t xml:space="preserve">The PBAC </w:t>
      </w:r>
      <w:r w:rsidR="004F096F" w:rsidRPr="00FF044C">
        <w:t>had previously considered</w:t>
      </w:r>
      <w:r w:rsidRPr="00FF044C">
        <w:t xml:space="preserve"> that </w:t>
      </w:r>
      <w:r w:rsidR="004F096F" w:rsidRPr="00FF044C">
        <w:t>brentuximab vedotin</w:t>
      </w:r>
      <w:r w:rsidRPr="00FF044C">
        <w:t xml:space="preserve"> is not a cure, but could serve as a bridge to ASCT; therefore, a comparative assessment of how many </w:t>
      </w:r>
      <w:r w:rsidRPr="00FF044C">
        <w:lastRenderedPageBreak/>
        <w:t xml:space="preserve">patients proceeded to have transplant is crucial (paragraph 7.5, March 2015 PBAC </w:t>
      </w:r>
      <w:r w:rsidR="00364C89">
        <w:t>Public Summary Document</w:t>
      </w:r>
      <w:r w:rsidR="00113D69">
        <w:t xml:space="preserve"> (PSD</w:t>
      </w:r>
      <w:r w:rsidR="00364C89">
        <w:t>)</w:t>
      </w:r>
      <w:r w:rsidRPr="00FF044C">
        <w:t>).</w:t>
      </w:r>
      <w:r w:rsidRPr="00FF044C">
        <w:rPr>
          <w:i/>
        </w:rPr>
        <w:t xml:space="preserve"> </w:t>
      </w:r>
      <w:r w:rsidR="00875812" w:rsidRPr="00FF044C">
        <w:t>The proportion of patients proceeding to stem cell transplant</w:t>
      </w:r>
      <w:r w:rsidR="00875812" w:rsidRPr="00FF044C" w:rsidDel="00200E3E">
        <w:t xml:space="preserve"> </w:t>
      </w:r>
      <w:r w:rsidR="00875812" w:rsidRPr="00FF044C">
        <w:t>with brentuximab vedotin was 36% without Study C25007 and 41% after the inclusion of that study. ASCT rate was not reported in the majority of salvage chemotherapy studies, except in Santoro 2000 where none of the patients pro</w:t>
      </w:r>
      <w:r w:rsidR="00015019">
        <w:t>ceeded to stem cell transplant.</w:t>
      </w:r>
    </w:p>
    <w:p w:rsidR="00F424E8" w:rsidRPr="00FF044C" w:rsidRDefault="00F424E8" w:rsidP="00F424E8">
      <w:pPr>
        <w:pStyle w:val="ListParagraph"/>
        <w:widowControl/>
      </w:pPr>
    </w:p>
    <w:p w:rsidR="00F424E8" w:rsidRPr="00FF044C" w:rsidRDefault="00F424E8" w:rsidP="0075545E">
      <w:pPr>
        <w:pStyle w:val="ListParagraph"/>
        <w:widowControl/>
        <w:numPr>
          <w:ilvl w:val="1"/>
          <w:numId w:val="1"/>
        </w:numPr>
      </w:pPr>
      <w:r w:rsidRPr="00FF044C">
        <w:t xml:space="preserve">As acknowledged by the PSCR (p.2), the ESC noted the limited nature of the survival data. While the PSCR argued that clinical response was a measure of effectiveness in this context, the ESC maintained that clinical response was </w:t>
      </w:r>
      <w:r w:rsidR="001A4EDC" w:rsidRPr="00FF044C">
        <w:t xml:space="preserve">difficult to </w:t>
      </w:r>
      <w:r w:rsidRPr="00FF044C">
        <w:t>interpret given that the criteria to assess clinical response varied across studies (PET vs CT).</w:t>
      </w:r>
    </w:p>
    <w:p w:rsidR="00173093" w:rsidRPr="00FF044C" w:rsidRDefault="00173093" w:rsidP="00173093">
      <w:pPr>
        <w:widowControl/>
      </w:pPr>
    </w:p>
    <w:p w:rsidR="00173093" w:rsidRPr="00FF044C" w:rsidRDefault="00173093" w:rsidP="00173093">
      <w:pPr>
        <w:pStyle w:val="Heading2"/>
        <w:rPr>
          <w:i/>
        </w:rPr>
      </w:pPr>
      <w:bookmarkStart w:id="18" w:name="_Toc392858196"/>
      <w:bookmarkStart w:id="19" w:name="_Toc461617173"/>
      <w:r w:rsidRPr="00FF044C">
        <w:rPr>
          <w:i/>
        </w:rPr>
        <w:t>Comparative harms</w:t>
      </w:r>
      <w:bookmarkEnd w:id="18"/>
      <w:bookmarkEnd w:id="19"/>
    </w:p>
    <w:p w:rsidR="00173093" w:rsidRPr="00FF044C" w:rsidRDefault="00173093" w:rsidP="00173093">
      <w:pPr>
        <w:ind w:left="720" w:hanging="720"/>
        <w:rPr>
          <w:szCs w:val="22"/>
        </w:rPr>
      </w:pPr>
    </w:p>
    <w:p w:rsidR="00173093" w:rsidRPr="00FF044C" w:rsidRDefault="00173093" w:rsidP="00173093">
      <w:pPr>
        <w:widowControl/>
        <w:rPr>
          <w:u w:val="single"/>
        </w:rPr>
      </w:pPr>
      <w:r w:rsidRPr="00FF044C">
        <w:rPr>
          <w:u w:val="single"/>
        </w:rPr>
        <w:t>Safety (harms)</w:t>
      </w:r>
    </w:p>
    <w:p w:rsidR="0038658D" w:rsidRPr="00FF044C" w:rsidRDefault="0038658D" w:rsidP="00173093">
      <w:pPr>
        <w:widowControl/>
        <w:rPr>
          <w:u w:val="single"/>
        </w:rPr>
      </w:pPr>
    </w:p>
    <w:p w:rsidR="003C6348" w:rsidRPr="00FF044C" w:rsidRDefault="00173093" w:rsidP="0075545E">
      <w:pPr>
        <w:pStyle w:val="ListParagraph"/>
        <w:widowControl/>
        <w:numPr>
          <w:ilvl w:val="1"/>
          <w:numId w:val="1"/>
        </w:numPr>
      </w:pPr>
      <w:r w:rsidRPr="00FF044C">
        <w:t>Safety outcomes for brentuximab vedotin were available from the Millennium Report and other non-randomised studies</w:t>
      </w:r>
      <w:r w:rsidR="003C6348" w:rsidRPr="00FF044C">
        <w:t>,</w:t>
      </w:r>
      <w:r w:rsidRPr="00FF044C">
        <w:t xml:space="preserve"> whereas</w:t>
      </w:r>
      <w:r w:rsidR="003C6348" w:rsidRPr="00FF044C">
        <w:t>,</w:t>
      </w:r>
      <w:r w:rsidRPr="00FF044C">
        <w:t xml:space="preserve"> the only salvage chemotherapy study to report safety data in ASCT naïve patients was Santoro 2000.</w:t>
      </w:r>
    </w:p>
    <w:p w:rsidR="00EA0A12" w:rsidRPr="00FF044C" w:rsidRDefault="00EA0A12" w:rsidP="00EA0A12">
      <w:pPr>
        <w:pStyle w:val="ListParagraph"/>
        <w:widowControl/>
      </w:pPr>
    </w:p>
    <w:p w:rsidR="00173093" w:rsidRPr="00FF044C" w:rsidRDefault="00173093" w:rsidP="0075545E">
      <w:pPr>
        <w:pStyle w:val="ListParagraph"/>
        <w:widowControl/>
        <w:numPr>
          <w:ilvl w:val="1"/>
          <w:numId w:val="1"/>
        </w:numPr>
      </w:pPr>
      <w:r w:rsidRPr="00FF044C">
        <w:t>Table 7 summarises the safety outcomes for brentuximab vedotin and salvage chemotherapy represented by gemcitabine single agent.</w:t>
      </w:r>
    </w:p>
    <w:p w:rsidR="00173093" w:rsidRPr="00FF044C" w:rsidRDefault="00173093" w:rsidP="00173093">
      <w:pPr>
        <w:ind w:left="720"/>
      </w:pPr>
    </w:p>
    <w:p w:rsidR="004F096F" w:rsidRPr="00FF044C" w:rsidRDefault="004F096F" w:rsidP="00173093">
      <w:pPr>
        <w:ind w:left="720"/>
        <w:rPr>
          <w:rFonts w:ascii="Arial Narrow" w:hAnsi="Arial Narrow"/>
          <w:b/>
          <w:snapToGrid/>
          <w:sz w:val="20"/>
          <w:szCs w:val="16"/>
        </w:rPr>
      </w:pPr>
    </w:p>
    <w:p w:rsidR="00173093" w:rsidRPr="00FF044C" w:rsidRDefault="00173093" w:rsidP="00173093">
      <w:pPr>
        <w:ind w:left="720"/>
        <w:rPr>
          <w:rFonts w:ascii="Arial Narrow" w:hAnsi="Arial Narrow"/>
          <w:b/>
          <w:snapToGrid/>
          <w:sz w:val="20"/>
          <w:szCs w:val="16"/>
        </w:rPr>
      </w:pPr>
      <w:r w:rsidRPr="00FF044C">
        <w:rPr>
          <w:rFonts w:ascii="Arial Narrow" w:hAnsi="Arial Narrow"/>
          <w:b/>
          <w:snapToGrid/>
          <w:sz w:val="20"/>
          <w:szCs w:val="16"/>
        </w:rPr>
        <w:t>Table 7: Safety outcomes for brentuximab vedotin and salvage chemotherapy in the non-randomised studies</w:t>
      </w:r>
    </w:p>
    <w:tbl>
      <w:tblPr>
        <w:tblStyle w:val="TableGrid"/>
        <w:tblW w:w="4603" w:type="pct"/>
        <w:tblInd w:w="737" w:type="dxa"/>
        <w:tblLayout w:type="fixed"/>
        <w:tblCellMar>
          <w:left w:w="28" w:type="dxa"/>
          <w:right w:w="28" w:type="dxa"/>
        </w:tblCellMar>
        <w:tblLook w:val="04A0" w:firstRow="1" w:lastRow="0" w:firstColumn="1" w:lastColumn="0" w:noHBand="0" w:noVBand="1"/>
        <w:tblCaption w:val="Table 7: Safety outcomes for brentuximab vedotin and salvage chemotherapy in the non-randomised studies"/>
      </w:tblPr>
      <w:tblGrid>
        <w:gridCol w:w="2031"/>
        <w:gridCol w:w="2091"/>
        <w:gridCol w:w="1952"/>
        <w:gridCol w:w="2288"/>
      </w:tblGrid>
      <w:tr w:rsidR="00173093" w:rsidRPr="00FF044C" w:rsidTr="00746164">
        <w:trPr>
          <w:tblHeader/>
        </w:trPr>
        <w:tc>
          <w:tcPr>
            <w:tcW w:w="1215" w:type="pct"/>
          </w:tcPr>
          <w:p w:rsidR="00173093" w:rsidRPr="00FF044C" w:rsidRDefault="00173093" w:rsidP="00E47679">
            <w:pPr>
              <w:pStyle w:val="Tabletext"/>
            </w:pPr>
          </w:p>
        </w:tc>
        <w:tc>
          <w:tcPr>
            <w:tcW w:w="2416" w:type="pct"/>
            <w:gridSpan w:val="2"/>
            <w:tcBorders>
              <w:right w:val="double" w:sz="4" w:space="0" w:color="auto"/>
            </w:tcBorders>
          </w:tcPr>
          <w:p w:rsidR="00173093" w:rsidRPr="00FF044C" w:rsidRDefault="00173093" w:rsidP="00E47679">
            <w:pPr>
              <w:pStyle w:val="Tabletext"/>
              <w:jc w:val="center"/>
              <w:rPr>
                <w:b/>
              </w:rPr>
            </w:pPr>
            <w:r w:rsidRPr="00FF044C">
              <w:rPr>
                <w:b/>
              </w:rPr>
              <w:t>Brentuximab vedotin</w:t>
            </w:r>
          </w:p>
        </w:tc>
        <w:tc>
          <w:tcPr>
            <w:tcW w:w="1369" w:type="pct"/>
            <w:tcBorders>
              <w:left w:val="double" w:sz="4" w:space="0" w:color="auto"/>
              <w:right w:val="single" w:sz="4" w:space="0" w:color="000000"/>
            </w:tcBorders>
          </w:tcPr>
          <w:p w:rsidR="00173093" w:rsidRPr="00FF044C" w:rsidRDefault="00173093" w:rsidP="00E47679">
            <w:pPr>
              <w:pStyle w:val="Tabletext"/>
              <w:jc w:val="center"/>
              <w:rPr>
                <w:b/>
              </w:rPr>
            </w:pPr>
            <w:r w:rsidRPr="00FF044C">
              <w:rPr>
                <w:b/>
              </w:rPr>
              <w:t>Salvage chemotherapy</w:t>
            </w:r>
          </w:p>
        </w:tc>
      </w:tr>
      <w:tr w:rsidR="00173093" w:rsidRPr="00FF044C" w:rsidTr="00746164">
        <w:trPr>
          <w:tblHeader/>
        </w:trPr>
        <w:tc>
          <w:tcPr>
            <w:tcW w:w="1215" w:type="pct"/>
          </w:tcPr>
          <w:p w:rsidR="00173093" w:rsidRPr="00FF044C" w:rsidRDefault="00173093" w:rsidP="00E47679">
            <w:pPr>
              <w:pStyle w:val="Tabletext"/>
              <w:rPr>
                <w:b/>
              </w:rPr>
            </w:pPr>
            <w:r w:rsidRPr="00FF044C">
              <w:rPr>
                <w:b/>
              </w:rPr>
              <w:t>Study</w:t>
            </w:r>
          </w:p>
        </w:tc>
        <w:tc>
          <w:tcPr>
            <w:tcW w:w="1250" w:type="pct"/>
          </w:tcPr>
          <w:p w:rsidR="00173093" w:rsidRPr="00FF044C" w:rsidRDefault="00173093" w:rsidP="00E47679">
            <w:pPr>
              <w:pStyle w:val="Tabletext"/>
              <w:jc w:val="center"/>
              <w:rPr>
                <w:b/>
              </w:rPr>
            </w:pPr>
            <w:r w:rsidRPr="00FF044C">
              <w:rPr>
                <w:b/>
              </w:rPr>
              <w:t>Millennium Report 2012</w:t>
            </w:r>
          </w:p>
        </w:tc>
        <w:tc>
          <w:tcPr>
            <w:tcW w:w="1167" w:type="pct"/>
            <w:tcBorders>
              <w:right w:val="double" w:sz="4" w:space="0" w:color="auto"/>
            </w:tcBorders>
            <w:vAlign w:val="center"/>
          </w:tcPr>
          <w:p w:rsidR="00173093" w:rsidRPr="00FF044C" w:rsidRDefault="00173093" w:rsidP="00E47679">
            <w:pPr>
              <w:pStyle w:val="Tabletext"/>
              <w:jc w:val="center"/>
              <w:rPr>
                <w:b/>
                <w:vertAlign w:val="superscript"/>
              </w:rPr>
            </w:pPr>
            <w:r w:rsidRPr="00FF044C">
              <w:rPr>
                <w:b/>
              </w:rPr>
              <w:t>Onishi 2015</w:t>
            </w:r>
          </w:p>
        </w:tc>
        <w:tc>
          <w:tcPr>
            <w:tcW w:w="1369" w:type="pct"/>
            <w:tcBorders>
              <w:left w:val="double" w:sz="4" w:space="0" w:color="auto"/>
              <w:right w:val="single" w:sz="4" w:space="0" w:color="000000"/>
            </w:tcBorders>
            <w:vAlign w:val="center"/>
          </w:tcPr>
          <w:p w:rsidR="00173093" w:rsidRPr="00FF044C" w:rsidRDefault="00173093" w:rsidP="00E47679">
            <w:pPr>
              <w:pStyle w:val="Tabletext"/>
              <w:jc w:val="center"/>
              <w:rPr>
                <w:b/>
                <w:vertAlign w:val="superscript"/>
              </w:rPr>
            </w:pPr>
            <w:r w:rsidRPr="00FF044C">
              <w:rPr>
                <w:b/>
              </w:rPr>
              <w:t xml:space="preserve">Santoro 2000 </w:t>
            </w:r>
            <w:r w:rsidRPr="00FF044C">
              <w:rPr>
                <w:b/>
                <w:vertAlign w:val="superscript"/>
              </w:rPr>
              <w:t>a</w:t>
            </w:r>
          </w:p>
        </w:tc>
      </w:tr>
      <w:tr w:rsidR="00173093" w:rsidRPr="00FF044C" w:rsidTr="00746164">
        <w:tc>
          <w:tcPr>
            <w:tcW w:w="1215" w:type="pct"/>
          </w:tcPr>
          <w:p w:rsidR="00173093" w:rsidRPr="00FF044C" w:rsidRDefault="00173093" w:rsidP="00E47679">
            <w:pPr>
              <w:pStyle w:val="Tabletext"/>
            </w:pPr>
            <w:r w:rsidRPr="00FF044C">
              <w:t>N</w:t>
            </w:r>
          </w:p>
        </w:tc>
        <w:tc>
          <w:tcPr>
            <w:tcW w:w="1250" w:type="pct"/>
          </w:tcPr>
          <w:p w:rsidR="00173093" w:rsidRPr="003C460A" w:rsidRDefault="003C460A" w:rsidP="00E47679">
            <w:pPr>
              <w:pStyle w:val="Tabletext"/>
              <w:jc w:val="center"/>
              <w:rPr>
                <w:b/>
                <w:highlight w:val="black"/>
              </w:rPr>
            </w:pPr>
            <w:r>
              <w:rPr>
                <w:b/>
                <w:noProof/>
                <w:color w:val="000000"/>
                <w:highlight w:val="black"/>
              </w:rPr>
              <w:t>'''''</w:t>
            </w:r>
          </w:p>
        </w:tc>
        <w:tc>
          <w:tcPr>
            <w:tcW w:w="1167" w:type="pct"/>
            <w:tcBorders>
              <w:right w:val="double" w:sz="4" w:space="0" w:color="auto"/>
            </w:tcBorders>
          </w:tcPr>
          <w:p w:rsidR="00173093" w:rsidRPr="00FF044C" w:rsidRDefault="00173093" w:rsidP="00E47679">
            <w:pPr>
              <w:pStyle w:val="Tabletext"/>
              <w:jc w:val="center"/>
              <w:rPr>
                <w:b/>
              </w:rPr>
            </w:pPr>
            <w:r w:rsidRPr="00FF044C">
              <w:rPr>
                <w:b/>
              </w:rPr>
              <w:t>15</w:t>
            </w:r>
          </w:p>
        </w:tc>
        <w:tc>
          <w:tcPr>
            <w:tcW w:w="1369" w:type="pct"/>
            <w:tcBorders>
              <w:left w:val="double" w:sz="4" w:space="0" w:color="auto"/>
              <w:right w:val="single" w:sz="4" w:space="0" w:color="000000"/>
            </w:tcBorders>
          </w:tcPr>
          <w:p w:rsidR="00173093" w:rsidRPr="00FF044C" w:rsidRDefault="00173093" w:rsidP="00E47679">
            <w:pPr>
              <w:pStyle w:val="Tabletext"/>
              <w:jc w:val="center"/>
              <w:rPr>
                <w:b/>
              </w:rPr>
            </w:pPr>
            <w:r w:rsidRPr="00FF044C">
              <w:rPr>
                <w:b/>
              </w:rPr>
              <w:t>23</w:t>
            </w:r>
          </w:p>
        </w:tc>
      </w:tr>
      <w:tr w:rsidR="00173093" w:rsidRPr="00FF044C" w:rsidTr="00746164">
        <w:tc>
          <w:tcPr>
            <w:tcW w:w="1215" w:type="pct"/>
          </w:tcPr>
          <w:p w:rsidR="00173093" w:rsidRPr="00FF044C" w:rsidRDefault="00173093" w:rsidP="00E47679">
            <w:pPr>
              <w:pStyle w:val="Tabletext"/>
            </w:pPr>
            <w:r w:rsidRPr="00FF044C">
              <w:t>Alopecia</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Allergic</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Anaemia</w:t>
            </w:r>
          </w:p>
        </w:tc>
        <w:tc>
          <w:tcPr>
            <w:tcW w:w="1250" w:type="pct"/>
          </w:tcPr>
          <w:p w:rsidR="00173093" w:rsidRPr="00FF044C" w:rsidRDefault="003C460A" w:rsidP="00E47679">
            <w:pPr>
              <w:pStyle w:val="Tabletext"/>
              <w:jc w:val="center"/>
            </w:pPr>
            <w:r>
              <w:rPr>
                <w:noProof/>
                <w:color w:val="000000"/>
                <w:highlight w:val="black"/>
              </w:rPr>
              <w:t>''''</w:t>
            </w:r>
            <w:r w:rsidR="00173093" w:rsidRPr="00FF044C">
              <w:rPr>
                <w:color w:val="000000"/>
              </w:rPr>
              <w:t xml:space="preserve"> (</w:t>
            </w:r>
            <w:r>
              <w:rPr>
                <w:noProof/>
                <w:color w:val="000000"/>
                <w:highlight w:val="black"/>
              </w:rPr>
              <w:t>'''</w:t>
            </w:r>
            <w:r w:rsidR="00173093" w:rsidRPr="00FF044C">
              <w:rPr>
                <w:color w:val="000000"/>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2 (10%)</w:t>
            </w:r>
            <w:r w:rsidRPr="00FF044C">
              <w:rPr>
                <w:vertAlign w:val="superscript"/>
              </w:rPr>
              <w:t xml:space="preserve"> b</w:t>
            </w:r>
          </w:p>
        </w:tc>
      </w:tr>
      <w:tr w:rsidR="00173093" w:rsidRPr="00FF044C" w:rsidTr="00746164">
        <w:tc>
          <w:tcPr>
            <w:tcW w:w="1215" w:type="pct"/>
          </w:tcPr>
          <w:p w:rsidR="00173093" w:rsidRPr="00FF044C" w:rsidRDefault="00173093" w:rsidP="00E47679">
            <w:pPr>
              <w:pStyle w:val="Tabletext"/>
            </w:pPr>
            <w:r w:rsidRPr="00FF044C">
              <w:t>Cardiac function</w:t>
            </w:r>
            <w:r w:rsidRPr="00FF044C">
              <w:rPr>
                <w:vertAlign w:val="superscript"/>
              </w:rPr>
              <w:t>1</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1 (5%)</w:t>
            </w:r>
          </w:p>
        </w:tc>
      </w:tr>
      <w:tr w:rsidR="00173093" w:rsidRPr="00FF044C" w:rsidTr="00746164">
        <w:tc>
          <w:tcPr>
            <w:tcW w:w="1215" w:type="pct"/>
          </w:tcPr>
          <w:p w:rsidR="00173093" w:rsidRPr="00FF044C" w:rsidRDefault="00173093" w:rsidP="00E47679">
            <w:pPr>
              <w:pStyle w:val="Tabletext"/>
            </w:pPr>
            <w:r w:rsidRPr="00FF044C">
              <w:t>Cutaneous</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p>
        </w:tc>
      </w:tr>
      <w:tr w:rsidR="00173093" w:rsidRPr="00FF044C" w:rsidTr="00746164">
        <w:tc>
          <w:tcPr>
            <w:tcW w:w="1215" w:type="pct"/>
          </w:tcPr>
          <w:p w:rsidR="00173093" w:rsidRPr="00FF044C" w:rsidRDefault="00173093" w:rsidP="00E47679">
            <w:pPr>
              <w:pStyle w:val="Tabletext"/>
            </w:pPr>
            <w:r w:rsidRPr="00FF044C">
              <w:t>Diarrhoea</w:t>
            </w:r>
          </w:p>
        </w:tc>
        <w:tc>
          <w:tcPr>
            <w:tcW w:w="1250" w:type="pct"/>
          </w:tcPr>
          <w:p w:rsidR="00173093" w:rsidRPr="003C460A" w:rsidRDefault="003C460A" w:rsidP="00E47679">
            <w:pPr>
              <w:pStyle w:val="Tabletext"/>
              <w:jc w:val="center"/>
              <w:rPr>
                <w:highlight w:val="black"/>
              </w:rPr>
            </w:pPr>
            <w:r>
              <w:rPr>
                <w:noProof/>
                <w:color w:val="000000"/>
                <w:highlight w:val="black"/>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Fatigue</w:t>
            </w:r>
          </w:p>
        </w:tc>
        <w:tc>
          <w:tcPr>
            <w:tcW w:w="1250" w:type="pct"/>
          </w:tcPr>
          <w:p w:rsidR="00173093" w:rsidRPr="00FF044C" w:rsidRDefault="003C460A" w:rsidP="00E47679">
            <w:pPr>
              <w:pStyle w:val="Tabletext"/>
              <w:jc w:val="center"/>
            </w:pPr>
            <w:r>
              <w:rPr>
                <w:noProof/>
                <w:color w:val="000000"/>
                <w:highlight w:val="black"/>
              </w:rPr>
              <w:t>'''</w:t>
            </w:r>
            <w:r w:rsidR="00173093" w:rsidRPr="00FF044C">
              <w:rPr>
                <w:color w:val="000000"/>
              </w:rPr>
              <w:t xml:space="preserve"> (</w:t>
            </w:r>
            <w:r>
              <w:rPr>
                <w:noProof/>
                <w:color w:val="000000"/>
                <w:highlight w:val="black"/>
              </w:rPr>
              <w:t>''''</w:t>
            </w:r>
            <w:r w:rsidR="00173093" w:rsidRPr="00FF044C">
              <w:rPr>
                <w:color w:val="000000"/>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Fever</w:t>
            </w:r>
          </w:p>
        </w:tc>
        <w:tc>
          <w:tcPr>
            <w:tcW w:w="1250" w:type="pct"/>
          </w:tcPr>
          <w:p w:rsidR="00173093" w:rsidRPr="003C460A" w:rsidRDefault="003C460A" w:rsidP="00E47679">
            <w:pPr>
              <w:pStyle w:val="Tabletext"/>
              <w:jc w:val="center"/>
              <w:rPr>
                <w:highlight w:val="black"/>
              </w:rPr>
            </w:pPr>
            <w:r>
              <w:rPr>
                <w:noProof/>
                <w:color w:val="000000"/>
                <w:highlight w:val="black"/>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0</w:t>
            </w:r>
          </w:p>
        </w:tc>
      </w:tr>
      <w:tr w:rsidR="00173093" w:rsidRPr="00FF044C" w:rsidTr="00746164">
        <w:tc>
          <w:tcPr>
            <w:tcW w:w="1215" w:type="pct"/>
          </w:tcPr>
          <w:p w:rsidR="00173093" w:rsidRPr="00FF044C" w:rsidRDefault="00173093" w:rsidP="00E47679">
            <w:pPr>
              <w:pStyle w:val="Tabletext"/>
            </w:pPr>
            <w:r w:rsidRPr="00FF044C">
              <w:t>Haemorrhage</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1 (4%)</w:t>
            </w:r>
          </w:p>
        </w:tc>
      </w:tr>
      <w:tr w:rsidR="00173093" w:rsidRPr="00FF044C" w:rsidTr="00746164">
        <w:tc>
          <w:tcPr>
            <w:tcW w:w="1215" w:type="pct"/>
          </w:tcPr>
          <w:p w:rsidR="00173093" w:rsidRPr="00FF044C" w:rsidRDefault="00173093" w:rsidP="00E47679">
            <w:pPr>
              <w:pStyle w:val="Tabletext"/>
            </w:pPr>
            <w:r w:rsidRPr="00FF044C">
              <w:t>Infection</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2 (9%)</w:t>
            </w:r>
          </w:p>
        </w:tc>
      </w:tr>
      <w:tr w:rsidR="00173093" w:rsidRPr="00FF044C" w:rsidTr="00746164">
        <w:tc>
          <w:tcPr>
            <w:tcW w:w="1215" w:type="pct"/>
          </w:tcPr>
          <w:p w:rsidR="00173093" w:rsidRPr="00FF044C" w:rsidRDefault="00173093" w:rsidP="00E47679">
            <w:pPr>
              <w:pStyle w:val="Tabletext"/>
            </w:pPr>
            <w:r w:rsidRPr="00FF044C">
              <w:t>Leukopenia</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6 (30%)</w:t>
            </w:r>
            <w:r w:rsidRPr="00FF044C">
              <w:rPr>
                <w:vertAlign w:val="superscript"/>
              </w:rPr>
              <w:t xml:space="preserve"> b</w:t>
            </w:r>
          </w:p>
        </w:tc>
      </w:tr>
      <w:tr w:rsidR="00173093" w:rsidRPr="00FF044C" w:rsidTr="00746164">
        <w:tc>
          <w:tcPr>
            <w:tcW w:w="1215" w:type="pct"/>
          </w:tcPr>
          <w:p w:rsidR="00173093" w:rsidRPr="00FF044C" w:rsidRDefault="00173093" w:rsidP="00E47679">
            <w:pPr>
              <w:pStyle w:val="Tabletext"/>
            </w:pPr>
            <w:r w:rsidRPr="00FF044C">
              <w:t>Nausea/vomiting</w:t>
            </w:r>
          </w:p>
        </w:tc>
        <w:tc>
          <w:tcPr>
            <w:tcW w:w="1250" w:type="pct"/>
          </w:tcPr>
          <w:p w:rsidR="00173093" w:rsidRPr="00FF044C" w:rsidRDefault="003C460A" w:rsidP="00E47679">
            <w:pPr>
              <w:pStyle w:val="Tabletext"/>
              <w:jc w:val="center"/>
            </w:pPr>
            <w:r>
              <w:rPr>
                <w:noProof/>
                <w:color w:val="000000"/>
                <w:highlight w:val="black"/>
              </w:rPr>
              <w:t>'''</w:t>
            </w:r>
            <w:r w:rsidR="00173093" w:rsidRPr="00FF044C">
              <w:rPr>
                <w:color w:val="000000"/>
              </w:rPr>
              <w:t xml:space="preserve"> (</w:t>
            </w:r>
            <w:r>
              <w:rPr>
                <w:noProof/>
                <w:color w:val="000000"/>
                <w:highlight w:val="black"/>
              </w:rPr>
              <w:t>''''</w:t>
            </w:r>
            <w:r w:rsidR="00173093" w:rsidRPr="00FF044C">
              <w:rPr>
                <w:color w:val="000000"/>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2 (9%)</w:t>
            </w:r>
          </w:p>
        </w:tc>
      </w:tr>
      <w:tr w:rsidR="00173093" w:rsidRPr="00FF044C" w:rsidTr="00746164">
        <w:tc>
          <w:tcPr>
            <w:tcW w:w="1215" w:type="pct"/>
          </w:tcPr>
          <w:p w:rsidR="00173093" w:rsidRPr="00FF044C" w:rsidRDefault="00173093" w:rsidP="00E47679">
            <w:pPr>
              <w:pStyle w:val="Tabletext"/>
            </w:pPr>
            <w:r w:rsidRPr="00FF044C">
              <w:t>Neutropenia</w:t>
            </w:r>
          </w:p>
        </w:tc>
        <w:tc>
          <w:tcPr>
            <w:tcW w:w="1250" w:type="pct"/>
          </w:tcPr>
          <w:p w:rsidR="00173093" w:rsidRPr="00FF044C" w:rsidRDefault="003C460A" w:rsidP="00E47679">
            <w:pPr>
              <w:pStyle w:val="Tabletext"/>
              <w:jc w:val="center"/>
            </w:pPr>
            <w:r>
              <w:rPr>
                <w:noProof/>
                <w:color w:val="000000"/>
                <w:highlight w:val="black"/>
              </w:rPr>
              <w:t>''''''</w:t>
            </w:r>
            <w:r w:rsidR="00173093" w:rsidRPr="00FF044C">
              <w:rPr>
                <w:color w:val="000000"/>
              </w:rPr>
              <w:t xml:space="preserve"> (</w:t>
            </w:r>
            <w:r>
              <w:rPr>
                <w:noProof/>
                <w:color w:val="000000"/>
                <w:highlight w:val="black"/>
              </w:rPr>
              <w:t>''''''</w:t>
            </w:r>
            <w:r w:rsidR="00173093" w:rsidRPr="00FF044C">
              <w:rPr>
                <w:color w:val="000000"/>
              </w:rPr>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6 (30%)</w:t>
            </w:r>
            <w:r w:rsidRPr="00FF044C">
              <w:rPr>
                <w:vertAlign w:val="superscript"/>
              </w:rPr>
              <w:t xml:space="preserve"> b</w:t>
            </w:r>
          </w:p>
        </w:tc>
      </w:tr>
      <w:tr w:rsidR="00173093" w:rsidRPr="00FF044C" w:rsidTr="00746164">
        <w:tc>
          <w:tcPr>
            <w:tcW w:w="1215" w:type="pct"/>
          </w:tcPr>
          <w:p w:rsidR="00173093" w:rsidRPr="00FF044C" w:rsidRDefault="00173093" w:rsidP="00E47679">
            <w:pPr>
              <w:pStyle w:val="Tabletext"/>
            </w:pPr>
            <w:r w:rsidRPr="00FF044C">
              <w:t>Pain</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Peripheral neuropathy</w:t>
            </w:r>
          </w:p>
        </w:tc>
        <w:tc>
          <w:tcPr>
            <w:tcW w:w="1250" w:type="pct"/>
          </w:tcPr>
          <w:p w:rsidR="00173093" w:rsidRPr="00FF044C" w:rsidRDefault="003C460A" w:rsidP="00E47679">
            <w:pPr>
              <w:pStyle w:val="Tabletext"/>
              <w:jc w:val="center"/>
            </w:pPr>
            <w:r>
              <w:rPr>
                <w:noProof/>
                <w:color w:val="000000"/>
                <w:highlight w:val="black"/>
              </w:rPr>
              <w:t>'''</w:t>
            </w:r>
            <w:r w:rsidR="00173093" w:rsidRPr="00FF044C">
              <w:rPr>
                <w:color w:val="000000"/>
              </w:rPr>
              <w:t xml:space="preserve"> (</w:t>
            </w:r>
            <w:r>
              <w:rPr>
                <w:noProof/>
                <w:color w:val="000000"/>
                <w:highlight w:val="black"/>
              </w:rPr>
              <w:t>''''''</w:t>
            </w:r>
            <w:r w:rsidR="00173093" w:rsidRPr="00FF044C">
              <w:rPr>
                <w:color w:val="000000"/>
              </w:rPr>
              <w:t>%)</w:t>
            </w:r>
          </w:p>
        </w:tc>
        <w:tc>
          <w:tcPr>
            <w:tcW w:w="1167" w:type="pct"/>
            <w:tcBorders>
              <w:right w:val="double" w:sz="4" w:space="0" w:color="auto"/>
            </w:tcBorders>
          </w:tcPr>
          <w:p w:rsidR="00173093" w:rsidRPr="00FF044C" w:rsidRDefault="00173093" w:rsidP="00E47679">
            <w:pPr>
              <w:pStyle w:val="Tabletext"/>
              <w:jc w:val="center"/>
            </w:pPr>
            <w:r w:rsidRPr="00FF044C">
              <w:t>1 (7%)</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Peripheral neurotoxicity</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w:t>
            </w:r>
          </w:p>
        </w:tc>
      </w:tr>
      <w:tr w:rsidR="00173093" w:rsidRPr="00FF044C" w:rsidTr="00746164">
        <w:tc>
          <w:tcPr>
            <w:tcW w:w="1215" w:type="pct"/>
          </w:tcPr>
          <w:p w:rsidR="00173093" w:rsidRPr="00FF044C" w:rsidRDefault="00173093" w:rsidP="00E47679">
            <w:pPr>
              <w:pStyle w:val="Tabletext"/>
            </w:pPr>
            <w:r w:rsidRPr="00FF044C">
              <w:t>Pulmonary</w:t>
            </w:r>
          </w:p>
        </w:tc>
        <w:tc>
          <w:tcPr>
            <w:tcW w:w="1250" w:type="pct"/>
          </w:tcPr>
          <w:p w:rsidR="00173093" w:rsidRPr="00FF044C" w:rsidRDefault="00173093" w:rsidP="00E47679">
            <w:pPr>
              <w:pStyle w:val="Tabletext"/>
              <w:jc w:val="center"/>
            </w:pPr>
            <w:r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1 (4%)</w:t>
            </w:r>
          </w:p>
        </w:tc>
      </w:tr>
      <w:tr w:rsidR="00173093" w:rsidRPr="00FF044C" w:rsidTr="00746164">
        <w:tc>
          <w:tcPr>
            <w:tcW w:w="1215" w:type="pct"/>
          </w:tcPr>
          <w:p w:rsidR="00173093" w:rsidRPr="00FF044C" w:rsidRDefault="00173093" w:rsidP="00E47679">
            <w:pPr>
              <w:pStyle w:val="Tabletext"/>
            </w:pPr>
            <w:r w:rsidRPr="00FF044C">
              <w:t>Thrombocytopenia</w:t>
            </w:r>
          </w:p>
        </w:tc>
        <w:tc>
          <w:tcPr>
            <w:tcW w:w="1250" w:type="pct"/>
          </w:tcPr>
          <w:p w:rsidR="00173093" w:rsidRPr="00FF044C" w:rsidRDefault="003C460A" w:rsidP="00E47679">
            <w:pPr>
              <w:pStyle w:val="Tabletext"/>
              <w:jc w:val="center"/>
            </w:pPr>
            <w:r>
              <w:rPr>
                <w:noProof/>
                <w:color w:val="000000"/>
                <w:highlight w:val="black"/>
              </w:rPr>
              <w:t>''''</w:t>
            </w:r>
            <w:r w:rsidR="00173093" w:rsidRPr="00FF044C">
              <w:t xml:space="preserve"> (</w:t>
            </w:r>
            <w:r>
              <w:rPr>
                <w:noProof/>
                <w:color w:val="000000"/>
                <w:highlight w:val="black"/>
              </w:rPr>
              <w:t>''''''</w:t>
            </w:r>
            <w:r w:rsidR="00173093" w:rsidRPr="00FF044C">
              <w:t>%)</w:t>
            </w:r>
          </w:p>
        </w:tc>
        <w:tc>
          <w:tcPr>
            <w:tcW w:w="1167" w:type="pct"/>
            <w:tcBorders>
              <w:right w:val="double" w:sz="4" w:space="0" w:color="auto"/>
            </w:tcBorders>
          </w:tcPr>
          <w:p w:rsidR="00173093" w:rsidRPr="00FF044C" w:rsidRDefault="00173093" w:rsidP="00E47679">
            <w:pPr>
              <w:pStyle w:val="Tabletext"/>
              <w:jc w:val="center"/>
            </w:pPr>
            <w:r w:rsidRPr="00FF044C">
              <w:t>-</w:t>
            </w:r>
          </w:p>
        </w:tc>
        <w:tc>
          <w:tcPr>
            <w:tcW w:w="1369" w:type="pct"/>
            <w:tcBorders>
              <w:left w:val="double" w:sz="4" w:space="0" w:color="auto"/>
              <w:right w:val="single" w:sz="4" w:space="0" w:color="auto"/>
            </w:tcBorders>
          </w:tcPr>
          <w:p w:rsidR="00173093" w:rsidRPr="00FF044C" w:rsidRDefault="00173093" w:rsidP="00E47679">
            <w:pPr>
              <w:pStyle w:val="Tabletext"/>
              <w:jc w:val="center"/>
            </w:pPr>
            <w:r w:rsidRPr="00FF044C">
              <w:t>4 (20%)</w:t>
            </w:r>
            <w:r w:rsidRPr="00FF044C">
              <w:rPr>
                <w:vertAlign w:val="superscript"/>
              </w:rPr>
              <w:t xml:space="preserve"> b</w:t>
            </w:r>
          </w:p>
        </w:tc>
      </w:tr>
    </w:tbl>
    <w:p w:rsidR="00173093" w:rsidRPr="00FF044C" w:rsidRDefault="00173093" w:rsidP="00173093">
      <w:pPr>
        <w:ind w:left="720"/>
        <w:rPr>
          <w:rFonts w:ascii="Arial Narrow" w:hAnsi="Arial Narrow"/>
          <w:sz w:val="18"/>
        </w:rPr>
      </w:pPr>
      <w:r w:rsidRPr="00FF044C">
        <w:rPr>
          <w:rFonts w:ascii="Arial Narrow" w:hAnsi="Arial Narrow"/>
          <w:sz w:val="18"/>
        </w:rPr>
        <w:t>Source: Tables B.6.6 and Table B.6.7, pp 74-75 in the submission</w:t>
      </w:r>
    </w:p>
    <w:p w:rsidR="00173093" w:rsidRPr="00FF044C" w:rsidRDefault="00173093" w:rsidP="00173093">
      <w:pPr>
        <w:ind w:left="720"/>
        <w:rPr>
          <w:rFonts w:ascii="Arial Narrow" w:hAnsi="Arial Narrow"/>
          <w:sz w:val="18"/>
        </w:rPr>
      </w:pPr>
      <w:proofErr w:type="gramStart"/>
      <w:r w:rsidRPr="00FF044C">
        <w:rPr>
          <w:rFonts w:ascii="Arial Narrow" w:hAnsi="Arial Narrow"/>
          <w:sz w:val="18"/>
          <w:vertAlign w:val="superscript"/>
        </w:rPr>
        <w:t>a</w:t>
      </w:r>
      <w:proofErr w:type="gramEnd"/>
      <w:r w:rsidRPr="00FF044C">
        <w:rPr>
          <w:rFonts w:ascii="Arial Narrow" w:hAnsi="Arial Narrow"/>
          <w:sz w:val="18"/>
        </w:rPr>
        <w:t xml:space="preserve"> Gemcitabine single agent</w:t>
      </w:r>
    </w:p>
    <w:p w:rsidR="00173093" w:rsidRPr="00FF044C" w:rsidRDefault="00173093" w:rsidP="00173093">
      <w:pPr>
        <w:ind w:left="720"/>
        <w:rPr>
          <w:rFonts w:ascii="Arial Narrow" w:hAnsi="Arial Narrow"/>
          <w:sz w:val="18"/>
        </w:rPr>
      </w:pPr>
      <w:proofErr w:type="gramStart"/>
      <w:r w:rsidRPr="00FF044C">
        <w:rPr>
          <w:rFonts w:ascii="Arial Narrow" w:hAnsi="Arial Narrow"/>
          <w:sz w:val="18"/>
          <w:vertAlign w:val="superscript"/>
        </w:rPr>
        <w:t>b</w:t>
      </w:r>
      <w:proofErr w:type="gramEnd"/>
      <w:r w:rsidRPr="00FF044C">
        <w:rPr>
          <w:rFonts w:ascii="Arial Narrow" w:hAnsi="Arial Narrow"/>
          <w:sz w:val="18"/>
        </w:rPr>
        <w:t xml:space="preserve"> Twenty assessable patients</w:t>
      </w:r>
    </w:p>
    <w:p w:rsidR="00173093" w:rsidRPr="00FF044C" w:rsidRDefault="00173093" w:rsidP="00173093">
      <w:pPr>
        <w:ind w:left="720"/>
      </w:pPr>
    </w:p>
    <w:p w:rsidR="00173093" w:rsidRPr="00FF044C" w:rsidRDefault="00173093" w:rsidP="0075545E">
      <w:pPr>
        <w:pStyle w:val="ListParagraph"/>
        <w:widowControl/>
        <w:numPr>
          <w:ilvl w:val="1"/>
          <w:numId w:val="1"/>
        </w:numPr>
        <w:rPr>
          <w:i/>
        </w:rPr>
      </w:pPr>
      <w:r w:rsidRPr="00FF044C">
        <w:t xml:space="preserve">The most common brentuximab </w:t>
      </w:r>
      <w:r w:rsidR="00A93CD6" w:rsidRPr="00FF044C">
        <w:t>vedotin</w:t>
      </w:r>
      <w:r w:rsidRPr="00FF044C">
        <w:t xml:space="preserve"> related adverse events reported in non-randomised studies were neutropenia and peripheral neuropathy. The most </w:t>
      </w:r>
      <w:r w:rsidRPr="00FF044C">
        <w:lastRenderedPageBreak/>
        <w:t xml:space="preserve">commonly reported adverse events for salvage chemotherapy were thrombocytopenia, anaemia and neutropenia. </w:t>
      </w:r>
      <w:r w:rsidR="00116EA0" w:rsidRPr="00FF044C">
        <w:t xml:space="preserve">The safety of brentuximab vedotin and salvage chemotherapy could not be directly compared as there was no common comparator. </w:t>
      </w:r>
      <w:r w:rsidRPr="00FF044C">
        <w:t xml:space="preserve">Further, </w:t>
      </w:r>
      <w:r w:rsidR="00E90402" w:rsidRPr="00FF044C">
        <w:t>there were no details from</w:t>
      </w:r>
      <w:r w:rsidRPr="00FF044C">
        <w:t xml:space="preserve"> Santoro 2000 on baseline characteristics and prognostic factors </w:t>
      </w:r>
      <w:r w:rsidR="00561F63" w:rsidRPr="00FF044C">
        <w:t xml:space="preserve">(e.g. </w:t>
      </w:r>
      <w:r w:rsidRPr="00FF044C">
        <w:t>disease stage</w:t>
      </w:r>
      <w:r w:rsidR="00561F63" w:rsidRPr="00FF044C">
        <w:t>)</w:t>
      </w:r>
      <w:r w:rsidR="00690BD6" w:rsidRPr="00FF044C">
        <w:t>.</w:t>
      </w:r>
    </w:p>
    <w:p w:rsidR="00561F63" w:rsidRPr="00FF044C" w:rsidRDefault="00561F63" w:rsidP="00561F63">
      <w:pPr>
        <w:pStyle w:val="ListParagraph"/>
        <w:widowControl/>
      </w:pPr>
    </w:p>
    <w:p w:rsidR="00173093" w:rsidRPr="00FF044C" w:rsidRDefault="00173093" w:rsidP="00173093">
      <w:pPr>
        <w:pStyle w:val="Heading2"/>
        <w:rPr>
          <w:i/>
          <w:szCs w:val="22"/>
        </w:rPr>
      </w:pPr>
      <w:bookmarkStart w:id="20" w:name="_Toc392858197"/>
      <w:bookmarkStart w:id="21" w:name="_Toc461617174"/>
      <w:r w:rsidRPr="00FF044C">
        <w:rPr>
          <w:i/>
        </w:rPr>
        <w:t>Benefits/harms</w:t>
      </w:r>
      <w:bookmarkEnd w:id="20"/>
      <w:bookmarkEnd w:id="21"/>
    </w:p>
    <w:p w:rsidR="00173093" w:rsidRPr="00FF044C" w:rsidRDefault="00173093" w:rsidP="00173093">
      <w:pPr>
        <w:pStyle w:val="ListParagraph"/>
        <w:ind w:left="0"/>
        <w:rPr>
          <w:szCs w:val="22"/>
        </w:rPr>
      </w:pPr>
    </w:p>
    <w:p w:rsidR="00173093" w:rsidRPr="00FF044C" w:rsidRDefault="00173093" w:rsidP="0075545E">
      <w:pPr>
        <w:pStyle w:val="ListParagraph"/>
        <w:widowControl/>
        <w:numPr>
          <w:ilvl w:val="1"/>
          <w:numId w:val="1"/>
        </w:numPr>
        <w:rPr>
          <w:szCs w:val="22"/>
        </w:rPr>
      </w:pPr>
      <w:r w:rsidRPr="00FF044C">
        <w:rPr>
          <w:szCs w:val="22"/>
        </w:rPr>
        <w:t>A summary of the comparative benefits and harms from the naïve comparison of brentuximab vedotin versus salvage chemotherapy is presented in Table 8.</w:t>
      </w:r>
    </w:p>
    <w:p w:rsidR="00173093" w:rsidRPr="00FF044C" w:rsidRDefault="00173093" w:rsidP="00173093"/>
    <w:p w:rsidR="00173093" w:rsidRPr="00FF044C" w:rsidRDefault="00173093" w:rsidP="00173093">
      <w:pPr>
        <w:ind w:firstLine="720"/>
        <w:rPr>
          <w:rStyle w:val="CommentReference"/>
        </w:rPr>
      </w:pPr>
      <w:r w:rsidRPr="00FF044C">
        <w:rPr>
          <w:rStyle w:val="CommentReference"/>
        </w:rPr>
        <w:t>Table 8: Summary of naïve comparison of benefits for brentuximab vedotin and salvage chemotherapy</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8: Summary of naïve comparison of benefits for brentuximab vedotin and salvage chemotherapy"/>
      </w:tblPr>
      <w:tblGrid>
        <w:gridCol w:w="2308"/>
        <w:gridCol w:w="709"/>
        <w:gridCol w:w="709"/>
        <w:gridCol w:w="1129"/>
        <w:gridCol w:w="994"/>
        <w:gridCol w:w="992"/>
        <w:gridCol w:w="1697"/>
      </w:tblGrid>
      <w:tr w:rsidR="00173093" w:rsidRPr="00FF044C" w:rsidTr="00E47679">
        <w:trPr>
          <w:trHeight w:val="20"/>
          <w:tblHeader/>
        </w:trPr>
        <w:tc>
          <w:tcPr>
            <w:tcW w:w="1351" w:type="pct"/>
            <w:vMerge w:val="restart"/>
            <w:shd w:val="clear" w:color="auto" w:fill="auto"/>
            <w:vAlign w:val="center"/>
          </w:tcPr>
          <w:p w:rsidR="00173093" w:rsidRPr="00FF044C" w:rsidRDefault="00173093" w:rsidP="00E47679">
            <w:pPr>
              <w:rPr>
                <w:rFonts w:ascii="Arial Narrow" w:hAnsi="Arial Narrow"/>
                <w:b/>
                <w:color w:val="000000"/>
                <w:sz w:val="20"/>
                <w:szCs w:val="18"/>
              </w:rPr>
            </w:pPr>
            <w:r w:rsidRPr="00FF044C">
              <w:rPr>
                <w:rFonts w:ascii="Arial Narrow" w:hAnsi="Arial Narrow"/>
                <w:b/>
                <w:color w:val="000000"/>
                <w:sz w:val="20"/>
                <w:szCs w:val="18"/>
              </w:rPr>
              <w:t xml:space="preserve">Outcome </w:t>
            </w:r>
          </w:p>
        </w:tc>
        <w:tc>
          <w:tcPr>
            <w:tcW w:w="415" w:type="pct"/>
            <w:vMerge w:val="restart"/>
            <w:vAlign w:val="center"/>
          </w:tcPr>
          <w:p w:rsidR="00173093" w:rsidRPr="00FF044C" w:rsidRDefault="00173093" w:rsidP="00051215">
            <w:pPr>
              <w:jc w:val="center"/>
              <w:rPr>
                <w:rFonts w:ascii="Arial Narrow" w:hAnsi="Arial Narrow"/>
                <w:b/>
                <w:color w:val="000000"/>
                <w:sz w:val="20"/>
                <w:szCs w:val="18"/>
                <w:vertAlign w:val="superscript"/>
              </w:rPr>
            </w:pPr>
            <w:r w:rsidRPr="00FF044C">
              <w:rPr>
                <w:rFonts w:ascii="Arial Narrow" w:hAnsi="Arial Narrow"/>
                <w:b/>
                <w:color w:val="000000"/>
                <w:sz w:val="20"/>
                <w:szCs w:val="18"/>
              </w:rPr>
              <w:t>BV</w:t>
            </w:r>
            <w:r w:rsidR="00051215" w:rsidRPr="00FF044C">
              <w:rPr>
                <w:rFonts w:ascii="Arial Narrow" w:hAnsi="Arial Narrow"/>
                <w:b/>
                <w:color w:val="000000"/>
                <w:sz w:val="20"/>
                <w:szCs w:val="18"/>
              </w:rPr>
              <w:t xml:space="preserve"> </w:t>
            </w:r>
            <w:r w:rsidR="00051215" w:rsidRPr="00FF044C">
              <w:rPr>
                <w:rFonts w:ascii="Arial Narrow" w:hAnsi="Arial Narrow"/>
                <w:b/>
                <w:color w:val="000000"/>
                <w:sz w:val="20"/>
                <w:szCs w:val="18"/>
                <w:vertAlign w:val="superscript"/>
              </w:rPr>
              <w:t>a</w:t>
            </w:r>
          </w:p>
        </w:tc>
        <w:tc>
          <w:tcPr>
            <w:tcW w:w="415" w:type="pct"/>
            <w:vMerge w:val="restart"/>
            <w:vAlign w:val="center"/>
          </w:tcPr>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SC</w:t>
            </w:r>
          </w:p>
        </w:tc>
        <w:tc>
          <w:tcPr>
            <w:tcW w:w="661" w:type="pct"/>
            <w:vMerge w:val="restart"/>
            <w:vAlign w:val="center"/>
          </w:tcPr>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RR</w:t>
            </w:r>
          </w:p>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(95% CI)</w:t>
            </w:r>
          </w:p>
        </w:tc>
        <w:tc>
          <w:tcPr>
            <w:tcW w:w="1163" w:type="pct"/>
            <w:gridSpan w:val="2"/>
            <w:vAlign w:val="center"/>
          </w:tcPr>
          <w:p w:rsidR="00173093" w:rsidRPr="00FF044C" w:rsidRDefault="00173093" w:rsidP="00051215">
            <w:pPr>
              <w:jc w:val="center"/>
              <w:rPr>
                <w:rFonts w:ascii="Arial Narrow" w:hAnsi="Arial Narrow"/>
                <w:b/>
                <w:color w:val="000000"/>
                <w:sz w:val="20"/>
                <w:szCs w:val="18"/>
              </w:rPr>
            </w:pPr>
            <w:r w:rsidRPr="00FF044C">
              <w:rPr>
                <w:rFonts w:ascii="Arial Narrow" w:hAnsi="Arial Narrow"/>
                <w:b/>
                <w:color w:val="000000"/>
                <w:sz w:val="20"/>
                <w:szCs w:val="18"/>
              </w:rPr>
              <w:t>Event rate/100 patients</w:t>
            </w:r>
            <w:r w:rsidR="00051215" w:rsidRPr="00FF044C">
              <w:rPr>
                <w:rFonts w:ascii="Arial Narrow" w:hAnsi="Arial Narrow"/>
                <w:b/>
                <w:color w:val="000000"/>
                <w:sz w:val="20"/>
                <w:szCs w:val="18"/>
              </w:rPr>
              <w:t xml:space="preserve"> </w:t>
            </w:r>
            <w:r w:rsidR="00051215" w:rsidRPr="00FF044C">
              <w:rPr>
                <w:rFonts w:ascii="Arial Narrow" w:hAnsi="Arial Narrow"/>
                <w:b/>
                <w:color w:val="000000"/>
                <w:sz w:val="20"/>
                <w:szCs w:val="18"/>
                <w:vertAlign w:val="superscript"/>
              </w:rPr>
              <w:t>b</w:t>
            </w:r>
            <w:r w:rsidRPr="00FF044C">
              <w:rPr>
                <w:rFonts w:ascii="Arial Narrow" w:hAnsi="Arial Narrow"/>
                <w:b/>
                <w:color w:val="000000"/>
                <w:sz w:val="20"/>
                <w:szCs w:val="18"/>
              </w:rPr>
              <w:t xml:space="preserve"> </w:t>
            </w:r>
          </w:p>
        </w:tc>
        <w:tc>
          <w:tcPr>
            <w:tcW w:w="994" w:type="pct"/>
            <w:vMerge w:val="restart"/>
            <w:vAlign w:val="center"/>
          </w:tcPr>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RD</w:t>
            </w:r>
          </w:p>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(95% CI)</w:t>
            </w:r>
          </w:p>
        </w:tc>
      </w:tr>
      <w:tr w:rsidR="00173093" w:rsidRPr="00FF044C" w:rsidTr="00E47679">
        <w:trPr>
          <w:trHeight w:val="20"/>
          <w:tblHeader/>
        </w:trPr>
        <w:tc>
          <w:tcPr>
            <w:tcW w:w="1351" w:type="pct"/>
            <w:vMerge/>
            <w:shd w:val="clear" w:color="auto" w:fill="auto"/>
            <w:vAlign w:val="center"/>
          </w:tcPr>
          <w:p w:rsidR="00173093" w:rsidRPr="00FF044C" w:rsidRDefault="00173093" w:rsidP="00E47679">
            <w:pPr>
              <w:rPr>
                <w:rFonts w:ascii="Arial Narrow" w:hAnsi="Arial Narrow"/>
                <w:b/>
                <w:color w:val="000000"/>
                <w:sz w:val="20"/>
                <w:szCs w:val="18"/>
              </w:rPr>
            </w:pPr>
          </w:p>
        </w:tc>
        <w:tc>
          <w:tcPr>
            <w:tcW w:w="415" w:type="pct"/>
            <w:vMerge/>
            <w:vAlign w:val="center"/>
          </w:tcPr>
          <w:p w:rsidR="00173093" w:rsidRPr="00FF044C" w:rsidRDefault="00173093" w:rsidP="00E47679">
            <w:pPr>
              <w:jc w:val="center"/>
              <w:rPr>
                <w:rFonts w:ascii="Arial Narrow" w:hAnsi="Arial Narrow"/>
                <w:b/>
                <w:color w:val="000000"/>
                <w:sz w:val="20"/>
                <w:szCs w:val="18"/>
              </w:rPr>
            </w:pPr>
          </w:p>
        </w:tc>
        <w:tc>
          <w:tcPr>
            <w:tcW w:w="415" w:type="pct"/>
            <w:vMerge/>
            <w:vAlign w:val="center"/>
          </w:tcPr>
          <w:p w:rsidR="00173093" w:rsidRPr="00FF044C" w:rsidRDefault="00173093" w:rsidP="00E47679">
            <w:pPr>
              <w:jc w:val="center"/>
              <w:rPr>
                <w:rFonts w:ascii="Arial Narrow" w:hAnsi="Arial Narrow"/>
                <w:b/>
                <w:color w:val="000000"/>
                <w:sz w:val="20"/>
                <w:szCs w:val="18"/>
              </w:rPr>
            </w:pPr>
          </w:p>
        </w:tc>
        <w:tc>
          <w:tcPr>
            <w:tcW w:w="661" w:type="pct"/>
            <w:vMerge/>
            <w:vAlign w:val="center"/>
          </w:tcPr>
          <w:p w:rsidR="00173093" w:rsidRPr="00FF044C" w:rsidRDefault="00173093" w:rsidP="00E47679">
            <w:pPr>
              <w:jc w:val="center"/>
              <w:rPr>
                <w:rFonts w:ascii="Arial Narrow" w:hAnsi="Arial Narrow"/>
                <w:b/>
                <w:color w:val="000000"/>
                <w:sz w:val="20"/>
                <w:szCs w:val="18"/>
              </w:rPr>
            </w:pPr>
          </w:p>
        </w:tc>
        <w:tc>
          <w:tcPr>
            <w:tcW w:w="582" w:type="pct"/>
            <w:vAlign w:val="center"/>
          </w:tcPr>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BV</w:t>
            </w:r>
          </w:p>
        </w:tc>
        <w:tc>
          <w:tcPr>
            <w:tcW w:w="581" w:type="pct"/>
            <w:vAlign w:val="center"/>
          </w:tcPr>
          <w:p w:rsidR="00173093" w:rsidRPr="00FF044C" w:rsidRDefault="00173093" w:rsidP="00E47679">
            <w:pPr>
              <w:jc w:val="center"/>
              <w:rPr>
                <w:rFonts w:ascii="Arial Narrow" w:hAnsi="Arial Narrow"/>
                <w:b/>
                <w:color w:val="000000"/>
                <w:sz w:val="20"/>
                <w:szCs w:val="18"/>
              </w:rPr>
            </w:pPr>
            <w:r w:rsidRPr="00FF044C">
              <w:rPr>
                <w:rFonts w:ascii="Arial Narrow" w:hAnsi="Arial Narrow"/>
                <w:b/>
                <w:color w:val="000000"/>
                <w:sz w:val="20"/>
                <w:szCs w:val="18"/>
              </w:rPr>
              <w:t>SC</w:t>
            </w:r>
          </w:p>
        </w:tc>
        <w:tc>
          <w:tcPr>
            <w:tcW w:w="994" w:type="pct"/>
            <w:vMerge/>
            <w:vAlign w:val="center"/>
          </w:tcPr>
          <w:p w:rsidR="00173093" w:rsidRPr="00FF044C" w:rsidRDefault="00173093" w:rsidP="00E47679">
            <w:pPr>
              <w:jc w:val="center"/>
              <w:rPr>
                <w:rFonts w:ascii="Arial Narrow" w:hAnsi="Arial Narrow"/>
                <w:b/>
                <w:color w:val="000000"/>
                <w:sz w:val="20"/>
                <w:szCs w:val="18"/>
              </w:rPr>
            </w:pPr>
          </w:p>
        </w:tc>
      </w:tr>
      <w:tr w:rsidR="00173093" w:rsidRPr="00FF044C" w:rsidTr="00E47679">
        <w:trPr>
          <w:trHeight w:val="20"/>
        </w:trPr>
        <w:tc>
          <w:tcPr>
            <w:tcW w:w="1351" w:type="pct"/>
            <w:shd w:val="clear" w:color="auto" w:fill="auto"/>
            <w:vAlign w:val="center"/>
          </w:tcPr>
          <w:p w:rsidR="00173093" w:rsidRPr="00FF044C" w:rsidRDefault="00173093" w:rsidP="00173093">
            <w:pPr>
              <w:jc w:val="left"/>
              <w:rPr>
                <w:rFonts w:ascii="Arial Narrow" w:hAnsi="Arial Narrow"/>
                <w:color w:val="000000"/>
                <w:sz w:val="20"/>
                <w:szCs w:val="18"/>
              </w:rPr>
            </w:pPr>
            <w:r w:rsidRPr="00FF044C">
              <w:rPr>
                <w:rFonts w:ascii="Arial Narrow" w:hAnsi="Arial Narrow"/>
                <w:color w:val="000000"/>
                <w:sz w:val="20"/>
                <w:szCs w:val="18"/>
              </w:rPr>
              <w:t>Pooled ORR</w:t>
            </w:r>
          </w:p>
        </w:tc>
        <w:tc>
          <w:tcPr>
            <w:tcW w:w="415" w:type="pct"/>
            <w:vAlign w:val="center"/>
          </w:tcPr>
          <w:p w:rsidR="00173093" w:rsidRPr="00FF044C" w:rsidRDefault="00173093" w:rsidP="00051215">
            <w:pPr>
              <w:jc w:val="center"/>
              <w:rPr>
                <w:rFonts w:ascii="Arial Narrow" w:hAnsi="Arial Narrow"/>
                <w:color w:val="000000"/>
                <w:sz w:val="20"/>
                <w:szCs w:val="18"/>
              </w:rPr>
            </w:pPr>
            <w:r w:rsidRPr="00FF044C">
              <w:rPr>
                <w:rFonts w:ascii="Arial Narrow" w:hAnsi="Arial Narrow"/>
                <w:color w:val="000000"/>
                <w:sz w:val="20"/>
                <w:szCs w:val="18"/>
              </w:rPr>
              <w:t>1</w:t>
            </w:r>
            <w:r w:rsidR="00051215" w:rsidRPr="00FF044C">
              <w:rPr>
                <w:rFonts w:ascii="Arial Narrow" w:hAnsi="Arial Narrow"/>
                <w:color w:val="000000"/>
                <w:sz w:val="20"/>
                <w:szCs w:val="18"/>
              </w:rPr>
              <w:t>97</w:t>
            </w:r>
            <w:r w:rsidRPr="00FF044C">
              <w:rPr>
                <w:rFonts w:ascii="Arial Narrow" w:hAnsi="Arial Narrow"/>
                <w:color w:val="000000"/>
                <w:sz w:val="20"/>
                <w:szCs w:val="18"/>
              </w:rPr>
              <w:t>/</w:t>
            </w:r>
            <w:r w:rsidR="00051215" w:rsidRPr="00FF044C">
              <w:rPr>
                <w:rFonts w:ascii="Arial Narrow" w:hAnsi="Arial Narrow"/>
                <w:color w:val="000000"/>
                <w:sz w:val="20"/>
                <w:szCs w:val="18"/>
              </w:rPr>
              <w:t>309</w:t>
            </w:r>
          </w:p>
        </w:tc>
        <w:tc>
          <w:tcPr>
            <w:tcW w:w="415"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24/82</w:t>
            </w:r>
          </w:p>
        </w:tc>
        <w:tc>
          <w:tcPr>
            <w:tcW w:w="661" w:type="pct"/>
            <w:vAlign w:val="center"/>
          </w:tcPr>
          <w:p w:rsidR="00173093" w:rsidRPr="00FF044C" w:rsidRDefault="00173093" w:rsidP="00051215">
            <w:pPr>
              <w:jc w:val="center"/>
              <w:rPr>
                <w:rFonts w:ascii="Arial Narrow" w:hAnsi="Arial Narrow"/>
                <w:i/>
                <w:color w:val="000000"/>
                <w:sz w:val="20"/>
                <w:szCs w:val="18"/>
              </w:rPr>
            </w:pPr>
            <w:r w:rsidRPr="00FF044C">
              <w:rPr>
                <w:rFonts w:ascii="Arial Narrow" w:hAnsi="Arial Narrow"/>
                <w:i/>
                <w:color w:val="000000"/>
                <w:sz w:val="20"/>
                <w:szCs w:val="18"/>
              </w:rPr>
              <w:t>2.</w:t>
            </w:r>
            <w:r w:rsidR="00051215" w:rsidRPr="00FF044C">
              <w:rPr>
                <w:rFonts w:ascii="Arial Narrow" w:hAnsi="Arial Narrow"/>
                <w:i/>
                <w:color w:val="000000"/>
                <w:sz w:val="20"/>
                <w:szCs w:val="18"/>
              </w:rPr>
              <w:t>2</w:t>
            </w:r>
            <w:r w:rsidRPr="00FF044C">
              <w:rPr>
                <w:rFonts w:ascii="Arial Narrow" w:hAnsi="Arial Narrow"/>
                <w:i/>
                <w:color w:val="000000"/>
                <w:sz w:val="20"/>
                <w:szCs w:val="18"/>
              </w:rPr>
              <w:t xml:space="preserve"> (1.</w:t>
            </w:r>
            <w:r w:rsidR="00051215" w:rsidRPr="00FF044C">
              <w:rPr>
                <w:rFonts w:ascii="Arial Narrow" w:hAnsi="Arial Narrow"/>
                <w:i/>
                <w:color w:val="000000"/>
                <w:sz w:val="20"/>
                <w:szCs w:val="18"/>
              </w:rPr>
              <w:t>5,</w:t>
            </w:r>
            <w:r w:rsidRPr="00FF044C">
              <w:rPr>
                <w:rFonts w:ascii="Arial Narrow" w:hAnsi="Arial Narrow"/>
                <w:i/>
                <w:color w:val="000000"/>
                <w:sz w:val="20"/>
                <w:szCs w:val="18"/>
              </w:rPr>
              <w:t>3.</w:t>
            </w:r>
            <w:r w:rsidR="00051215" w:rsidRPr="00FF044C">
              <w:rPr>
                <w:rFonts w:ascii="Arial Narrow" w:hAnsi="Arial Narrow"/>
                <w:i/>
                <w:color w:val="000000"/>
                <w:sz w:val="20"/>
                <w:szCs w:val="18"/>
              </w:rPr>
              <w:t>1</w:t>
            </w:r>
            <w:r w:rsidRPr="00FF044C">
              <w:rPr>
                <w:rFonts w:ascii="Arial Narrow" w:hAnsi="Arial Narrow"/>
                <w:i/>
                <w:color w:val="000000"/>
                <w:sz w:val="20"/>
                <w:szCs w:val="18"/>
              </w:rPr>
              <w:t>)</w:t>
            </w:r>
          </w:p>
        </w:tc>
        <w:tc>
          <w:tcPr>
            <w:tcW w:w="582" w:type="pct"/>
            <w:vAlign w:val="center"/>
          </w:tcPr>
          <w:p w:rsidR="00173093" w:rsidRPr="00FF044C" w:rsidRDefault="00051215" w:rsidP="00051215">
            <w:pPr>
              <w:jc w:val="center"/>
              <w:rPr>
                <w:rFonts w:ascii="Arial Narrow" w:hAnsi="Arial Narrow"/>
                <w:color w:val="000000"/>
                <w:sz w:val="20"/>
                <w:szCs w:val="18"/>
              </w:rPr>
            </w:pPr>
            <w:r w:rsidRPr="00FF044C">
              <w:rPr>
                <w:rFonts w:ascii="Arial Narrow" w:hAnsi="Arial Narrow"/>
                <w:color w:val="000000"/>
                <w:sz w:val="20"/>
                <w:szCs w:val="18"/>
              </w:rPr>
              <w:t>63</w:t>
            </w:r>
            <w:r w:rsidR="00173093" w:rsidRPr="00FF044C">
              <w:rPr>
                <w:rFonts w:ascii="Arial Narrow" w:hAnsi="Arial Narrow"/>
                <w:color w:val="000000"/>
                <w:sz w:val="20"/>
                <w:szCs w:val="18"/>
              </w:rPr>
              <w:t>.</w:t>
            </w:r>
            <w:r w:rsidRPr="00FF044C">
              <w:rPr>
                <w:rFonts w:ascii="Arial Narrow" w:hAnsi="Arial Narrow"/>
                <w:color w:val="000000"/>
                <w:sz w:val="20"/>
                <w:szCs w:val="18"/>
              </w:rPr>
              <w:t>8</w:t>
            </w:r>
          </w:p>
        </w:tc>
        <w:tc>
          <w:tcPr>
            <w:tcW w:w="581"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29.3</w:t>
            </w:r>
          </w:p>
        </w:tc>
        <w:tc>
          <w:tcPr>
            <w:tcW w:w="994" w:type="pct"/>
            <w:vAlign w:val="center"/>
          </w:tcPr>
          <w:p w:rsidR="00173093" w:rsidRPr="00FF044C" w:rsidRDefault="00173093" w:rsidP="00051215">
            <w:pPr>
              <w:jc w:val="center"/>
              <w:rPr>
                <w:rFonts w:ascii="Arial Narrow" w:hAnsi="Arial Narrow"/>
                <w:b/>
                <w:i/>
                <w:color w:val="000000"/>
                <w:sz w:val="20"/>
                <w:szCs w:val="18"/>
              </w:rPr>
            </w:pPr>
            <w:r w:rsidRPr="00FF044C">
              <w:rPr>
                <w:rFonts w:ascii="Arial Narrow" w:hAnsi="Arial Narrow"/>
                <w:b/>
                <w:i/>
                <w:color w:val="000000"/>
                <w:sz w:val="20"/>
                <w:szCs w:val="18"/>
              </w:rPr>
              <w:t>0.3</w:t>
            </w:r>
            <w:r w:rsidR="00051215" w:rsidRPr="00FF044C">
              <w:rPr>
                <w:rFonts w:ascii="Arial Narrow" w:hAnsi="Arial Narrow"/>
                <w:b/>
                <w:i/>
                <w:color w:val="000000"/>
                <w:sz w:val="20"/>
                <w:szCs w:val="18"/>
              </w:rPr>
              <w:t>5</w:t>
            </w:r>
            <w:r w:rsidRPr="00FF044C">
              <w:rPr>
                <w:rFonts w:ascii="Arial Narrow" w:hAnsi="Arial Narrow"/>
                <w:b/>
                <w:i/>
                <w:color w:val="000000"/>
                <w:sz w:val="20"/>
                <w:szCs w:val="18"/>
              </w:rPr>
              <w:t xml:space="preserve"> (0.2</w:t>
            </w:r>
            <w:r w:rsidR="00051215" w:rsidRPr="00FF044C">
              <w:rPr>
                <w:rFonts w:ascii="Arial Narrow" w:hAnsi="Arial Narrow"/>
                <w:b/>
                <w:i/>
                <w:color w:val="000000"/>
                <w:sz w:val="20"/>
                <w:szCs w:val="18"/>
              </w:rPr>
              <w:t>3</w:t>
            </w:r>
            <w:r w:rsidRPr="00FF044C">
              <w:rPr>
                <w:rFonts w:ascii="Arial Narrow" w:hAnsi="Arial Narrow"/>
                <w:b/>
                <w:i/>
                <w:color w:val="000000"/>
                <w:sz w:val="20"/>
                <w:szCs w:val="18"/>
              </w:rPr>
              <w:t>,0.4</w:t>
            </w:r>
            <w:r w:rsidR="00051215" w:rsidRPr="00FF044C">
              <w:rPr>
                <w:rFonts w:ascii="Arial Narrow" w:hAnsi="Arial Narrow"/>
                <w:b/>
                <w:i/>
                <w:color w:val="000000"/>
                <w:sz w:val="20"/>
                <w:szCs w:val="18"/>
              </w:rPr>
              <w:t>6</w:t>
            </w:r>
            <w:r w:rsidRPr="00FF044C">
              <w:rPr>
                <w:rFonts w:ascii="Arial Narrow" w:hAnsi="Arial Narrow"/>
                <w:b/>
                <w:i/>
                <w:color w:val="000000"/>
                <w:sz w:val="20"/>
                <w:szCs w:val="18"/>
              </w:rPr>
              <w:t>)</w:t>
            </w:r>
          </w:p>
        </w:tc>
      </w:tr>
      <w:tr w:rsidR="00173093" w:rsidRPr="00FF044C" w:rsidTr="00E47679">
        <w:trPr>
          <w:trHeight w:val="20"/>
        </w:trPr>
        <w:tc>
          <w:tcPr>
            <w:tcW w:w="1351" w:type="pct"/>
            <w:shd w:val="clear" w:color="auto" w:fill="auto"/>
            <w:vAlign w:val="center"/>
          </w:tcPr>
          <w:p w:rsidR="00173093" w:rsidRPr="00FF044C" w:rsidRDefault="00173093" w:rsidP="00173093">
            <w:pPr>
              <w:jc w:val="left"/>
              <w:rPr>
                <w:rFonts w:ascii="Arial Narrow" w:hAnsi="Arial Narrow"/>
                <w:color w:val="000000"/>
                <w:sz w:val="20"/>
                <w:szCs w:val="18"/>
              </w:rPr>
            </w:pPr>
            <w:r w:rsidRPr="00FF044C">
              <w:rPr>
                <w:rFonts w:ascii="Arial Narrow" w:hAnsi="Arial Narrow"/>
                <w:color w:val="000000"/>
                <w:sz w:val="20"/>
                <w:szCs w:val="18"/>
              </w:rPr>
              <w:t>Pooled CR</w:t>
            </w:r>
          </w:p>
        </w:tc>
        <w:tc>
          <w:tcPr>
            <w:tcW w:w="415" w:type="pct"/>
            <w:vAlign w:val="center"/>
          </w:tcPr>
          <w:p w:rsidR="00173093" w:rsidRPr="00FF044C" w:rsidRDefault="00051215" w:rsidP="00051215">
            <w:pPr>
              <w:jc w:val="center"/>
              <w:rPr>
                <w:rFonts w:ascii="Arial Narrow" w:hAnsi="Arial Narrow"/>
                <w:color w:val="000000"/>
                <w:sz w:val="20"/>
                <w:szCs w:val="18"/>
              </w:rPr>
            </w:pPr>
            <w:r w:rsidRPr="00FF044C">
              <w:rPr>
                <w:rFonts w:ascii="Arial Narrow" w:hAnsi="Arial Narrow"/>
                <w:color w:val="000000"/>
                <w:sz w:val="20"/>
                <w:szCs w:val="18"/>
              </w:rPr>
              <w:t>95</w:t>
            </w:r>
            <w:r w:rsidR="00173093" w:rsidRPr="00FF044C">
              <w:rPr>
                <w:rFonts w:ascii="Arial Narrow" w:hAnsi="Arial Narrow"/>
                <w:color w:val="000000"/>
                <w:sz w:val="20"/>
                <w:szCs w:val="18"/>
              </w:rPr>
              <w:t>/</w:t>
            </w:r>
            <w:r w:rsidRPr="00FF044C">
              <w:rPr>
                <w:rFonts w:ascii="Arial Narrow" w:hAnsi="Arial Narrow"/>
                <w:color w:val="000000"/>
                <w:sz w:val="20"/>
                <w:szCs w:val="18"/>
              </w:rPr>
              <w:t>324</w:t>
            </w:r>
          </w:p>
        </w:tc>
        <w:tc>
          <w:tcPr>
            <w:tcW w:w="415"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3/46</w:t>
            </w:r>
          </w:p>
        </w:tc>
        <w:tc>
          <w:tcPr>
            <w:tcW w:w="661" w:type="pct"/>
            <w:vAlign w:val="center"/>
          </w:tcPr>
          <w:p w:rsidR="00173093" w:rsidRPr="00FF044C" w:rsidRDefault="00173093" w:rsidP="00E47679">
            <w:pPr>
              <w:jc w:val="center"/>
              <w:rPr>
                <w:rFonts w:ascii="Arial Narrow" w:hAnsi="Arial Narrow"/>
                <w:i/>
                <w:color w:val="000000"/>
                <w:sz w:val="20"/>
                <w:szCs w:val="18"/>
              </w:rPr>
            </w:pPr>
            <w:r w:rsidRPr="00FF044C">
              <w:rPr>
                <w:rFonts w:ascii="Arial Narrow" w:hAnsi="Arial Narrow"/>
                <w:i/>
                <w:color w:val="000000"/>
                <w:sz w:val="20"/>
                <w:szCs w:val="18"/>
              </w:rPr>
              <w:t>5.03 (1.7,15.2)</w:t>
            </w:r>
          </w:p>
        </w:tc>
        <w:tc>
          <w:tcPr>
            <w:tcW w:w="582" w:type="pct"/>
            <w:vAlign w:val="center"/>
          </w:tcPr>
          <w:p w:rsidR="00173093" w:rsidRPr="00FF044C" w:rsidRDefault="00051215" w:rsidP="00051215">
            <w:pPr>
              <w:jc w:val="center"/>
              <w:rPr>
                <w:rFonts w:ascii="Arial Narrow" w:hAnsi="Arial Narrow"/>
                <w:color w:val="000000"/>
                <w:sz w:val="20"/>
                <w:szCs w:val="18"/>
              </w:rPr>
            </w:pPr>
            <w:r w:rsidRPr="00FF044C">
              <w:rPr>
                <w:rFonts w:ascii="Arial Narrow" w:hAnsi="Arial Narrow"/>
                <w:color w:val="000000"/>
                <w:sz w:val="20"/>
                <w:szCs w:val="18"/>
              </w:rPr>
              <w:t>29</w:t>
            </w:r>
            <w:r w:rsidR="00173093" w:rsidRPr="00FF044C">
              <w:rPr>
                <w:rFonts w:ascii="Arial Narrow" w:hAnsi="Arial Narrow"/>
                <w:color w:val="000000"/>
                <w:sz w:val="20"/>
                <w:szCs w:val="18"/>
              </w:rPr>
              <w:t>.</w:t>
            </w:r>
            <w:r w:rsidRPr="00FF044C">
              <w:rPr>
                <w:rFonts w:ascii="Arial Narrow" w:hAnsi="Arial Narrow"/>
                <w:color w:val="000000"/>
                <w:sz w:val="20"/>
                <w:szCs w:val="18"/>
              </w:rPr>
              <w:t>3</w:t>
            </w:r>
          </w:p>
        </w:tc>
        <w:tc>
          <w:tcPr>
            <w:tcW w:w="581"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6.5</w:t>
            </w:r>
          </w:p>
        </w:tc>
        <w:tc>
          <w:tcPr>
            <w:tcW w:w="994" w:type="pct"/>
            <w:vAlign w:val="center"/>
          </w:tcPr>
          <w:p w:rsidR="00173093" w:rsidRPr="00FF044C" w:rsidRDefault="00173093" w:rsidP="00051215">
            <w:pPr>
              <w:jc w:val="center"/>
              <w:rPr>
                <w:rFonts w:ascii="Arial Narrow" w:hAnsi="Arial Narrow"/>
                <w:b/>
                <w:i/>
                <w:color w:val="000000"/>
                <w:sz w:val="20"/>
                <w:szCs w:val="18"/>
              </w:rPr>
            </w:pPr>
            <w:r w:rsidRPr="00FF044C">
              <w:rPr>
                <w:rFonts w:ascii="Arial Narrow" w:hAnsi="Arial Narrow"/>
                <w:b/>
                <w:i/>
                <w:color w:val="000000"/>
                <w:sz w:val="20"/>
                <w:szCs w:val="18"/>
              </w:rPr>
              <w:t>0.</w:t>
            </w:r>
            <w:r w:rsidR="00051215" w:rsidRPr="00FF044C">
              <w:rPr>
                <w:rFonts w:ascii="Arial Narrow" w:hAnsi="Arial Narrow"/>
                <w:b/>
                <w:i/>
                <w:color w:val="000000"/>
                <w:sz w:val="20"/>
                <w:szCs w:val="18"/>
              </w:rPr>
              <w:t>23</w:t>
            </w:r>
            <w:r w:rsidRPr="00FF044C">
              <w:rPr>
                <w:rFonts w:ascii="Arial Narrow" w:hAnsi="Arial Narrow"/>
                <w:b/>
                <w:i/>
                <w:color w:val="000000"/>
                <w:sz w:val="20"/>
                <w:szCs w:val="18"/>
              </w:rPr>
              <w:t xml:space="preserve"> (0.1</w:t>
            </w:r>
            <w:r w:rsidR="00051215" w:rsidRPr="00FF044C">
              <w:rPr>
                <w:rFonts w:ascii="Arial Narrow" w:hAnsi="Arial Narrow"/>
                <w:b/>
                <w:i/>
                <w:color w:val="000000"/>
                <w:sz w:val="20"/>
                <w:szCs w:val="18"/>
              </w:rPr>
              <w:t>4</w:t>
            </w:r>
            <w:r w:rsidRPr="00FF044C">
              <w:rPr>
                <w:rFonts w:ascii="Arial Narrow" w:hAnsi="Arial Narrow"/>
                <w:b/>
                <w:i/>
                <w:color w:val="000000"/>
                <w:sz w:val="20"/>
                <w:szCs w:val="18"/>
              </w:rPr>
              <w:t>,0.3</w:t>
            </w:r>
            <w:r w:rsidR="00051215" w:rsidRPr="00FF044C">
              <w:rPr>
                <w:rFonts w:ascii="Arial Narrow" w:hAnsi="Arial Narrow"/>
                <w:b/>
                <w:i/>
                <w:color w:val="000000"/>
                <w:sz w:val="20"/>
                <w:szCs w:val="18"/>
              </w:rPr>
              <w:t>2</w:t>
            </w:r>
            <w:r w:rsidRPr="00FF044C">
              <w:rPr>
                <w:rFonts w:ascii="Arial Narrow" w:hAnsi="Arial Narrow"/>
                <w:b/>
                <w:i/>
                <w:color w:val="000000"/>
                <w:sz w:val="20"/>
                <w:szCs w:val="18"/>
              </w:rPr>
              <w:t>)</w:t>
            </w:r>
          </w:p>
        </w:tc>
      </w:tr>
      <w:tr w:rsidR="00173093" w:rsidRPr="00FF044C" w:rsidTr="00E47679">
        <w:trPr>
          <w:trHeight w:val="20"/>
        </w:trPr>
        <w:tc>
          <w:tcPr>
            <w:tcW w:w="1351" w:type="pct"/>
            <w:shd w:val="clear" w:color="auto" w:fill="auto"/>
            <w:vAlign w:val="center"/>
          </w:tcPr>
          <w:p w:rsidR="00173093" w:rsidRPr="00FF044C" w:rsidRDefault="00173093" w:rsidP="00173093">
            <w:pPr>
              <w:jc w:val="left"/>
              <w:rPr>
                <w:rFonts w:ascii="Arial Narrow" w:hAnsi="Arial Narrow"/>
                <w:color w:val="000000"/>
                <w:sz w:val="20"/>
                <w:szCs w:val="18"/>
              </w:rPr>
            </w:pPr>
            <w:r w:rsidRPr="00FF044C">
              <w:rPr>
                <w:rFonts w:ascii="Arial Narrow" w:hAnsi="Arial Narrow"/>
                <w:color w:val="000000"/>
                <w:sz w:val="20"/>
                <w:szCs w:val="18"/>
              </w:rPr>
              <w:t>Pooled Proceed to SCT</w:t>
            </w:r>
          </w:p>
        </w:tc>
        <w:tc>
          <w:tcPr>
            <w:tcW w:w="415" w:type="pct"/>
            <w:vAlign w:val="center"/>
          </w:tcPr>
          <w:p w:rsidR="00173093" w:rsidRPr="00FF044C" w:rsidRDefault="00051215" w:rsidP="00051215">
            <w:pPr>
              <w:jc w:val="center"/>
              <w:rPr>
                <w:rFonts w:ascii="Arial Narrow" w:hAnsi="Arial Narrow"/>
                <w:color w:val="000000"/>
                <w:sz w:val="20"/>
                <w:szCs w:val="18"/>
              </w:rPr>
            </w:pPr>
            <w:r w:rsidRPr="00FF044C">
              <w:rPr>
                <w:rFonts w:ascii="Arial Narrow" w:hAnsi="Arial Narrow"/>
                <w:color w:val="000000"/>
                <w:sz w:val="20"/>
                <w:szCs w:val="18"/>
              </w:rPr>
              <w:t>75</w:t>
            </w:r>
            <w:r w:rsidR="00173093" w:rsidRPr="00FF044C">
              <w:rPr>
                <w:rFonts w:ascii="Arial Narrow" w:hAnsi="Arial Narrow"/>
                <w:color w:val="000000"/>
                <w:sz w:val="20"/>
                <w:szCs w:val="18"/>
              </w:rPr>
              <w:t>/1</w:t>
            </w:r>
            <w:r w:rsidRPr="00FF044C">
              <w:rPr>
                <w:rFonts w:ascii="Arial Narrow" w:hAnsi="Arial Narrow"/>
                <w:color w:val="000000"/>
                <w:sz w:val="20"/>
                <w:szCs w:val="18"/>
              </w:rPr>
              <w:t>81</w:t>
            </w:r>
          </w:p>
        </w:tc>
        <w:tc>
          <w:tcPr>
            <w:tcW w:w="415"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NR</w:t>
            </w:r>
          </w:p>
        </w:tc>
        <w:tc>
          <w:tcPr>
            <w:tcW w:w="661"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w:t>
            </w:r>
          </w:p>
        </w:tc>
        <w:tc>
          <w:tcPr>
            <w:tcW w:w="582"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35.6</w:t>
            </w:r>
          </w:p>
        </w:tc>
        <w:tc>
          <w:tcPr>
            <w:tcW w:w="581"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NR</w:t>
            </w:r>
          </w:p>
        </w:tc>
        <w:tc>
          <w:tcPr>
            <w:tcW w:w="994" w:type="pct"/>
            <w:vAlign w:val="center"/>
          </w:tcPr>
          <w:p w:rsidR="00173093" w:rsidRPr="00FF044C" w:rsidRDefault="00173093" w:rsidP="00E47679">
            <w:pPr>
              <w:jc w:val="center"/>
              <w:rPr>
                <w:rFonts w:ascii="Arial Narrow" w:hAnsi="Arial Narrow"/>
                <w:color w:val="000000"/>
                <w:sz w:val="20"/>
                <w:szCs w:val="18"/>
              </w:rPr>
            </w:pPr>
            <w:r w:rsidRPr="00FF044C">
              <w:rPr>
                <w:rFonts w:ascii="Arial Narrow" w:hAnsi="Arial Narrow"/>
                <w:color w:val="000000"/>
                <w:sz w:val="20"/>
                <w:szCs w:val="18"/>
              </w:rPr>
              <w:t>-</w:t>
            </w:r>
          </w:p>
        </w:tc>
      </w:tr>
    </w:tbl>
    <w:p w:rsidR="00173093" w:rsidRPr="00FF044C" w:rsidRDefault="00173093" w:rsidP="00173093">
      <w:pPr>
        <w:ind w:left="720"/>
        <w:rPr>
          <w:rFonts w:ascii="Arial Narrow" w:hAnsi="Arial Narrow"/>
          <w:sz w:val="18"/>
        </w:rPr>
      </w:pPr>
      <w:r w:rsidRPr="00FF044C">
        <w:rPr>
          <w:rFonts w:ascii="Arial Narrow" w:hAnsi="Arial Narrow"/>
          <w:sz w:val="18"/>
        </w:rPr>
        <w:t xml:space="preserve">Source: compiled during evaluation </w:t>
      </w:r>
    </w:p>
    <w:p w:rsidR="00173093" w:rsidRPr="00FF044C" w:rsidRDefault="00051215" w:rsidP="00173093">
      <w:pPr>
        <w:ind w:left="720"/>
        <w:rPr>
          <w:b/>
          <w:sz w:val="18"/>
        </w:rPr>
      </w:pPr>
      <w:r w:rsidRPr="00FF044C">
        <w:rPr>
          <w:rFonts w:ascii="Arial Narrow" w:hAnsi="Arial Narrow"/>
          <w:sz w:val="18"/>
        </w:rPr>
        <w:t xml:space="preserve">BV = brentuximab vedotin; </w:t>
      </w:r>
      <w:r w:rsidR="00173093" w:rsidRPr="00FF044C">
        <w:rPr>
          <w:rFonts w:ascii="Arial Narrow" w:hAnsi="Arial Narrow"/>
          <w:sz w:val="18"/>
        </w:rPr>
        <w:t xml:space="preserve">CI = confidence interval; CR = complete response; NR = not reported; ORR = overall response rate; RD = risk difference; RR = relative risk, </w:t>
      </w:r>
      <w:r w:rsidRPr="00FF044C">
        <w:rPr>
          <w:rFonts w:ascii="Arial Narrow" w:hAnsi="Arial Narrow"/>
          <w:sz w:val="18"/>
        </w:rPr>
        <w:t xml:space="preserve">SC = salvage chemotherapy; </w:t>
      </w:r>
      <w:r w:rsidR="00173093" w:rsidRPr="00FF044C">
        <w:rPr>
          <w:rFonts w:ascii="Arial Narrow" w:hAnsi="Arial Narrow"/>
          <w:sz w:val="18"/>
        </w:rPr>
        <w:t xml:space="preserve">SCT = stem cell transplant; </w:t>
      </w:r>
      <w:r w:rsidR="00173093" w:rsidRPr="00FF044C">
        <w:rPr>
          <w:rFonts w:ascii="Arial Narrow" w:hAnsi="Arial Narrow"/>
          <w:b/>
          <w:sz w:val="18"/>
        </w:rPr>
        <w:t xml:space="preserve">bold </w:t>
      </w:r>
      <w:r w:rsidR="00173093" w:rsidRPr="00FF044C">
        <w:rPr>
          <w:rFonts w:ascii="Arial Narrow" w:hAnsi="Arial Narrow"/>
          <w:sz w:val="18"/>
        </w:rPr>
        <w:t>= statistically significant;</w:t>
      </w:r>
    </w:p>
    <w:p w:rsidR="00173093" w:rsidRPr="00FF044C" w:rsidRDefault="00173093" w:rsidP="00173093">
      <w:pPr>
        <w:pStyle w:val="TableFooter"/>
        <w:ind w:left="720"/>
      </w:pPr>
      <w:proofErr w:type="spellStart"/>
      <w:proofErr w:type="gramStart"/>
      <w:r w:rsidRPr="00FF044C">
        <w:rPr>
          <w:rStyle w:val="CommentReference"/>
          <w:vertAlign w:val="superscript"/>
        </w:rPr>
        <w:t>a</w:t>
      </w:r>
      <w:proofErr w:type="spellEnd"/>
      <w:proofErr w:type="gramEnd"/>
      <w:r w:rsidRPr="00FF044C">
        <w:rPr>
          <w:rStyle w:val="CommentReference"/>
          <w:vertAlign w:val="superscript"/>
        </w:rPr>
        <w:t xml:space="preserve"> </w:t>
      </w:r>
      <w:r w:rsidR="00051215" w:rsidRPr="00FF044C">
        <w:t xml:space="preserve">All </w:t>
      </w:r>
      <w:proofErr w:type="spellStart"/>
      <w:r w:rsidR="00051215" w:rsidRPr="00FF044C">
        <w:t>brentuximab</w:t>
      </w:r>
      <w:proofErr w:type="spellEnd"/>
      <w:r w:rsidR="00051215" w:rsidRPr="00FF044C">
        <w:t xml:space="preserve"> </w:t>
      </w:r>
      <w:proofErr w:type="spellStart"/>
      <w:r w:rsidR="00051215" w:rsidRPr="00FF044C">
        <w:t>vedotin</w:t>
      </w:r>
      <w:proofErr w:type="spellEnd"/>
      <w:r w:rsidR="00BC6456" w:rsidRPr="00FF044C">
        <w:t xml:space="preserve"> </w:t>
      </w:r>
      <w:r w:rsidR="00051215" w:rsidRPr="00FF044C">
        <w:t>studies including Study C25007</w:t>
      </w:r>
    </w:p>
    <w:p w:rsidR="00051215" w:rsidRPr="00FF044C" w:rsidRDefault="00051215" w:rsidP="00173093">
      <w:pPr>
        <w:pStyle w:val="TableFooter"/>
        <w:ind w:left="720"/>
        <w:rPr>
          <w:rStyle w:val="CommentReference"/>
        </w:rPr>
      </w:pPr>
      <w:proofErr w:type="gramStart"/>
      <w:r w:rsidRPr="00FF044C">
        <w:rPr>
          <w:rStyle w:val="CommentReference"/>
          <w:vertAlign w:val="superscript"/>
        </w:rPr>
        <w:t>b</w:t>
      </w:r>
      <w:proofErr w:type="gramEnd"/>
      <w:r w:rsidRPr="00FF044C">
        <w:rPr>
          <w:rStyle w:val="CommentReference"/>
        </w:rPr>
        <w:t xml:space="preserve"> </w:t>
      </w:r>
      <w:r w:rsidRPr="00FF044C">
        <w:t xml:space="preserve">Median follow-up ranged from 13 to18 months for brentuximab vedotin and from 12 to 14 for salvage chemotherapy studies </w:t>
      </w:r>
    </w:p>
    <w:p w:rsidR="00173093" w:rsidRPr="00FF044C" w:rsidRDefault="00173093" w:rsidP="00173093">
      <w:pPr>
        <w:ind w:left="720"/>
        <w:rPr>
          <w:rStyle w:val="CommentReference"/>
        </w:rPr>
      </w:pPr>
    </w:p>
    <w:p w:rsidR="009F6E9D" w:rsidRPr="00FF044C" w:rsidRDefault="00173093" w:rsidP="0075545E">
      <w:pPr>
        <w:pStyle w:val="ListParagraph"/>
        <w:widowControl/>
        <w:numPr>
          <w:ilvl w:val="1"/>
          <w:numId w:val="1"/>
        </w:numPr>
        <w:rPr>
          <w:i/>
          <w:szCs w:val="22"/>
        </w:rPr>
      </w:pPr>
      <w:r w:rsidRPr="00FF044C">
        <w:t>The submission did not present comparative survival or comparative harm analysis</w:t>
      </w:r>
    </w:p>
    <w:p w:rsidR="00A638CF" w:rsidRPr="00FF044C" w:rsidRDefault="00A638CF" w:rsidP="00A638CF">
      <w:pPr>
        <w:pStyle w:val="ListParagraph"/>
        <w:widowControl/>
        <w:rPr>
          <w:i/>
          <w:szCs w:val="22"/>
        </w:rPr>
      </w:pPr>
    </w:p>
    <w:p w:rsidR="00173093" w:rsidRPr="00FF044C" w:rsidRDefault="000D4235" w:rsidP="0075545E">
      <w:pPr>
        <w:pStyle w:val="ListParagraph"/>
        <w:widowControl/>
        <w:numPr>
          <w:ilvl w:val="1"/>
          <w:numId w:val="1"/>
        </w:numPr>
        <w:rPr>
          <w:szCs w:val="22"/>
        </w:rPr>
      </w:pPr>
      <w:r w:rsidRPr="00FF044C">
        <w:t>T</w:t>
      </w:r>
      <w:r w:rsidR="00A638CF" w:rsidRPr="00FF044C">
        <w:t>he ESC considered that it was difficult to make a reliable estimate of the incremental benefit and harms</w:t>
      </w:r>
      <w:r w:rsidRPr="00FF044C">
        <w:t xml:space="preserve"> on the basis of the naïve indirect comparison presented in the submission</w:t>
      </w:r>
      <w:r w:rsidR="00A638CF" w:rsidRPr="00FF044C">
        <w:t>.</w:t>
      </w:r>
    </w:p>
    <w:p w:rsidR="00173093" w:rsidRPr="00FF044C" w:rsidRDefault="00173093" w:rsidP="00173093">
      <w:pPr>
        <w:pStyle w:val="ListParagraph"/>
        <w:widowControl/>
        <w:rPr>
          <w:i/>
          <w:szCs w:val="22"/>
        </w:rPr>
      </w:pPr>
    </w:p>
    <w:p w:rsidR="00173093" w:rsidRPr="00FF044C" w:rsidRDefault="00173093" w:rsidP="00C45B67">
      <w:pPr>
        <w:pStyle w:val="Heading2"/>
        <w:keepNext/>
        <w:rPr>
          <w:i/>
        </w:rPr>
      </w:pPr>
      <w:bookmarkStart w:id="22" w:name="_Toc392858198"/>
      <w:bookmarkStart w:id="23" w:name="_Toc461617175"/>
      <w:r w:rsidRPr="00FF044C">
        <w:rPr>
          <w:i/>
        </w:rPr>
        <w:t>Clinical claim</w:t>
      </w:r>
      <w:bookmarkEnd w:id="22"/>
      <w:bookmarkEnd w:id="23"/>
    </w:p>
    <w:p w:rsidR="00173093" w:rsidRPr="00FF044C" w:rsidRDefault="00173093" w:rsidP="00C45B67">
      <w:pPr>
        <w:keepNext/>
        <w:ind w:left="720" w:hanging="720"/>
        <w:rPr>
          <w:szCs w:val="22"/>
        </w:rPr>
      </w:pPr>
    </w:p>
    <w:p w:rsidR="00173093" w:rsidRPr="00FF044C" w:rsidRDefault="00173093" w:rsidP="0075545E">
      <w:pPr>
        <w:pStyle w:val="ListParagraph"/>
        <w:keepNext/>
        <w:widowControl/>
        <w:numPr>
          <w:ilvl w:val="1"/>
          <w:numId w:val="1"/>
        </w:numPr>
      </w:pPr>
      <w:r w:rsidRPr="00FF044C">
        <w:t>The submission described brentuximab vedotin as superi</w:t>
      </w:r>
      <w:r w:rsidR="00B91A1F" w:rsidRPr="00FF044C">
        <w:t>or in terms of comparative efficacy</w:t>
      </w:r>
      <w:r w:rsidRPr="00FF044C">
        <w:t xml:space="preserve"> and non-inferior in terms of comparative safety over salvage chemotherapy.</w:t>
      </w:r>
      <w:r w:rsidR="00B91A1F" w:rsidRPr="00FF044C">
        <w:t xml:space="preserve"> Key concerns with the </w:t>
      </w:r>
      <w:r w:rsidRPr="00FF044C">
        <w:t xml:space="preserve">claim </w:t>
      </w:r>
      <w:r w:rsidR="00230385" w:rsidRPr="00FF044C">
        <w:t>of</w:t>
      </w:r>
      <w:r w:rsidRPr="00FF044C">
        <w:t xml:space="preserve"> </w:t>
      </w:r>
      <w:r w:rsidR="00230385" w:rsidRPr="00FF044C">
        <w:t xml:space="preserve">superior </w:t>
      </w:r>
      <w:r w:rsidRPr="00FF044C">
        <w:t>eff</w:t>
      </w:r>
      <w:r w:rsidR="00B91A1F" w:rsidRPr="00FF044C">
        <w:t>i</w:t>
      </w:r>
      <w:r w:rsidRPr="00FF044C">
        <w:t>c</w:t>
      </w:r>
      <w:r w:rsidR="00B91A1F" w:rsidRPr="00FF044C">
        <w:t>acy</w:t>
      </w:r>
      <w:r w:rsidRPr="00FF044C">
        <w:t xml:space="preserve"> w</w:t>
      </w:r>
      <w:r w:rsidR="00B91A1F" w:rsidRPr="00FF044C">
        <w:t>ere</w:t>
      </w:r>
      <w:r w:rsidRPr="00FF044C">
        <w:t>:</w:t>
      </w:r>
    </w:p>
    <w:p w:rsidR="003C6348" w:rsidRPr="00FF044C" w:rsidRDefault="003C6348" w:rsidP="0075545E">
      <w:pPr>
        <w:pStyle w:val="ListParagraph"/>
        <w:widowControl/>
        <w:numPr>
          <w:ilvl w:val="0"/>
          <w:numId w:val="10"/>
        </w:numPr>
        <w:rPr>
          <w:szCs w:val="22"/>
        </w:rPr>
      </w:pPr>
      <w:proofErr w:type="gramStart"/>
      <w:r w:rsidRPr="00FF044C">
        <w:t>a</w:t>
      </w:r>
      <w:proofErr w:type="gramEnd"/>
      <w:r w:rsidRPr="00FF044C">
        <w:t xml:space="preserve"> naïve indirect comparison was presented using </w:t>
      </w:r>
      <w:r w:rsidRPr="00FF044C">
        <w:rPr>
          <w:szCs w:val="22"/>
        </w:rPr>
        <w:t>poor quality evidence with a high risk of bias. Further, the included studies on salvage chemotherapy had small sample sizes and limited event data reported;</w:t>
      </w:r>
      <w:r w:rsidRPr="00FF044C" w:rsidDel="005410EA">
        <w:rPr>
          <w:szCs w:val="22"/>
        </w:rPr>
        <w:t xml:space="preserve"> </w:t>
      </w:r>
    </w:p>
    <w:p w:rsidR="003C6348" w:rsidRPr="00FF044C" w:rsidRDefault="003C6348" w:rsidP="0075545E">
      <w:pPr>
        <w:pStyle w:val="ListParagraph"/>
        <w:numPr>
          <w:ilvl w:val="0"/>
          <w:numId w:val="10"/>
        </w:numPr>
      </w:pPr>
      <w:proofErr w:type="gramStart"/>
      <w:r w:rsidRPr="00FF044C">
        <w:t>there</w:t>
      </w:r>
      <w:proofErr w:type="gramEnd"/>
      <w:r w:rsidRPr="00FF044C">
        <w:t xml:space="preserve"> was high heterogeneity in patient characteristics and prognostic factors across the included studies and variation in the years in which patient data were collected. Further, data for some prognostic factors and confounders were not available particularly for the salvage chemotherapy studies</w:t>
      </w:r>
      <w:r w:rsidR="00690BD6" w:rsidRPr="00FF044C">
        <w:t>;</w:t>
      </w:r>
    </w:p>
    <w:p w:rsidR="003C6348" w:rsidRPr="00FF044C" w:rsidRDefault="003C6348" w:rsidP="0075545E">
      <w:pPr>
        <w:pStyle w:val="ListParagraph"/>
        <w:numPr>
          <w:ilvl w:val="0"/>
          <w:numId w:val="10"/>
        </w:numPr>
      </w:pPr>
      <w:proofErr w:type="gramStart"/>
      <w:r w:rsidRPr="00FF044C">
        <w:t>limited</w:t>
      </w:r>
      <w:proofErr w:type="gramEnd"/>
      <w:r w:rsidRPr="00FF044C">
        <w:t xml:space="preserve"> data</w:t>
      </w:r>
      <w:r w:rsidR="00690BD6" w:rsidRPr="00FF044C">
        <w:t xml:space="preserve"> w</w:t>
      </w:r>
      <w:r w:rsidR="00EA0A12" w:rsidRPr="00FF044C">
        <w:t>ere</w:t>
      </w:r>
      <w:r w:rsidR="00690BD6" w:rsidRPr="00FF044C">
        <w:t xml:space="preserve"> available</w:t>
      </w:r>
      <w:r w:rsidRPr="00FF044C">
        <w:t xml:space="preserve"> for overall survival and progression free survival. The majority of the data for efficacy was for the assessment of clinical response, which is important for subsequent patient management (e.g. suitability for stem cell transplant),  but the value for clinical response in patients not eligible for stem cell transplant (e.g. due to age of comorbidities) was not sufficiently established; and</w:t>
      </w:r>
    </w:p>
    <w:p w:rsidR="003C6348" w:rsidRPr="00FF044C" w:rsidRDefault="003C6348" w:rsidP="0075545E">
      <w:pPr>
        <w:pStyle w:val="ListParagraph"/>
        <w:numPr>
          <w:ilvl w:val="0"/>
          <w:numId w:val="10"/>
        </w:numPr>
      </w:pPr>
      <w:proofErr w:type="gramStart"/>
      <w:r w:rsidRPr="00FF044C">
        <w:t>the</w:t>
      </w:r>
      <w:proofErr w:type="gramEnd"/>
      <w:r w:rsidRPr="00FF044C">
        <w:t xml:space="preserve"> criteria to assess clinical response varied across studies; the assessment of response in brentuximab vedotin incorporated PET scan </w:t>
      </w:r>
      <w:r w:rsidR="002F0595" w:rsidRPr="00FF044C">
        <w:t>findings</w:t>
      </w:r>
      <w:r w:rsidRPr="00FF044C">
        <w:t xml:space="preserve"> which might result in an increase in the reported response rates compared with salvage chemotherapy studies where old imagining techniques were used.</w:t>
      </w:r>
    </w:p>
    <w:p w:rsidR="00CE0DAD" w:rsidRPr="00FF044C" w:rsidRDefault="00CE0DAD" w:rsidP="00CE0DAD">
      <w:pPr>
        <w:pStyle w:val="ListParagraph"/>
        <w:ind w:left="1080"/>
      </w:pPr>
    </w:p>
    <w:p w:rsidR="00CE0DAD" w:rsidRPr="00FF044C" w:rsidRDefault="00CE0DAD" w:rsidP="0075545E">
      <w:pPr>
        <w:pStyle w:val="ListParagraph"/>
        <w:keepNext/>
        <w:widowControl/>
        <w:numPr>
          <w:ilvl w:val="1"/>
          <w:numId w:val="1"/>
        </w:numPr>
      </w:pPr>
      <w:r w:rsidRPr="00FF044C">
        <w:lastRenderedPageBreak/>
        <w:t>The PSCR (p.2) acknowledged the low quality of the evidence presented espec</w:t>
      </w:r>
      <w:r w:rsidR="00807AC7" w:rsidRPr="00FF044C">
        <w:t xml:space="preserve">ially for salvage chemotherapy, arguing that </w:t>
      </w:r>
      <w:r w:rsidRPr="00FF044C">
        <w:t xml:space="preserve">without controlled data or a common comparator, a naïve comparison was the only possible approach. However, the PSCR </w:t>
      </w:r>
      <w:r w:rsidR="00807AC7" w:rsidRPr="00FF044C">
        <w:t>contended</w:t>
      </w:r>
      <w:r w:rsidRPr="00FF044C">
        <w:t xml:space="preserve"> that the value of achieving a better clinical response with brentuximab vedotin is improved quality of life and survival for those patients in whom ASCT is not a subsequent treatment option, citing Study0003 (Chen 2015) which showed improved overall survival with complete and partial response compared with stable disease, as evidence. </w:t>
      </w:r>
      <w:r w:rsidR="00F661DA" w:rsidRPr="00FF044C">
        <w:t>T</w:t>
      </w:r>
      <w:r w:rsidRPr="00FF044C">
        <w:t>he ESC noted that Study0003 was on brentuximab vedotin in the post-ASCT population and not ASCT naïve patients. Further, the main clinical outcome in the post-ASCT submission was overall survival</w:t>
      </w:r>
      <w:r w:rsidR="00015019">
        <w:t xml:space="preserve"> and not clinical response.</w:t>
      </w:r>
    </w:p>
    <w:p w:rsidR="0075545E" w:rsidRPr="00FF044C" w:rsidRDefault="0075545E" w:rsidP="00904EAB">
      <w:pPr>
        <w:rPr>
          <w:bCs/>
          <w:szCs w:val="22"/>
        </w:rPr>
      </w:pPr>
    </w:p>
    <w:p w:rsidR="00B91A1F" w:rsidRPr="00FF044C" w:rsidRDefault="00904EAB" w:rsidP="00B91A1F">
      <w:pPr>
        <w:widowControl/>
        <w:numPr>
          <w:ilvl w:val="1"/>
          <w:numId w:val="1"/>
        </w:numPr>
        <w:contextualSpacing/>
        <w:rPr>
          <w:szCs w:val="22"/>
        </w:rPr>
      </w:pPr>
      <w:r w:rsidRPr="00FF044C">
        <w:rPr>
          <w:bCs/>
          <w:szCs w:val="22"/>
        </w:rPr>
        <w:t xml:space="preserve">Overall, the PBAC considered that the claim of superior comparative effectiveness was reasonable, although the magnitude of benefit remained unclear from the data presented in the submission. </w:t>
      </w:r>
      <w:r w:rsidR="0075545E" w:rsidRPr="00FF044C">
        <w:rPr>
          <w:szCs w:val="22"/>
        </w:rPr>
        <w:t xml:space="preserve">The PBAC considered that the claim of </w:t>
      </w:r>
      <w:r w:rsidR="00E96626" w:rsidRPr="00FF044C">
        <w:rPr>
          <w:szCs w:val="22"/>
        </w:rPr>
        <w:t xml:space="preserve">non-inferior </w:t>
      </w:r>
      <w:r w:rsidR="0075545E" w:rsidRPr="00FF044C">
        <w:rPr>
          <w:szCs w:val="22"/>
        </w:rPr>
        <w:t>comparative safety was</w:t>
      </w:r>
      <w:r w:rsidR="00E96626" w:rsidRPr="00FF044C">
        <w:rPr>
          <w:szCs w:val="22"/>
        </w:rPr>
        <w:t xml:space="preserve"> conservative</w:t>
      </w:r>
      <w:r w:rsidR="00094391" w:rsidRPr="00FF044C">
        <w:rPr>
          <w:szCs w:val="22"/>
        </w:rPr>
        <w:t>.</w:t>
      </w:r>
      <w:r w:rsidRPr="00FF044C">
        <w:rPr>
          <w:szCs w:val="22"/>
        </w:rPr>
        <w:t xml:space="preserve"> </w:t>
      </w:r>
      <w:r w:rsidR="00B91A1F" w:rsidRPr="00FF044C">
        <w:rPr>
          <w:bCs/>
          <w:szCs w:val="22"/>
        </w:rPr>
        <w:t>The claim of non-inf</w:t>
      </w:r>
      <w:r w:rsidR="00B231E9">
        <w:rPr>
          <w:bCs/>
          <w:szCs w:val="22"/>
        </w:rPr>
        <w:t>erior comparative safety was</w:t>
      </w:r>
      <w:r w:rsidR="00B91A1F" w:rsidRPr="00FF044C">
        <w:rPr>
          <w:bCs/>
          <w:szCs w:val="22"/>
        </w:rPr>
        <w:t xml:space="preserve"> consistent with the PBAC’s previous consideration that brentuximab vedotin was less toxic than salvage chemotherapy in the post ASCT setting (paragraph 7.10, brentuximab vedotin Public Summary Document, March 2015 PBAC meeting).</w:t>
      </w:r>
    </w:p>
    <w:p w:rsidR="0075545E" w:rsidRPr="00FF044C" w:rsidRDefault="0075545E" w:rsidP="00B91A1F">
      <w:pPr>
        <w:pStyle w:val="ListParagraph"/>
        <w:widowControl/>
        <w:rPr>
          <w:bCs/>
        </w:rPr>
      </w:pPr>
    </w:p>
    <w:p w:rsidR="00173093" w:rsidRPr="00FF044C" w:rsidRDefault="00173093" w:rsidP="00173093">
      <w:pPr>
        <w:pStyle w:val="Heading2"/>
        <w:rPr>
          <w:i/>
        </w:rPr>
      </w:pPr>
      <w:bookmarkStart w:id="24" w:name="_Toc392858199"/>
      <w:bookmarkStart w:id="25" w:name="_Toc461617176"/>
      <w:r w:rsidRPr="00FF044C">
        <w:rPr>
          <w:i/>
        </w:rPr>
        <w:t>Economic analysis</w:t>
      </w:r>
      <w:bookmarkEnd w:id="24"/>
      <w:bookmarkEnd w:id="25"/>
      <w:r w:rsidRPr="00FF044C">
        <w:rPr>
          <w:i/>
        </w:rPr>
        <w:t xml:space="preserve"> </w:t>
      </w:r>
    </w:p>
    <w:p w:rsidR="00173093" w:rsidRPr="00FF044C" w:rsidRDefault="00173093" w:rsidP="00173093">
      <w:pPr>
        <w:ind w:left="720" w:hanging="720"/>
        <w:rPr>
          <w:szCs w:val="22"/>
        </w:rPr>
      </w:pPr>
    </w:p>
    <w:p w:rsidR="00173093" w:rsidRPr="00FF044C" w:rsidRDefault="00173093" w:rsidP="0075545E">
      <w:pPr>
        <w:pStyle w:val="ListParagraph"/>
        <w:widowControl/>
        <w:numPr>
          <w:ilvl w:val="1"/>
          <w:numId w:val="1"/>
        </w:numPr>
      </w:pPr>
      <w:r w:rsidRPr="00FF044C">
        <w:t xml:space="preserve">The submission presented a cost-per-responder analysis based on the naïve comparison of non-randomised studies. </w:t>
      </w:r>
      <w:r w:rsidR="003E3038" w:rsidRPr="00FF044C">
        <w:t xml:space="preserve">The ESC noted that no </w:t>
      </w:r>
      <w:r w:rsidR="00A15FBA" w:rsidRPr="00FF044C">
        <w:t xml:space="preserve">formal </w:t>
      </w:r>
      <w:r w:rsidR="003E3038" w:rsidRPr="00FF044C">
        <w:t xml:space="preserve">assessment of </w:t>
      </w:r>
      <w:r w:rsidR="00A15FBA" w:rsidRPr="00FF044C">
        <w:t xml:space="preserve">the studies and their </w:t>
      </w:r>
      <w:r w:rsidR="003E3038" w:rsidRPr="00FF044C">
        <w:t xml:space="preserve">applicability to the </w:t>
      </w:r>
      <w:r w:rsidR="00A15FBA" w:rsidRPr="00FF044C">
        <w:t>Australian</w:t>
      </w:r>
      <w:r w:rsidR="003E3038" w:rsidRPr="00FF044C">
        <w:t xml:space="preserve"> population </w:t>
      </w:r>
      <w:r w:rsidR="00015019">
        <w:t>was reported in the submission.</w:t>
      </w:r>
    </w:p>
    <w:p w:rsidR="00173093" w:rsidRPr="00FF044C" w:rsidRDefault="00173093" w:rsidP="00173093">
      <w:pPr>
        <w:pStyle w:val="ListParagraph"/>
        <w:widowControl/>
      </w:pPr>
    </w:p>
    <w:p w:rsidR="00173093" w:rsidRPr="00FF044C" w:rsidRDefault="00173093" w:rsidP="0075545E">
      <w:pPr>
        <w:pStyle w:val="ListParagraph"/>
        <w:widowControl/>
        <w:numPr>
          <w:ilvl w:val="1"/>
          <w:numId w:val="1"/>
        </w:numPr>
      </w:pPr>
      <w:r w:rsidRPr="00FF044C">
        <w:t xml:space="preserve">The </w:t>
      </w:r>
      <w:r w:rsidR="00EA0A12" w:rsidRPr="00FF044C">
        <w:t xml:space="preserve">submission </w:t>
      </w:r>
      <w:r w:rsidRPr="00FF044C">
        <w:t>estimated the incremental cost and incremental response for patients receiving brentuximab vedotin versus salvage chemotherapy using the following definitions of response:</w:t>
      </w:r>
    </w:p>
    <w:p w:rsidR="00173093" w:rsidRPr="00FF044C" w:rsidRDefault="00173093" w:rsidP="0075545E">
      <w:pPr>
        <w:pStyle w:val="ListParagraph"/>
        <w:widowControl/>
        <w:numPr>
          <w:ilvl w:val="0"/>
          <w:numId w:val="3"/>
        </w:numPr>
        <w:ind w:left="1440"/>
      </w:pPr>
      <w:r w:rsidRPr="00FF044C">
        <w:t>Overall response rate: a complete or partial response to treatment</w:t>
      </w:r>
    </w:p>
    <w:p w:rsidR="00173093" w:rsidRPr="00FF044C" w:rsidRDefault="00173093" w:rsidP="0075545E">
      <w:pPr>
        <w:pStyle w:val="ListParagraph"/>
        <w:widowControl/>
        <w:numPr>
          <w:ilvl w:val="0"/>
          <w:numId w:val="3"/>
        </w:numPr>
        <w:ind w:left="1440"/>
      </w:pPr>
      <w:r w:rsidRPr="00FF044C">
        <w:t>Complete response rate: a complete response to treatment</w:t>
      </w:r>
    </w:p>
    <w:p w:rsidR="00173093" w:rsidRPr="00FF044C" w:rsidRDefault="00173093" w:rsidP="0075545E">
      <w:pPr>
        <w:pStyle w:val="ListParagraph"/>
        <w:numPr>
          <w:ilvl w:val="0"/>
          <w:numId w:val="3"/>
        </w:numPr>
        <w:ind w:left="1440"/>
      </w:pPr>
      <w:r w:rsidRPr="00FF044C">
        <w:t xml:space="preserve">Proportion of patients progressing to stem cell transplant: </w:t>
      </w:r>
      <w:r w:rsidR="00051215" w:rsidRPr="00FF044C">
        <w:t>r</w:t>
      </w:r>
      <w:r w:rsidRPr="00FF044C">
        <w:t>eceiving an allogenic or autologous transplant</w:t>
      </w:r>
    </w:p>
    <w:p w:rsidR="00633500" w:rsidRPr="00FF044C" w:rsidRDefault="00633500" w:rsidP="00173093">
      <w:pPr>
        <w:ind w:left="720"/>
      </w:pPr>
    </w:p>
    <w:p w:rsidR="00173093" w:rsidRPr="00FF044C" w:rsidRDefault="00173093" w:rsidP="0075545E">
      <w:pPr>
        <w:pStyle w:val="ListParagraph"/>
        <w:widowControl/>
        <w:numPr>
          <w:ilvl w:val="1"/>
          <w:numId w:val="1"/>
        </w:numPr>
      </w:pPr>
      <w:r w:rsidRPr="00FF044C">
        <w:t>The submission considered that the cost-per-responder analysis was in line with the primary aim of therapy of providing a bridge to a potentially curative stem cell transplant. This approach has the following limitations:</w:t>
      </w:r>
    </w:p>
    <w:p w:rsidR="00427B9D" w:rsidRPr="00FF044C" w:rsidRDefault="00173093" w:rsidP="0075545E">
      <w:pPr>
        <w:pStyle w:val="ListParagraph"/>
        <w:widowControl/>
        <w:numPr>
          <w:ilvl w:val="0"/>
          <w:numId w:val="15"/>
        </w:numPr>
        <w:ind w:left="1560" w:hanging="426"/>
      </w:pPr>
      <w:r w:rsidRPr="00FF044C">
        <w:t xml:space="preserve">the economic evaluation based on cost-per-responder analysis </w:t>
      </w:r>
      <w:r w:rsidR="004F096F" w:rsidRPr="00FF044C">
        <w:t>is unlikely to have</w:t>
      </w:r>
      <w:r w:rsidRPr="00FF044C">
        <w:t xml:space="preserve"> capture</w:t>
      </w:r>
      <w:r w:rsidR="004F096F" w:rsidRPr="00FF044C">
        <w:t>d</w:t>
      </w:r>
      <w:r w:rsidRPr="00FF044C">
        <w:t xml:space="preserve"> </w:t>
      </w:r>
      <w:r w:rsidR="002F0595" w:rsidRPr="00FF044C">
        <w:t>all</w:t>
      </w:r>
      <w:r w:rsidRPr="00FF044C">
        <w:t xml:space="preserve"> benefits and costs of brentuximab vedotin compared with salvage chemotherapy; </w:t>
      </w:r>
      <w:r w:rsidR="0024022C" w:rsidRPr="00FF044C">
        <w:t>and</w:t>
      </w:r>
    </w:p>
    <w:p w:rsidR="00427B9D" w:rsidRPr="00FF044C" w:rsidRDefault="00173093" w:rsidP="0075545E">
      <w:pPr>
        <w:pStyle w:val="ListParagraph"/>
        <w:widowControl/>
        <w:numPr>
          <w:ilvl w:val="0"/>
          <w:numId w:val="15"/>
        </w:numPr>
        <w:ind w:left="1560" w:hanging="426"/>
      </w:pPr>
      <w:proofErr w:type="gramStart"/>
      <w:r w:rsidRPr="00FF044C">
        <w:t>not</w:t>
      </w:r>
      <w:proofErr w:type="gramEnd"/>
      <w:r w:rsidRPr="00FF044C">
        <w:t xml:space="preserve"> all patients are eligible for curative stem cell transplant due to age or comorbidities, the aim of treatment in </w:t>
      </w:r>
      <w:r w:rsidR="002F0595" w:rsidRPr="00FF044C">
        <w:t>this group</w:t>
      </w:r>
      <w:r w:rsidRPr="00FF044C">
        <w:t xml:space="preserve"> is palliative to prolong survival and improve health-related quality of life</w:t>
      </w:r>
      <w:r w:rsidR="00427B9D" w:rsidRPr="00FF044C">
        <w:t>.</w:t>
      </w:r>
    </w:p>
    <w:p w:rsidR="00FB0879" w:rsidRPr="00FF044C" w:rsidRDefault="00FB0879" w:rsidP="009238E2">
      <w:pPr>
        <w:widowControl/>
      </w:pPr>
    </w:p>
    <w:p w:rsidR="00DC24F8" w:rsidRDefault="00173093" w:rsidP="00DC24F8">
      <w:pPr>
        <w:pStyle w:val="ListParagraph"/>
        <w:widowControl/>
        <w:numPr>
          <w:ilvl w:val="1"/>
          <w:numId w:val="1"/>
        </w:numPr>
      </w:pPr>
      <w:r w:rsidRPr="00FF044C">
        <w:t>Table 9 summarises the main elements of the economic evaluation</w:t>
      </w:r>
    </w:p>
    <w:p w:rsidR="00DC24F8" w:rsidRDefault="00DC24F8">
      <w:pPr>
        <w:widowControl/>
        <w:jc w:val="left"/>
      </w:pPr>
      <w:r>
        <w:br w:type="page"/>
      </w:r>
    </w:p>
    <w:p w:rsidR="00173093" w:rsidRPr="00FF044C" w:rsidRDefault="00173093" w:rsidP="00DC24F8">
      <w:pPr>
        <w:pStyle w:val="ListParagraph"/>
        <w:widowControl/>
        <w:numPr>
          <w:ilvl w:val="1"/>
          <w:numId w:val="1"/>
        </w:numPr>
        <w:rPr>
          <w:rFonts w:ascii="Arial Narrow" w:hAnsi="Arial Narrow"/>
          <w:b/>
          <w:sz w:val="20"/>
          <w:szCs w:val="16"/>
        </w:rPr>
      </w:pPr>
      <w:r w:rsidRPr="00FF044C">
        <w:rPr>
          <w:rFonts w:ascii="Arial Narrow" w:hAnsi="Arial Narrow"/>
          <w:b/>
          <w:sz w:val="20"/>
          <w:szCs w:val="16"/>
        </w:rPr>
        <w:lastRenderedPageBreak/>
        <w:t>Table 9: Summary of the economic evaluation and rationale</w:t>
      </w:r>
      <w:r w:rsidR="00553E70" w:rsidRPr="00FF044C">
        <w:rPr>
          <w:rFonts w:ascii="Arial Narrow" w:hAnsi="Arial Narrow"/>
          <w:b/>
          <w:sz w:val="20"/>
          <w:szCs w:val="16"/>
        </w:rPr>
        <w:t xml:space="preserve"> as per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76"/>
        <w:gridCol w:w="6269"/>
      </w:tblGrid>
      <w:tr w:rsidR="00173093" w:rsidRPr="00FF044C" w:rsidTr="00E47679">
        <w:trPr>
          <w:trHeight w:val="240"/>
        </w:trPr>
        <w:tc>
          <w:tcPr>
            <w:tcW w:w="1244"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Time horizon</w:t>
            </w:r>
          </w:p>
        </w:tc>
        <w:tc>
          <w:tcPr>
            <w:tcW w:w="3756" w:type="pct"/>
            <w:shd w:val="clear" w:color="auto" w:fill="auto"/>
          </w:tcPr>
          <w:p w:rsidR="00173093" w:rsidRPr="00FF044C" w:rsidRDefault="00173093" w:rsidP="0024022C">
            <w:pPr>
              <w:keepNext/>
              <w:widowControl/>
              <w:rPr>
                <w:rFonts w:ascii="Arial Narrow" w:hAnsi="Arial Narrow"/>
                <w:i/>
                <w:sz w:val="20"/>
              </w:rPr>
            </w:pPr>
            <w:r w:rsidRPr="00FF044C">
              <w:rPr>
                <w:rFonts w:ascii="Arial Narrow" w:hAnsi="Arial Narrow"/>
                <w:sz w:val="20"/>
              </w:rPr>
              <w:t xml:space="preserve">Treatment course with </w:t>
            </w:r>
            <w:r w:rsidR="0024022C" w:rsidRPr="00FF044C">
              <w:rPr>
                <w:rFonts w:ascii="Arial Narrow" w:hAnsi="Arial Narrow"/>
                <w:sz w:val="20"/>
              </w:rPr>
              <w:t>BV</w:t>
            </w:r>
            <w:r w:rsidRPr="00FF044C">
              <w:rPr>
                <w:rFonts w:ascii="Arial Narrow" w:hAnsi="Arial Narrow"/>
                <w:sz w:val="20"/>
              </w:rPr>
              <w:t xml:space="preserve"> (4.57 cycles) or salvage chemotherapy (3.76 cycles)</w:t>
            </w:r>
          </w:p>
        </w:tc>
      </w:tr>
      <w:tr w:rsidR="00173093" w:rsidRPr="00FF044C" w:rsidTr="00E47679">
        <w:trPr>
          <w:trHeight w:val="153"/>
        </w:trPr>
        <w:tc>
          <w:tcPr>
            <w:tcW w:w="1244" w:type="pct"/>
            <w:shd w:val="clear" w:color="auto" w:fill="auto"/>
          </w:tcPr>
          <w:p w:rsidR="00173093" w:rsidRPr="00FF044C" w:rsidRDefault="00173093" w:rsidP="00E47679">
            <w:pPr>
              <w:keepNext/>
              <w:widowControl/>
              <w:tabs>
                <w:tab w:val="left" w:pos="2552"/>
              </w:tabs>
              <w:rPr>
                <w:rFonts w:ascii="Arial Narrow" w:hAnsi="Arial Narrow"/>
                <w:sz w:val="20"/>
              </w:rPr>
            </w:pPr>
            <w:r w:rsidRPr="00FF044C">
              <w:rPr>
                <w:rFonts w:ascii="Arial Narrow" w:hAnsi="Arial Narrow"/>
                <w:sz w:val="20"/>
              </w:rPr>
              <w:t>Outcomes</w:t>
            </w:r>
          </w:p>
        </w:tc>
        <w:tc>
          <w:tcPr>
            <w:tcW w:w="3756"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ORR, RR, proportion progressing to SCT</w:t>
            </w:r>
          </w:p>
        </w:tc>
      </w:tr>
      <w:tr w:rsidR="00173093" w:rsidRPr="00FF044C" w:rsidTr="00E47679">
        <w:trPr>
          <w:trHeight w:val="64"/>
        </w:trPr>
        <w:tc>
          <w:tcPr>
            <w:tcW w:w="1244"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Methods used to generate results</w:t>
            </w:r>
          </w:p>
        </w:tc>
        <w:tc>
          <w:tcPr>
            <w:tcW w:w="3756"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Pooled clinical response rates from the included studies</w:t>
            </w:r>
            <w:r w:rsidR="00BC6456" w:rsidRPr="00FF044C">
              <w:rPr>
                <w:rFonts w:ascii="Arial Narrow" w:hAnsi="Arial Narrow"/>
                <w:sz w:val="20"/>
              </w:rPr>
              <w:t xml:space="preserve"> </w:t>
            </w:r>
            <w:r w:rsidR="00BC6456" w:rsidRPr="00FF044C">
              <w:rPr>
                <w:rFonts w:ascii="Arial Narrow" w:hAnsi="Arial Narrow"/>
                <w:i/>
                <w:sz w:val="20"/>
              </w:rPr>
              <w:t>(without Study C25007)</w:t>
            </w:r>
            <w:r w:rsidRPr="00FF044C">
              <w:rPr>
                <w:rFonts w:ascii="Arial Narrow" w:hAnsi="Arial Narrow"/>
                <w:sz w:val="20"/>
              </w:rPr>
              <w:t xml:space="preserve"> compared with total treatment costs (drug, administration, monitoring and co-medications costs) </w:t>
            </w:r>
          </w:p>
        </w:tc>
      </w:tr>
      <w:tr w:rsidR="00173093" w:rsidRPr="00FF044C" w:rsidTr="00E47679">
        <w:trPr>
          <w:trHeight w:val="64"/>
        </w:trPr>
        <w:tc>
          <w:tcPr>
            <w:tcW w:w="1244"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Cycle length</w:t>
            </w:r>
          </w:p>
        </w:tc>
        <w:tc>
          <w:tcPr>
            <w:tcW w:w="3756" w:type="pct"/>
            <w:shd w:val="clear" w:color="auto" w:fill="auto"/>
          </w:tcPr>
          <w:p w:rsidR="00173093" w:rsidRPr="00FF044C" w:rsidRDefault="00173093" w:rsidP="0024022C">
            <w:pPr>
              <w:keepNext/>
              <w:widowControl/>
              <w:rPr>
                <w:rFonts w:ascii="Arial Narrow" w:hAnsi="Arial Narrow"/>
                <w:sz w:val="20"/>
              </w:rPr>
            </w:pPr>
            <w:r w:rsidRPr="00FF044C">
              <w:rPr>
                <w:rFonts w:ascii="Arial Narrow" w:hAnsi="Arial Narrow"/>
                <w:sz w:val="20"/>
              </w:rPr>
              <w:t xml:space="preserve">21 days for </w:t>
            </w:r>
            <w:r w:rsidR="0024022C" w:rsidRPr="00FF044C">
              <w:rPr>
                <w:rFonts w:ascii="Arial Narrow" w:hAnsi="Arial Narrow"/>
                <w:sz w:val="20"/>
              </w:rPr>
              <w:t>BV</w:t>
            </w:r>
            <w:r w:rsidRPr="00FF044C">
              <w:rPr>
                <w:rFonts w:ascii="Arial Narrow" w:hAnsi="Arial Narrow"/>
                <w:sz w:val="20"/>
              </w:rPr>
              <w:t xml:space="preserve"> and 28 days for salvage chemotherapy</w:t>
            </w:r>
          </w:p>
        </w:tc>
      </w:tr>
      <w:tr w:rsidR="00173093" w:rsidRPr="00FF044C" w:rsidTr="00E47679">
        <w:trPr>
          <w:trHeight w:val="240"/>
        </w:trPr>
        <w:tc>
          <w:tcPr>
            <w:tcW w:w="1244"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Discount rate</w:t>
            </w:r>
          </w:p>
        </w:tc>
        <w:tc>
          <w:tcPr>
            <w:tcW w:w="3756"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Not applied because treatment duration is less than one year</w:t>
            </w:r>
          </w:p>
        </w:tc>
      </w:tr>
      <w:tr w:rsidR="00173093" w:rsidRPr="00FF044C" w:rsidTr="00E47679">
        <w:trPr>
          <w:trHeight w:val="225"/>
        </w:trPr>
        <w:tc>
          <w:tcPr>
            <w:tcW w:w="1244"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Software package</w:t>
            </w:r>
          </w:p>
        </w:tc>
        <w:tc>
          <w:tcPr>
            <w:tcW w:w="3756" w:type="pct"/>
            <w:shd w:val="clear" w:color="auto" w:fill="auto"/>
          </w:tcPr>
          <w:p w:rsidR="00173093" w:rsidRPr="00FF044C" w:rsidRDefault="00173093" w:rsidP="00E47679">
            <w:pPr>
              <w:keepNext/>
              <w:widowControl/>
              <w:rPr>
                <w:rFonts w:ascii="Arial Narrow" w:hAnsi="Arial Narrow"/>
                <w:sz w:val="20"/>
              </w:rPr>
            </w:pPr>
            <w:r w:rsidRPr="00FF044C">
              <w:rPr>
                <w:rFonts w:ascii="Arial Narrow" w:hAnsi="Arial Narrow"/>
                <w:sz w:val="20"/>
              </w:rPr>
              <w:t>Excel 2010</w:t>
            </w:r>
          </w:p>
        </w:tc>
      </w:tr>
    </w:tbl>
    <w:p w:rsidR="00173093" w:rsidRPr="00FF044C" w:rsidRDefault="00173093" w:rsidP="00173093">
      <w:pPr>
        <w:widowControl/>
        <w:ind w:left="720"/>
        <w:rPr>
          <w:rFonts w:ascii="Arial Narrow" w:hAnsi="Arial Narrow"/>
          <w:sz w:val="18"/>
        </w:rPr>
      </w:pPr>
      <w:r w:rsidRPr="00FF044C">
        <w:rPr>
          <w:rFonts w:ascii="Arial Narrow" w:hAnsi="Arial Narrow"/>
          <w:sz w:val="18"/>
        </w:rPr>
        <w:t>Source: constructed during the evaluation</w:t>
      </w:r>
    </w:p>
    <w:p w:rsidR="00173093" w:rsidRPr="00FF044C" w:rsidRDefault="0024022C" w:rsidP="00173093">
      <w:pPr>
        <w:tabs>
          <w:tab w:val="left" w:pos="6874"/>
        </w:tabs>
        <w:ind w:left="720"/>
        <w:rPr>
          <w:rFonts w:ascii="Arial Narrow" w:hAnsi="Arial Narrow"/>
          <w:sz w:val="18"/>
          <w:szCs w:val="24"/>
        </w:rPr>
      </w:pPr>
      <w:r w:rsidRPr="00FF044C">
        <w:rPr>
          <w:rFonts w:ascii="Arial Narrow" w:hAnsi="Arial Narrow"/>
          <w:sz w:val="18"/>
          <w:szCs w:val="24"/>
        </w:rPr>
        <w:t xml:space="preserve">BV = brentuximab vedotin; </w:t>
      </w:r>
      <w:r w:rsidR="00173093" w:rsidRPr="00FF044C">
        <w:rPr>
          <w:rFonts w:ascii="Arial Narrow" w:hAnsi="Arial Narrow"/>
          <w:sz w:val="18"/>
          <w:szCs w:val="24"/>
        </w:rPr>
        <w:t>ORR = overall response rate; RR = response r</w:t>
      </w:r>
      <w:r w:rsidR="00015019">
        <w:rPr>
          <w:rFonts w:ascii="Arial Narrow" w:hAnsi="Arial Narrow"/>
          <w:sz w:val="18"/>
          <w:szCs w:val="24"/>
        </w:rPr>
        <w:t>ate; SCT = stem cell transplant</w:t>
      </w:r>
    </w:p>
    <w:p w:rsidR="00173093" w:rsidRPr="00FF044C" w:rsidRDefault="00173093" w:rsidP="00173093">
      <w:pPr>
        <w:tabs>
          <w:tab w:val="left" w:pos="6874"/>
        </w:tabs>
        <w:rPr>
          <w:rFonts w:ascii="Arial Narrow" w:hAnsi="Arial Narrow"/>
          <w:sz w:val="18"/>
          <w:szCs w:val="24"/>
        </w:rPr>
      </w:pPr>
    </w:p>
    <w:p w:rsidR="00173093" w:rsidRPr="00FF044C" w:rsidRDefault="00173093" w:rsidP="0075545E">
      <w:pPr>
        <w:pStyle w:val="ListParagraph"/>
        <w:widowControl/>
        <w:numPr>
          <w:ilvl w:val="1"/>
          <w:numId w:val="1"/>
        </w:numPr>
        <w:rPr>
          <w:szCs w:val="22"/>
        </w:rPr>
      </w:pPr>
      <w:r w:rsidRPr="00FF044C">
        <w:t>Table 10 presents the key driv</w:t>
      </w:r>
      <w:r w:rsidR="00015019">
        <w:t>ers of the economic evaluation.</w:t>
      </w:r>
    </w:p>
    <w:p w:rsidR="001B4645" w:rsidRPr="00FF044C" w:rsidRDefault="001B4645" w:rsidP="001B4645">
      <w:pPr>
        <w:pStyle w:val="ListParagraph"/>
        <w:widowControl/>
        <w:rPr>
          <w:szCs w:val="22"/>
        </w:rPr>
      </w:pPr>
    </w:p>
    <w:p w:rsidR="00173093" w:rsidRPr="00FF044C" w:rsidRDefault="00173093" w:rsidP="00173093">
      <w:pPr>
        <w:keepNext/>
        <w:widowControl/>
        <w:ind w:firstLine="720"/>
        <w:rPr>
          <w:rFonts w:ascii="Arial Narrow" w:hAnsi="Arial Narrow"/>
          <w:b/>
          <w:sz w:val="20"/>
          <w:szCs w:val="16"/>
        </w:rPr>
      </w:pPr>
      <w:r w:rsidRPr="00FF044C">
        <w:rPr>
          <w:rFonts w:ascii="Arial Narrow" w:hAnsi="Arial Narrow"/>
          <w:b/>
          <w:sz w:val="20"/>
          <w:szCs w:val="16"/>
        </w:rPr>
        <w:t xml:space="preserve">Table </w:t>
      </w:r>
      <w:r w:rsidR="00A93CD6" w:rsidRPr="00FF044C">
        <w:rPr>
          <w:rFonts w:ascii="Arial Narrow" w:hAnsi="Arial Narrow"/>
          <w:b/>
          <w:sz w:val="20"/>
          <w:szCs w:val="16"/>
        </w:rPr>
        <w:t>10</w:t>
      </w:r>
      <w:r w:rsidRPr="00FF044C">
        <w:rPr>
          <w:rFonts w:ascii="Arial Narrow" w:hAnsi="Arial Narrow"/>
          <w:b/>
          <w:sz w:val="20"/>
          <w:szCs w:val="16"/>
        </w:rPr>
        <w:t>: Key drivers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5670"/>
        <w:gridCol w:w="1399"/>
      </w:tblGrid>
      <w:tr w:rsidR="00173093" w:rsidRPr="00FF044C" w:rsidTr="001B4645">
        <w:trPr>
          <w:tblHeader/>
        </w:trPr>
        <w:tc>
          <w:tcPr>
            <w:tcW w:w="765" w:type="pct"/>
            <w:shd w:val="clear" w:color="auto" w:fill="auto"/>
            <w:vAlign w:val="center"/>
          </w:tcPr>
          <w:p w:rsidR="00173093" w:rsidRPr="00FF044C" w:rsidRDefault="00173093" w:rsidP="00E47679">
            <w:pPr>
              <w:keepNext/>
              <w:widowControl/>
              <w:jc w:val="left"/>
              <w:rPr>
                <w:rFonts w:ascii="Arial Narrow" w:hAnsi="Arial Narrow"/>
                <w:b/>
                <w:sz w:val="20"/>
              </w:rPr>
            </w:pPr>
            <w:r w:rsidRPr="00FF044C">
              <w:rPr>
                <w:rFonts w:ascii="Arial Narrow" w:hAnsi="Arial Narrow"/>
                <w:b/>
                <w:sz w:val="20"/>
              </w:rPr>
              <w:t>Description</w:t>
            </w:r>
          </w:p>
        </w:tc>
        <w:tc>
          <w:tcPr>
            <w:tcW w:w="3397" w:type="pct"/>
            <w:shd w:val="clear" w:color="auto" w:fill="auto"/>
            <w:vAlign w:val="center"/>
          </w:tcPr>
          <w:p w:rsidR="00173093" w:rsidRPr="00FF044C" w:rsidRDefault="00173093" w:rsidP="00E47679">
            <w:pPr>
              <w:keepNext/>
              <w:widowControl/>
              <w:jc w:val="center"/>
              <w:rPr>
                <w:rFonts w:ascii="Arial Narrow" w:hAnsi="Arial Narrow"/>
                <w:b/>
                <w:sz w:val="20"/>
              </w:rPr>
            </w:pPr>
            <w:r w:rsidRPr="00FF044C">
              <w:rPr>
                <w:rFonts w:ascii="Arial Narrow" w:hAnsi="Arial Narrow"/>
                <w:b/>
                <w:sz w:val="20"/>
              </w:rPr>
              <w:t>Method/Value</w:t>
            </w:r>
          </w:p>
        </w:tc>
        <w:tc>
          <w:tcPr>
            <w:tcW w:w="838" w:type="pct"/>
            <w:shd w:val="clear" w:color="auto" w:fill="auto"/>
            <w:vAlign w:val="center"/>
          </w:tcPr>
          <w:p w:rsidR="00173093" w:rsidRPr="00FF044C" w:rsidRDefault="00173093" w:rsidP="00E47679">
            <w:pPr>
              <w:keepNext/>
              <w:widowControl/>
              <w:jc w:val="center"/>
              <w:rPr>
                <w:rFonts w:ascii="Arial Narrow" w:hAnsi="Arial Narrow"/>
                <w:b/>
                <w:sz w:val="20"/>
              </w:rPr>
            </w:pPr>
            <w:r w:rsidRPr="00FF044C">
              <w:rPr>
                <w:rFonts w:ascii="Arial Narrow" w:hAnsi="Arial Narrow"/>
                <w:b/>
                <w:sz w:val="20"/>
              </w:rPr>
              <w:t>Impact</w:t>
            </w:r>
          </w:p>
        </w:tc>
      </w:tr>
      <w:tr w:rsidR="00173093" w:rsidRPr="00FF044C" w:rsidTr="001B4645">
        <w:tc>
          <w:tcPr>
            <w:tcW w:w="765" w:type="pct"/>
            <w:shd w:val="clear" w:color="auto" w:fill="auto"/>
          </w:tcPr>
          <w:p w:rsidR="00173093" w:rsidRPr="00FF044C" w:rsidRDefault="00173093" w:rsidP="00E47679">
            <w:pPr>
              <w:keepNext/>
              <w:widowControl/>
              <w:jc w:val="left"/>
              <w:rPr>
                <w:rFonts w:ascii="Arial Narrow" w:hAnsi="Arial Narrow"/>
                <w:sz w:val="20"/>
              </w:rPr>
            </w:pPr>
            <w:r w:rsidRPr="00FF044C">
              <w:rPr>
                <w:rFonts w:ascii="Arial Narrow" w:hAnsi="Arial Narrow"/>
                <w:sz w:val="20"/>
              </w:rPr>
              <w:t>Response rate to brentuximab vedotin and salvage chemotherapy</w:t>
            </w:r>
          </w:p>
        </w:tc>
        <w:tc>
          <w:tcPr>
            <w:tcW w:w="3397" w:type="pct"/>
            <w:shd w:val="clear" w:color="auto" w:fill="auto"/>
          </w:tcPr>
          <w:p w:rsidR="00173093" w:rsidRPr="00FF044C" w:rsidRDefault="00173093" w:rsidP="00E47679">
            <w:pPr>
              <w:keepNext/>
              <w:widowControl/>
              <w:jc w:val="left"/>
              <w:rPr>
                <w:rFonts w:ascii="Arial Narrow" w:hAnsi="Arial Narrow"/>
                <w:sz w:val="20"/>
              </w:rPr>
            </w:pPr>
            <w:r w:rsidRPr="00FF044C">
              <w:rPr>
                <w:rFonts w:ascii="Arial Narrow" w:hAnsi="Arial Narrow"/>
                <w:sz w:val="20"/>
              </w:rPr>
              <w:t>Pooled response rates from the included studies were used in the naïve comparison. The response rates for salvage chemotherapy appeared to be underestimated due to:</w:t>
            </w:r>
          </w:p>
          <w:p w:rsidR="00173093" w:rsidRPr="00FF044C" w:rsidRDefault="00173093" w:rsidP="0075545E">
            <w:pPr>
              <w:pStyle w:val="ListParagraph"/>
              <w:keepNext/>
              <w:widowControl/>
              <w:numPr>
                <w:ilvl w:val="0"/>
                <w:numId w:val="4"/>
              </w:numPr>
              <w:ind w:left="256" w:hanging="142"/>
              <w:jc w:val="left"/>
              <w:rPr>
                <w:rFonts w:ascii="Arial Narrow" w:hAnsi="Arial Narrow"/>
                <w:sz w:val="20"/>
              </w:rPr>
            </w:pPr>
            <w:proofErr w:type="gramStart"/>
            <w:r w:rsidRPr="00FF044C">
              <w:rPr>
                <w:rFonts w:ascii="Arial Narrow" w:hAnsi="Arial Narrow"/>
                <w:sz w:val="20"/>
              </w:rPr>
              <w:t>the</w:t>
            </w:r>
            <w:proofErr w:type="gramEnd"/>
            <w:r w:rsidRPr="00FF044C">
              <w:rPr>
                <w:rFonts w:ascii="Arial Narrow" w:hAnsi="Arial Narrow"/>
                <w:sz w:val="20"/>
              </w:rPr>
              <w:t xml:space="preserve"> majority of salvage chemotherapy studies included gemcitabine single agent which might be less effective than chemotherapy combination.</w:t>
            </w:r>
          </w:p>
          <w:p w:rsidR="00173093" w:rsidRPr="00FF044C" w:rsidRDefault="00173093" w:rsidP="0075545E">
            <w:pPr>
              <w:pStyle w:val="ListParagraph"/>
              <w:keepNext/>
              <w:widowControl/>
              <w:numPr>
                <w:ilvl w:val="0"/>
                <w:numId w:val="4"/>
              </w:numPr>
              <w:ind w:left="256" w:hanging="142"/>
              <w:jc w:val="left"/>
              <w:rPr>
                <w:rFonts w:ascii="Arial Narrow" w:hAnsi="Arial Narrow"/>
                <w:sz w:val="20"/>
              </w:rPr>
            </w:pPr>
            <w:proofErr w:type="gramStart"/>
            <w:r w:rsidRPr="00FF044C">
              <w:rPr>
                <w:rFonts w:ascii="Arial Narrow" w:hAnsi="Arial Narrow"/>
                <w:sz w:val="20"/>
              </w:rPr>
              <w:t>clinical</w:t>
            </w:r>
            <w:proofErr w:type="gramEnd"/>
            <w:r w:rsidRPr="00FF044C">
              <w:rPr>
                <w:rFonts w:ascii="Arial Narrow" w:hAnsi="Arial Narrow"/>
                <w:sz w:val="20"/>
              </w:rPr>
              <w:t xml:space="preserve"> response was assessed using old criteria that did not incorporate PET scans; PET scans are more sensitive in detecting response than the old imaging methods used in salvage chemotherapy studies</w:t>
            </w:r>
            <w:r w:rsidR="002F0595" w:rsidRPr="00FF044C">
              <w:rPr>
                <w:rFonts w:ascii="Arial Narrow" w:hAnsi="Arial Narrow"/>
                <w:sz w:val="20"/>
              </w:rPr>
              <w:t>.</w:t>
            </w:r>
          </w:p>
        </w:tc>
        <w:tc>
          <w:tcPr>
            <w:tcW w:w="838" w:type="pct"/>
            <w:shd w:val="clear" w:color="auto" w:fill="auto"/>
          </w:tcPr>
          <w:p w:rsidR="00173093" w:rsidRPr="00FF044C" w:rsidRDefault="00173093" w:rsidP="002F0595">
            <w:pPr>
              <w:keepNext/>
              <w:widowControl/>
              <w:jc w:val="left"/>
              <w:rPr>
                <w:rFonts w:ascii="Arial Narrow" w:hAnsi="Arial Narrow"/>
                <w:sz w:val="20"/>
              </w:rPr>
            </w:pPr>
            <w:r w:rsidRPr="00FF044C">
              <w:rPr>
                <w:rFonts w:ascii="Arial Narrow" w:hAnsi="Arial Narrow"/>
                <w:sz w:val="20"/>
              </w:rPr>
              <w:t>High, favoured brentuximab vedotin</w:t>
            </w:r>
          </w:p>
        </w:tc>
      </w:tr>
      <w:tr w:rsidR="00173093" w:rsidRPr="00FF044C" w:rsidTr="001B4645">
        <w:tc>
          <w:tcPr>
            <w:tcW w:w="765" w:type="pct"/>
            <w:shd w:val="clear" w:color="auto" w:fill="auto"/>
          </w:tcPr>
          <w:p w:rsidR="00173093" w:rsidRPr="00FF044C" w:rsidRDefault="00173093" w:rsidP="00E47679">
            <w:pPr>
              <w:keepNext/>
              <w:widowControl/>
              <w:jc w:val="left"/>
              <w:rPr>
                <w:rFonts w:ascii="Arial Narrow" w:hAnsi="Arial Narrow"/>
                <w:sz w:val="20"/>
              </w:rPr>
            </w:pPr>
            <w:r w:rsidRPr="00FF044C">
              <w:rPr>
                <w:rFonts w:ascii="Arial Narrow" w:hAnsi="Arial Narrow"/>
                <w:sz w:val="20"/>
              </w:rPr>
              <w:t xml:space="preserve">Number of cycles of brentuximab vedotin course </w:t>
            </w:r>
          </w:p>
        </w:tc>
        <w:tc>
          <w:tcPr>
            <w:tcW w:w="3397" w:type="pct"/>
            <w:shd w:val="clear" w:color="auto" w:fill="auto"/>
          </w:tcPr>
          <w:p w:rsidR="00051215" w:rsidRPr="00FF044C" w:rsidRDefault="00051215" w:rsidP="009D77D6">
            <w:pPr>
              <w:keepNext/>
              <w:widowControl/>
              <w:jc w:val="left"/>
              <w:rPr>
                <w:rFonts w:ascii="Arial Narrow" w:hAnsi="Arial Narrow"/>
                <w:sz w:val="20"/>
              </w:rPr>
            </w:pPr>
            <w:r w:rsidRPr="00FF044C">
              <w:rPr>
                <w:rFonts w:ascii="Arial Narrow" w:hAnsi="Arial Narrow"/>
                <w:sz w:val="20"/>
              </w:rPr>
              <w:t>The submission calculated</w:t>
            </w:r>
            <w:r w:rsidR="00173093" w:rsidRPr="00FF044C">
              <w:rPr>
                <w:rFonts w:ascii="Arial Narrow" w:hAnsi="Arial Narrow"/>
                <w:sz w:val="20"/>
              </w:rPr>
              <w:t xml:space="preserve"> 4.57 cycles per course based on the number of treatment cycles of brentuximab vedotin in </w:t>
            </w:r>
            <w:r w:rsidRPr="00FF044C">
              <w:rPr>
                <w:rFonts w:ascii="Arial Narrow" w:hAnsi="Arial Narrow"/>
                <w:sz w:val="20"/>
              </w:rPr>
              <w:t xml:space="preserve">the clinical studies with patients of median age &lt;60 years (i.e. excluding Bröckelmann 2016). </w:t>
            </w:r>
            <w:r w:rsidR="00173093" w:rsidRPr="00FF044C">
              <w:rPr>
                <w:rFonts w:ascii="Arial Narrow" w:hAnsi="Arial Narrow"/>
                <w:sz w:val="20"/>
              </w:rPr>
              <w:t xml:space="preserve">This underestimated the number of cycles for brentuximab vedotin as when </w:t>
            </w:r>
            <w:r w:rsidR="006C2CF1" w:rsidRPr="00FF044C">
              <w:rPr>
                <w:rFonts w:ascii="Arial Narrow" w:hAnsi="Arial Narrow"/>
                <w:sz w:val="20"/>
              </w:rPr>
              <w:t>Bröckelmann</w:t>
            </w:r>
            <w:r w:rsidR="00173093" w:rsidRPr="00FF044C">
              <w:rPr>
                <w:rFonts w:ascii="Arial Narrow" w:hAnsi="Arial Narrow"/>
                <w:sz w:val="20"/>
              </w:rPr>
              <w:t xml:space="preserve"> 2016 was included the number of </w:t>
            </w:r>
            <w:r w:rsidRPr="00FF044C">
              <w:rPr>
                <w:rFonts w:ascii="Arial Narrow" w:hAnsi="Arial Narrow"/>
                <w:sz w:val="20"/>
              </w:rPr>
              <w:t xml:space="preserve">overall treatment </w:t>
            </w:r>
            <w:r w:rsidR="00173093" w:rsidRPr="00FF044C">
              <w:rPr>
                <w:rFonts w:ascii="Arial Narrow" w:hAnsi="Arial Narrow"/>
                <w:sz w:val="20"/>
              </w:rPr>
              <w:t>cycles per course became 6.</w:t>
            </w:r>
            <w:r w:rsidRPr="00FF044C">
              <w:rPr>
                <w:rFonts w:ascii="Arial Narrow" w:hAnsi="Arial Narrow"/>
                <w:sz w:val="20"/>
              </w:rPr>
              <w:t xml:space="preserve">64. Further, including both Bröckelmann 2016 and Study C25007 would result in an overall </w:t>
            </w:r>
            <w:r w:rsidR="009D77D6" w:rsidRPr="00FF044C">
              <w:rPr>
                <w:rFonts w:ascii="Arial Narrow" w:hAnsi="Arial Narrow"/>
                <w:sz w:val="20"/>
              </w:rPr>
              <w:t>6.81</w:t>
            </w:r>
            <w:r w:rsidRPr="00FF044C">
              <w:rPr>
                <w:rFonts w:ascii="Arial Narrow" w:hAnsi="Arial Narrow"/>
                <w:sz w:val="20"/>
              </w:rPr>
              <w:t xml:space="preserve"> cycles per course.</w:t>
            </w:r>
          </w:p>
        </w:tc>
        <w:tc>
          <w:tcPr>
            <w:tcW w:w="838" w:type="pct"/>
            <w:shd w:val="clear" w:color="auto" w:fill="auto"/>
          </w:tcPr>
          <w:p w:rsidR="00173093" w:rsidRPr="00FF044C" w:rsidRDefault="00173093" w:rsidP="00E47679">
            <w:pPr>
              <w:keepNext/>
              <w:widowControl/>
              <w:jc w:val="left"/>
              <w:rPr>
                <w:rFonts w:ascii="Arial Narrow" w:hAnsi="Arial Narrow"/>
                <w:sz w:val="20"/>
              </w:rPr>
            </w:pPr>
            <w:r w:rsidRPr="00FF044C">
              <w:rPr>
                <w:rFonts w:ascii="Arial Narrow" w:hAnsi="Arial Narrow"/>
                <w:sz w:val="20"/>
              </w:rPr>
              <w:t>High, favoured brentuximab vedotin</w:t>
            </w:r>
          </w:p>
        </w:tc>
      </w:tr>
    </w:tbl>
    <w:p w:rsidR="00173093" w:rsidRPr="00FF044C" w:rsidRDefault="00173093" w:rsidP="00173093">
      <w:pPr>
        <w:keepNext/>
        <w:widowControl/>
        <w:ind w:firstLine="720"/>
        <w:rPr>
          <w:rFonts w:ascii="Arial Narrow" w:hAnsi="Arial Narrow"/>
          <w:sz w:val="18"/>
        </w:rPr>
      </w:pPr>
      <w:r w:rsidRPr="00FF044C">
        <w:rPr>
          <w:rFonts w:ascii="Arial Narrow" w:hAnsi="Arial Narrow"/>
          <w:sz w:val="18"/>
        </w:rPr>
        <w:t>Source: compiled during the evaluation</w:t>
      </w:r>
    </w:p>
    <w:p w:rsidR="00173093" w:rsidRPr="00FF044C" w:rsidRDefault="00173093" w:rsidP="00173093">
      <w:pPr>
        <w:widowControl/>
        <w:ind w:firstLine="720"/>
        <w:rPr>
          <w:rFonts w:ascii="Arial Narrow" w:hAnsi="Arial Narrow"/>
          <w:sz w:val="18"/>
          <w:szCs w:val="24"/>
        </w:rPr>
      </w:pPr>
      <w:r w:rsidRPr="00FF044C">
        <w:rPr>
          <w:rFonts w:ascii="Arial Narrow" w:hAnsi="Arial Narrow"/>
          <w:sz w:val="18"/>
          <w:szCs w:val="24"/>
        </w:rPr>
        <w:t>PET = positron emission tomography</w:t>
      </w:r>
    </w:p>
    <w:p w:rsidR="00173093" w:rsidRPr="00FF044C" w:rsidRDefault="00173093" w:rsidP="00173093">
      <w:pPr>
        <w:widowControl/>
        <w:ind w:firstLine="720"/>
        <w:rPr>
          <w:szCs w:val="22"/>
        </w:rPr>
      </w:pPr>
    </w:p>
    <w:p w:rsidR="00697F34" w:rsidRPr="00FF044C" w:rsidRDefault="00697F34" w:rsidP="0075545E">
      <w:pPr>
        <w:pStyle w:val="ListParagraph"/>
        <w:widowControl/>
        <w:numPr>
          <w:ilvl w:val="1"/>
          <w:numId w:val="1"/>
        </w:numPr>
        <w:rPr>
          <w:lang w:bidi="en-US"/>
        </w:rPr>
      </w:pPr>
      <w:r w:rsidRPr="00FF044C">
        <w:t>The PSCR</w:t>
      </w:r>
      <w:r w:rsidR="009E7903" w:rsidRPr="00FF044C">
        <w:t xml:space="preserve"> (p.3)</w:t>
      </w:r>
      <w:r w:rsidRPr="00FF044C">
        <w:t xml:space="preserve"> </w:t>
      </w:r>
      <w:r w:rsidR="009E7903" w:rsidRPr="00FF044C">
        <w:t>acknowledged that</w:t>
      </w:r>
      <w:r w:rsidRPr="00FF044C">
        <w:t xml:space="preserve"> it would have been more appropriate to consider the overall treatment cycles (i.e. before and beyond response assessment) of brentuximab vedotin in the economic evaluation. The PSCR updated the overall number of brentuximab vedotin cycles (including study C25007</w:t>
      </w:r>
      <w:r w:rsidR="004510E1" w:rsidRPr="00FF044C">
        <w:t xml:space="preserve"> and Bröckelmann 2016</w:t>
      </w:r>
      <w:r w:rsidRPr="00FF044C">
        <w:t>) to be 6.81 cycles</w:t>
      </w:r>
      <w:r w:rsidR="00F7154E" w:rsidRPr="00FF044C">
        <w:t xml:space="preserve"> in the calculations of cost per responder</w:t>
      </w:r>
      <w:r w:rsidR="009E7903" w:rsidRPr="00FF044C">
        <w:t>.</w:t>
      </w:r>
      <w:r w:rsidRPr="00FF044C">
        <w:t xml:space="preserve"> </w:t>
      </w:r>
      <w:r w:rsidR="00F7154E" w:rsidRPr="00FF044C">
        <w:t>However, f</w:t>
      </w:r>
      <w:r w:rsidRPr="00FF044C">
        <w:t xml:space="preserve">or the cost-per patient proceeding to ASCT, the PSCR argued that in the estimation of the number of brentuximab vedotin cycles, </w:t>
      </w:r>
      <w:r w:rsidR="009E7903" w:rsidRPr="00FF044C">
        <w:t>Bröckelmann</w:t>
      </w:r>
      <w:r w:rsidRPr="00FF044C">
        <w:t xml:space="preserve"> 2016 should be excluded as 73.5% and 56.6% of patients in that study were not eligible for ASCT due to co-morbidities or advanced age, respectively. Thus, the number of cycles without </w:t>
      </w:r>
      <w:r w:rsidR="009E7903" w:rsidRPr="00FF044C">
        <w:t>Bröckelmann</w:t>
      </w:r>
      <w:r w:rsidRPr="00FF044C">
        <w:t xml:space="preserve"> 2016 would be 5.93. </w:t>
      </w:r>
      <w:r w:rsidR="009E7903" w:rsidRPr="00FF044C">
        <w:t>The ESC considered that this was reasonable.</w:t>
      </w:r>
    </w:p>
    <w:p w:rsidR="00697F34" w:rsidRPr="00FF044C" w:rsidRDefault="00697F34" w:rsidP="00697F34">
      <w:pPr>
        <w:pStyle w:val="ListParagraph"/>
        <w:widowControl/>
        <w:rPr>
          <w:lang w:bidi="en-US"/>
        </w:rPr>
      </w:pPr>
    </w:p>
    <w:p w:rsidR="00DC24F8" w:rsidRDefault="0023175D" w:rsidP="00DC24F8">
      <w:pPr>
        <w:pStyle w:val="ListParagraph"/>
        <w:widowControl/>
        <w:numPr>
          <w:ilvl w:val="1"/>
          <w:numId w:val="1"/>
        </w:numPr>
        <w:rPr>
          <w:lang w:bidi="en-US"/>
        </w:rPr>
      </w:pPr>
      <w:r w:rsidRPr="00FF044C">
        <w:rPr>
          <w:lang w:bidi="en-US"/>
        </w:rPr>
        <w:t>The PSCR presented a revised economic evaluation using an updated response rates and number of overall treatment cycles after including study C25007. Table 11 summarises the revised economic evaluation presented in the PSCR.</w:t>
      </w:r>
    </w:p>
    <w:p w:rsidR="00DC24F8" w:rsidRDefault="00DC24F8">
      <w:pPr>
        <w:widowControl/>
        <w:jc w:val="left"/>
        <w:rPr>
          <w:lang w:bidi="en-US"/>
        </w:rPr>
      </w:pPr>
      <w:r>
        <w:rPr>
          <w:lang w:bidi="en-US"/>
        </w:rPr>
        <w:br w:type="page"/>
      </w:r>
    </w:p>
    <w:p w:rsidR="00173093" w:rsidRPr="00FF044C" w:rsidRDefault="00DC24F8" w:rsidP="00DC24F8">
      <w:pPr>
        <w:pStyle w:val="ListParagraph"/>
        <w:widowControl/>
        <w:numPr>
          <w:ilvl w:val="1"/>
          <w:numId w:val="1"/>
        </w:numPr>
        <w:rPr>
          <w:b/>
          <w:sz w:val="20"/>
        </w:rPr>
      </w:pPr>
      <w:r w:rsidRPr="00FF044C">
        <w:rPr>
          <w:rStyle w:val="CommentReference"/>
        </w:rPr>
        <w:lastRenderedPageBreak/>
        <w:t xml:space="preserve"> </w:t>
      </w:r>
      <w:r w:rsidR="00173093" w:rsidRPr="00FF044C">
        <w:rPr>
          <w:rStyle w:val="CommentReference"/>
        </w:rPr>
        <w:t xml:space="preserve">Table 11: </w:t>
      </w:r>
      <w:r w:rsidR="003353C5" w:rsidRPr="00FF044C">
        <w:rPr>
          <w:rStyle w:val="CommentReference"/>
        </w:rPr>
        <w:t>Results of the revised economic evaluation in the PSCR compared with the results in the submission</w:t>
      </w:r>
    </w:p>
    <w:tbl>
      <w:tblPr>
        <w:tblW w:w="455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993"/>
        <w:gridCol w:w="988"/>
        <w:gridCol w:w="1139"/>
        <w:gridCol w:w="1021"/>
        <w:gridCol w:w="1225"/>
        <w:gridCol w:w="1215"/>
      </w:tblGrid>
      <w:tr w:rsidR="003353C5" w:rsidRPr="00FF044C" w:rsidTr="00746164">
        <w:tc>
          <w:tcPr>
            <w:tcW w:w="1095" w:type="pct"/>
            <w:shd w:val="clear" w:color="auto" w:fill="auto"/>
            <w:noWrap/>
            <w:vAlign w:val="center"/>
          </w:tcPr>
          <w:p w:rsidR="003353C5" w:rsidRPr="00FF044C" w:rsidRDefault="003353C5" w:rsidP="00E80311">
            <w:pPr>
              <w:pStyle w:val="Tabletext"/>
              <w:rPr>
                <w:rStyle w:val="TableText1"/>
                <w:rFonts w:cs="Arial"/>
                <w:b/>
              </w:rPr>
            </w:pPr>
          </w:p>
        </w:tc>
        <w:tc>
          <w:tcPr>
            <w:tcW w:w="1850" w:type="pct"/>
            <w:gridSpan w:val="3"/>
            <w:shd w:val="clear" w:color="auto" w:fill="auto"/>
            <w:noWrap/>
            <w:vAlign w:val="center"/>
          </w:tcPr>
          <w:p w:rsidR="003353C5" w:rsidRPr="00FF044C" w:rsidRDefault="003353C5" w:rsidP="00D75430">
            <w:pPr>
              <w:pStyle w:val="Tabletext"/>
              <w:jc w:val="center"/>
              <w:rPr>
                <w:rStyle w:val="TableText1"/>
                <w:rFonts w:cs="Arial"/>
                <w:b/>
              </w:rPr>
            </w:pPr>
            <w:r w:rsidRPr="00FF044C">
              <w:rPr>
                <w:rStyle w:val="TableText1"/>
                <w:rFonts w:cs="Arial"/>
                <w:b/>
              </w:rPr>
              <w:t xml:space="preserve">Analysis in the </w:t>
            </w:r>
            <w:r w:rsidR="00D75430" w:rsidRPr="00FF044C">
              <w:rPr>
                <w:rStyle w:val="TableText1"/>
                <w:rFonts w:cs="Arial"/>
                <w:b/>
              </w:rPr>
              <w:t>submission</w:t>
            </w:r>
          </w:p>
        </w:tc>
        <w:tc>
          <w:tcPr>
            <w:tcW w:w="2054" w:type="pct"/>
            <w:gridSpan w:val="3"/>
            <w:vAlign w:val="center"/>
          </w:tcPr>
          <w:p w:rsidR="003353C5" w:rsidRPr="00FF044C" w:rsidRDefault="003353C5" w:rsidP="00E80311">
            <w:pPr>
              <w:pStyle w:val="Tabletext"/>
              <w:jc w:val="center"/>
              <w:rPr>
                <w:rStyle w:val="TableText1"/>
                <w:rFonts w:cs="Arial"/>
                <w:b/>
              </w:rPr>
            </w:pPr>
            <w:r w:rsidRPr="00FF044C">
              <w:rPr>
                <w:rStyle w:val="TableText1"/>
                <w:rFonts w:cs="Arial"/>
                <w:b/>
              </w:rPr>
              <w:t>Revised analysis in PSCR</w:t>
            </w:r>
            <w:r w:rsidR="00553E70" w:rsidRPr="00FF044C">
              <w:rPr>
                <w:rStyle w:val="TableText1"/>
                <w:rFonts w:cs="Arial"/>
                <w:b/>
              </w:rPr>
              <w:t xml:space="preserve"> </w:t>
            </w:r>
          </w:p>
        </w:tc>
      </w:tr>
      <w:tr w:rsidR="003353C5" w:rsidRPr="00FF044C" w:rsidTr="00746164">
        <w:tc>
          <w:tcPr>
            <w:tcW w:w="1095" w:type="pct"/>
            <w:shd w:val="clear" w:color="auto" w:fill="auto"/>
            <w:noWrap/>
            <w:vAlign w:val="center"/>
            <w:hideMark/>
          </w:tcPr>
          <w:p w:rsidR="003353C5" w:rsidRPr="00FF044C" w:rsidRDefault="003353C5" w:rsidP="00E80311">
            <w:pPr>
              <w:pStyle w:val="Tabletext"/>
              <w:rPr>
                <w:rStyle w:val="TableText1"/>
                <w:rFonts w:cs="Arial"/>
                <w:b/>
              </w:rPr>
            </w:pPr>
            <w:r w:rsidRPr="00FF044C">
              <w:rPr>
                <w:rStyle w:val="TableText1"/>
                <w:rFonts w:cs="Arial"/>
                <w:b/>
              </w:rPr>
              <w:t>Outcome</w:t>
            </w:r>
          </w:p>
        </w:tc>
        <w:tc>
          <w:tcPr>
            <w:tcW w:w="589" w:type="pct"/>
            <w:shd w:val="clear" w:color="auto" w:fill="auto"/>
            <w:noWrap/>
            <w:vAlign w:val="center"/>
            <w:hideMark/>
          </w:tcPr>
          <w:p w:rsidR="003353C5" w:rsidRPr="00FF044C" w:rsidRDefault="003353C5" w:rsidP="00E80311">
            <w:pPr>
              <w:pStyle w:val="Tabletext"/>
              <w:jc w:val="center"/>
              <w:rPr>
                <w:b/>
              </w:rPr>
            </w:pPr>
            <w:r w:rsidRPr="00FF044C">
              <w:rPr>
                <w:b/>
              </w:rPr>
              <w:t>BV</w:t>
            </w:r>
          </w:p>
        </w:tc>
        <w:tc>
          <w:tcPr>
            <w:tcW w:w="586" w:type="pct"/>
            <w:shd w:val="clear" w:color="auto" w:fill="auto"/>
            <w:noWrap/>
            <w:hideMark/>
          </w:tcPr>
          <w:p w:rsidR="003353C5" w:rsidRPr="00FF044C" w:rsidRDefault="003353C5" w:rsidP="00E80311">
            <w:pPr>
              <w:pStyle w:val="Tabletext"/>
              <w:jc w:val="center"/>
              <w:rPr>
                <w:b/>
              </w:rPr>
            </w:pPr>
            <w:r w:rsidRPr="00FF044C">
              <w:rPr>
                <w:b/>
              </w:rPr>
              <w:t>SC</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Incremental</w:t>
            </w:r>
          </w:p>
        </w:tc>
        <w:tc>
          <w:tcPr>
            <w:tcW w:w="606" w:type="pct"/>
            <w:vAlign w:val="center"/>
          </w:tcPr>
          <w:p w:rsidR="003353C5" w:rsidRPr="00FF044C" w:rsidRDefault="003353C5" w:rsidP="00E80311">
            <w:pPr>
              <w:pStyle w:val="Tabletext"/>
              <w:jc w:val="center"/>
              <w:rPr>
                <w:b/>
              </w:rPr>
            </w:pPr>
            <w:r w:rsidRPr="00FF044C">
              <w:rPr>
                <w:b/>
              </w:rPr>
              <w:t>BV</w:t>
            </w:r>
          </w:p>
        </w:tc>
        <w:tc>
          <w:tcPr>
            <w:tcW w:w="727" w:type="pct"/>
          </w:tcPr>
          <w:p w:rsidR="003353C5" w:rsidRPr="00FF044C" w:rsidRDefault="003353C5" w:rsidP="00E80311">
            <w:pPr>
              <w:pStyle w:val="Tabletext"/>
              <w:jc w:val="center"/>
              <w:rPr>
                <w:b/>
              </w:rPr>
            </w:pPr>
            <w:r w:rsidRPr="00FF044C">
              <w:rPr>
                <w:b/>
              </w:rPr>
              <w:t>SC</w:t>
            </w:r>
          </w:p>
        </w:tc>
        <w:tc>
          <w:tcPr>
            <w:tcW w:w="722" w:type="pct"/>
            <w:vAlign w:val="bottom"/>
          </w:tcPr>
          <w:p w:rsidR="003353C5" w:rsidRPr="00FF044C" w:rsidRDefault="003353C5" w:rsidP="00E80311">
            <w:pPr>
              <w:pStyle w:val="Tabletext"/>
              <w:jc w:val="center"/>
              <w:rPr>
                <w:rStyle w:val="TableText1"/>
                <w:rFonts w:cs="Arial"/>
                <w:b/>
              </w:rPr>
            </w:pPr>
            <w:r w:rsidRPr="00FF044C">
              <w:rPr>
                <w:rStyle w:val="TableText1"/>
                <w:rFonts w:cs="Arial"/>
                <w:b/>
              </w:rPr>
              <w:t>Incremental</w:t>
            </w:r>
          </w:p>
        </w:tc>
      </w:tr>
      <w:tr w:rsidR="003353C5" w:rsidRPr="00FF044C" w:rsidTr="00746164">
        <w:tc>
          <w:tcPr>
            <w:tcW w:w="2946" w:type="pct"/>
            <w:gridSpan w:val="4"/>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rFonts w:cs="Arial"/>
                <w:b/>
              </w:rPr>
              <w:t>Overall response rate</w:t>
            </w:r>
          </w:p>
        </w:tc>
        <w:tc>
          <w:tcPr>
            <w:tcW w:w="606" w:type="pct"/>
          </w:tcPr>
          <w:p w:rsidR="003353C5" w:rsidRPr="00FF044C" w:rsidRDefault="003353C5" w:rsidP="00E80311">
            <w:pPr>
              <w:pStyle w:val="Tabletext"/>
              <w:rPr>
                <w:rStyle w:val="TableText1"/>
                <w:rFonts w:cs="Arial"/>
                <w:b/>
              </w:rPr>
            </w:pPr>
          </w:p>
        </w:tc>
        <w:tc>
          <w:tcPr>
            <w:tcW w:w="727" w:type="pct"/>
          </w:tcPr>
          <w:p w:rsidR="003353C5" w:rsidRPr="00FF044C" w:rsidRDefault="003353C5" w:rsidP="00E80311">
            <w:pPr>
              <w:pStyle w:val="Tabletext"/>
              <w:rPr>
                <w:rStyle w:val="TableText1"/>
                <w:rFonts w:cs="Arial"/>
                <w:b/>
              </w:rPr>
            </w:pPr>
          </w:p>
        </w:tc>
        <w:tc>
          <w:tcPr>
            <w:tcW w:w="722" w:type="pct"/>
          </w:tcPr>
          <w:p w:rsidR="003353C5" w:rsidRPr="00FF044C" w:rsidRDefault="003353C5" w:rsidP="00E80311">
            <w:pPr>
              <w:pStyle w:val="Tabletext"/>
              <w:rPr>
                <w:rStyle w:val="TableText1"/>
                <w:rFonts w:cs="Arial"/>
                <w:b/>
              </w:rPr>
            </w:pP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cycle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Cycles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4.57</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3.76</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6.81</w:t>
            </w:r>
          </w:p>
        </w:tc>
        <w:tc>
          <w:tcPr>
            <w:tcW w:w="727" w:type="pct"/>
            <w:vAlign w:val="bottom"/>
          </w:tcPr>
          <w:p w:rsidR="003353C5" w:rsidRPr="00FF044C" w:rsidRDefault="003353C5" w:rsidP="00E80311">
            <w:pPr>
              <w:jc w:val="center"/>
              <w:rPr>
                <w:rStyle w:val="TableText1"/>
              </w:rPr>
            </w:pPr>
            <w:r w:rsidRPr="00FF044C">
              <w:rPr>
                <w:rStyle w:val="TableText1"/>
              </w:rPr>
              <w:t xml:space="preserve">3.76 </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2"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Response rate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67.1%</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29.3%</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37.8%</w:t>
            </w:r>
          </w:p>
        </w:tc>
        <w:tc>
          <w:tcPr>
            <w:tcW w:w="606" w:type="pct"/>
            <w:vAlign w:val="bottom"/>
          </w:tcPr>
          <w:p w:rsidR="003353C5" w:rsidRPr="00FF044C" w:rsidRDefault="003353C5" w:rsidP="00E80311">
            <w:pPr>
              <w:jc w:val="center"/>
              <w:rPr>
                <w:rStyle w:val="TableText1"/>
              </w:rPr>
            </w:pPr>
            <w:r w:rsidRPr="00FF044C">
              <w:rPr>
                <w:rStyle w:val="TableText1"/>
              </w:rPr>
              <w:t>64.6%</w:t>
            </w:r>
          </w:p>
        </w:tc>
        <w:tc>
          <w:tcPr>
            <w:tcW w:w="727" w:type="pct"/>
            <w:vAlign w:val="bottom"/>
          </w:tcPr>
          <w:p w:rsidR="003353C5" w:rsidRPr="00FF044C" w:rsidRDefault="003353C5" w:rsidP="00E80311">
            <w:pPr>
              <w:jc w:val="center"/>
              <w:rPr>
                <w:rStyle w:val="TableText1"/>
              </w:rPr>
            </w:pPr>
            <w:r w:rsidRPr="00FF044C">
              <w:rPr>
                <w:rStyle w:val="TableText1"/>
              </w:rPr>
              <w:t>29.3%</w:t>
            </w:r>
          </w:p>
        </w:tc>
        <w:tc>
          <w:tcPr>
            <w:tcW w:w="722" w:type="pct"/>
            <w:vAlign w:val="bottom"/>
          </w:tcPr>
          <w:p w:rsidR="003353C5" w:rsidRPr="00FF044C" w:rsidRDefault="003353C5" w:rsidP="00E80311">
            <w:pPr>
              <w:jc w:val="center"/>
              <w:rPr>
                <w:rStyle w:val="TableText1"/>
              </w:rPr>
            </w:pPr>
            <w:r w:rsidRPr="00FF044C">
              <w:rPr>
                <w:rStyle w:val="TableText1"/>
              </w:rPr>
              <w:t xml:space="preserve">35.3% </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rFonts w:cs="Arial"/>
                <w:b/>
              </w:rPr>
              <w:t>Cost-per-responder</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606"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c>
          <w:tcPr>
            <w:tcW w:w="727"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c>
          <w:tcPr>
            <w:tcW w:w="722"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r>
      <w:tr w:rsidR="003353C5" w:rsidRPr="00FF044C" w:rsidTr="00746164">
        <w:tc>
          <w:tcPr>
            <w:tcW w:w="2946" w:type="pct"/>
            <w:gridSpan w:val="4"/>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b/>
              </w:rPr>
              <w:t xml:space="preserve">Complete response rate </w:t>
            </w:r>
          </w:p>
        </w:tc>
        <w:tc>
          <w:tcPr>
            <w:tcW w:w="606" w:type="pct"/>
          </w:tcPr>
          <w:p w:rsidR="003353C5" w:rsidRPr="00FF044C" w:rsidRDefault="003353C5" w:rsidP="00E80311">
            <w:pPr>
              <w:pStyle w:val="Tabletext"/>
              <w:rPr>
                <w:rStyle w:val="TableText1"/>
                <w:rFonts w:cs="Arial"/>
              </w:rPr>
            </w:pPr>
          </w:p>
        </w:tc>
        <w:tc>
          <w:tcPr>
            <w:tcW w:w="727" w:type="pct"/>
          </w:tcPr>
          <w:p w:rsidR="003353C5" w:rsidRPr="00FF044C" w:rsidRDefault="003353C5" w:rsidP="00E80311">
            <w:pPr>
              <w:pStyle w:val="Tabletext"/>
              <w:rPr>
                <w:rStyle w:val="TableText1"/>
                <w:rFonts w:cs="Arial"/>
              </w:rPr>
            </w:pPr>
          </w:p>
        </w:tc>
        <w:tc>
          <w:tcPr>
            <w:tcW w:w="722" w:type="pct"/>
          </w:tcPr>
          <w:p w:rsidR="003353C5" w:rsidRPr="00FF044C" w:rsidRDefault="003353C5" w:rsidP="00E80311">
            <w:pPr>
              <w:pStyle w:val="Tabletext"/>
              <w:rPr>
                <w:rStyle w:val="TableText1"/>
                <w:rFonts w:cs="Arial"/>
              </w:rPr>
            </w:pP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cycle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Cycles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4.57</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3.76</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6.81</w:t>
            </w:r>
          </w:p>
        </w:tc>
        <w:tc>
          <w:tcPr>
            <w:tcW w:w="727" w:type="pct"/>
            <w:vAlign w:val="bottom"/>
          </w:tcPr>
          <w:p w:rsidR="003353C5" w:rsidRPr="00FF044C" w:rsidRDefault="003353C5" w:rsidP="00E80311">
            <w:pPr>
              <w:jc w:val="center"/>
              <w:rPr>
                <w:rStyle w:val="TableText1"/>
              </w:rPr>
            </w:pPr>
            <w:r w:rsidRPr="00FF044C">
              <w:rPr>
                <w:rStyle w:val="TableText1"/>
              </w:rPr>
              <w:t xml:space="preserve">3.76 </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2"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Response rate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33.7%</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6.5%</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27.2%</w:t>
            </w:r>
          </w:p>
        </w:tc>
        <w:tc>
          <w:tcPr>
            <w:tcW w:w="606" w:type="pct"/>
            <w:vAlign w:val="bottom"/>
          </w:tcPr>
          <w:p w:rsidR="003353C5" w:rsidRPr="00FF044C" w:rsidRDefault="003353C5" w:rsidP="00E80311">
            <w:pPr>
              <w:jc w:val="center"/>
              <w:rPr>
                <w:rStyle w:val="TableText1"/>
              </w:rPr>
            </w:pPr>
            <w:bookmarkStart w:id="26" w:name="RANGE!D21"/>
            <w:r w:rsidRPr="00FF044C">
              <w:rPr>
                <w:rStyle w:val="TableText1"/>
              </w:rPr>
              <w:t xml:space="preserve">30.0% </w:t>
            </w:r>
            <w:bookmarkEnd w:id="26"/>
          </w:p>
        </w:tc>
        <w:tc>
          <w:tcPr>
            <w:tcW w:w="727" w:type="pct"/>
            <w:vAlign w:val="bottom"/>
          </w:tcPr>
          <w:p w:rsidR="003353C5" w:rsidRPr="00FF044C" w:rsidRDefault="003353C5" w:rsidP="00E80311">
            <w:pPr>
              <w:jc w:val="center"/>
              <w:rPr>
                <w:rStyle w:val="TableText1"/>
              </w:rPr>
            </w:pPr>
            <w:bookmarkStart w:id="27" w:name="RANGE!F21"/>
            <w:r w:rsidRPr="00FF044C">
              <w:rPr>
                <w:rStyle w:val="TableText1"/>
              </w:rPr>
              <w:t xml:space="preserve">6.5% </w:t>
            </w:r>
            <w:bookmarkEnd w:id="27"/>
          </w:p>
        </w:tc>
        <w:tc>
          <w:tcPr>
            <w:tcW w:w="722" w:type="pct"/>
            <w:vAlign w:val="bottom"/>
          </w:tcPr>
          <w:p w:rsidR="003353C5" w:rsidRPr="00FF044C" w:rsidRDefault="003353C5" w:rsidP="00E80311">
            <w:pPr>
              <w:jc w:val="center"/>
              <w:rPr>
                <w:rStyle w:val="TableText1"/>
              </w:rPr>
            </w:pPr>
            <w:r w:rsidRPr="00FF044C">
              <w:rPr>
                <w:rStyle w:val="TableText1"/>
              </w:rPr>
              <w:t xml:space="preserve">23.4% </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rFonts w:cs="Arial"/>
                <w:b/>
              </w:rPr>
              <w:t>Cost-per-responder</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606"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c>
          <w:tcPr>
            <w:tcW w:w="727"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c>
          <w:tcPr>
            <w:tcW w:w="722"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r>
      <w:tr w:rsidR="003353C5" w:rsidRPr="00FF044C" w:rsidTr="00746164">
        <w:tc>
          <w:tcPr>
            <w:tcW w:w="2946" w:type="pct"/>
            <w:gridSpan w:val="4"/>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rFonts w:cs="Arial"/>
                <w:b/>
              </w:rPr>
              <w:t>Progression to any SCT</w:t>
            </w:r>
          </w:p>
        </w:tc>
        <w:tc>
          <w:tcPr>
            <w:tcW w:w="606" w:type="pct"/>
          </w:tcPr>
          <w:p w:rsidR="003353C5" w:rsidRPr="00FF044C" w:rsidRDefault="003353C5" w:rsidP="00E80311">
            <w:pPr>
              <w:pStyle w:val="Tabletext"/>
              <w:rPr>
                <w:rStyle w:val="TableText1"/>
                <w:rFonts w:cs="Arial"/>
              </w:rPr>
            </w:pPr>
          </w:p>
        </w:tc>
        <w:tc>
          <w:tcPr>
            <w:tcW w:w="727" w:type="pct"/>
          </w:tcPr>
          <w:p w:rsidR="003353C5" w:rsidRPr="00FF044C" w:rsidRDefault="003353C5" w:rsidP="00E80311">
            <w:pPr>
              <w:pStyle w:val="Tabletext"/>
              <w:rPr>
                <w:rStyle w:val="TableText1"/>
                <w:rFonts w:cs="Arial"/>
              </w:rPr>
            </w:pPr>
          </w:p>
        </w:tc>
        <w:tc>
          <w:tcPr>
            <w:tcW w:w="722" w:type="pct"/>
          </w:tcPr>
          <w:p w:rsidR="003353C5" w:rsidRPr="00FF044C" w:rsidRDefault="003353C5" w:rsidP="00E80311">
            <w:pPr>
              <w:pStyle w:val="Tabletext"/>
              <w:rPr>
                <w:rStyle w:val="TableText1"/>
                <w:rFonts w:cs="Arial"/>
              </w:rPr>
            </w:pP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cycle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Cycles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5.16</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3.76</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p>
        </w:tc>
        <w:tc>
          <w:tcPr>
            <w:tcW w:w="606" w:type="pct"/>
            <w:vAlign w:val="bottom"/>
          </w:tcPr>
          <w:p w:rsidR="003353C5" w:rsidRPr="00FF044C" w:rsidRDefault="003353C5" w:rsidP="00E80311">
            <w:pPr>
              <w:jc w:val="center"/>
              <w:rPr>
                <w:rStyle w:val="TableText1"/>
              </w:rPr>
            </w:pPr>
            <w:r w:rsidRPr="00FF044C">
              <w:rPr>
                <w:rStyle w:val="TableText1"/>
              </w:rPr>
              <w:t>5.93</w:t>
            </w:r>
          </w:p>
        </w:tc>
        <w:tc>
          <w:tcPr>
            <w:tcW w:w="727" w:type="pct"/>
            <w:vAlign w:val="bottom"/>
          </w:tcPr>
          <w:p w:rsidR="003353C5" w:rsidRPr="00FF044C" w:rsidRDefault="003353C5" w:rsidP="00E80311">
            <w:pPr>
              <w:jc w:val="center"/>
              <w:rPr>
                <w:rStyle w:val="TableText1"/>
              </w:rPr>
            </w:pPr>
            <w:r w:rsidRPr="00FF044C">
              <w:rPr>
                <w:rStyle w:val="TableText1"/>
              </w:rPr>
              <w:t>3.76</w:t>
            </w:r>
          </w:p>
        </w:tc>
        <w:tc>
          <w:tcPr>
            <w:tcW w:w="722" w:type="pct"/>
            <w:vAlign w:val="bottom"/>
          </w:tcPr>
          <w:p w:rsidR="003353C5" w:rsidRPr="00FF044C" w:rsidRDefault="003353C5" w:rsidP="00E80311">
            <w:pPr>
              <w:jc w:val="center"/>
              <w:rPr>
                <w:rStyle w:val="TableText1"/>
              </w:rPr>
            </w:pPr>
            <w:r w:rsidRPr="00FF044C">
              <w:rPr>
                <w:rStyle w:val="TableText1"/>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Cost per patient</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w:t>
            </w:r>
            <w:r w:rsidR="003C460A">
              <w:rPr>
                <w:rStyle w:val="TableText1"/>
                <w:rFonts w:cs="Arial"/>
                <w:noProof/>
                <w:color w:val="000000"/>
                <w:highlight w:val="black"/>
              </w:rPr>
              <w:t>''''''''''''''''</w:t>
            </w:r>
          </w:p>
        </w:tc>
        <w:tc>
          <w:tcPr>
            <w:tcW w:w="606"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r w:rsidRPr="00FF044C">
              <w:rPr>
                <w:rStyle w:val="TableText1"/>
              </w:rPr>
              <w:t xml:space="preserve"> </w:t>
            </w:r>
          </w:p>
        </w:tc>
        <w:tc>
          <w:tcPr>
            <w:tcW w:w="727"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p>
        </w:tc>
        <w:tc>
          <w:tcPr>
            <w:tcW w:w="722" w:type="pct"/>
            <w:vAlign w:val="bottom"/>
          </w:tcPr>
          <w:p w:rsidR="003353C5" w:rsidRPr="00FF044C" w:rsidRDefault="003353C5" w:rsidP="00E80311">
            <w:pPr>
              <w:jc w:val="center"/>
              <w:rPr>
                <w:rStyle w:val="TableText1"/>
              </w:rPr>
            </w:pPr>
            <w:r w:rsidRPr="00FF044C">
              <w:rPr>
                <w:rStyle w:val="TableText1"/>
              </w:rPr>
              <w:t>$</w:t>
            </w:r>
            <w:r w:rsidR="003C460A">
              <w:rPr>
                <w:rStyle w:val="TableText1"/>
                <w:noProof/>
                <w:color w:val="000000"/>
                <w:highlight w:val="black"/>
              </w:rPr>
              <w:t>'''''''''''''''</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rPr>
            </w:pPr>
            <w:r w:rsidRPr="00FF044C">
              <w:rPr>
                <w:rStyle w:val="TableText1"/>
                <w:rFonts w:cs="Arial"/>
              </w:rPr>
              <w:t>Response rate</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37.6%</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0.0%</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rPr>
            </w:pPr>
            <w:r w:rsidRPr="00FF044C">
              <w:rPr>
                <w:rStyle w:val="TableText1"/>
                <w:rFonts w:cs="Arial"/>
              </w:rPr>
              <w:t>37.6%</w:t>
            </w:r>
          </w:p>
        </w:tc>
        <w:tc>
          <w:tcPr>
            <w:tcW w:w="606" w:type="pct"/>
            <w:vAlign w:val="bottom"/>
          </w:tcPr>
          <w:p w:rsidR="003353C5" w:rsidRPr="00FF044C" w:rsidRDefault="003353C5" w:rsidP="00E80311">
            <w:pPr>
              <w:jc w:val="center"/>
              <w:rPr>
                <w:rStyle w:val="TableText1"/>
              </w:rPr>
            </w:pPr>
            <w:bookmarkStart w:id="28" w:name="RANGE!D27"/>
            <w:r w:rsidRPr="00FF044C">
              <w:rPr>
                <w:rStyle w:val="TableText1"/>
              </w:rPr>
              <w:t>43.1%</w:t>
            </w:r>
            <w:bookmarkEnd w:id="28"/>
          </w:p>
        </w:tc>
        <w:tc>
          <w:tcPr>
            <w:tcW w:w="727" w:type="pct"/>
            <w:vAlign w:val="bottom"/>
          </w:tcPr>
          <w:p w:rsidR="003353C5" w:rsidRPr="00FF044C" w:rsidRDefault="003353C5" w:rsidP="00E80311">
            <w:pPr>
              <w:jc w:val="center"/>
              <w:rPr>
                <w:rStyle w:val="TableText1"/>
              </w:rPr>
            </w:pPr>
            <w:bookmarkStart w:id="29" w:name="RANGE!F27"/>
            <w:r w:rsidRPr="00FF044C">
              <w:rPr>
                <w:rStyle w:val="TableText1"/>
              </w:rPr>
              <w:t>0.0%</w:t>
            </w:r>
            <w:bookmarkEnd w:id="29"/>
          </w:p>
        </w:tc>
        <w:tc>
          <w:tcPr>
            <w:tcW w:w="722" w:type="pct"/>
            <w:vAlign w:val="bottom"/>
          </w:tcPr>
          <w:p w:rsidR="003353C5" w:rsidRPr="00FF044C" w:rsidRDefault="003353C5" w:rsidP="00E80311">
            <w:pPr>
              <w:jc w:val="center"/>
              <w:rPr>
                <w:rStyle w:val="TableText1"/>
              </w:rPr>
            </w:pPr>
            <w:r w:rsidRPr="00FF044C">
              <w:rPr>
                <w:rStyle w:val="TableText1"/>
              </w:rPr>
              <w:t>43.1%</w:t>
            </w:r>
          </w:p>
        </w:tc>
      </w:tr>
      <w:tr w:rsidR="003353C5" w:rsidRPr="00FF044C" w:rsidTr="00746164">
        <w:tc>
          <w:tcPr>
            <w:tcW w:w="1095" w:type="pct"/>
            <w:shd w:val="clear" w:color="auto" w:fill="auto"/>
            <w:noWrap/>
            <w:vAlign w:val="bottom"/>
            <w:hideMark/>
          </w:tcPr>
          <w:p w:rsidR="003353C5" w:rsidRPr="00FF044C" w:rsidRDefault="003353C5" w:rsidP="00E80311">
            <w:pPr>
              <w:pStyle w:val="Tabletext"/>
              <w:rPr>
                <w:rStyle w:val="TableText1"/>
                <w:rFonts w:cs="Arial"/>
                <w:b/>
              </w:rPr>
            </w:pPr>
            <w:r w:rsidRPr="00FF044C">
              <w:rPr>
                <w:rStyle w:val="TableText1"/>
                <w:rFonts w:cs="Arial"/>
                <w:b/>
              </w:rPr>
              <w:t>Cost-per-responder</w:t>
            </w:r>
          </w:p>
        </w:tc>
        <w:tc>
          <w:tcPr>
            <w:tcW w:w="589"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586"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p>
        </w:tc>
        <w:tc>
          <w:tcPr>
            <w:tcW w:w="675" w:type="pct"/>
            <w:shd w:val="clear" w:color="auto" w:fill="auto"/>
            <w:noWrap/>
            <w:vAlign w:val="bottom"/>
            <w:hideMark/>
          </w:tcPr>
          <w:p w:rsidR="003353C5" w:rsidRPr="00FF044C" w:rsidRDefault="003353C5" w:rsidP="00E80311">
            <w:pPr>
              <w:pStyle w:val="Tabletext"/>
              <w:jc w:val="center"/>
              <w:rPr>
                <w:rStyle w:val="TableText1"/>
                <w:rFonts w:cs="Arial"/>
                <w:b/>
              </w:rPr>
            </w:pPr>
            <w:r w:rsidRPr="00FF044C">
              <w:rPr>
                <w:rStyle w:val="TableText1"/>
                <w:rFonts w:cs="Arial"/>
                <w:b/>
              </w:rPr>
              <w:t>$</w:t>
            </w:r>
            <w:r w:rsidR="003C460A">
              <w:rPr>
                <w:rStyle w:val="TableText1"/>
                <w:rFonts w:cs="Arial"/>
                <w:b/>
                <w:noProof/>
                <w:color w:val="000000"/>
                <w:highlight w:val="black"/>
              </w:rPr>
              <w:t>''''''''''''''''</w:t>
            </w:r>
          </w:p>
        </w:tc>
        <w:tc>
          <w:tcPr>
            <w:tcW w:w="606"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r w:rsidRPr="00FF044C">
              <w:rPr>
                <w:rStyle w:val="TableText1"/>
                <w:b/>
              </w:rPr>
              <w:t xml:space="preserve"> </w:t>
            </w:r>
          </w:p>
        </w:tc>
        <w:tc>
          <w:tcPr>
            <w:tcW w:w="727" w:type="pct"/>
            <w:vAlign w:val="bottom"/>
          </w:tcPr>
          <w:p w:rsidR="003353C5" w:rsidRPr="00FF044C" w:rsidRDefault="003353C5" w:rsidP="00E80311">
            <w:pPr>
              <w:jc w:val="center"/>
              <w:rPr>
                <w:rStyle w:val="TableText1"/>
                <w:b/>
              </w:rPr>
            </w:pPr>
            <w:r w:rsidRPr="00FF044C">
              <w:rPr>
                <w:rStyle w:val="TableText1"/>
                <w:b/>
              </w:rPr>
              <w:t>-</w:t>
            </w:r>
          </w:p>
        </w:tc>
        <w:tc>
          <w:tcPr>
            <w:tcW w:w="722" w:type="pct"/>
            <w:vAlign w:val="bottom"/>
          </w:tcPr>
          <w:p w:rsidR="003353C5" w:rsidRPr="00FF044C" w:rsidRDefault="003353C5" w:rsidP="00E80311">
            <w:pPr>
              <w:jc w:val="center"/>
              <w:rPr>
                <w:rStyle w:val="TableText1"/>
                <w:b/>
              </w:rPr>
            </w:pPr>
            <w:r w:rsidRPr="00FF044C">
              <w:rPr>
                <w:rStyle w:val="TableText1"/>
                <w:b/>
              </w:rPr>
              <w:t>$</w:t>
            </w:r>
            <w:r w:rsidR="003C460A">
              <w:rPr>
                <w:rStyle w:val="TableText1"/>
                <w:b/>
                <w:noProof/>
                <w:color w:val="000000"/>
                <w:highlight w:val="black"/>
              </w:rPr>
              <w:t>''''''''''''''''</w:t>
            </w:r>
          </w:p>
        </w:tc>
      </w:tr>
    </w:tbl>
    <w:p w:rsidR="003353C5" w:rsidRPr="00FF044C" w:rsidRDefault="003353C5" w:rsidP="003353C5">
      <w:pPr>
        <w:pStyle w:val="TableFooter"/>
        <w:ind w:left="720"/>
      </w:pPr>
      <w:r w:rsidRPr="00FF044C">
        <w:t>Source: 2016-0921_PSCR_BV_revised ASCT Naive Cost Analysis_Takeda.xlsm and Section_D_brentuximab vedotin_ASCTNaive Section D_PBAC Nov2016.xlsm.</w:t>
      </w:r>
    </w:p>
    <w:p w:rsidR="003353C5" w:rsidRPr="00FF044C" w:rsidRDefault="003353C5" w:rsidP="003353C5">
      <w:pPr>
        <w:ind w:firstLine="720"/>
        <w:rPr>
          <w:rFonts w:ascii="Arial Narrow" w:hAnsi="Arial Narrow"/>
          <w:sz w:val="18"/>
        </w:rPr>
      </w:pPr>
      <w:r w:rsidRPr="00FF044C">
        <w:rPr>
          <w:rFonts w:ascii="Arial Narrow" w:hAnsi="Arial Narrow"/>
          <w:sz w:val="18"/>
        </w:rPr>
        <w:t>BV = brentuximab vedotin; PSCR = Pre-Sub-Committee Response; SC = salvage chemotherapy; SCT = stem cell transplant</w:t>
      </w:r>
    </w:p>
    <w:p w:rsidR="003353C5" w:rsidRPr="00FF044C" w:rsidRDefault="003353C5" w:rsidP="003353C5">
      <w:pPr>
        <w:pStyle w:val="Subtitle"/>
        <w:rPr>
          <w:b/>
          <w:sz w:val="22"/>
          <w:szCs w:val="22"/>
          <w:lang w:bidi="en-US"/>
        </w:rPr>
      </w:pPr>
      <w:r w:rsidRPr="00FF044C">
        <w:rPr>
          <w:b/>
          <w:sz w:val="22"/>
          <w:szCs w:val="22"/>
          <w:lang w:bidi="en-US"/>
        </w:rPr>
        <w:t xml:space="preserve"> </w:t>
      </w:r>
    </w:p>
    <w:p w:rsidR="00113D69" w:rsidRDefault="006A2631" w:rsidP="00113D69">
      <w:pPr>
        <w:pStyle w:val="ListParagraph"/>
        <w:widowControl/>
        <w:rPr>
          <w:snapToGrid/>
        </w:rPr>
      </w:pPr>
      <w:r w:rsidRPr="00FF044C">
        <w:rPr>
          <w:snapToGrid/>
        </w:rPr>
        <w:t xml:space="preserve">The </w:t>
      </w:r>
      <w:r w:rsidR="00107A16" w:rsidRPr="00113D69">
        <w:rPr>
          <w:snapToGrid/>
        </w:rPr>
        <w:t xml:space="preserve">redacted table </w:t>
      </w:r>
      <w:r w:rsidR="00113D69">
        <w:rPr>
          <w:snapToGrid/>
        </w:rPr>
        <w:t xml:space="preserve">above </w:t>
      </w:r>
      <w:r w:rsidR="00107A16" w:rsidRPr="00113D69">
        <w:rPr>
          <w:snapToGrid/>
        </w:rPr>
        <w:t xml:space="preserve">shows </w:t>
      </w:r>
      <w:r w:rsidR="00113D69">
        <w:rPr>
          <w:snapToGrid/>
        </w:rPr>
        <w:t xml:space="preserve">that </w:t>
      </w:r>
      <w:r w:rsidR="00107A16" w:rsidRPr="00113D69">
        <w:rPr>
          <w:snapToGrid/>
        </w:rPr>
        <w:t xml:space="preserve">cost per responder </w:t>
      </w:r>
      <w:r w:rsidR="00113D69">
        <w:rPr>
          <w:snapToGrid/>
        </w:rPr>
        <w:t>for:</w:t>
      </w:r>
    </w:p>
    <w:p w:rsidR="00113D69" w:rsidRPr="00D2697A" w:rsidRDefault="00113D69" w:rsidP="00D2697A">
      <w:pPr>
        <w:pStyle w:val="ListParagraph"/>
        <w:widowControl/>
        <w:numPr>
          <w:ilvl w:val="0"/>
          <w:numId w:val="26"/>
        </w:numPr>
        <w:ind w:left="1276" w:hanging="425"/>
        <w:rPr>
          <w:snapToGrid/>
        </w:rPr>
      </w:pPr>
      <w:r>
        <w:rPr>
          <w:snapToGrid/>
        </w:rPr>
        <w:t xml:space="preserve">Overall </w:t>
      </w:r>
      <w:r w:rsidR="00D2697A">
        <w:rPr>
          <w:snapToGrid/>
        </w:rPr>
        <w:t xml:space="preserve">and complete </w:t>
      </w:r>
      <w:r>
        <w:rPr>
          <w:snapToGrid/>
        </w:rPr>
        <w:t xml:space="preserve">response is more than </w:t>
      </w:r>
      <w:r w:rsidRPr="00113D69">
        <w:rPr>
          <w:snapToGrid/>
        </w:rPr>
        <w:t>$200,000 per responder</w:t>
      </w:r>
      <w:r>
        <w:rPr>
          <w:snapToGrid/>
        </w:rPr>
        <w:t>;</w:t>
      </w:r>
      <w:r w:rsidR="00D2697A">
        <w:rPr>
          <w:snapToGrid/>
        </w:rPr>
        <w:t xml:space="preserve"> </w:t>
      </w:r>
      <w:r w:rsidRPr="00D2697A">
        <w:rPr>
          <w:snapToGrid/>
        </w:rPr>
        <w:t>and</w:t>
      </w:r>
    </w:p>
    <w:p w:rsidR="00107A16" w:rsidRPr="00113D69" w:rsidRDefault="00113D69" w:rsidP="00113D69">
      <w:pPr>
        <w:pStyle w:val="ListParagraph"/>
        <w:widowControl/>
        <w:numPr>
          <w:ilvl w:val="0"/>
          <w:numId w:val="26"/>
        </w:numPr>
        <w:ind w:left="1276" w:hanging="425"/>
        <w:rPr>
          <w:snapToGrid/>
        </w:rPr>
      </w:pPr>
      <w:r>
        <w:rPr>
          <w:snapToGrid/>
        </w:rPr>
        <w:t>Progression to SCT is</w:t>
      </w:r>
      <w:r w:rsidRPr="00113D69">
        <w:rPr>
          <w:snapToGrid/>
        </w:rPr>
        <w:t xml:space="preserve"> </w:t>
      </w:r>
      <w:r w:rsidR="00107A16" w:rsidRPr="00113D69">
        <w:rPr>
          <w:snapToGrid/>
        </w:rPr>
        <w:t>in the range of $105,000 - $200,000 per responder</w:t>
      </w:r>
      <w:r w:rsidR="00D2697A">
        <w:rPr>
          <w:snapToGrid/>
        </w:rPr>
        <w:t>.</w:t>
      </w:r>
    </w:p>
    <w:p w:rsidR="00107A16" w:rsidRDefault="00107A16" w:rsidP="0014743C">
      <w:pPr>
        <w:rPr>
          <w:snapToGrid/>
        </w:rPr>
      </w:pPr>
    </w:p>
    <w:p w:rsidR="007064B6" w:rsidRPr="00FF044C" w:rsidRDefault="00107A16" w:rsidP="0075545E">
      <w:pPr>
        <w:pStyle w:val="ListParagraph"/>
        <w:widowControl/>
        <w:numPr>
          <w:ilvl w:val="1"/>
          <w:numId w:val="1"/>
        </w:numPr>
        <w:rPr>
          <w:snapToGrid/>
        </w:rPr>
      </w:pPr>
      <w:r>
        <w:rPr>
          <w:snapToGrid/>
        </w:rPr>
        <w:t xml:space="preserve">The </w:t>
      </w:r>
      <w:r w:rsidR="006A2631" w:rsidRPr="00FF044C">
        <w:rPr>
          <w:snapToGrid/>
        </w:rPr>
        <w:t xml:space="preserve">ESC noted that the </w:t>
      </w:r>
      <w:r w:rsidR="00230385" w:rsidRPr="00FF044C">
        <w:rPr>
          <w:snapToGrid/>
        </w:rPr>
        <w:t xml:space="preserve">ICER </w:t>
      </w:r>
      <w:r w:rsidR="006A2631" w:rsidRPr="00FF044C">
        <w:rPr>
          <w:snapToGrid/>
        </w:rPr>
        <w:t xml:space="preserve">increased due to lower response rate and longer duration of treatment (brentuximab vedotin cycles) in the revised analysis. Despite the increase in the number of brentuximab vedotin cycles, the </w:t>
      </w:r>
      <w:r w:rsidR="00230385" w:rsidRPr="00FF044C">
        <w:rPr>
          <w:snapToGrid/>
        </w:rPr>
        <w:t>ICER</w:t>
      </w:r>
      <w:r w:rsidR="006A2631" w:rsidRPr="00FF044C">
        <w:rPr>
          <w:snapToGrid/>
        </w:rPr>
        <w:t xml:space="preserve"> increased slightly for the proportion of patients proc</w:t>
      </w:r>
      <w:r w:rsidR="0008552C" w:rsidRPr="00FF044C">
        <w:rPr>
          <w:snapToGrid/>
        </w:rPr>
        <w:t>eeding to stem cell transplant</w:t>
      </w:r>
      <w:r w:rsidR="006A2631" w:rsidRPr="00FF044C">
        <w:rPr>
          <w:snapToGrid/>
        </w:rPr>
        <w:t>, due to the increase in stem cell transplant rate with brentuximab vedotin from 37.6% to 43.1% with</w:t>
      </w:r>
      <w:r w:rsidR="00015019">
        <w:rPr>
          <w:snapToGrid/>
        </w:rPr>
        <w:t xml:space="preserve"> the inclusion of Study C25007.</w:t>
      </w:r>
    </w:p>
    <w:p w:rsidR="007064B6" w:rsidRPr="00FF044C" w:rsidRDefault="007064B6" w:rsidP="007064B6">
      <w:pPr>
        <w:pStyle w:val="ListParagraph"/>
        <w:widowControl/>
        <w:rPr>
          <w:snapToGrid/>
        </w:rPr>
      </w:pPr>
    </w:p>
    <w:p w:rsidR="006A2631" w:rsidRPr="00FF044C" w:rsidRDefault="007064B6" w:rsidP="0075545E">
      <w:pPr>
        <w:pStyle w:val="ListParagraph"/>
        <w:widowControl/>
        <w:numPr>
          <w:ilvl w:val="1"/>
          <w:numId w:val="1"/>
        </w:numPr>
        <w:rPr>
          <w:snapToGrid/>
        </w:rPr>
      </w:pPr>
      <w:r w:rsidRPr="00FF044C">
        <w:rPr>
          <w:snapToGrid/>
        </w:rPr>
        <w:t xml:space="preserve">The </w:t>
      </w:r>
      <w:r w:rsidR="006A2631" w:rsidRPr="00FF044C">
        <w:rPr>
          <w:snapToGrid/>
        </w:rPr>
        <w:t xml:space="preserve">ESC </w:t>
      </w:r>
      <w:r w:rsidRPr="00FF044C">
        <w:rPr>
          <w:snapToGrid/>
        </w:rPr>
        <w:t xml:space="preserve">considered </w:t>
      </w:r>
      <w:r w:rsidR="006A2631" w:rsidRPr="00FF044C">
        <w:rPr>
          <w:snapToGrid/>
        </w:rPr>
        <w:t xml:space="preserve">that the submission underestimated the proportion of patients proceeding to ASCT with salvage chemotherapy </w:t>
      </w:r>
      <w:r w:rsidR="004002E4" w:rsidRPr="00FF044C">
        <w:rPr>
          <w:snapToGrid/>
        </w:rPr>
        <w:t xml:space="preserve">(0%, </w:t>
      </w:r>
      <w:r w:rsidR="006A2631" w:rsidRPr="00FF044C">
        <w:rPr>
          <w:snapToGrid/>
        </w:rPr>
        <w:t>based on the results of a single study Santoro 2000</w:t>
      </w:r>
      <w:r w:rsidR="003E63F1" w:rsidRPr="00FF044C">
        <w:rPr>
          <w:snapToGrid/>
        </w:rPr>
        <w:t>)</w:t>
      </w:r>
      <w:r w:rsidR="006A2631" w:rsidRPr="00FF044C">
        <w:rPr>
          <w:snapToGrid/>
        </w:rPr>
        <w:t xml:space="preserve"> as the remaining studies on salvage chemotherapy did not report this outcome. Assuming 0% rate of progression to ASCT transplant with salvage chemotherapy </w:t>
      </w:r>
      <w:r w:rsidR="004002E4" w:rsidRPr="00FF044C">
        <w:rPr>
          <w:snapToGrid/>
        </w:rPr>
        <w:t>is unlikely</w:t>
      </w:r>
      <w:r w:rsidR="006A2631" w:rsidRPr="00FF044C">
        <w:rPr>
          <w:snapToGrid/>
        </w:rPr>
        <w:t xml:space="preserve"> given that 29.3% of patients in the pooled analysis achieved overall response which </w:t>
      </w:r>
      <w:r w:rsidR="004002E4" w:rsidRPr="00FF044C">
        <w:rPr>
          <w:snapToGrid/>
        </w:rPr>
        <w:t>would</w:t>
      </w:r>
      <w:r w:rsidR="006A2631" w:rsidRPr="00FF044C">
        <w:rPr>
          <w:snapToGrid/>
        </w:rPr>
        <w:t xml:space="preserve"> make them eligible for ASCT if their age and performance status were suitable. Th</w:t>
      </w:r>
      <w:r w:rsidR="00193757" w:rsidRPr="00FF044C">
        <w:rPr>
          <w:snapToGrid/>
        </w:rPr>
        <w:t>erefore</w:t>
      </w:r>
      <w:r w:rsidR="006A2631" w:rsidRPr="00FF044C">
        <w:rPr>
          <w:snapToGrid/>
        </w:rPr>
        <w:t>,</w:t>
      </w:r>
      <w:r w:rsidR="004002E4" w:rsidRPr="00FF044C">
        <w:rPr>
          <w:snapToGrid/>
        </w:rPr>
        <w:t xml:space="preserve"> the ESC advised that</w:t>
      </w:r>
      <w:r w:rsidR="006A2631" w:rsidRPr="00FF044C">
        <w:rPr>
          <w:snapToGrid/>
        </w:rPr>
        <w:t xml:space="preserve"> the incremental cost per </w:t>
      </w:r>
      <w:r w:rsidR="00230385" w:rsidRPr="00FF044C">
        <w:rPr>
          <w:snapToGrid/>
        </w:rPr>
        <w:t xml:space="preserve">additional </w:t>
      </w:r>
      <w:r w:rsidR="006A2631" w:rsidRPr="00FF044C">
        <w:rPr>
          <w:snapToGrid/>
        </w:rPr>
        <w:t>patient proceeding to ASCT is likely underestimated.</w:t>
      </w:r>
    </w:p>
    <w:p w:rsidR="00FE7179" w:rsidRPr="00FF044C" w:rsidRDefault="00FE7179" w:rsidP="00FE7179">
      <w:pPr>
        <w:pStyle w:val="ListParagraph"/>
        <w:rPr>
          <w:snapToGrid/>
        </w:rPr>
      </w:pPr>
    </w:p>
    <w:p w:rsidR="00FE7179" w:rsidRPr="00FF044C" w:rsidRDefault="00FE7179" w:rsidP="00FE7179">
      <w:pPr>
        <w:pStyle w:val="ListParagraph"/>
        <w:widowControl/>
        <w:numPr>
          <w:ilvl w:val="1"/>
          <w:numId w:val="1"/>
        </w:numPr>
      </w:pPr>
      <w:r w:rsidRPr="00FF044C">
        <w:t>A revised price of $</w:t>
      </w:r>
      <w:r w:rsidR="003C460A">
        <w:rPr>
          <w:noProof/>
          <w:color w:val="000000"/>
          <w:highlight w:val="black"/>
        </w:rPr>
        <w:t>'''''''''''''''</w:t>
      </w:r>
      <w:r w:rsidRPr="00FF044C">
        <w:t xml:space="preserve"> / vial (formerly $</w:t>
      </w:r>
      <w:r w:rsidR="003C460A">
        <w:rPr>
          <w:noProof/>
          <w:color w:val="000000"/>
          <w:highlight w:val="black"/>
        </w:rPr>
        <w:t>''''''''''''</w:t>
      </w:r>
      <w:r w:rsidRPr="00FF044C">
        <w:t xml:space="preserve"> / vial, </w:t>
      </w:r>
      <w:r w:rsidRPr="00FF044C">
        <w:rPr>
          <w:snapToGrid/>
        </w:rPr>
        <w:t xml:space="preserve">an approximate </w:t>
      </w:r>
      <w:r w:rsidR="003C460A">
        <w:rPr>
          <w:noProof/>
          <w:snapToGrid/>
          <w:color w:val="000000"/>
          <w:highlight w:val="black"/>
        </w:rPr>
        <w:t>''''''</w:t>
      </w:r>
      <w:r w:rsidRPr="00FF044C">
        <w:rPr>
          <w:snapToGrid/>
        </w:rPr>
        <w:t>% price reduction</w:t>
      </w:r>
      <w:r w:rsidRPr="00FF044C">
        <w:t xml:space="preserve">) was offered in the sponsor’s Pre-PBAC response (p.1). </w:t>
      </w:r>
      <w:r w:rsidRPr="00FF044C">
        <w:rPr>
          <w:snapToGrid/>
        </w:rPr>
        <w:t>Accounting for the changes to the economic evaluation presented in the PSCR and using the proposed revised price of $</w:t>
      </w:r>
      <w:r w:rsidR="003C460A">
        <w:rPr>
          <w:noProof/>
          <w:snapToGrid/>
          <w:color w:val="000000"/>
          <w:highlight w:val="black"/>
        </w:rPr>
        <w:t>'''''''''''''</w:t>
      </w:r>
      <w:r w:rsidRPr="00FF044C">
        <w:rPr>
          <w:snapToGrid/>
        </w:rPr>
        <w:t xml:space="preserve">, the re-specified base case was </w:t>
      </w:r>
      <w:r w:rsidR="003C658F" w:rsidRPr="00113D69">
        <w:rPr>
          <w:snapToGrid/>
        </w:rPr>
        <w:t xml:space="preserve">$105,000 - $200,000 </w:t>
      </w:r>
      <w:r w:rsidRPr="00FF044C">
        <w:rPr>
          <w:snapToGrid/>
        </w:rPr>
        <w:t xml:space="preserve">per responder in </w:t>
      </w:r>
      <w:r w:rsidR="00FF044C">
        <w:rPr>
          <w:snapToGrid/>
        </w:rPr>
        <w:t xml:space="preserve">the </w:t>
      </w:r>
      <w:r w:rsidRPr="00FF044C">
        <w:rPr>
          <w:snapToGrid/>
        </w:rPr>
        <w:t>group of patients likely to proceed to ASCT.</w:t>
      </w:r>
      <w:r w:rsidR="0008552C" w:rsidRPr="00FF044C">
        <w:rPr>
          <w:snapToGrid/>
        </w:rPr>
        <w:t xml:space="preserve"> The PBAC considered </w:t>
      </w:r>
      <w:r w:rsidR="0008552C" w:rsidRPr="00FF044C">
        <w:rPr>
          <w:snapToGrid/>
        </w:rPr>
        <w:lastRenderedPageBreak/>
        <w:t>that the cost per additional patient progressing to ASCT presented in the Pre-PBAC response remained inappropriately high and was not cost-effective.</w:t>
      </w:r>
    </w:p>
    <w:p w:rsidR="00230385" w:rsidRPr="00FF044C" w:rsidRDefault="00230385" w:rsidP="00230385">
      <w:pPr>
        <w:pStyle w:val="ListParagraph"/>
        <w:widowControl/>
        <w:rPr>
          <w:snapToGrid/>
        </w:rPr>
      </w:pPr>
    </w:p>
    <w:p w:rsidR="00173093" w:rsidRPr="00FF044C" w:rsidRDefault="00173093" w:rsidP="0075545E">
      <w:pPr>
        <w:pStyle w:val="ListParagraph"/>
        <w:widowControl/>
        <w:numPr>
          <w:ilvl w:val="1"/>
          <w:numId w:val="1"/>
        </w:numPr>
      </w:pPr>
      <w:r w:rsidRPr="00FF044C">
        <w:t>The results of the sensitivity analyses indicated that the results of the economic evaluation were most sensitive to the number of treatment cycles and response rates.</w:t>
      </w:r>
    </w:p>
    <w:p w:rsidR="00437F2D" w:rsidRPr="00FF044C" w:rsidRDefault="00437F2D" w:rsidP="00437F2D">
      <w:pPr>
        <w:pStyle w:val="ListParagraph"/>
      </w:pPr>
    </w:p>
    <w:p w:rsidR="00173093" w:rsidRPr="00FF044C" w:rsidRDefault="00173093" w:rsidP="00173093">
      <w:pPr>
        <w:pStyle w:val="Heading2"/>
        <w:rPr>
          <w:i/>
        </w:rPr>
      </w:pPr>
      <w:bookmarkStart w:id="30" w:name="_Toc392858200"/>
      <w:bookmarkStart w:id="31" w:name="_Toc461617177"/>
      <w:r w:rsidRPr="00FF044C">
        <w:rPr>
          <w:i/>
        </w:rPr>
        <w:t>Drug cost/patient/course:</w:t>
      </w:r>
      <w:r w:rsidR="00B30B54" w:rsidRPr="00FF044C">
        <w:rPr>
          <w:i/>
        </w:rPr>
        <w:t xml:space="preserve"> </w:t>
      </w:r>
      <w:r w:rsidR="00C5482C" w:rsidRPr="00FF044C">
        <w:rPr>
          <w:i/>
        </w:rPr>
        <w:t>$</w:t>
      </w:r>
      <w:bookmarkEnd w:id="30"/>
      <w:bookmarkEnd w:id="31"/>
      <w:r w:rsidR="003C460A">
        <w:rPr>
          <w:i/>
          <w:noProof/>
          <w:color w:val="000000"/>
          <w:highlight w:val="black"/>
        </w:rPr>
        <w:t>'''''''''''''''</w:t>
      </w:r>
    </w:p>
    <w:p w:rsidR="00173093" w:rsidRPr="00FF044C" w:rsidRDefault="00173093" w:rsidP="00173093">
      <w:pPr>
        <w:widowControl/>
        <w:rPr>
          <w:szCs w:val="22"/>
        </w:rPr>
      </w:pPr>
    </w:p>
    <w:p w:rsidR="00437F2D" w:rsidRPr="00FF044C" w:rsidRDefault="00173093" w:rsidP="00D93868">
      <w:pPr>
        <w:pStyle w:val="ListParagraph"/>
        <w:widowControl/>
        <w:numPr>
          <w:ilvl w:val="1"/>
          <w:numId w:val="1"/>
        </w:numPr>
        <w:rPr>
          <w:i/>
          <w:szCs w:val="22"/>
        </w:rPr>
      </w:pPr>
      <w:r w:rsidRPr="00FF044C">
        <w:t xml:space="preserve">The drug cost per patient per </w:t>
      </w:r>
      <w:r w:rsidR="00B30B54" w:rsidRPr="00FF044C">
        <w:t xml:space="preserve">cycle </w:t>
      </w:r>
      <w:r w:rsidRPr="00FF044C">
        <w:t xml:space="preserve">was </w:t>
      </w:r>
      <w:r w:rsidR="000D1A00">
        <w:t>$</w:t>
      </w:r>
      <w:r w:rsidR="003C460A">
        <w:rPr>
          <w:noProof/>
          <w:color w:val="000000"/>
          <w:highlight w:val="black"/>
        </w:rPr>
        <w:t>''''''''''''''''''''''</w:t>
      </w:r>
      <w:r w:rsidR="000D1A00">
        <w:t xml:space="preserve"> in th</w:t>
      </w:r>
      <w:r w:rsidR="00D93868">
        <w:t xml:space="preserve">e Private Hospital setting, and </w:t>
      </w:r>
      <w:r w:rsidR="000D1A00">
        <w:t>$</w:t>
      </w:r>
      <w:r w:rsidR="003C460A">
        <w:rPr>
          <w:noProof/>
          <w:color w:val="000000"/>
          <w:highlight w:val="black"/>
        </w:rPr>
        <w:t>''''''''''''''''''''</w:t>
      </w:r>
      <w:r w:rsidR="000D1A00">
        <w:t xml:space="preserve"> in the Public Hospital setting</w:t>
      </w:r>
      <w:r w:rsidR="00CC1798" w:rsidRPr="00FF044C">
        <w:t xml:space="preserve"> </w:t>
      </w:r>
      <w:r w:rsidRPr="00FF044C">
        <w:t xml:space="preserve">based on </w:t>
      </w:r>
      <w:r w:rsidR="00A902F8" w:rsidRPr="00FF044C">
        <w:t xml:space="preserve">three vials per cycle </w:t>
      </w:r>
      <w:r w:rsidR="00B30B54" w:rsidRPr="00FF044C">
        <w:t>an</w:t>
      </w:r>
      <w:r w:rsidR="00A902F8" w:rsidRPr="00FF044C">
        <w:t>d an</w:t>
      </w:r>
      <w:r w:rsidR="00B30B54" w:rsidRPr="00FF044C">
        <w:t xml:space="preserve"> </w:t>
      </w:r>
      <w:r w:rsidR="00D93868">
        <w:t>AEMP of</w:t>
      </w:r>
      <w:r w:rsidR="00B30B54" w:rsidRPr="00FF044C">
        <w:t xml:space="preserve"> $</w:t>
      </w:r>
      <w:r w:rsidR="003C460A">
        <w:rPr>
          <w:noProof/>
          <w:color w:val="000000"/>
          <w:highlight w:val="black"/>
        </w:rPr>
        <w:t>''''''''''''''</w:t>
      </w:r>
      <w:r w:rsidR="00B30B54" w:rsidRPr="00FF044C">
        <w:t xml:space="preserve"> </w:t>
      </w:r>
      <w:r w:rsidR="00A902F8" w:rsidRPr="00FF044C">
        <w:t>per vial</w:t>
      </w:r>
      <w:r w:rsidR="00FE7179" w:rsidRPr="00FF044C">
        <w:t xml:space="preserve"> (</w:t>
      </w:r>
      <w:r w:rsidR="0008552C" w:rsidRPr="00FF044C">
        <w:t xml:space="preserve">based on the </w:t>
      </w:r>
      <w:r w:rsidR="00FE7179" w:rsidRPr="00FF044C">
        <w:t>revised price offered in the Pre-PBAC response)</w:t>
      </w:r>
      <w:r w:rsidR="00D93868">
        <w:t xml:space="preserve">. </w:t>
      </w:r>
      <w:r w:rsidR="00B30B54" w:rsidRPr="00FF044C">
        <w:t xml:space="preserve">The public to private hospital </w:t>
      </w:r>
      <w:r w:rsidR="00F1180A" w:rsidRPr="00FF044C">
        <w:t>ratio</w:t>
      </w:r>
      <w:r w:rsidR="00B30B54" w:rsidRPr="00FF044C">
        <w:t xml:space="preserve"> was assumed </w:t>
      </w:r>
      <w:r w:rsidR="00F1180A" w:rsidRPr="00FF044C">
        <w:t xml:space="preserve">to be </w:t>
      </w:r>
      <w:r w:rsidR="00B30B54" w:rsidRPr="00FF044C">
        <w:t>32</w:t>
      </w:r>
      <w:r w:rsidR="00FF044C">
        <w:t>:</w:t>
      </w:r>
      <w:r w:rsidR="00B30B54" w:rsidRPr="00FF044C">
        <w:t xml:space="preserve">68. The submission </w:t>
      </w:r>
      <w:r w:rsidR="00BC6456" w:rsidRPr="00FF044C">
        <w:t>calculated</w:t>
      </w:r>
      <w:r w:rsidR="00B30B54" w:rsidRPr="00FF044C">
        <w:t xml:space="preserve"> </w:t>
      </w:r>
      <w:r w:rsidR="00A902F8" w:rsidRPr="00FF044C">
        <w:t>an average of 4.57 cycles for the course of treatment with brentuximab.</w:t>
      </w:r>
    </w:p>
    <w:p w:rsidR="00173093" w:rsidRPr="00FF044C" w:rsidRDefault="00173093" w:rsidP="00FE7179">
      <w:pPr>
        <w:pStyle w:val="ListParagraph"/>
        <w:widowControl/>
      </w:pPr>
    </w:p>
    <w:p w:rsidR="00173093" w:rsidRPr="00FF044C" w:rsidRDefault="00173093" w:rsidP="00173093">
      <w:pPr>
        <w:pStyle w:val="Heading2"/>
        <w:rPr>
          <w:i/>
        </w:rPr>
      </w:pPr>
      <w:bookmarkStart w:id="32" w:name="_Toc392858201"/>
      <w:bookmarkStart w:id="33" w:name="_Toc461617178"/>
      <w:r w:rsidRPr="00FF044C">
        <w:rPr>
          <w:i/>
        </w:rPr>
        <w:t>Estimated PBS usage &amp; financial implications</w:t>
      </w:r>
      <w:bookmarkEnd w:id="32"/>
      <w:bookmarkEnd w:id="33"/>
    </w:p>
    <w:p w:rsidR="00173093" w:rsidRPr="00FF044C" w:rsidRDefault="00173093" w:rsidP="00173093">
      <w:pPr>
        <w:ind w:left="720" w:hanging="720"/>
        <w:rPr>
          <w:b/>
          <w:i/>
          <w:szCs w:val="22"/>
        </w:rPr>
      </w:pPr>
    </w:p>
    <w:p w:rsidR="00173093" w:rsidRPr="00FF044C" w:rsidRDefault="00173093" w:rsidP="0075545E">
      <w:pPr>
        <w:widowControl/>
        <w:numPr>
          <w:ilvl w:val="1"/>
          <w:numId w:val="1"/>
        </w:numPr>
        <w:contextualSpacing/>
        <w:rPr>
          <w:szCs w:val="22"/>
        </w:rPr>
      </w:pPr>
      <w:r w:rsidRPr="00FF044C">
        <w:t xml:space="preserve">This </w:t>
      </w:r>
      <w:r w:rsidR="00E83B89" w:rsidRPr="00FF044C">
        <w:t>submission wa</w:t>
      </w:r>
      <w:r w:rsidRPr="00FF044C">
        <w:t xml:space="preserve">s not considered by DUSC. </w:t>
      </w:r>
    </w:p>
    <w:p w:rsidR="00173093" w:rsidRPr="00FF044C" w:rsidRDefault="00173093" w:rsidP="00173093">
      <w:pPr>
        <w:widowControl/>
        <w:ind w:left="720"/>
        <w:contextualSpacing/>
        <w:rPr>
          <w:szCs w:val="22"/>
        </w:rPr>
      </w:pPr>
    </w:p>
    <w:p w:rsidR="00173093" w:rsidRPr="00FF044C" w:rsidRDefault="00173093" w:rsidP="0075545E">
      <w:pPr>
        <w:widowControl/>
        <w:numPr>
          <w:ilvl w:val="1"/>
          <w:numId w:val="1"/>
        </w:numPr>
        <w:contextualSpacing/>
        <w:rPr>
          <w:szCs w:val="22"/>
        </w:rPr>
      </w:pPr>
      <w:r w:rsidRPr="00FF044C">
        <w:t xml:space="preserve">The submission used an epidemiological approach and forecasted the number of eligible patients using the number of ASCTs conducted in Australia for Hodgkin lymphoma. The uptake rate was increased from </w:t>
      </w:r>
      <w:r w:rsidR="003C460A">
        <w:rPr>
          <w:noProof/>
          <w:color w:val="000000"/>
          <w:highlight w:val="black"/>
        </w:rPr>
        <w:t>''''''</w:t>
      </w:r>
      <w:r w:rsidRPr="00FF044C">
        <w:t xml:space="preserve">% to </w:t>
      </w:r>
      <w:r w:rsidR="003C460A">
        <w:rPr>
          <w:noProof/>
          <w:color w:val="000000"/>
          <w:highlight w:val="black"/>
        </w:rPr>
        <w:t>'''''''</w:t>
      </w:r>
      <w:r w:rsidRPr="00FF044C">
        <w:t>% to address the PBAC’s concerns that uptake was underestimated in the previous submission.</w:t>
      </w:r>
    </w:p>
    <w:p w:rsidR="00A93CD6" w:rsidRPr="00FF044C" w:rsidRDefault="00A93CD6" w:rsidP="00A93CD6">
      <w:pPr>
        <w:pStyle w:val="ListParagraph"/>
        <w:rPr>
          <w:szCs w:val="22"/>
        </w:rPr>
      </w:pPr>
    </w:p>
    <w:p w:rsidR="00A93CD6" w:rsidRPr="00FF044C" w:rsidRDefault="00A93CD6" w:rsidP="0075545E">
      <w:pPr>
        <w:widowControl/>
        <w:numPr>
          <w:ilvl w:val="1"/>
          <w:numId w:val="1"/>
        </w:numPr>
        <w:contextualSpacing/>
        <w:rPr>
          <w:szCs w:val="22"/>
        </w:rPr>
      </w:pPr>
      <w:r w:rsidRPr="00FF044C">
        <w:rPr>
          <w:szCs w:val="22"/>
        </w:rPr>
        <w:t xml:space="preserve">Table </w:t>
      </w:r>
      <w:r w:rsidR="002327F9" w:rsidRPr="00FF044C">
        <w:rPr>
          <w:szCs w:val="22"/>
        </w:rPr>
        <w:t xml:space="preserve">12 </w:t>
      </w:r>
      <w:r w:rsidRPr="00FF044C">
        <w:rPr>
          <w:szCs w:val="22"/>
        </w:rPr>
        <w:t xml:space="preserve">presents the estimated use and financial implications of </w:t>
      </w:r>
      <w:r w:rsidR="001E6E56" w:rsidRPr="00FF044C">
        <w:rPr>
          <w:szCs w:val="22"/>
        </w:rPr>
        <w:t xml:space="preserve">listing </w:t>
      </w:r>
      <w:r w:rsidRPr="00FF044C">
        <w:rPr>
          <w:szCs w:val="22"/>
        </w:rPr>
        <w:t>brentuximab vedotin</w:t>
      </w:r>
      <w:r w:rsidR="001E6E56" w:rsidRPr="00FF044C">
        <w:rPr>
          <w:szCs w:val="22"/>
        </w:rPr>
        <w:t xml:space="preserve"> for the treatment of ASCT</w:t>
      </w:r>
      <w:r w:rsidR="00570FD0" w:rsidRPr="00FF044C">
        <w:rPr>
          <w:szCs w:val="22"/>
        </w:rPr>
        <w:t xml:space="preserve"> </w:t>
      </w:r>
      <w:r w:rsidR="001E6E56" w:rsidRPr="00FF044C">
        <w:rPr>
          <w:szCs w:val="22"/>
        </w:rPr>
        <w:t>naïve H</w:t>
      </w:r>
      <w:r w:rsidR="00DF544A" w:rsidRPr="00FF044C">
        <w:rPr>
          <w:szCs w:val="22"/>
        </w:rPr>
        <w:t>odgkin lymphoma</w:t>
      </w:r>
      <w:r w:rsidR="001E6E56" w:rsidRPr="00FF044C">
        <w:rPr>
          <w:szCs w:val="22"/>
        </w:rPr>
        <w:t xml:space="preserve"> patients.</w:t>
      </w:r>
    </w:p>
    <w:p w:rsidR="00173093" w:rsidRPr="00FF044C" w:rsidRDefault="00173093" w:rsidP="00173093">
      <w:pPr>
        <w:widowControl/>
        <w:tabs>
          <w:tab w:val="left" w:pos="3494"/>
        </w:tabs>
        <w:ind w:left="720"/>
        <w:jc w:val="left"/>
        <w:rPr>
          <w:szCs w:val="22"/>
        </w:rPr>
      </w:pPr>
      <w:r w:rsidRPr="00FF044C">
        <w:rPr>
          <w:szCs w:val="22"/>
        </w:rPr>
        <w:tab/>
      </w:r>
    </w:p>
    <w:p w:rsidR="00173093" w:rsidRPr="00FF044C" w:rsidRDefault="00173093" w:rsidP="00173093">
      <w:pPr>
        <w:widowControl/>
        <w:ind w:firstLine="709"/>
        <w:rPr>
          <w:rFonts w:ascii="Arial Narrow" w:hAnsi="Arial Narrow"/>
          <w:b/>
          <w:sz w:val="20"/>
          <w:szCs w:val="16"/>
        </w:rPr>
      </w:pPr>
      <w:r w:rsidRPr="00FF044C">
        <w:rPr>
          <w:rFonts w:ascii="Arial Narrow" w:hAnsi="Arial Narrow"/>
          <w:b/>
          <w:sz w:val="20"/>
          <w:szCs w:val="16"/>
        </w:rPr>
        <w:t xml:space="preserve">Table </w:t>
      </w:r>
      <w:r w:rsidR="002327F9" w:rsidRPr="00FF044C">
        <w:rPr>
          <w:rFonts w:ascii="Arial Narrow" w:hAnsi="Arial Narrow"/>
          <w:b/>
          <w:sz w:val="20"/>
          <w:szCs w:val="16"/>
        </w:rPr>
        <w:t>12</w:t>
      </w:r>
      <w:r w:rsidRPr="00FF044C">
        <w:rPr>
          <w:rFonts w:ascii="Arial Narrow" w:hAnsi="Arial Narrow"/>
          <w:b/>
          <w:sz w:val="20"/>
          <w:szCs w:val="16"/>
        </w:rPr>
        <w:t>: Estimated use and financial implications</w:t>
      </w:r>
      <w:r w:rsidR="00CF622C" w:rsidRPr="00FF044C">
        <w:rPr>
          <w:rFonts w:ascii="Arial Narrow" w:hAnsi="Arial Narrow"/>
          <w:b/>
          <w:sz w:val="20"/>
          <w:szCs w:val="16"/>
        </w:rPr>
        <w:t xml:space="preserve"> of brentuximab vedotin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1134"/>
        <w:gridCol w:w="1134"/>
        <w:gridCol w:w="1134"/>
        <w:gridCol w:w="1134"/>
        <w:gridCol w:w="1134"/>
      </w:tblGrid>
      <w:tr w:rsidR="00633500" w:rsidRPr="00FF044C" w:rsidTr="00633500">
        <w:trPr>
          <w:tblHeader/>
        </w:trPr>
        <w:tc>
          <w:tcPr>
            <w:tcW w:w="1610" w:type="pct"/>
            <w:tcBorders>
              <w:top w:val="single" w:sz="4" w:space="0" w:color="auto"/>
              <w:left w:val="single" w:sz="4" w:space="0" w:color="auto"/>
              <w:bottom w:val="single" w:sz="4" w:space="0" w:color="auto"/>
              <w:right w:val="single" w:sz="4" w:space="0" w:color="auto"/>
            </w:tcBorders>
            <w:vAlign w:val="center"/>
          </w:tcPr>
          <w:p w:rsidR="00173093" w:rsidRPr="00FF044C" w:rsidRDefault="00173093" w:rsidP="00E47679">
            <w:pPr>
              <w:widowControl/>
              <w:jc w:val="left"/>
              <w:rPr>
                <w:rFonts w:ascii="Arial Narrow" w:hAnsi="Arial Narrow" w:cs="Times New Roman"/>
                <w:b/>
                <w:snapToGrid/>
                <w:sz w:val="20"/>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CF622C">
            <w:pPr>
              <w:widowControl/>
              <w:jc w:val="center"/>
              <w:rPr>
                <w:rFonts w:ascii="Arial Narrow" w:hAnsi="Arial Narrow" w:cs="Times New Roman"/>
                <w:b/>
                <w:snapToGrid/>
                <w:sz w:val="20"/>
              </w:rPr>
            </w:pPr>
            <w:r w:rsidRPr="00FF044C">
              <w:rPr>
                <w:rFonts w:ascii="Arial Narrow" w:hAnsi="Arial Narrow" w:cs="Times New Roman"/>
                <w:b/>
                <w:snapToGrid/>
                <w:sz w:val="20"/>
              </w:rPr>
              <w:t>Year 1</w:t>
            </w:r>
          </w:p>
        </w:tc>
        <w:tc>
          <w:tcPr>
            <w:tcW w:w="678"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CF622C">
            <w:pPr>
              <w:widowControl/>
              <w:jc w:val="center"/>
              <w:rPr>
                <w:rFonts w:ascii="Arial Narrow" w:hAnsi="Arial Narrow" w:cs="Times New Roman"/>
                <w:b/>
                <w:snapToGrid/>
                <w:sz w:val="20"/>
              </w:rPr>
            </w:pPr>
            <w:r w:rsidRPr="00FF044C">
              <w:rPr>
                <w:rFonts w:ascii="Arial Narrow" w:hAnsi="Arial Narrow" w:cs="Times New Roman"/>
                <w:b/>
                <w:snapToGrid/>
                <w:sz w:val="20"/>
              </w:rPr>
              <w:t>Year 2</w:t>
            </w:r>
          </w:p>
        </w:tc>
        <w:tc>
          <w:tcPr>
            <w:tcW w:w="678"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CF622C">
            <w:pPr>
              <w:widowControl/>
              <w:jc w:val="center"/>
              <w:rPr>
                <w:rFonts w:ascii="Arial Narrow" w:hAnsi="Arial Narrow" w:cs="Times New Roman"/>
                <w:b/>
                <w:snapToGrid/>
                <w:sz w:val="20"/>
              </w:rPr>
            </w:pPr>
            <w:r w:rsidRPr="00FF044C">
              <w:rPr>
                <w:rFonts w:ascii="Arial Narrow" w:hAnsi="Arial Narrow" w:cs="Times New Roman"/>
                <w:b/>
                <w:snapToGrid/>
                <w:sz w:val="20"/>
              </w:rPr>
              <w:t>Year 3</w:t>
            </w:r>
          </w:p>
        </w:tc>
        <w:tc>
          <w:tcPr>
            <w:tcW w:w="678"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CF622C">
            <w:pPr>
              <w:widowControl/>
              <w:jc w:val="center"/>
              <w:rPr>
                <w:rFonts w:ascii="Arial Narrow" w:hAnsi="Arial Narrow" w:cs="Times New Roman"/>
                <w:b/>
                <w:snapToGrid/>
                <w:sz w:val="20"/>
              </w:rPr>
            </w:pPr>
            <w:r w:rsidRPr="00FF044C">
              <w:rPr>
                <w:rFonts w:ascii="Arial Narrow" w:hAnsi="Arial Narrow" w:cs="Times New Roman"/>
                <w:b/>
                <w:snapToGrid/>
                <w:sz w:val="20"/>
              </w:rPr>
              <w:t>Year 4</w:t>
            </w:r>
          </w:p>
        </w:tc>
        <w:tc>
          <w:tcPr>
            <w:tcW w:w="678"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CF622C">
            <w:pPr>
              <w:widowControl/>
              <w:jc w:val="center"/>
              <w:rPr>
                <w:rFonts w:ascii="Arial Narrow" w:hAnsi="Arial Narrow" w:cs="Times New Roman"/>
                <w:b/>
                <w:snapToGrid/>
                <w:sz w:val="20"/>
              </w:rPr>
            </w:pPr>
            <w:r w:rsidRPr="00FF044C">
              <w:rPr>
                <w:rFonts w:ascii="Arial Narrow" w:hAnsi="Arial Narrow" w:cs="Times New Roman"/>
                <w:b/>
                <w:snapToGrid/>
                <w:sz w:val="20"/>
              </w:rPr>
              <w:t>Year 5</w:t>
            </w:r>
          </w:p>
        </w:tc>
      </w:tr>
      <w:tr w:rsidR="00173093" w:rsidRPr="00FF044C" w:rsidTr="00C45B6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E47679">
            <w:pPr>
              <w:widowControl/>
              <w:jc w:val="left"/>
              <w:rPr>
                <w:rFonts w:ascii="Arial Narrow" w:hAnsi="Arial Narrow" w:cs="Times New Roman"/>
                <w:b/>
                <w:bCs/>
                <w:snapToGrid/>
                <w:color w:val="000000"/>
                <w:sz w:val="20"/>
              </w:rPr>
            </w:pPr>
            <w:r w:rsidRPr="00FF044C">
              <w:rPr>
                <w:rFonts w:ascii="Arial Narrow" w:hAnsi="Arial Narrow" w:cs="Times New Roman"/>
                <w:b/>
                <w:bCs/>
                <w:snapToGrid/>
                <w:color w:val="000000"/>
                <w:sz w:val="20"/>
              </w:rPr>
              <w:t>Estimated extent of use</w:t>
            </w:r>
          </w:p>
        </w:tc>
      </w:tr>
      <w:tr w:rsidR="00633500" w:rsidRPr="00FF044C" w:rsidTr="00633500">
        <w:tc>
          <w:tcPr>
            <w:tcW w:w="1610"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E47679">
            <w:pPr>
              <w:widowControl/>
              <w:jc w:val="left"/>
              <w:rPr>
                <w:rFonts w:ascii="Arial Narrow" w:hAnsi="Arial Narrow" w:cs="Times New Roman"/>
                <w:snapToGrid/>
                <w:sz w:val="20"/>
              </w:rPr>
            </w:pPr>
            <w:r w:rsidRPr="00FF044C">
              <w:rPr>
                <w:rFonts w:ascii="Arial Narrow" w:hAnsi="Arial Narrow" w:cs="Times New Roman"/>
                <w:snapToGrid/>
                <w:sz w:val="20"/>
              </w:rPr>
              <w:t>Number treated</w:t>
            </w:r>
          </w:p>
        </w:tc>
        <w:tc>
          <w:tcPr>
            <w:tcW w:w="678" w:type="pct"/>
            <w:tcBorders>
              <w:top w:val="single" w:sz="4" w:space="0" w:color="auto"/>
              <w:left w:val="single" w:sz="4" w:space="0" w:color="auto"/>
              <w:bottom w:val="single" w:sz="4" w:space="0" w:color="auto"/>
              <w:right w:val="single" w:sz="4" w:space="0" w:color="auto"/>
            </w:tcBorders>
            <w:hideMark/>
          </w:tcPr>
          <w:p w:rsidR="00173093" w:rsidRPr="003C460A" w:rsidRDefault="003C460A" w:rsidP="00E47679">
            <w:pPr>
              <w:widowControl/>
              <w:jc w:val="center"/>
              <w:rPr>
                <w:rFonts w:ascii="Arial Narrow" w:hAnsi="Arial Narrow" w:cs="Times New Roman"/>
                <w:snapToGrid/>
                <w:color w:val="000000"/>
                <w:sz w:val="20"/>
                <w:highlight w:val="black"/>
                <w:lang w:eastAsia="en-AU"/>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hideMark/>
          </w:tcPr>
          <w:p w:rsidR="00173093" w:rsidRPr="003C460A" w:rsidRDefault="003C460A" w:rsidP="00E47679">
            <w:pPr>
              <w:widowControl/>
              <w:jc w:val="center"/>
              <w:rPr>
                <w:rFonts w:ascii="Arial Narrow" w:hAnsi="Arial Narrow" w:cs="Times New Roman"/>
                <w:snapToGrid/>
                <w:color w:val="000000"/>
                <w:sz w:val="20"/>
                <w:highlight w:val="black"/>
                <w:lang w:eastAsia="en-AU"/>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hideMark/>
          </w:tcPr>
          <w:p w:rsidR="00173093" w:rsidRPr="003C460A" w:rsidRDefault="003C460A" w:rsidP="00E47679">
            <w:pPr>
              <w:widowControl/>
              <w:jc w:val="center"/>
              <w:rPr>
                <w:rFonts w:ascii="Arial Narrow" w:hAnsi="Arial Narrow" w:cs="Times New Roman"/>
                <w:snapToGrid/>
                <w:color w:val="000000"/>
                <w:sz w:val="20"/>
                <w:highlight w:val="black"/>
                <w:lang w:eastAsia="en-AU"/>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hideMark/>
          </w:tcPr>
          <w:p w:rsidR="00173093" w:rsidRPr="003C460A" w:rsidRDefault="003C460A" w:rsidP="00E47679">
            <w:pPr>
              <w:widowControl/>
              <w:jc w:val="center"/>
              <w:rPr>
                <w:rFonts w:ascii="Arial Narrow" w:hAnsi="Arial Narrow" w:cs="Times New Roman"/>
                <w:snapToGrid/>
                <w:color w:val="000000"/>
                <w:sz w:val="20"/>
                <w:highlight w:val="black"/>
                <w:lang w:eastAsia="en-AU"/>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hideMark/>
          </w:tcPr>
          <w:p w:rsidR="00173093" w:rsidRPr="003C460A" w:rsidRDefault="003C460A" w:rsidP="00E47679">
            <w:pPr>
              <w:widowControl/>
              <w:jc w:val="center"/>
              <w:rPr>
                <w:rFonts w:ascii="Arial Narrow" w:hAnsi="Arial Narrow" w:cs="Times New Roman"/>
                <w:snapToGrid/>
                <w:color w:val="000000"/>
                <w:sz w:val="20"/>
                <w:highlight w:val="black"/>
                <w:lang w:eastAsia="en-AU"/>
              </w:rPr>
            </w:pPr>
            <w:r>
              <w:rPr>
                <w:rStyle w:val="TableText1"/>
                <w:noProof/>
                <w:color w:val="000000"/>
                <w:highlight w:val="black"/>
              </w:rPr>
              <w:t>'''''</w:t>
            </w:r>
          </w:p>
        </w:tc>
      </w:tr>
      <w:tr w:rsidR="00633500" w:rsidRPr="00FF044C" w:rsidTr="00633500">
        <w:tc>
          <w:tcPr>
            <w:tcW w:w="1610"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E47679">
            <w:pPr>
              <w:widowControl/>
              <w:jc w:val="left"/>
              <w:rPr>
                <w:rFonts w:ascii="Arial Narrow" w:hAnsi="Arial Narrow" w:cs="Times New Roman"/>
                <w:snapToGrid/>
                <w:sz w:val="20"/>
              </w:rPr>
            </w:pPr>
            <w:r w:rsidRPr="00FF044C">
              <w:rPr>
                <w:rFonts w:ascii="Arial Narrow" w:hAnsi="Arial Narrow" w:cs="Times New Roman"/>
                <w:snapToGrid/>
                <w:sz w:val="20"/>
              </w:rPr>
              <w:t xml:space="preserve">Vials </w:t>
            </w:r>
            <w:r w:rsidRPr="00FF044C">
              <w:rPr>
                <w:rFonts w:ascii="Arial Narrow" w:hAnsi="Arial Narrow" w:cs="Times New Roman"/>
                <w:snapToGrid/>
                <w:sz w:val="20"/>
                <w:vertAlign w:val="superscript"/>
              </w:rPr>
              <w:t>a</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3C460A" w:rsidRDefault="003C460A" w:rsidP="00E47679">
            <w:pPr>
              <w:widowControl/>
              <w:jc w:val="center"/>
              <w:rPr>
                <w:rStyle w:val="TableText1"/>
                <w:highlight w:val="black"/>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3C460A" w:rsidRDefault="003C460A" w:rsidP="00E47679">
            <w:pPr>
              <w:widowControl/>
              <w:jc w:val="center"/>
              <w:rPr>
                <w:rStyle w:val="TableText1"/>
                <w:highlight w:val="black"/>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3C460A" w:rsidRDefault="003C460A" w:rsidP="00E47679">
            <w:pPr>
              <w:widowControl/>
              <w:jc w:val="center"/>
              <w:rPr>
                <w:rStyle w:val="TableText1"/>
                <w:highlight w:val="black"/>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3C460A" w:rsidRDefault="003C460A" w:rsidP="00E47679">
            <w:pPr>
              <w:widowControl/>
              <w:jc w:val="center"/>
              <w:rPr>
                <w:rStyle w:val="TableText1"/>
                <w:highlight w:val="black"/>
              </w:rPr>
            </w:pPr>
            <w:r>
              <w:rPr>
                <w:rStyle w:val="TableText1"/>
                <w:noProof/>
                <w:color w:val="00000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3C460A" w:rsidRDefault="003C460A" w:rsidP="00E47679">
            <w:pPr>
              <w:widowControl/>
              <w:jc w:val="center"/>
              <w:rPr>
                <w:rStyle w:val="TableText1"/>
                <w:highlight w:val="black"/>
              </w:rPr>
            </w:pPr>
            <w:r>
              <w:rPr>
                <w:rStyle w:val="TableText1"/>
                <w:noProof/>
                <w:color w:val="000000"/>
                <w:highlight w:val="black"/>
              </w:rPr>
              <w:t>'''''''''''''</w:t>
            </w:r>
          </w:p>
        </w:tc>
      </w:tr>
      <w:tr w:rsidR="00173093" w:rsidRPr="00FF044C" w:rsidTr="00C45B6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E47679">
            <w:pPr>
              <w:widowControl/>
              <w:jc w:val="left"/>
              <w:rPr>
                <w:rFonts w:ascii="Arial Narrow" w:hAnsi="Arial Narrow" w:cs="Times New Roman"/>
                <w:b/>
                <w:bCs/>
                <w:snapToGrid/>
                <w:color w:val="000000"/>
                <w:sz w:val="20"/>
              </w:rPr>
            </w:pPr>
            <w:r w:rsidRPr="00FF044C">
              <w:rPr>
                <w:rFonts w:ascii="Arial Narrow" w:hAnsi="Arial Narrow" w:cs="Times New Roman"/>
                <w:b/>
                <w:bCs/>
                <w:snapToGrid/>
                <w:color w:val="000000"/>
                <w:sz w:val="20"/>
              </w:rPr>
              <w:t>Estimated net cost to PBS/RPBS/MBS</w:t>
            </w:r>
          </w:p>
        </w:tc>
      </w:tr>
      <w:tr w:rsidR="00633500" w:rsidRPr="00FF044C" w:rsidTr="00633500">
        <w:tc>
          <w:tcPr>
            <w:tcW w:w="1610" w:type="pct"/>
            <w:tcBorders>
              <w:top w:val="single" w:sz="4" w:space="0" w:color="auto"/>
              <w:left w:val="single" w:sz="4" w:space="0" w:color="auto"/>
              <w:bottom w:val="single" w:sz="4" w:space="0" w:color="auto"/>
              <w:right w:val="single" w:sz="4" w:space="0" w:color="auto"/>
            </w:tcBorders>
            <w:vAlign w:val="center"/>
            <w:hideMark/>
          </w:tcPr>
          <w:p w:rsidR="00173093" w:rsidRPr="00FF044C" w:rsidRDefault="00173093" w:rsidP="00E47679">
            <w:pPr>
              <w:widowControl/>
              <w:jc w:val="left"/>
              <w:rPr>
                <w:rFonts w:ascii="Arial Narrow" w:hAnsi="Arial Narrow" w:cs="Times New Roman"/>
                <w:snapToGrid/>
                <w:sz w:val="20"/>
              </w:rPr>
            </w:pPr>
            <w:r w:rsidRPr="00FF044C">
              <w:rPr>
                <w:rFonts w:ascii="Arial Narrow" w:hAnsi="Arial Narrow" w:cs="Times New Roman"/>
                <w:snapToGrid/>
                <w:sz w:val="19"/>
                <w:szCs w:val="19"/>
              </w:rPr>
              <w:t>Net cost to PBS/RPBS</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FF044C" w:rsidRDefault="00173093" w:rsidP="00E47679">
            <w:pPr>
              <w:widowControl/>
              <w:jc w:val="right"/>
              <w:rPr>
                <w:rFonts w:ascii="Arial Narrow" w:hAnsi="Arial Narrow" w:cs="Times New Roman"/>
                <w:bCs/>
                <w:snapToGrid/>
                <w:color w:val="000000"/>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FF044C" w:rsidRDefault="00173093" w:rsidP="00E47679">
            <w:pPr>
              <w:widowControl/>
              <w:jc w:val="right"/>
              <w:rPr>
                <w:rFonts w:ascii="Arial Narrow" w:hAnsi="Arial Narrow" w:cs="Times New Roman"/>
                <w:bCs/>
                <w:snapToGrid/>
                <w:color w:val="000000"/>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FF044C" w:rsidRDefault="00173093" w:rsidP="00E47679">
            <w:pPr>
              <w:widowControl/>
              <w:jc w:val="right"/>
              <w:rPr>
                <w:rFonts w:ascii="Arial Narrow" w:hAnsi="Arial Narrow" w:cs="Times New Roman"/>
                <w:bCs/>
                <w:snapToGrid/>
                <w:color w:val="000000"/>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FF044C" w:rsidRDefault="00173093" w:rsidP="00E47679">
            <w:pPr>
              <w:widowControl/>
              <w:jc w:val="right"/>
              <w:rPr>
                <w:rFonts w:ascii="Arial Narrow" w:hAnsi="Arial Narrow" w:cs="Times New Roman"/>
                <w:bCs/>
                <w:snapToGrid/>
                <w:color w:val="000000"/>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173093" w:rsidRPr="00FF044C" w:rsidRDefault="00173093" w:rsidP="00E47679">
            <w:pPr>
              <w:widowControl/>
              <w:jc w:val="right"/>
              <w:rPr>
                <w:rFonts w:ascii="Arial Narrow" w:hAnsi="Arial Narrow" w:cs="Times New Roman"/>
                <w:bCs/>
                <w:snapToGrid/>
                <w:color w:val="000000"/>
                <w:sz w:val="20"/>
              </w:rPr>
            </w:pPr>
            <w:r w:rsidRPr="00FF044C">
              <w:rPr>
                <w:rFonts w:ascii="Arial Narrow" w:hAnsi="Arial Narrow"/>
                <w:sz w:val="20"/>
              </w:rPr>
              <w:t>$</w:t>
            </w:r>
            <w:r w:rsidR="003C460A">
              <w:rPr>
                <w:rFonts w:ascii="Arial Narrow" w:hAnsi="Arial Narrow"/>
                <w:noProof/>
                <w:color w:val="000000"/>
                <w:sz w:val="20"/>
                <w:highlight w:val="black"/>
              </w:rPr>
              <w:t>''''''''''''''''''''''''</w:t>
            </w:r>
          </w:p>
        </w:tc>
      </w:tr>
      <w:tr w:rsidR="00633500" w:rsidRPr="00FF044C" w:rsidTr="00633500">
        <w:tc>
          <w:tcPr>
            <w:tcW w:w="1610" w:type="pct"/>
            <w:tcBorders>
              <w:top w:val="single" w:sz="4" w:space="0" w:color="auto"/>
              <w:left w:val="single" w:sz="4" w:space="0" w:color="auto"/>
              <w:bottom w:val="single" w:sz="4" w:space="0" w:color="auto"/>
              <w:right w:val="single" w:sz="4" w:space="0" w:color="auto"/>
            </w:tcBorders>
            <w:vAlign w:val="center"/>
            <w:hideMark/>
          </w:tcPr>
          <w:p w:rsidR="000F504D" w:rsidRPr="00FF044C" w:rsidRDefault="000F504D" w:rsidP="00E47679">
            <w:pPr>
              <w:widowControl/>
              <w:jc w:val="left"/>
              <w:rPr>
                <w:rFonts w:ascii="Arial Narrow" w:hAnsi="Arial Narrow" w:cs="Times New Roman"/>
                <w:snapToGrid/>
                <w:sz w:val="20"/>
              </w:rPr>
            </w:pPr>
            <w:r w:rsidRPr="00FF044C">
              <w:rPr>
                <w:rFonts w:ascii="Arial Narrow" w:hAnsi="Arial Narrow" w:cs="Times New Roman"/>
                <w:snapToGrid/>
                <w:sz w:val="19"/>
                <w:szCs w:val="19"/>
              </w:rPr>
              <w:t>Net cost to MBS</w:t>
            </w:r>
          </w:p>
        </w:tc>
        <w:tc>
          <w:tcPr>
            <w:tcW w:w="678" w:type="pct"/>
            <w:tcBorders>
              <w:top w:val="single" w:sz="4" w:space="0" w:color="auto"/>
              <w:left w:val="single" w:sz="4" w:space="0" w:color="auto"/>
              <w:bottom w:val="single" w:sz="4" w:space="0" w:color="auto"/>
              <w:right w:val="single" w:sz="4" w:space="0" w:color="auto"/>
            </w:tcBorders>
            <w:vAlign w:val="bottom"/>
            <w:hideMark/>
          </w:tcPr>
          <w:p w:rsidR="000F504D" w:rsidRPr="00FF044C" w:rsidRDefault="000F504D" w:rsidP="00E47679">
            <w:pPr>
              <w:widowControl/>
              <w:jc w:val="right"/>
              <w:rPr>
                <w:rFonts w:ascii="Arial Narrow" w:hAnsi="Arial Narrow" w:cs="Times New Roman"/>
                <w:snapToGrid/>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0F504D" w:rsidRPr="00FF044C" w:rsidRDefault="000F504D" w:rsidP="00E47679">
            <w:pPr>
              <w:widowControl/>
              <w:jc w:val="right"/>
              <w:rPr>
                <w:rFonts w:ascii="Arial Narrow" w:hAnsi="Arial Narrow" w:cs="Times New Roman"/>
                <w:snapToGrid/>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0F504D" w:rsidRPr="00FF044C" w:rsidRDefault="000F504D" w:rsidP="00E47679">
            <w:pPr>
              <w:widowControl/>
              <w:jc w:val="right"/>
              <w:rPr>
                <w:rFonts w:ascii="Arial Narrow" w:hAnsi="Arial Narrow" w:cs="Times New Roman"/>
                <w:snapToGrid/>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0F504D" w:rsidRPr="00FF044C" w:rsidRDefault="000F504D" w:rsidP="00E47679">
            <w:pPr>
              <w:widowControl/>
              <w:jc w:val="right"/>
              <w:rPr>
                <w:rFonts w:ascii="Arial Narrow" w:hAnsi="Arial Narrow" w:cs="Times New Roman"/>
                <w:snapToGrid/>
                <w:sz w:val="20"/>
              </w:rPr>
            </w:pPr>
            <w:r w:rsidRPr="00FF044C">
              <w:rPr>
                <w:rFonts w:ascii="Arial Narrow" w:hAnsi="Arial Narrow"/>
                <w:sz w:val="20"/>
              </w:rPr>
              <w:t>-$</w:t>
            </w:r>
            <w:r w:rsidR="003C460A">
              <w:rPr>
                <w:rFonts w:ascii="Arial Narrow" w:hAnsi="Arial Narrow"/>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0F504D" w:rsidRPr="00FF044C" w:rsidRDefault="000F504D" w:rsidP="00E47679">
            <w:pPr>
              <w:widowControl/>
              <w:jc w:val="right"/>
              <w:rPr>
                <w:rFonts w:ascii="Arial Narrow" w:hAnsi="Arial Narrow" w:cs="Times New Roman"/>
                <w:snapToGrid/>
                <w:sz w:val="20"/>
              </w:rPr>
            </w:pPr>
            <w:r w:rsidRPr="00FF044C">
              <w:rPr>
                <w:rFonts w:ascii="Arial Narrow" w:hAnsi="Arial Narrow"/>
                <w:sz w:val="20"/>
              </w:rPr>
              <w:t>-$</w:t>
            </w:r>
            <w:r w:rsidR="003C460A">
              <w:rPr>
                <w:rFonts w:ascii="Arial Narrow" w:hAnsi="Arial Narrow"/>
                <w:noProof/>
                <w:color w:val="000000"/>
                <w:sz w:val="20"/>
                <w:highlight w:val="black"/>
              </w:rPr>
              <w:t>'''''''''''''''</w:t>
            </w:r>
          </w:p>
        </w:tc>
      </w:tr>
      <w:tr w:rsidR="000F504D" w:rsidRPr="00FF044C" w:rsidTr="00C45B6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0F504D" w:rsidRPr="00FF044C" w:rsidRDefault="000F504D" w:rsidP="00E47679">
            <w:pPr>
              <w:widowControl/>
              <w:jc w:val="left"/>
              <w:rPr>
                <w:rFonts w:ascii="Arial Narrow" w:hAnsi="Arial Narrow" w:cs="Times New Roman"/>
                <w:b/>
                <w:snapToGrid/>
                <w:color w:val="000000"/>
                <w:sz w:val="20"/>
              </w:rPr>
            </w:pPr>
            <w:r w:rsidRPr="00FF044C">
              <w:rPr>
                <w:rFonts w:ascii="Arial Narrow" w:hAnsi="Arial Narrow" w:cs="Times New Roman"/>
                <w:b/>
                <w:snapToGrid/>
                <w:color w:val="000000"/>
                <w:sz w:val="20"/>
              </w:rPr>
              <w:t>Estimated total net cost</w:t>
            </w:r>
          </w:p>
        </w:tc>
      </w:tr>
      <w:tr w:rsidR="00633500" w:rsidRPr="00FF044C" w:rsidTr="00633500">
        <w:tc>
          <w:tcPr>
            <w:tcW w:w="1610" w:type="pct"/>
            <w:tcBorders>
              <w:top w:val="single" w:sz="4" w:space="0" w:color="auto"/>
              <w:left w:val="single" w:sz="4" w:space="0" w:color="auto"/>
              <w:bottom w:val="single" w:sz="4" w:space="0" w:color="auto"/>
              <w:right w:val="single" w:sz="4" w:space="0" w:color="auto"/>
            </w:tcBorders>
            <w:vAlign w:val="center"/>
            <w:hideMark/>
          </w:tcPr>
          <w:p w:rsidR="00785935" w:rsidRPr="00FF044C" w:rsidRDefault="00785935" w:rsidP="00E47679">
            <w:pPr>
              <w:widowControl/>
              <w:jc w:val="left"/>
              <w:rPr>
                <w:rFonts w:ascii="Arial Narrow" w:hAnsi="Arial Narrow" w:cs="Times New Roman"/>
                <w:snapToGrid/>
                <w:sz w:val="20"/>
              </w:rPr>
            </w:pPr>
            <w:r w:rsidRPr="00FF044C">
              <w:rPr>
                <w:rFonts w:ascii="Arial Narrow" w:hAnsi="Arial Narrow" w:cs="Times New Roman"/>
                <w:bCs/>
                <w:snapToGrid/>
                <w:color w:val="000000"/>
                <w:sz w:val="20"/>
              </w:rPr>
              <w:t>Net cost to PBS/RPBS/MBS</w:t>
            </w:r>
          </w:p>
        </w:tc>
        <w:tc>
          <w:tcPr>
            <w:tcW w:w="678" w:type="pct"/>
            <w:tcBorders>
              <w:top w:val="single" w:sz="4" w:space="0" w:color="auto"/>
              <w:left w:val="single" w:sz="4" w:space="0" w:color="auto"/>
              <w:bottom w:val="single" w:sz="4" w:space="0" w:color="auto"/>
              <w:right w:val="single" w:sz="4" w:space="0" w:color="auto"/>
            </w:tcBorders>
            <w:vAlign w:val="bottom"/>
            <w:hideMark/>
          </w:tcPr>
          <w:p w:rsidR="00785935" w:rsidRPr="00FF044C" w:rsidRDefault="00785935" w:rsidP="00E47679">
            <w:pPr>
              <w:widowControl/>
              <w:jc w:val="right"/>
              <w:rPr>
                <w:rFonts w:ascii="Arial Narrow" w:hAnsi="Arial Narrow"/>
                <w:color w:val="000000"/>
                <w:sz w:val="20"/>
              </w:rPr>
            </w:pPr>
            <w:r w:rsidRPr="00FF044C">
              <w:rPr>
                <w:rFonts w:ascii="Arial Narrow" w:hAnsi="Arial Narrow"/>
                <w:b/>
                <w:sz w:val="20"/>
              </w:rPr>
              <w:t>$</w:t>
            </w:r>
            <w:r w:rsidR="003C460A">
              <w:rPr>
                <w:rFonts w:ascii="Arial Narrow" w:hAnsi="Arial Narrow"/>
                <w:b/>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785935" w:rsidRPr="00FF044C" w:rsidRDefault="00785935" w:rsidP="00E47679">
            <w:pPr>
              <w:widowControl/>
              <w:jc w:val="right"/>
              <w:rPr>
                <w:rFonts w:ascii="Arial Narrow" w:hAnsi="Arial Narrow" w:cs="Times New Roman"/>
                <w:snapToGrid/>
                <w:color w:val="000000"/>
                <w:sz w:val="20"/>
              </w:rPr>
            </w:pPr>
            <w:r w:rsidRPr="00FF044C">
              <w:rPr>
                <w:rFonts w:ascii="Arial Narrow" w:hAnsi="Arial Narrow"/>
                <w:b/>
                <w:sz w:val="20"/>
              </w:rPr>
              <w:t>$</w:t>
            </w:r>
            <w:r w:rsidR="003C460A">
              <w:rPr>
                <w:rFonts w:ascii="Arial Narrow" w:hAnsi="Arial Narrow"/>
                <w:b/>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785935" w:rsidRPr="00FF044C" w:rsidRDefault="00785935" w:rsidP="00E47679">
            <w:pPr>
              <w:widowControl/>
              <w:jc w:val="right"/>
              <w:rPr>
                <w:rFonts w:ascii="Arial Narrow" w:hAnsi="Arial Narrow" w:cs="Times New Roman"/>
                <w:snapToGrid/>
                <w:color w:val="000000"/>
                <w:sz w:val="20"/>
              </w:rPr>
            </w:pPr>
            <w:r w:rsidRPr="00FF044C">
              <w:rPr>
                <w:rFonts w:ascii="Arial Narrow" w:hAnsi="Arial Narrow"/>
                <w:b/>
                <w:sz w:val="20"/>
              </w:rPr>
              <w:t>$</w:t>
            </w:r>
            <w:r w:rsidR="003C460A">
              <w:rPr>
                <w:rFonts w:ascii="Arial Narrow" w:hAnsi="Arial Narrow"/>
                <w:b/>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785935" w:rsidRPr="00FF044C" w:rsidRDefault="00785935" w:rsidP="00E47679">
            <w:pPr>
              <w:widowControl/>
              <w:jc w:val="right"/>
              <w:rPr>
                <w:rFonts w:ascii="Arial Narrow" w:hAnsi="Arial Narrow" w:cs="Times New Roman"/>
                <w:snapToGrid/>
                <w:color w:val="000000"/>
                <w:sz w:val="20"/>
              </w:rPr>
            </w:pPr>
            <w:r w:rsidRPr="00FF044C">
              <w:rPr>
                <w:rFonts w:ascii="Arial Narrow" w:hAnsi="Arial Narrow"/>
                <w:b/>
                <w:sz w:val="20"/>
              </w:rPr>
              <w:t>$</w:t>
            </w:r>
            <w:r w:rsidR="003C460A">
              <w:rPr>
                <w:rFonts w:ascii="Arial Narrow" w:hAnsi="Arial Narrow"/>
                <w:b/>
                <w:noProof/>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bottom"/>
            <w:hideMark/>
          </w:tcPr>
          <w:p w:rsidR="00785935" w:rsidRPr="00FF044C" w:rsidRDefault="00785935" w:rsidP="00E47679">
            <w:pPr>
              <w:widowControl/>
              <w:jc w:val="right"/>
              <w:rPr>
                <w:rFonts w:ascii="Arial Narrow" w:hAnsi="Arial Narrow" w:cs="Times New Roman"/>
                <w:snapToGrid/>
                <w:color w:val="000000"/>
                <w:sz w:val="20"/>
              </w:rPr>
            </w:pPr>
            <w:r w:rsidRPr="00FF044C">
              <w:rPr>
                <w:rFonts w:ascii="Arial Narrow" w:hAnsi="Arial Narrow"/>
                <w:b/>
                <w:sz w:val="20"/>
              </w:rPr>
              <w:t>$</w:t>
            </w:r>
            <w:r w:rsidR="003C460A">
              <w:rPr>
                <w:rFonts w:ascii="Arial Narrow" w:hAnsi="Arial Narrow"/>
                <w:b/>
                <w:noProof/>
                <w:color w:val="000000"/>
                <w:sz w:val="20"/>
                <w:highlight w:val="black"/>
              </w:rPr>
              <w:t>''''''''''''''''''</w:t>
            </w:r>
          </w:p>
        </w:tc>
      </w:tr>
    </w:tbl>
    <w:p w:rsidR="00CF622C" w:rsidRPr="00FF044C" w:rsidRDefault="00CF622C" w:rsidP="00CF622C">
      <w:pPr>
        <w:pStyle w:val="TableFooter"/>
      </w:pPr>
      <w:r w:rsidRPr="00FF044C">
        <w:rPr>
          <w:szCs w:val="22"/>
        </w:rPr>
        <w:tab/>
      </w:r>
      <w:r w:rsidRPr="00FF044C">
        <w:t xml:space="preserve">Source: Tables E.2.1 to E.2.4, pp127-129 of the submission. </w:t>
      </w:r>
    </w:p>
    <w:p w:rsidR="00CF622C" w:rsidRPr="00FF044C" w:rsidRDefault="00CF622C" w:rsidP="00CF622C">
      <w:pPr>
        <w:pStyle w:val="TableFooter"/>
        <w:ind w:left="720"/>
      </w:pPr>
      <w:r w:rsidRPr="00FF044C">
        <w:t>MBS = Medicare Benefits Schedule; PBS = Pharmaceutical Benefits Scheme; RPBS = Repatriation Pharmaceutical Benefits Scheme</w:t>
      </w:r>
    </w:p>
    <w:p w:rsidR="00CF622C" w:rsidRPr="00FF044C" w:rsidRDefault="00CF622C" w:rsidP="00CF622C">
      <w:pPr>
        <w:pStyle w:val="TableFooter"/>
        <w:ind w:left="720"/>
      </w:pPr>
    </w:p>
    <w:p w:rsidR="00DD63FD" w:rsidRPr="00FF044C" w:rsidRDefault="00CF622C" w:rsidP="0075545E">
      <w:pPr>
        <w:widowControl/>
        <w:numPr>
          <w:ilvl w:val="1"/>
          <w:numId w:val="1"/>
        </w:numPr>
        <w:contextualSpacing/>
      </w:pPr>
      <w:r w:rsidRPr="00FF044C">
        <w:t>The submission estimated a total net cost of</w:t>
      </w:r>
      <w:r w:rsidR="00107A16">
        <w:t xml:space="preserve"> $30 – 60 million</w:t>
      </w:r>
      <w:r w:rsidRPr="00FF044C">
        <w:t xml:space="preserve"> to the PBS/RPBS and MBS over the first five years of listing. </w:t>
      </w:r>
      <w:r w:rsidR="00C85E9B" w:rsidRPr="00FF044C">
        <w:t xml:space="preserve">This was updated to </w:t>
      </w:r>
      <w:r w:rsidR="00107A16">
        <w:t xml:space="preserve">$30 - $60 million </w:t>
      </w:r>
      <w:r w:rsidR="00C85E9B" w:rsidRPr="00FF044C">
        <w:t xml:space="preserve">during the evaluation. </w:t>
      </w:r>
      <w:r w:rsidR="00DD63FD" w:rsidRPr="00FF044C">
        <w:t xml:space="preserve">There was a potential for the net cost/year for the PBS to be greater </w:t>
      </w:r>
      <w:r w:rsidR="00075696" w:rsidRPr="00FF044C">
        <w:t xml:space="preserve">or less </w:t>
      </w:r>
      <w:r w:rsidR="00DD63FD" w:rsidRPr="00FF044C">
        <w:t>than the estimate in the submission due to:</w:t>
      </w:r>
    </w:p>
    <w:p w:rsidR="00DD63FD" w:rsidRPr="00FF044C" w:rsidRDefault="00075696" w:rsidP="0075545E">
      <w:pPr>
        <w:pStyle w:val="ListParagraph"/>
        <w:numPr>
          <w:ilvl w:val="0"/>
          <w:numId w:val="6"/>
        </w:numPr>
      </w:pPr>
      <w:r w:rsidRPr="00FF044C">
        <w:t>Uncertain</w:t>
      </w:r>
      <w:r w:rsidR="00570FD0" w:rsidRPr="00FF044C">
        <w:t>ty in the</w:t>
      </w:r>
      <w:r w:rsidR="00DD63FD" w:rsidRPr="00FF044C">
        <w:t xml:space="preserve"> number of patients eligible for brentuximab vedotin (i.e., refractory or relapsed who are </w:t>
      </w:r>
      <w:r w:rsidR="001E6E56" w:rsidRPr="00FF044C">
        <w:t>ASCT</w:t>
      </w:r>
      <w:r w:rsidR="00DD63FD" w:rsidRPr="00FF044C">
        <w:t xml:space="preserve"> naïve) due to </w:t>
      </w:r>
      <w:r w:rsidRPr="00FF044C">
        <w:t>uncertain</w:t>
      </w:r>
      <w:r w:rsidR="001E6E56" w:rsidRPr="00FF044C">
        <w:t>ty in the</w:t>
      </w:r>
      <w:r w:rsidR="00DD63FD" w:rsidRPr="00FF044C">
        <w:t xml:space="preserve"> number of patients undergoing initial </w:t>
      </w:r>
      <w:r w:rsidR="00FF044C">
        <w:t>ASCT</w:t>
      </w:r>
      <w:r w:rsidR="00DD63FD" w:rsidRPr="00FF044C">
        <w:t>;</w:t>
      </w:r>
    </w:p>
    <w:p w:rsidR="00DD63FD" w:rsidRPr="00FF044C" w:rsidRDefault="00DD63FD" w:rsidP="0075545E">
      <w:pPr>
        <w:pStyle w:val="ListParagraph"/>
        <w:numPr>
          <w:ilvl w:val="0"/>
          <w:numId w:val="6"/>
        </w:numPr>
      </w:pPr>
      <w:r w:rsidRPr="00FF044C">
        <w:t>Underestimated number of brentuximab vedotin treatment cycles and associated total treatment cost; and</w:t>
      </w:r>
    </w:p>
    <w:p w:rsidR="00CF622C" w:rsidRPr="00FF044C" w:rsidRDefault="00DD63FD" w:rsidP="0075545E">
      <w:pPr>
        <w:pStyle w:val="ListParagraph"/>
        <w:numPr>
          <w:ilvl w:val="0"/>
          <w:numId w:val="6"/>
        </w:numPr>
      </w:pPr>
      <w:r w:rsidRPr="00FF044C">
        <w:t xml:space="preserve">Overestimated savings from listing brentuximab vedotin due to overestimated </w:t>
      </w:r>
      <w:r w:rsidRPr="00FF044C">
        <w:lastRenderedPageBreak/>
        <w:t>cost of salvage chemotherapy and concomitant medications.</w:t>
      </w:r>
    </w:p>
    <w:p w:rsidR="00633500" w:rsidRPr="00FF044C" w:rsidRDefault="00633500" w:rsidP="00075696">
      <w:pPr>
        <w:pStyle w:val="ListParagraph"/>
      </w:pPr>
    </w:p>
    <w:p w:rsidR="00066680" w:rsidRPr="00FF044C" w:rsidRDefault="00173093" w:rsidP="0075545E">
      <w:pPr>
        <w:widowControl/>
        <w:numPr>
          <w:ilvl w:val="1"/>
          <w:numId w:val="1"/>
        </w:numPr>
        <w:contextualSpacing/>
        <w:rPr>
          <w:szCs w:val="22"/>
          <w:lang w:bidi="en-US"/>
        </w:rPr>
      </w:pPr>
      <w:r w:rsidRPr="00FF044C">
        <w:t xml:space="preserve">PBS costs could be higher if </w:t>
      </w:r>
      <w:r w:rsidR="00BC6456" w:rsidRPr="00FF044C">
        <w:t>brentuximab vedotin was used</w:t>
      </w:r>
      <w:r w:rsidRPr="00FF044C">
        <w:t xml:space="preserve"> outside the proposed restrictio</w:t>
      </w:r>
      <w:r w:rsidR="00BC6456" w:rsidRPr="00FF044C">
        <w:t>n in earlier lines of treatment (e.g. as first line salvage treatment) or post ASCT</w:t>
      </w:r>
      <w:r w:rsidR="000B37F2" w:rsidRPr="00FF044C">
        <w:t>,</w:t>
      </w:r>
      <w:r w:rsidR="00BC6456" w:rsidRPr="00FF044C">
        <w:t xml:space="preserve"> if the concurrent submission for the post-ASCT population was not </w:t>
      </w:r>
      <w:r w:rsidR="001E6E56" w:rsidRPr="00FF044C">
        <w:t>recommended for listing</w:t>
      </w:r>
      <w:r w:rsidR="00BC6456" w:rsidRPr="00FF044C">
        <w:t>.</w:t>
      </w:r>
      <w:r w:rsidR="00066680" w:rsidRPr="00FF044C">
        <w:t xml:space="preserve"> While </w:t>
      </w:r>
      <w:r w:rsidR="00FE2BC5" w:rsidRPr="00FF044C">
        <w:t>acknowledging the</w:t>
      </w:r>
      <w:r w:rsidR="00066680" w:rsidRPr="00FF044C">
        <w:t xml:space="preserve"> </w:t>
      </w:r>
      <w:r w:rsidR="00066680" w:rsidRPr="00FF044C">
        <w:rPr>
          <w:szCs w:val="22"/>
          <w:lang w:bidi="en-US"/>
        </w:rPr>
        <w:t xml:space="preserve">potential for brentuximab vedotin to be used outside the requested listing in patients with relapsed or refractory Hodgkin lymphoma following only one line of prior therapy, or post ASCT, </w:t>
      </w:r>
      <w:r w:rsidR="00066680" w:rsidRPr="00FF044C">
        <w:t>the</w:t>
      </w:r>
      <w:r w:rsidR="00066680" w:rsidRPr="00FF044C">
        <w:rPr>
          <w:szCs w:val="22"/>
          <w:lang w:bidi="en-US"/>
        </w:rPr>
        <w:t xml:space="preserve"> PSCR (p.4-5) emphasised that a written Authority for the initiation of brentuximab vedotin would restrict this scenario. </w:t>
      </w:r>
      <w:r w:rsidR="00FE2BC5" w:rsidRPr="00FF044C">
        <w:rPr>
          <w:szCs w:val="22"/>
          <w:lang w:bidi="en-US"/>
        </w:rPr>
        <w:t xml:space="preserve">The PSCR further noted that </w:t>
      </w:r>
      <w:r w:rsidR="00193757" w:rsidRPr="00FF044C">
        <w:rPr>
          <w:szCs w:val="22"/>
          <w:lang w:bidi="en-US"/>
        </w:rPr>
        <w:t>the post-</w:t>
      </w:r>
      <w:r w:rsidR="00FE2BC5" w:rsidRPr="00FF044C">
        <w:rPr>
          <w:szCs w:val="22"/>
          <w:lang w:bidi="en-US"/>
        </w:rPr>
        <w:t>ASCT restriction is also via a written Authority and this require</w:t>
      </w:r>
      <w:r w:rsidR="00193757" w:rsidRPr="00FF044C">
        <w:rPr>
          <w:szCs w:val="22"/>
          <w:lang w:bidi="en-US"/>
        </w:rPr>
        <w:t>d</w:t>
      </w:r>
      <w:r w:rsidR="00FE2BC5" w:rsidRPr="00FF044C">
        <w:rPr>
          <w:szCs w:val="22"/>
          <w:lang w:bidi="en-US"/>
        </w:rPr>
        <w:t xml:space="preserve"> the date of the ASCT to be provided, </w:t>
      </w:r>
      <w:r w:rsidR="00193757" w:rsidRPr="00FF044C">
        <w:rPr>
          <w:szCs w:val="22"/>
          <w:lang w:bidi="en-US"/>
        </w:rPr>
        <w:t xml:space="preserve">making </w:t>
      </w:r>
      <w:r w:rsidR="00FE2BC5" w:rsidRPr="00FF044C">
        <w:rPr>
          <w:szCs w:val="22"/>
          <w:lang w:bidi="en-US"/>
        </w:rPr>
        <w:t xml:space="preserve">utilisation of an ASCT naïve script for a post-ASCT patient extremely unlikely. </w:t>
      </w:r>
      <w:r w:rsidR="00A06BD7" w:rsidRPr="00FF044C">
        <w:rPr>
          <w:szCs w:val="22"/>
          <w:lang w:bidi="en-US"/>
        </w:rPr>
        <w:t>The ESC considered that this was</w:t>
      </w:r>
      <w:r w:rsidR="00066680" w:rsidRPr="00FF044C">
        <w:rPr>
          <w:szCs w:val="22"/>
          <w:lang w:bidi="en-US"/>
        </w:rPr>
        <w:t xml:space="preserve"> reasonable.</w:t>
      </w:r>
    </w:p>
    <w:p w:rsidR="00173093" w:rsidRPr="00FF044C" w:rsidRDefault="00173093" w:rsidP="00FE2BC5">
      <w:pPr>
        <w:widowControl/>
        <w:ind w:left="720"/>
        <w:contextualSpacing/>
        <w:rPr>
          <w:i/>
          <w:szCs w:val="22"/>
        </w:rPr>
      </w:pPr>
    </w:p>
    <w:p w:rsidR="00173093" w:rsidRPr="00FF044C" w:rsidRDefault="00173093" w:rsidP="00173093">
      <w:pPr>
        <w:outlineLvl w:val="1"/>
        <w:rPr>
          <w:b/>
          <w:i/>
          <w:szCs w:val="22"/>
        </w:rPr>
      </w:pPr>
      <w:r w:rsidRPr="00FF044C">
        <w:rPr>
          <w:b/>
          <w:i/>
        </w:rPr>
        <w:t>Financial Management – Risk Sharing Arrangements</w:t>
      </w:r>
    </w:p>
    <w:p w:rsidR="00173093" w:rsidRPr="00FF044C" w:rsidRDefault="00173093" w:rsidP="00173093">
      <w:pPr>
        <w:widowControl/>
        <w:rPr>
          <w:szCs w:val="22"/>
        </w:rPr>
      </w:pPr>
    </w:p>
    <w:p w:rsidR="00633500" w:rsidRPr="00FF044C" w:rsidRDefault="00F30248" w:rsidP="0075545E">
      <w:pPr>
        <w:widowControl/>
        <w:numPr>
          <w:ilvl w:val="1"/>
          <w:numId w:val="1"/>
        </w:numPr>
        <w:contextualSpacing/>
      </w:pPr>
      <w:r w:rsidRPr="00FF044C">
        <w:t xml:space="preserve">A </w:t>
      </w:r>
      <w:r w:rsidR="00FF044C">
        <w:t>R</w:t>
      </w:r>
      <w:r w:rsidR="00FF044C" w:rsidRPr="00FF044C">
        <w:t>isk</w:t>
      </w:r>
      <w:r w:rsidRPr="00FF044C">
        <w:t>-</w:t>
      </w:r>
      <w:r w:rsidR="00FF044C">
        <w:t>S</w:t>
      </w:r>
      <w:r w:rsidR="00FF044C" w:rsidRPr="00FF044C">
        <w:t xml:space="preserve">haring </w:t>
      </w:r>
      <w:r w:rsidR="00FF044C">
        <w:t>A</w:t>
      </w:r>
      <w:r w:rsidR="00FF044C" w:rsidRPr="00FF044C">
        <w:t xml:space="preserve">rrangement </w:t>
      </w:r>
      <w:r w:rsidRPr="00FF044C">
        <w:t xml:space="preserve">was proposed </w:t>
      </w:r>
      <w:r w:rsidR="007A6792" w:rsidRPr="00FF044C">
        <w:t>including</w:t>
      </w:r>
      <w:r w:rsidRPr="00FF044C">
        <w:t xml:space="preserve"> two subsidisation caps with rebates </w:t>
      </w:r>
      <w:r w:rsidR="00FF044C">
        <w:t xml:space="preserve">beyond </w:t>
      </w:r>
      <w:r w:rsidRPr="00FF044C">
        <w:t xml:space="preserve">each cap. Specifically, </w:t>
      </w:r>
      <w:r w:rsidR="00FF044C">
        <w:t xml:space="preserve">the </w:t>
      </w:r>
      <w:r w:rsidR="00FF044C" w:rsidRPr="008A2765">
        <w:t xml:space="preserve">first </w:t>
      </w:r>
      <w:r w:rsidRPr="008A2765">
        <w:t xml:space="preserve">rebate of </w:t>
      </w:r>
      <w:r w:rsidR="003C460A">
        <w:rPr>
          <w:noProof/>
          <w:color w:val="000000"/>
          <w:highlight w:val="black"/>
        </w:rPr>
        <w:t xml:space="preserve">''''''''''' </w:t>
      </w:r>
      <w:r w:rsidR="008B3450" w:rsidRPr="008A2765">
        <w:t xml:space="preserve">between the first and second </w:t>
      </w:r>
      <w:r w:rsidRPr="008A2765">
        <w:t>subsidisation cap</w:t>
      </w:r>
      <w:r w:rsidR="008B3450">
        <w:t xml:space="preserve"> </w:t>
      </w:r>
      <w:r w:rsidR="00F7721C">
        <w:t xml:space="preserve">was calculated by the sponsor to </w:t>
      </w:r>
      <w:r w:rsidR="008B3450">
        <w:t xml:space="preserve">produce an effective </w:t>
      </w:r>
      <w:r w:rsidRPr="00FF044C">
        <w:t>price per vial of $</w:t>
      </w:r>
      <w:r w:rsidR="003C460A">
        <w:rPr>
          <w:noProof/>
          <w:color w:val="000000"/>
          <w:highlight w:val="black"/>
        </w:rPr>
        <w:t>''''''''''''''''''''</w:t>
      </w:r>
      <w:r w:rsidRPr="00FF044C">
        <w:t>.</w:t>
      </w:r>
    </w:p>
    <w:p w:rsidR="00633500" w:rsidRPr="00FF044C" w:rsidRDefault="00633500" w:rsidP="00633500">
      <w:pPr>
        <w:widowControl/>
        <w:ind w:left="720"/>
        <w:contextualSpacing/>
      </w:pPr>
    </w:p>
    <w:p w:rsidR="00173093" w:rsidRPr="00FF044C" w:rsidRDefault="008B3450" w:rsidP="0075545E">
      <w:pPr>
        <w:widowControl/>
        <w:numPr>
          <w:ilvl w:val="1"/>
          <w:numId w:val="1"/>
        </w:numPr>
        <w:contextualSpacing/>
      </w:pPr>
      <w:r w:rsidRPr="008A2765">
        <w:t xml:space="preserve">Beyond </w:t>
      </w:r>
      <w:r w:rsidR="00F30248" w:rsidRPr="008A2765">
        <w:t>the second subsidisation cap</w:t>
      </w:r>
      <w:r w:rsidR="00F30248" w:rsidRPr="00FF044C">
        <w:t xml:space="preserve">, a rebate </w:t>
      </w:r>
      <w:r w:rsidR="00067D54">
        <w:t xml:space="preserve">of </w:t>
      </w:r>
      <w:r w:rsidR="003C460A">
        <w:rPr>
          <w:noProof/>
          <w:color w:val="000000"/>
          <w:highlight w:val="black"/>
        </w:rPr>
        <w:t>''''''''''''''</w:t>
      </w:r>
      <w:r w:rsidR="00067D54">
        <w:t xml:space="preserve">% </w:t>
      </w:r>
      <w:r w:rsidR="00F7721C">
        <w:t>was calculated by the sponsor to</w:t>
      </w:r>
      <w:r w:rsidR="00F7721C" w:rsidRPr="00FF044C">
        <w:t xml:space="preserve"> </w:t>
      </w:r>
      <w:r w:rsidR="00F30248" w:rsidRPr="00FF044C">
        <w:t>align the price of brentuximab v</w:t>
      </w:r>
      <w:r w:rsidR="00075696" w:rsidRPr="00FF044C">
        <w:t xml:space="preserve">edotin in patients with relapsed or </w:t>
      </w:r>
      <w:r w:rsidR="00F30248" w:rsidRPr="00FF044C">
        <w:t>refractory Hodgkin lymphoma who were ASCT naïve to the current price of ifosfamide, carboplatin and etoposide combination therapy for the treatment of patients with Systemic Anaplastic Large Cell Lymphoma</w:t>
      </w:r>
      <w:r w:rsidR="00FE2BC5" w:rsidRPr="00FF044C">
        <w:t xml:space="preserve"> </w:t>
      </w:r>
      <w:r w:rsidR="007D0C53" w:rsidRPr="00FF044C">
        <w:t>(brentuximab vedotin’s current PBS indication)</w:t>
      </w:r>
      <w:r w:rsidR="00F30248" w:rsidRPr="00FF044C">
        <w:t xml:space="preserve">. </w:t>
      </w:r>
      <w:r w:rsidR="00067D54">
        <w:t xml:space="preserve">This </w:t>
      </w:r>
      <w:r w:rsidR="00F7721C">
        <w:t>was intended to</w:t>
      </w:r>
      <w:r w:rsidR="00067D54">
        <w:t xml:space="preserve"> produce an effective vial price </w:t>
      </w:r>
      <w:r w:rsidR="00F30248" w:rsidRPr="00FF044C">
        <w:t>of $</w:t>
      </w:r>
      <w:r w:rsidR="003C460A">
        <w:rPr>
          <w:noProof/>
          <w:color w:val="000000"/>
          <w:highlight w:val="black"/>
        </w:rPr>
        <w:t>''''''''''''''''''''''</w:t>
      </w:r>
      <w:r w:rsidR="00F30248" w:rsidRPr="00FF044C">
        <w:t>.</w:t>
      </w:r>
    </w:p>
    <w:p w:rsidR="0075545E" w:rsidRPr="00FF044C" w:rsidRDefault="0075545E" w:rsidP="0075545E">
      <w:pPr>
        <w:rPr>
          <w:i/>
          <w:szCs w:val="22"/>
        </w:rPr>
      </w:pPr>
    </w:p>
    <w:p w:rsidR="0075545E" w:rsidRPr="00FF044C" w:rsidRDefault="0075545E" w:rsidP="0075545E">
      <w:pPr>
        <w:pStyle w:val="ListParagraph"/>
        <w:ind w:left="709"/>
        <w:rPr>
          <w:i/>
          <w:szCs w:val="22"/>
        </w:rPr>
      </w:pPr>
      <w:r w:rsidRPr="00FF044C">
        <w:rPr>
          <w:i/>
          <w:szCs w:val="22"/>
        </w:rPr>
        <w:t>For more detail on PBAC’s view, see section 7 “PBAC outcome”</w:t>
      </w:r>
    </w:p>
    <w:p w:rsidR="0075545E" w:rsidRDefault="0075545E" w:rsidP="0075545E">
      <w:pPr>
        <w:pStyle w:val="ListParagraph"/>
        <w:ind w:left="709"/>
        <w:rPr>
          <w:i/>
          <w:szCs w:val="22"/>
        </w:rPr>
      </w:pPr>
    </w:p>
    <w:p w:rsidR="00F7255D" w:rsidRPr="00FF044C" w:rsidRDefault="00F7255D" w:rsidP="0075545E">
      <w:pPr>
        <w:pStyle w:val="ListParagraph"/>
        <w:ind w:left="709"/>
        <w:rPr>
          <w:i/>
          <w:szCs w:val="22"/>
        </w:rPr>
      </w:pPr>
    </w:p>
    <w:p w:rsidR="0075545E" w:rsidRPr="00FF044C" w:rsidRDefault="0075545E" w:rsidP="00AB01FD">
      <w:pPr>
        <w:pStyle w:val="PBACHeading1"/>
        <w:keepNext/>
        <w:rPr>
          <w:bCs/>
        </w:rPr>
      </w:pPr>
      <w:r w:rsidRPr="00FF044C">
        <w:rPr>
          <w:bCs/>
        </w:rPr>
        <w:t>PBAC Outcome</w:t>
      </w:r>
    </w:p>
    <w:p w:rsidR="0075545E" w:rsidRPr="00FF044C" w:rsidRDefault="0075545E" w:rsidP="00E05BDF">
      <w:pPr>
        <w:ind w:left="720"/>
        <w:rPr>
          <w:bCs/>
        </w:rPr>
      </w:pPr>
    </w:p>
    <w:p w:rsidR="00E05BDF" w:rsidRPr="00FF044C" w:rsidRDefault="002C693E" w:rsidP="002C693E">
      <w:pPr>
        <w:numPr>
          <w:ilvl w:val="1"/>
          <w:numId w:val="1"/>
        </w:numPr>
      </w:pPr>
      <w:r w:rsidRPr="00FF044C">
        <w:t>The PBAC recommended a written Authority Required Section 100 (Efficient Funding of Chemotherapy) listing of brentuximab vedotin for the treatment of relapsed Hodgkin Lymphoma patients who were ASCT naïve. The PBAC was satisfied that brentuximab vedotin is well tolerated, and provides, for some patients, an improvement in efficacy over best supportive care.</w:t>
      </w:r>
    </w:p>
    <w:p w:rsidR="00E05BDF" w:rsidRPr="00FF044C" w:rsidRDefault="00E05BDF" w:rsidP="00AB27AE">
      <w:pPr>
        <w:contextualSpacing/>
      </w:pPr>
    </w:p>
    <w:p w:rsidR="00E05BDF" w:rsidRPr="00FF044C" w:rsidRDefault="00E05BDF" w:rsidP="00E05BDF">
      <w:pPr>
        <w:numPr>
          <w:ilvl w:val="1"/>
          <w:numId w:val="1"/>
        </w:numPr>
        <w:rPr>
          <w:bCs/>
        </w:rPr>
      </w:pPr>
      <w:r w:rsidRPr="00FF044C">
        <w:rPr>
          <w:bCs/>
        </w:rPr>
        <w:t xml:space="preserve">The PBAC welcomed the input received from individuals, clinicians and professional organisations in support of the submission, including the sponsor hearing. The comments highlighted brentuximab vedotin’s effectiveness in providing a ‘bridge </w:t>
      </w:r>
      <w:r w:rsidR="00F46F2E" w:rsidRPr="00FF044C">
        <w:rPr>
          <w:bCs/>
        </w:rPr>
        <w:t xml:space="preserve">to </w:t>
      </w:r>
      <w:r w:rsidRPr="00FF044C">
        <w:rPr>
          <w:bCs/>
        </w:rPr>
        <w:t>transplant’, its tolerability and its benefits in improving quality of life in patients for whom ASCT was not a treatment option due to age and/or comorbidities.</w:t>
      </w:r>
    </w:p>
    <w:p w:rsidR="0075545E" w:rsidRPr="00FF044C" w:rsidRDefault="0075545E" w:rsidP="00AB27AE">
      <w:pPr>
        <w:contextualSpacing/>
        <w:rPr>
          <w:bCs/>
          <w:szCs w:val="22"/>
        </w:rPr>
      </w:pPr>
    </w:p>
    <w:p w:rsidR="00882B15" w:rsidRPr="00FF044C" w:rsidRDefault="00882B15" w:rsidP="00882B15">
      <w:pPr>
        <w:numPr>
          <w:ilvl w:val="1"/>
          <w:numId w:val="1"/>
        </w:numPr>
        <w:contextualSpacing/>
        <w:rPr>
          <w:szCs w:val="22"/>
        </w:rPr>
      </w:pPr>
      <w:r w:rsidRPr="00FF044C">
        <w:t xml:space="preserve">The PBAC noted that the submission requested listing for brentuximab vedotin in two distinct </w:t>
      </w:r>
      <w:r w:rsidR="00503A8A" w:rsidRPr="00FF044C">
        <w:t xml:space="preserve">ASCT naïve </w:t>
      </w:r>
      <w:r w:rsidRPr="00FF044C">
        <w:t xml:space="preserve">patient populations, in whom the goal of treatment is different; </w:t>
      </w:r>
    </w:p>
    <w:p w:rsidR="00174424" w:rsidRPr="00FF044C" w:rsidRDefault="00882B15" w:rsidP="00067D54">
      <w:pPr>
        <w:pStyle w:val="ListParagraph"/>
        <w:numPr>
          <w:ilvl w:val="0"/>
          <w:numId w:val="23"/>
        </w:numPr>
        <w:ind w:right="135"/>
        <w:rPr>
          <w:bCs/>
        </w:rPr>
      </w:pPr>
      <w:r w:rsidRPr="00FF044C">
        <w:t xml:space="preserve">Palliative group - patients who are transplant-ineligible due to age or comorbidities (i.e. intent of treatment is palliative, potentially resulting in quality of life improvements), and </w:t>
      </w:r>
    </w:p>
    <w:p w:rsidR="00B608CF" w:rsidRPr="00FF044C" w:rsidRDefault="00882B15" w:rsidP="00067D54">
      <w:pPr>
        <w:pStyle w:val="ListParagraph"/>
        <w:numPr>
          <w:ilvl w:val="0"/>
          <w:numId w:val="23"/>
        </w:numPr>
        <w:ind w:right="135"/>
        <w:rPr>
          <w:bCs/>
        </w:rPr>
      </w:pPr>
      <w:r w:rsidRPr="00FF044C">
        <w:lastRenderedPageBreak/>
        <w:t xml:space="preserve">Salvage group - patients who are not currently eligible for ASCT due to substantial disease burden, but </w:t>
      </w:r>
      <w:r w:rsidR="00174424" w:rsidRPr="00FF044C">
        <w:t>for whom</w:t>
      </w:r>
      <w:r w:rsidRPr="00FF044C">
        <w:t xml:space="preserve"> treatment with brentuximab vedotin </w:t>
      </w:r>
      <w:r w:rsidR="00174424" w:rsidRPr="00FF044C">
        <w:t xml:space="preserve">may </w:t>
      </w:r>
      <w:r w:rsidRPr="00FF044C">
        <w:t>achieve minimal residual disea</w:t>
      </w:r>
      <w:r w:rsidR="00015019">
        <w:t>se in order to proceed to ASCT.</w:t>
      </w:r>
    </w:p>
    <w:p w:rsidR="00B608CF" w:rsidRPr="00FF044C" w:rsidRDefault="00B608CF" w:rsidP="00B608CF">
      <w:pPr>
        <w:ind w:left="720"/>
        <w:contextualSpacing/>
        <w:rPr>
          <w:bCs/>
          <w:szCs w:val="22"/>
        </w:rPr>
      </w:pPr>
    </w:p>
    <w:p w:rsidR="0075545E" w:rsidRPr="00FF044C" w:rsidRDefault="00AB27AE" w:rsidP="00882B15">
      <w:pPr>
        <w:numPr>
          <w:ilvl w:val="1"/>
          <w:numId w:val="1"/>
        </w:numPr>
        <w:contextualSpacing/>
        <w:rPr>
          <w:bCs/>
        </w:rPr>
      </w:pPr>
      <w:r w:rsidRPr="00FF044C">
        <w:rPr>
          <w:bCs/>
        </w:rPr>
        <w:t xml:space="preserve">The PBAC noted that although two submissions for brentuximab vedotin were considered at the November 2016 PBAC meeting, </w:t>
      </w:r>
      <w:r w:rsidR="00B231E9">
        <w:rPr>
          <w:bCs/>
        </w:rPr>
        <w:t xml:space="preserve">the </w:t>
      </w:r>
      <w:r w:rsidR="0008552C" w:rsidRPr="00FF044C">
        <w:rPr>
          <w:bCs/>
        </w:rPr>
        <w:t xml:space="preserve">possibility </w:t>
      </w:r>
      <w:r w:rsidRPr="00FF044C">
        <w:rPr>
          <w:bCs/>
        </w:rPr>
        <w:t xml:space="preserve">of patients accessing brentuximab vedotin more than once </w:t>
      </w:r>
      <w:r w:rsidR="0008552C" w:rsidRPr="00FF044C">
        <w:rPr>
          <w:bCs/>
        </w:rPr>
        <w:t xml:space="preserve">(for instance, before ASCT and then again after) </w:t>
      </w:r>
      <w:r w:rsidRPr="00FF044C">
        <w:rPr>
          <w:bCs/>
        </w:rPr>
        <w:t xml:space="preserve">was not considered in </w:t>
      </w:r>
      <w:r w:rsidR="00B242DF" w:rsidRPr="00FF044C">
        <w:rPr>
          <w:bCs/>
        </w:rPr>
        <w:t xml:space="preserve">the proposed restriction for </w:t>
      </w:r>
      <w:proofErr w:type="gramStart"/>
      <w:r w:rsidRPr="00FF044C">
        <w:rPr>
          <w:bCs/>
        </w:rPr>
        <w:t>either submission</w:t>
      </w:r>
      <w:r w:rsidR="0008552C" w:rsidRPr="00FF044C">
        <w:rPr>
          <w:bCs/>
        </w:rPr>
        <w:t>, and</w:t>
      </w:r>
      <w:proofErr w:type="gramEnd"/>
      <w:r w:rsidR="0008552C" w:rsidRPr="00FF044C">
        <w:rPr>
          <w:bCs/>
        </w:rPr>
        <w:t xml:space="preserve"> neither was the </w:t>
      </w:r>
      <w:r w:rsidR="00067D54">
        <w:rPr>
          <w:bCs/>
        </w:rPr>
        <w:t xml:space="preserve">potential </w:t>
      </w:r>
      <w:r w:rsidR="0008552C" w:rsidRPr="00FF044C">
        <w:rPr>
          <w:bCs/>
        </w:rPr>
        <w:t xml:space="preserve">financial impact </w:t>
      </w:r>
      <w:r w:rsidR="00067D54">
        <w:rPr>
          <w:bCs/>
        </w:rPr>
        <w:t>considered</w:t>
      </w:r>
      <w:r w:rsidRPr="00FF044C">
        <w:rPr>
          <w:bCs/>
        </w:rPr>
        <w:t xml:space="preserve">. </w:t>
      </w:r>
      <w:r w:rsidR="004E612C" w:rsidRPr="00FF044C">
        <w:rPr>
          <w:bCs/>
        </w:rPr>
        <w:t>The PBAC noted that the Product Information for brentuximab vedotin allowed for a lifetime maximum of 16 treatment cycles</w:t>
      </w:r>
      <w:r w:rsidR="0008552C" w:rsidRPr="00FF044C">
        <w:rPr>
          <w:bCs/>
        </w:rPr>
        <w:t>, and considered that the restriction should be consistent with this</w:t>
      </w:r>
      <w:r w:rsidR="004E612C" w:rsidRPr="00FF044C">
        <w:rPr>
          <w:bCs/>
        </w:rPr>
        <w:t>.</w:t>
      </w:r>
    </w:p>
    <w:p w:rsidR="0075545E" w:rsidRPr="00FF044C" w:rsidRDefault="0075545E" w:rsidP="0075545E">
      <w:pPr>
        <w:ind w:left="720"/>
        <w:contextualSpacing/>
        <w:rPr>
          <w:bCs/>
          <w:szCs w:val="22"/>
        </w:rPr>
      </w:pPr>
    </w:p>
    <w:p w:rsidR="006B2DEB" w:rsidRPr="00FF044C" w:rsidRDefault="00DF57B7" w:rsidP="00882B15">
      <w:pPr>
        <w:numPr>
          <w:ilvl w:val="1"/>
          <w:numId w:val="1"/>
        </w:numPr>
        <w:contextualSpacing/>
        <w:rPr>
          <w:szCs w:val="22"/>
        </w:rPr>
      </w:pPr>
      <w:r w:rsidRPr="00FF044C">
        <w:rPr>
          <w:bCs/>
          <w:szCs w:val="22"/>
        </w:rPr>
        <w:t xml:space="preserve">The PBAC agreed that salvage chemotherapy, represented by </w:t>
      </w:r>
      <w:r w:rsidRPr="00FF044C">
        <w:t>gemcitabine</w:t>
      </w:r>
      <w:r w:rsidR="00094391" w:rsidRPr="00FF044C">
        <w:t xml:space="preserve"> and vinorelbine</w:t>
      </w:r>
      <w:r w:rsidRPr="00FF044C">
        <w:rPr>
          <w:bCs/>
          <w:szCs w:val="22"/>
        </w:rPr>
        <w:t xml:space="preserve">, was </w:t>
      </w:r>
      <w:r w:rsidR="0008552C" w:rsidRPr="00FF044C">
        <w:rPr>
          <w:bCs/>
          <w:szCs w:val="22"/>
        </w:rPr>
        <w:t>an</w:t>
      </w:r>
      <w:r w:rsidRPr="00FF044C">
        <w:rPr>
          <w:bCs/>
          <w:szCs w:val="22"/>
        </w:rPr>
        <w:t xml:space="preserve"> appropriate comparator.</w:t>
      </w:r>
    </w:p>
    <w:p w:rsidR="00882B15" w:rsidRPr="00FF044C" w:rsidRDefault="00882B15" w:rsidP="00882B15">
      <w:pPr>
        <w:contextualSpacing/>
        <w:rPr>
          <w:szCs w:val="22"/>
        </w:rPr>
      </w:pPr>
    </w:p>
    <w:p w:rsidR="006B2DEB" w:rsidRPr="00FF044C" w:rsidRDefault="00DF57B7" w:rsidP="0075545E">
      <w:pPr>
        <w:numPr>
          <w:ilvl w:val="1"/>
          <w:numId w:val="1"/>
        </w:numPr>
        <w:contextualSpacing/>
        <w:rPr>
          <w:bCs/>
          <w:szCs w:val="22"/>
        </w:rPr>
      </w:pPr>
      <w:r w:rsidRPr="00FF044C">
        <w:rPr>
          <w:bCs/>
          <w:szCs w:val="22"/>
        </w:rPr>
        <w:t xml:space="preserve">The PBAC </w:t>
      </w:r>
      <w:r w:rsidR="005001F9" w:rsidRPr="00FF044C">
        <w:rPr>
          <w:bCs/>
          <w:szCs w:val="22"/>
        </w:rPr>
        <w:t xml:space="preserve">agreed with ESC </w:t>
      </w:r>
      <w:r w:rsidRPr="00FF044C">
        <w:rPr>
          <w:bCs/>
          <w:szCs w:val="22"/>
        </w:rPr>
        <w:t>that the data presented in the submission were of poor quality with a high risk of bia</w:t>
      </w:r>
      <w:r w:rsidR="006B2DEB" w:rsidRPr="00FF044C">
        <w:rPr>
          <w:bCs/>
          <w:szCs w:val="22"/>
        </w:rPr>
        <w:t>s. The submission was based</w:t>
      </w:r>
      <w:r w:rsidRPr="00FF044C">
        <w:rPr>
          <w:bCs/>
          <w:szCs w:val="22"/>
        </w:rPr>
        <w:t xml:space="preserve"> on naive comparison</w:t>
      </w:r>
      <w:r w:rsidR="006B2DEB" w:rsidRPr="00FF044C">
        <w:rPr>
          <w:bCs/>
          <w:szCs w:val="22"/>
        </w:rPr>
        <w:t>s</w:t>
      </w:r>
      <w:r w:rsidRPr="00FF044C">
        <w:rPr>
          <w:bCs/>
          <w:szCs w:val="22"/>
        </w:rPr>
        <w:t xml:space="preserve"> </w:t>
      </w:r>
      <w:r w:rsidR="006B2DEB" w:rsidRPr="00FF044C">
        <w:rPr>
          <w:bCs/>
          <w:szCs w:val="22"/>
        </w:rPr>
        <w:t xml:space="preserve">using pooled estimates from non-randomised studies with small sample sizes and sparse event data. </w:t>
      </w:r>
    </w:p>
    <w:p w:rsidR="00524657" w:rsidRPr="00FF044C" w:rsidRDefault="00524657" w:rsidP="00524657">
      <w:pPr>
        <w:ind w:left="720"/>
        <w:contextualSpacing/>
        <w:rPr>
          <w:bCs/>
          <w:szCs w:val="22"/>
        </w:rPr>
      </w:pPr>
    </w:p>
    <w:p w:rsidR="00D17A88" w:rsidRPr="00FF044C" w:rsidRDefault="00D17A88" w:rsidP="00D17A88">
      <w:pPr>
        <w:numPr>
          <w:ilvl w:val="1"/>
          <w:numId w:val="1"/>
        </w:numPr>
        <w:contextualSpacing/>
        <w:rPr>
          <w:bCs/>
          <w:szCs w:val="22"/>
        </w:rPr>
      </w:pPr>
      <w:r w:rsidRPr="00FF044C">
        <w:rPr>
          <w:bCs/>
          <w:szCs w:val="22"/>
        </w:rPr>
        <w:t>The PBAC noted that there was high heterogeneity in patient characteristics and prognostic factors across the included studies</w:t>
      </w:r>
      <w:r w:rsidR="00E05BDF" w:rsidRPr="00FF044C">
        <w:rPr>
          <w:bCs/>
          <w:szCs w:val="22"/>
        </w:rPr>
        <w:t>,</w:t>
      </w:r>
      <w:r w:rsidRPr="00FF044C">
        <w:rPr>
          <w:bCs/>
          <w:szCs w:val="22"/>
        </w:rPr>
        <w:t xml:space="preserve"> and variation in the years in which patient data were collected. Specifically, the criteria to assess clinical response varied across studies; while the assessment of response </w:t>
      </w:r>
      <w:r w:rsidR="00E05BDF" w:rsidRPr="00FF044C">
        <w:rPr>
          <w:bCs/>
          <w:szCs w:val="22"/>
        </w:rPr>
        <w:t>to</w:t>
      </w:r>
      <w:r w:rsidRPr="00FF044C">
        <w:rPr>
          <w:bCs/>
          <w:szCs w:val="22"/>
        </w:rPr>
        <w:t xml:space="preserve"> brentuximab vedotin incorporated PET scan findings, older CT-based imaging techniques were used in the salvage chemotherapy studies. However, the PBAC </w:t>
      </w:r>
      <w:r w:rsidR="00F46F2E" w:rsidRPr="00FF044C">
        <w:rPr>
          <w:bCs/>
          <w:szCs w:val="22"/>
        </w:rPr>
        <w:t>considered that the</w:t>
      </w:r>
      <w:r w:rsidRPr="00FF044C">
        <w:rPr>
          <w:bCs/>
          <w:szCs w:val="22"/>
        </w:rPr>
        <w:t xml:space="preserve"> </w:t>
      </w:r>
      <w:r w:rsidR="00271419" w:rsidRPr="00FF044C">
        <w:rPr>
          <w:bCs/>
          <w:szCs w:val="22"/>
        </w:rPr>
        <w:t>argument in the Pre-PBAC Response</w:t>
      </w:r>
      <w:r w:rsidR="0045141E" w:rsidRPr="00FF044C">
        <w:rPr>
          <w:bCs/>
          <w:szCs w:val="22"/>
        </w:rPr>
        <w:t xml:space="preserve"> (p.3)</w:t>
      </w:r>
      <w:r w:rsidR="00F46F2E" w:rsidRPr="00FF044C">
        <w:rPr>
          <w:bCs/>
          <w:szCs w:val="22"/>
        </w:rPr>
        <w:t xml:space="preserve"> stating</w:t>
      </w:r>
      <w:r w:rsidR="00271419" w:rsidRPr="00FF044C">
        <w:rPr>
          <w:bCs/>
          <w:szCs w:val="22"/>
        </w:rPr>
        <w:t xml:space="preserve"> that </w:t>
      </w:r>
      <w:r w:rsidRPr="00FF044C">
        <w:rPr>
          <w:bCs/>
          <w:szCs w:val="22"/>
        </w:rPr>
        <w:t xml:space="preserve">the differences in imaging techniques </w:t>
      </w:r>
      <w:r w:rsidR="00271419" w:rsidRPr="00FF044C">
        <w:rPr>
          <w:bCs/>
          <w:szCs w:val="22"/>
        </w:rPr>
        <w:t>would have little impact on the patient relevant outcomes, i.e. rates of ORR (which captured both CR and PR), or the number</w:t>
      </w:r>
      <w:r w:rsidR="00F46F2E" w:rsidRPr="00FF044C">
        <w:rPr>
          <w:bCs/>
          <w:szCs w:val="22"/>
        </w:rPr>
        <w:t xml:space="preserve"> of patients proceeding to ASCT, was reasonable.</w:t>
      </w:r>
    </w:p>
    <w:p w:rsidR="00D17A88" w:rsidRPr="00FF044C" w:rsidRDefault="00D17A88" w:rsidP="00D17A88">
      <w:pPr>
        <w:contextualSpacing/>
        <w:rPr>
          <w:bCs/>
          <w:szCs w:val="22"/>
        </w:rPr>
      </w:pPr>
    </w:p>
    <w:p w:rsidR="00524657" w:rsidRPr="00FF044C" w:rsidRDefault="002F7728" w:rsidP="00524657">
      <w:pPr>
        <w:numPr>
          <w:ilvl w:val="1"/>
          <w:numId w:val="1"/>
        </w:numPr>
        <w:contextualSpacing/>
        <w:rPr>
          <w:bCs/>
          <w:szCs w:val="22"/>
        </w:rPr>
      </w:pPr>
      <w:r w:rsidRPr="00FF044C">
        <w:rPr>
          <w:bCs/>
          <w:szCs w:val="22"/>
        </w:rPr>
        <w:t xml:space="preserve">The PBAC </w:t>
      </w:r>
      <w:r w:rsidR="00B608CF" w:rsidRPr="00FF044C">
        <w:rPr>
          <w:bCs/>
          <w:szCs w:val="22"/>
        </w:rPr>
        <w:t>considered that the clinical claim of superior efficacy over salvage chemotherapy was reasonable, although the</w:t>
      </w:r>
      <w:r w:rsidR="00524657" w:rsidRPr="00FF044C">
        <w:rPr>
          <w:bCs/>
          <w:szCs w:val="22"/>
        </w:rPr>
        <w:t xml:space="preserve"> nature of the comparison presented in the submission made it difficult to estimate the magnitude of benefit </w:t>
      </w:r>
      <w:r w:rsidRPr="00FF044C">
        <w:rPr>
          <w:bCs/>
          <w:szCs w:val="22"/>
        </w:rPr>
        <w:t xml:space="preserve">of brentuximab vedotin </w:t>
      </w:r>
      <w:r w:rsidR="00524657" w:rsidRPr="00FF044C">
        <w:rPr>
          <w:bCs/>
          <w:szCs w:val="22"/>
        </w:rPr>
        <w:t>over salvage chemotherapy</w:t>
      </w:r>
      <w:r w:rsidR="00B608CF" w:rsidRPr="00FF044C">
        <w:rPr>
          <w:bCs/>
          <w:szCs w:val="22"/>
        </w:rPr>
        <w:t>.</w:t>
      </w:r>
    </w:p>
    <w:p w:rsidR="00B608CF" w:rsidRPr="00FF044C" w:rsidRDefault="00B608CF" w:rsidP="00B608CF">
      <w:pPr>
        <w:contextualSpacing/>
        <w:rPr>
          <w:bCs/>
          <w:szCs w:val="22"/>
        </w:rPr>
      </w:pPr>
    </w:p>
    <w:p w:rsidR="0075545E" w:rsidRPr="00FF044C" w:rsidRDefault="00524657" w:rsidP="0075545E">
      <w:pPr>
        <w:numPr>
          <w:ilvl w:val="1"/>
          <w:numId w:val="1"/>
        </w:numPr>
        <w:contextualSpacing/>
        <w:rPr>
          <w:bCs/>
          <w:szCs w:val="22"/>
        </w:rPr>
      </w:pPr>
      <w:r w:rsidRPr="00FF044C">
        <w:rPr>
          <w:bCs/>
          <w:szCs w:val="22"/>
        </w:rPr>
        <w:t>The PBAC considered that brentuximab vedotin is less toxic than salvage chemotherapy</w:t>
      </w:r>
      <w:r w:rsidR="00E11A75" w:rsidRPr="00FF044C">
        <w:rPr>
          <w:bCs/>
          <w:szCs w:val="22"/>
        </w:rPr>
        <w:t xml:space="preserve">, </w:t>
      </w:r>
      <w:r w:rsidR="00C117C4" w:rsidRPr="00FF044C">
        <w:rPr>
          <w:bCs/>
          <w:szCs w:val="22"/>
        </w:rPr>
        <w:t>but noted that neurotoxicity can develop after longer exposure.</w:t>
      </w:r>
    </w:p>
    <w:p w:rsidR="0075545E" w:rsidRPr="00FF044C" w:rsidRDefault="0075545E" w:rsidP="0075545E">
      <w:pPr>
        <w:ind w:left="720"/>
        <w:contextualSpacing/>
        <w:rPr>
          <w:bCs/>
          <w:szCs w:val="22"/>
        </w:rPr>
      </w:pPr>
    </w:p>
    <w:p w:rsidR="00E11A75" w:rsidRPr="00FF044C" w:rsidRDefault="00E11A75" w:rsidP="00E11A75">
      <w:pPr>
        <w:pStyle w:val="ListParagraph"/>
        <w:numPr>
          <w:ilvl w:val="1"/>
          <w:numId w:val="1"/>
        </w:numPr>
        <w:rPr>
          <w:bCs/>
          <w:szCs w:val="22"/>
        </w:rPr>
      </w:pPr>
      <w:r w:rsidRPr="00FF044C">
        <w:rPr>
          <w:bCs/>
          <w:szCs w:val="22"/>
        </w:rPr>
        <w:t>The PBAC noted that limited data were available for overall surviva</w:t>
      </w:r>
      <w:r w:rsidR="006B7890" w:rsidRPr="00FF044C">
        <w:rPr>
          <w:bCs/>
          <w:szCs w:val="22"/>
        </w:rPr>
        <w:t>l and progression free survival</w:t>
      </w:r>
      <w:r w:rsidR="00094391" w:rsidRPr="00FF044C">
        <w:rPr>
          <w:bCs/>
          <w:szCs w:val="22"/>
        </w:rPr>
        <w:t>,</w:t>
      </w:r>
      <w:r w:rsidR="006B7890" w:rsidRPr="00FF044C">
        <w:rPr>
          <w:bCs/>
          <w:szCs w:val="22"/>
        </w:rPr>
        <w:t xml:space="preserve"> and that t</w:t>
      </w:r>
      <w:r w:rsidRPr="00FF044C">
        <w:rPr>
          <w:bCs/>
          <w:szCs w:val="22"/>
        </w:rPr>
        <w:t>he majority of the data for efficacy was for the assessment of clinical response</w:t>
      </w:r>
      <w:r w:rsidR="00137402" w:rsidRPr="00FF044C">
        <w:rPr>
          <w:bCs/>
          <w:szCs w:val="22"/>
        </w:rPr>
        <w:t xml:space="preserve"> and was mostly in the salvage patient group</w:t>
      </w:r>
      <w:r w:rsidRPr="00FF044C">
        <w:rPr>
          <w:bCs/>
          <w:szCs w:val="22"/>
        </w:rPr>
        <w:t xml:space="preserve">. </w:t>
      </w:r>
      <w:r w:rsidR="006B7890" w:rsidRPr="00FF044C">
        <w:rPr>
          <w:bCs/>
          <w:szCs w:val="22"/>
        </w:rPr>
        <w:t>The PBAC considered that data on survival and/or potential quality of life impacts of the palliative group of patients would have been useful in estimating the benefit of brentuxi</w:t>
      </w:r>
      <w:r w:rsidR="00015019">
        <w:rPr>
          <w:bCs/>
          <w:szCs w:val="22"/>
        </w:rPr>
        <w:t xml:space="preserve">mab </w:t>
      </w:r>
      <w:proofErr w:type="spellStart"/>
      <w:r w:rsidR="00015019">
        <w:rPr>
          <w:bCs/>
          <w:szCs w:val="22"/>
        </w:rPr>
        <w:t>vedotin</w:t>
      </w:r>
      <w:proofErr w:type="spellEnd"/>
      <w:r w:rsidR="00015019">
        <w:rPr>
          <w:bCs/>
          <w:szCs w:val="22"/>
        </w:rPr>
        <w:t xml:space="preserve"> in this population.</w:t>
      </w:r>
    </w:p>
    <w:p w:rsidR="006B7890" w:rsidRPr="00FF044C" w:rsidRDefault="006B7890" w:rsidP="006B7890">
      <w:pPr>
        <w:rPr>
          <w:bCs/>
          <w:szCs w:val="22"/>
        </w:rPr>
      </w:pPr>
    </w:p>
    <w:p w:rsidR="005150E5" w:rsidRPr="00FF044C" w:rsidRDefault="005150E5" w:rsidP="0075545E">
      <w:pPr>
        <w:numPr>
          <w:ilvl w:val="1"/>
          <w:numId w:val="1"/>
        </w:numPr>
        <w:contextualSpacing/>
        <w:rPr>
          <w:bCs/>
          <w:szCs w:val="22"/>
        </w:rPr>
      </w:pPr>
      <w:r w:rsidRPr="00FF044C">
        <w:rPr>
          <w:bCs/>
          <w:szCs w:val="22"/>
        </w:rPr>
        <w:t xml:space="preserve">The PBAC </w:t>
      </w:r>
      <w:r w:rsidR="005001F9" w:rsidRPr="00FF044C">
        <w:rPr>
          <w:bCs/>
          <w:szCs w:val="22"/>
        </w:rPr>
        <w:t>considered</w:t>
      </w:r>
      <w:r w:rsidRPr="00FF044C">
        <w:rPr>
          <w:bCs/>
          <w:szCs w:val="22"/>
        </w:rPr>
        <w:t xml:space="preserve"> that the intent of brentuximab</w:t>
      </w:r>
      <w:r w:rsidR="007617B4" w:rsidRPr="00FF044C">
        <w:rPr>
          <w:bCs/>
          <w:szCs w:val="22"/>
        </w:rPr>
        <w:t xml:space="preserve"> vedotin</w:t>
      </w:r>
      <w:r w:rsidRPr="00FF044C">
        <w:rPr>
          <w:bCs/>
          <w:szCs w:val="22"/>
        </w:rPr>
        <w:t xml:space="preserve"> therapy in the palliative group was similar to that of patients with relapsed disease post-ASCT (item 7.03, November 2016 PBAC meeting)</w:t>
      </w:r>
      <w:r w:rsidR="00B608CF" w:rsidRPr="00FF044C">
        <w:rPr>
          <w:bCs/>
          <w:szCs w:val="22"/>
        </w:rPr>
        <w:t xml:space="preserve"> from a clinical perspective</w:t>
      </w:r>
      <w:r w:rsidRPr="00FF044C">
        <w:rPr>
          <w:bCs/>
          <w:szCs w:val="22"/>
        </w:rPr>
        <w:t>. The data presented for this group (</w:t>
      </w:r>
      <w:proofErr w:type="spellStart"/>
      <w:r w:rsidRPr="00FF044C">
        <w:rPr>
          <w:bCs/>
          <w:szCs w:val="22"/>
        </w:rPr>
        <w:t>Brocklemann</w:t>
      </w:r>
      <w:proofErr w:type="spellEnd"/>
      <w:r w:rsidRPr="00FF044C">
        <w:rPr>
          <w:bCs/>
          <w:szCs w:val="22"/>
        </w:rPr>
        <w:t xml:space="preserve"> study) was also similar to that presented for the</w:t>
      </w:r>
      <w:r w:rsidR="003C658F">
        <w:rPr>
          <w:bCs/>
          <w:szCs w:val="22"/>
        </w:rPr>
        <w:t xml:space="preserve"> </w:t>
      </w:r>
      <w:r w:rsidR="008F1BD8">
        <w:rPr>
          <w:bCs/>
          <w:szCs w:val="22"/>
        </w:rPr>
        <w:t>post-</w:t>
      </w:r>
      <w:r w:rsidR="003C658F">
        <w:rPr>
          <w:bCs/>
          <w:szCs w:val="22"/>
        </w:rPr>
        <w:t xml:space="preserve">ASCT </w:t>
      </w:r>
      <w:r w:rsidRPr="00FF044C">
        <w:rPr>
          <w:bCs/>
          <w:szCs w:val="22"/>
        </w:rPr>
        <w:t xml:space="preserve">population </w:t>
      </w:r>
      <w:r w:rsidR="002648F5" w:rsidRPr="00FF044C">
        <w:rPr>
          <w:bCs/>
          <w:szCs w:val="22"/>
        </w:rPr>
        <w:t>(Study 003)</w:t>
      </w:r>
      <w:r w:rsidRPr="00FF044C">
        <w:rPr>
          <w:bCs/>
          <w:szCs w:val="22"/>
        </w:rPr>
        <w:t xml:space="preserve">.  Therefore, the PBAC considered that there was no reason to </w:t>
      </w:r>
      <w:r w:rsidRPr="00FF044C">
        <w:rPr>
          <w:bCs/>
          <w:szCs w:val="22"/>
        </w:rPr>
        <w:lastRenderedPageBreak/>
        <w:t xml:space="preserve">treat these two populations </w:t>
      </w:r>
      <w:r w:rsidR="006600C7" w:rsidRPr="00FF044C">
        <w:rPr>
          <w:bCs/>
          <w:szCs w:val="22"/>
        </w:rPr>
        <w:t xml:space="preserve">differently in </w:t>
      </w:r>
      <w:r w:rsidRPr="00FF044C">
        <w:rPr>
          <w:bCs/>
          <w:szCs w:val="22"/>
        </w:rPr>
        <w:t>terms of treatment intent, number of cycles administered and cost of treatment.</w:t>
      </w:r>
      <w:r w:rsidR="00CC1798" w:rsidRPr="00FF044C">
        <w:rPr>
          <w:bCs/>
          <w:szCs w:val="22"/>
        </w:rPr>
        <w:t xml:space="preserve"> On this basis, the PBAC considered that it was reasonable to assume that the cost-effectiveness of treating the palliative care group would be consistent with the cost-effectiveness of treating the post-ASCT patients.</w:t>
      </w:r>
    </w:p>
    <w:p w:rsidR="005150E5" w:rsidRPr="00FF044C" w:rsidRDefault="005150E5" w:rsidP="005150E5">
      <w:pPr>
        <w:pStyle w:val="ListParagraph"/>
        <w:rPr>
          <w:bCs/>
          <w:szCs w:val="22"/>
        </w:rPr>
      </w:pPr>
    </w:p>
    <w:p w:rsidR="0075545E" w:rsidRPr="00FF044C" w:rsidRDefault="00B608CF" w:rsidP="00C54F2D">
      <w:pPr>
        <w:numPr>
          <w:ilvl w:val="1"/>
          <w:numId w:val="1"/>
        </w:numPr>
        <w:contextualSpacing/>
        <w:rPr>
          <w:bCs/>
          <w:szCs w:val="22"/>
        </w:rPr>
      </w:pPr>
      <w:r w:rsidRPr="00FF044C">
        <w:rPr>
          <w:bCs/>
          <w:szCs w:val="22"/>
        </w:rPr>
        <w:t xml:space="preserve">The </w:t>
      </w:r>
      <w:r w:rsidR="00E221DE" w:rsidRPr="00FF044C">
        <w:rPr>
          <w:bCs/>
          <w:szCs w:val="22"/>
        </w:rPr>
        <w:t xml:space="preserve">PBAC noted that </w:t>
      </w:r>
      <w:r w:rsidR="005150E5" w:rsidRPr="00FF044C">
        <w:rPr>
          <w:bCs/>
          <w:szCs w:val="22"/>
        </w:rPr>
        <w:t>the Pre-PBAC Response (p.1) offered a revised price of $</w:t>
      </w:r>
      <w:r w:rsidR="003C460A">
        <w:rPr>
          <w:bCs/>
          <w:noProof/>
          <w:color w:val="000000"/>
          <w:szCs w:val="22"/>
          <w:highlight w:val="black"/>
        </w:rPr>
        <w:t>''''''''''''''</w:t>
      </w:r>
      <w:r w:rsidR="005150E5" w:rsidRPr="00FF044C">
        <w:rPr>
          <w:bCs/>
          <w:szCs w:val="22"/>
        </w:rPr>
        <w:t xml:space="preserve"> per vial</w:t>
      </w:r>
      <w:r w:rsidR="00376A7B" w:rsidRPr="00FF044C">
        <w:rPr>
          <w:bCs/>
          <w:szCs w:val="22"/>
        </w:rPr>
        <w:t xml:space="preserve"> (formerly $</w:t>
      </w:r>
      <w:r w:rsidR="003C460A">
        <w:rPr>
          <w:bCs/>
          <w:noProof/>
          <w:color w:val="000000"/>
          <w:szCs w:val="22"/>
          <w:highlight w:val="black"/>
        </w:rPr>
        <w:t>'''''''''''''</w:t>
      </w:r>
      <w:r w:rsidR="00376A7B" w:rsidRPr="00FF044C">
        <w:rPr>
          <w:bCs/>
          <w:szCs w:val="22"/>
        </w:rPr>
        <w:t xml:space="preserve"> per vial)</w:t>
      </w:r>
      <w:r w:rsidR="00C54F2D" w:rsidRPr="00FF044C">
        <w:rPr>
          <w:bCs/>
          <w:szCs w:val="22"/>
        </w:rPr>
        <w:t xml:space="preserve">, </w:t>
      </w:r>
      <w:r w:rsidR="005150E5" w:rsidRPr="00FF044C">
        <w:rPr>
          <w:bCs/>
          <w:szCs w:val="22"/>
        </w:rPr>
        <w:t xml:space="preserve">and considered that brentuximab vedotin was cost-effective in the palliative </w:t>
      </w:r>
      <w:r w:rsidR="007070E9" w:rsidRPr="00FF044C">
        <w:rPr>
          <w:bCs/>
          <w:szCs w:val="22"/>
        </w:rPr>
        <w:t>group of patients at this price</w:t>
      </w:r>
      <w:r w:rsidRPr="00FF044C">
        <w:rPr>
          <w:bCs/>
          <w:szCs w:val="22"/>
        </w:rPr>
        <w:t>, similar to the post ASCT group of patients, November 2016 PBAC meeting), where the ICER was in the range of $</w:t>
      </w:r>
      <w:r w:rsidR="00BF2001">
        <w:rPr>
          <w:bCs/>
          <w:szCs w:val="22"/>
        </w:rPr>
        <w:t>45,000</w:t>
      </w:r>
      <w:r w:rsidRPr="00FF044C">
        <w:rPr>
          <w:bCs/>
          <w:szCs w:val="22"/>
        </w:rPr>
        <w:t xml:space="preserve"> to $</w:t>
      </w:r>
      <w:r w:rsidR="00BF2001">
        <w:rPr>
          <w:bCs/>
          <w:szCs w:val="22"/>
        </w:rPr>
        <w:t>75,000</w:t>
      </w:r>
      <w:r w:rsidRPr="00FF044C">
        <w:rPr>
          <w:bCs/>
          <w:szCs w:val="22"/>
        </w:rPr>
        <w:t>/QALY</w:t>
      </w:r>
      <w:r w:rsidR="001867B2" w:rsidRPr="00FF044C">
        <w:rPr>
          <w:bCs/>
          <w:szCs w:val="22"/>
        </w:rPr>
        <w:t>.</w:t>
      </w:r>
    </w:p>
    <w:p w:rsidR="005150E5" w:rsidRPr="00FF044C" w:rsidRDefault="005150E5" w:rsidP="005150E5">
      <w:pPr>
        <w:pStyle w:val="ListParagraph"/>
        <w:rPr>
          <w:bCs/>
          <w:szCs w:val="22"/>
        </w:rPr>
      </w:pPr>
    </w:p>
    <w:p w:rsidR="005150E5" w:rsidRPr="00FF044C" w:rsidRDefault="00437F2D" w:rsidP="003C43AF">
      <w:pPr>
        <w:pStyle w:val="ListParagraph"/>
        <w:widowControl/>
        <w:numPr>
          <w:ilvl w:val="1"/>
          <w:numId w:val="1"/>
        </w:numPr>
        <w:rPr>
          <w:bCs/>
          <w:szCs w:val="22"/>
        </w:rPr>
      </w:pPr>
      <w:r w:rsidRPr="00FF044C">
        <w:t xml:space="preserve">The PBAC noted that accounting for the changes to the economic evaluation presented in the PSCR and using the proposed revised price of </w:t>
      </w:r>
      <w:r w:rsidR="003C43AF" w:rsidRPr="003C43AF">
        <w:t>$</w:t>
      </w:r>
      <w:r w:rsidR="003C460A">
        <w:rPr>
          <w:noProof/>
          <w:color w:val="000000"/>
          <w:highlight w:val="black"/>
        </w:rPr>
        <w:t>''''''''''''</w:t>
      </w:r>
      <w:r w:rsidR="00255B3C" w:rsidRPr="00FF044C">
        <w:t>,</w:t>
      </w:r>
      <w:r w:rsidRPr="00FF044C">
        <w:t xml:space="preserve"> </w:t>
      </w:r>
      <w:r w:rsidR="00306E80" w:rsidRPr="00FF044C">
        <w:rPr>
          <w:bCs/>
          <w:szCs w:val="22"/>
        </w:rPr>
        <w:t xml:space="preserve">the re-specified base case was </w:t>
      </w:r>
      <w:r w:rsidR="003C658F">
        <w:rPr>
          <w:bCs/>
          <w:szCs w:val="22"/>
        </w:rPr>
        <w:t xml:space="preserve"> </w:t>
      </w:r>
      <w:r w:rsidR="003C658F" w:rsidRPr="00113D69">
        <w:rPr>
          <w:snapToGrid/>
        </w:rPr>
        <w:t xml:space="preserve">$105,000 - $200,000 </w:t>
      </w:r>
      <w:r w:rsidR="00306E80" w:rsidRPr="00FF044C">
        <w:rPr>
          <w:bCs/>
          <w:szCs w:val="22"/>
        </w:rPr>
        <w:t xml:space="preserve">per </w:t>
      </w:r>
      <w:r w:rsidR="00B608CF" w:rsidRPr="00FF044C">
        <w:rPr>
          <w:bCs/>
          <w:szCs w:val="22"/>
        </w:rPr>
        <w:t>additional patient proceeding to ASCT, i.e. the salvage group of patients</w:t>
      </w:r>
      <w:r w:rsidR="00306E80" w:rsidRPr="00FF044C">
        <w:rPr>
          <w:bCs/>
          <w:szCs w:val="22"/>
        </w:rPr>
        <w:t>. The PBAC considered that this was unacceptably high</w:t>
      </w:r>
      <w:r w:rsidR="00B608CF" w:rsidRPr="00FF044C">
        <w:rPr>
          <w:bCs/>
          <w:szCs w:val="22"/>
        </w:rPr>
        <w:t xml:space="preserve"> and</w:t>
      </w:r>
      <w:r w:rsidR="00483BD1" w:rsidRPr="00FF044C">
        <w:rPr>
          <w:bCs/>
          <w:szCs w:val="22"/>
        </w:rPr>
        <w:t xml:space="preserve"> had a high degree of </w:t>
      </w:r>
      <w:proofErr w:type="gramStart"/>
      <w:r w:rsidR="00483BD1" w:rsidRPr="00FF044C">
        <w:rPr>
          <w:bCs/>
          <w:szCs w:val="22"/>
        </w:rPr>
        <w:t>uncertaint</w:t>
      </w:r>
      <w:r w:rsidR="00B608CF" w:rsidRPr="00FF044C">
        <w:rPr>
          <w:bCs/>
          <w:szCs w:val="22"/>
        </w:rPr>
        <w:t>y</w:t>
      </w:r>
      <w:r w:rsidR="00306E80" w:rsidRPr="00FF044C">
        <w:rPr>
          <w:bCs/>
          <w:szCs w:val="22"/>
        </w:rPr>
        <w:t>,</w:t>
      </w:r>
      <w:proofErr w:type="gramEnd"/>
      <w:r w:rsidR="00306E80" w:rsidRPr="00FF044C">
        <w:rPr>
          <w:bCs/>
          <w:szCs w:val="22"/>
        </w:rPr>
        <w:t xml:space="preserve"> and a price reduction of </w:t>
      </w:r>
      <w:r w:rsidR="00067D54">
        <w:rPr>
          <w:bCs/>
          <w:szCs w:val="22"/>
        </w:rPr>
        <w:t xml:space="preserve">approximately </w:t>
      </w:r>
      <w:r w:rsidR="003C460A">
        <w:rPr>
          <w:bCs/>
          <w:noProof/>
          <w:color w:val="000000"/>
          <w:szCs w:val="22"/>
          <w:highlight w:val="black"/>
        </w:rPr>
        <w:t>''''''</w:t>
      </w:r>
      <w:r w:rsidR="00306E80" w:rsidRPr="00FF044C">
        <w:rPr>
          <w:bCs/>
          <w:szCs w:val="22"/>
        </w:rPr>
        <w:t xml:space="preserve">% </w:t>
      </w:r>
      <w:r w:rsidR="00B608CF" w:rsidRPr="00FF044C">
        <w:rPr>
          <w:bCs/>
          <w:szCs w:val="22"/>
        </w:rPr>
        <w:t>would be appropriate</w:t>
      </w:r>
      <w:r w:rsidR="00306E80" w:rsidRPr="00FF044C">
        <w:rPr>
          <w:bCs/>
          <w:szCs w:val="22"/>
        </w:rPr>
        <w:t xml:space="preserve"> </w:t>
      </w:r>
      <w:r w:rsidR="00067D54">
        <w:rPr>
          <w:bCs/>
          <w:szCs w:val="22"/>
        </w:rPr>
        <w:t xml:space="preserve">to achieve </w:t>
      </w:r>
      <w:r w:rsidR="00306E80" w:rsidRPr="00FF044C">
        <w:rPr>
          <w:bCs/>
          <w:szCs w:val="22"/>
        </w:rPr>
        <w:t>cost-effective</w:t>
      </w:r>
      <w:r w:rsidR="00067D54">
        <w:rPr>
          <w:bCs/>
          <w:szCs w:val="22"/>
        </w:rPr>
        <w:t>ness</w:t>
      </w:r>
      <w:r w:rsidR="00306E80" w:rsidRPr="00FF044C">
        <w:rPr>
          <w:bCs/>
          <w:szCs w:val="22"/>
        </w:rPr>
        <w:t xml:space="preserve"> in this </w:t>
      </w:r>
      <w:r w:rsidR="00642F8B" w:rsidRPr="00FF044C">
        <w:rPr>
          <w:bCs/>
          <w:szCs w:val="22"/>
        </w:rPr>
        <w:t>group of patients</w:t>
      </w:r>
      <w:r w:rsidR="00306E80" w:rsidRPr="00FF044C">
        <w:rPr>
          <w:bCs/>
          <w:szCs w:val="22"/>
        </w:rPr>
        <w:t>.</w:t>
      </w:r>
      <w:r w:rsidR="00CC1798" w:rsidRPr="00FF044C">
        <w:rPr>
          <w:bCs/>
          <w:szCs w:val="22"/>
        </w:rPr>
        <w:t xml:space="preserve"> </w:t>
      </w:r>
      <w:r w:rsidR="001867B2" w:rsidRPr="00FF044C">
        <w:rPr>
          <w:bCs/>
          <w:szCs w:val="22"/>
        </w:rPr>
        <w:t>Furthermore, the PBAC considered that the maximum number of treatment cycles in the salvage population should be capped at 4 cycles. This was supported by evidence presented in the submission (average number of cycles per course was calculated to be 4.57) and in the sponsor hearing for this item.</w:t>
      </w:r>
    </w:p>
    <w:p w:rsidR="0075545E" w:rsidRPr="00FF044C" w:rsidRDefault="0075545E" w:rsidP="00642F8B">
      <w:pPr>
        <w:contextualSpacing/>
        <w:rPr>
          <w:bCs/>
          <w:szCs w:val="22"/>
        </w:rPr>
      </w:pPr>
    </w:p>
    <w:p w:rsidR="001867B2" w:rsidRPr="00FF044C" w:rsidRDefault="001867B2" w:rsidP="001867B2">
      <w:pPr>
        <w:pStyle w:val="ListParagraph"/>
        <w:numPr>
          <w:ilvl w:val="1"/>
          <w:numId w:val="1"/>
        </w:numPr>
        <w:rPr>
          <w:bCs/>
          <w:szCs w:val="22"/>
        </w:rPr>
      </w:pPr>
      <w:r w:rsidRPr="00FF044C">
        <w:rPr>
          <w:bCs/>
          <w:szCs w:val="22"/>
        </w:rPr>
        <w:t>Given that it is not always possible to identify patients who will be salvage patients (compared to palliative) at treatment initiation, the PBAC considered that the overall price should be weighted to reflect the requirement for a lower price to achieve cost</w:t>
      </w:r>
      <w:r w:rsidR="00067D54">
        <w:rPr>
          <w:bCs/>
          <w:szCs w:val="22"/>
        </w:rPr>
        <w:t>-</w:t>
      </w:r>
      <w:r w:rsidRPr="00FF044C">
        <w:rPr>
          <w:bCs/>
          <w:szCs w:val="22"/>
        </w:rPr>
        <w:t xml:space="preserve">effectiveness in the salvage population. The PBAC noted that the information in the submission did not provide a strong basis for determining the proportional split between the salvage and palliative groups and therefore proposed a 50/50 split </w:t>
      </w:r>
      <w:r w:rsidR="00FE6409">
        <w:rPr>
          <w:bCs/>
          <w:szCs w:val="22"/>
        </w:rPr>
        <w:t xml:space="preserve">of patients across </w:t>
      </w:r>
      <w:r w:rsidRPr="00FF044C">
        <w:rPr>
          <w:bCs/>
          <w:szCs w:val="22"/>
        </w:rPr>
        <w:t>the two populations. The same 50/50 split should also be applied to the subsidisation caps in terms of the maxi</w:t>
      </w:r>
      <w:r w:rsidR="00DC24F8">
        <w:rPr>
          <w:bCs/>
          <w:szCs w:val="22"/>
        </w:rPr>
        <w:t>mum number of treatment cycles.</w:t>
      </w:r>
    </w:p>
    <w:p w:rsidR="001867B2" w:rsidRPr="00FF044C" w:rsidRDefault="001867B2" w:rsidP="001867B2">
      <w:pPr>
        <w:pStyle w:val="ListParagraph"/>
        <w:rPr>
          <w:bCs/>
          <w:szCs w:val="22"/>
        </w:rPr>
      </w:pPr>
    </w:p>
    <w:p w:rsidR="00FE6409" w:rsidRDefault="00642F8B" w:rsidP="00642F8B">
      <w:pPr>
        <w:pStyle w:val="ListParagraph"/>
        <w:numPr>
          <w:ilvl w:val="1"/>
          <w:numId w:val="1"/>
        </w:numPr>
        <w:rPr>
          <w:bCs/>
          <w:szCs w:val="22"/>
        </w:rPr>
      </w:pPr>
      <w:r w:rsidRPr="00FF044C">
        <w:rPr>
          <w:bCs/>
          <w:szCs w:val="22"/>
        </w:rPr>
        <w:t xml:space="preserve">The PBAC noted that the sponsor had proposed a </w:t>
      </w:r>
      <w:r w:rsidR="00FE6409">
        <w:rPr>
          <w:bCs/>
          <w:szCs w:val="22"/>
        </w:rPr>
        <w:t>R</w:t>
      </w:r>
      <w:r w:rsidR="00FE6409" w:rsidRPr="00FF044C">
        <w:rPr>
          <w:bCs/>
          <w:szCs w:val="22"/>
        </w:rPr>
        <w:t>isk</w:t>
      </w:r>
      <w:r w:rsidRPr="00FF044C">
        <w:rPr>
          <w:bCs/>
          <w:szCs w:val="22"/>
        </w:rPr>
        <w:t>-</w:t>
      </w:r>
      <w:r w:rsidR="00FE6409">
        <w:rPr>
          <w:bCs/>
          <w:szCs w:val="22"/>
        </w:rPr>
        <w:t>S</w:t>
      </w:r>
      <w:r w:rsidR="00FE6409" w:rsidRPr="00FF044C">
        <w:rPr>
          <w:bCs/>
          <w:szCs w:val="22"/>
        </w:rPr>
        <w:t xml:space="preserve">hare </w:t>
      </w:r>
      <w:r w:rsidR="00FE6409">
        <w:rPr>
          <w:bCs/>
          <w:szCs w:val="22"/>
        </w:rPr>
        <w:t>A</w:t>
      </w:r>
      <w:r w:rsidR="00FE6409" w:rsidRPr="00FF044C">
        <w:rPr>
          <w:bCs/>
          <w:szCs w:val="22"/>
        </w:rPr>
        <w:t xml:space="preserve">rrangement </w:t>
      </w:r>
      <w:r w:rsidRPr="004540ED">
        <w:rPr>
          <w:bCs/>
          <w:szCs w:val="22"/>
        </w:rPr>
        <w:t xml:space="preserve">with two subsidisation caps, and advised that the caps should be </w:t>
      </w:r>
      <w:r w:rsidR="00783B4B" w:rsidRPr="004540ED">
        <w:rPr>
          <w:bCs/>
          <w:szCs w:val="22"/>
        </w:rPr>
        <w:t xml:space="preserve">reduced </w:t>
      </w:r>
      <w:r w:rsidRPr="004540ED">
        <w:rPr>
          <w:bCs/>
          <w:szCs w:val="22"/>
        </w:rPr>
        <w:t>to reflect</w:t>
      </w:r>
      <w:r w:rsidR="00FE6409">
        <w:rPr>
          <w:bCs/>
          <w:szCs w:val="22"/>
        </w:rPr>
        <w:t>:</w:t>
      </w:r>
    </w:p>
    <w:p w:rsidR="00FE6409" w:rsidRPr="00FE6409" w:rsidRDefault="00FE6409" w:rsidP="00FE6409">
      <w:pPr>
        <w:pStyle w:val="ListParagraph"/>
        <w:rPr>
          <w:bCs/>
          <w:szCs w:val="22"/>
        </w:rPr>
      </w:pPr>
    </w:p>
    <w:p w:rsidR="00FE6409" w:rsidRPr="004B53AE" w:rsidRDefault="00642F8B" w:rsidP="00FE6409">
      <w:pPr>
        <w:pStyle w:val="ListParagraph"/>
        <w:numPr>
          <w:ilvl w:val="0"/>
          <w:numId w:val="24"/>
        </w:numPr>
        <w:rPr>
          <w:bCs/>
          <w:szCs w:val="22"/>
        </w:rPr>
      </w:pPr>
      <w:r w:rsidRPr="004B53AE">
        <w:rPr>
          <w:bCs/>
          <w:szCs w:val="22"/>
        </w:rPr>
        <w:t>the revised price per vial</w:t>
      </w:r>
      <w:r w:rsidR="004B53AE" w:rsidRPr="004B53AE">
        <w:rPr>
          <w:bCs/>
          <w:szCs w:val="22"/>
        </w:rPr>
        <w:t>, weighted 50/50 across the price</w:t>
      </w:r>
      <w:r w:rsidRPr="004B53AE">
        <w:rPr>
          <w:bCs/>
          <w:szCs w:val="22"/>
        </w:rPr>
        <w:t xml:space="preserve"> </w:t>
      </w:r>
      <w:r w:rsidR="001867B2" w:rsidRPr="004B53AE">
        <w:rPr>
          <w:bCs/>
          <w:szCs w:val="22"/>
        </w:rPr>
        <w:t>presented in the Pre-PBAC response</w:t>
      </w:r>
      <w:r w:rsidR="004B53AE" w:rsidRPr="004B53AE">
        <w:rPr>
          <w:bCs/>
          <w:szCs w:val="22"/>
        </w:rPr>
        <w:t xml:space="preserve"> for the palliative population and</w:t>
      </w:r>
      <w:r w:rsidR="00582044">
        <w:rPr>
          <w:bCs/>
          <w:szCs w:val="22"/>
        </w:rPr>
        <w:t xml:space="preserve"> </w:t>
      </w:r>
      <w:r w:rsidR="001867B2" w:rsidRPr="004B53AE">
        <w:rPr>
          <w:bCs/>
          <w:szCs w:val="22"/>
        </w:rPr>
        <w:t>the PBAC’s recommend</w:t>
      </w:r>
      <w:r w:rsidR="004B53AE">
        <w:rPr>
          <w:bCs/>
          <w:szCs w:val="22"/>
        </w:rPr>
        <w:t>ed</w:t>
      </w:r>
      <w:r w:rsidR="001867B2" w:rsidRPr="004B53AE">
        <w:rPr>
          <w:bCs/>
          <w:szCs w:val="22"/>
        </w:rPr>
        <w:t xml:space="preserve"> price reduction</w:t>
      </w:r>
      <w:r w:rsidR="004B53AE">
        <w:rPr>
          <w:bCs/>
          <w:szCs w:val="22"/>
        </w:rPr>
        <w:t xml:space="preserve"> of </w:t>
      </w:r>
      <w:r w:rsidR="003C460A">
        <w:rPr>
          <w:bCs/>
          <w:noProof/>
          <w:color w:val="000000"/>
          <w:szCs w:val="22"/>
          <w:highlight w:val="black"/>
        </w:rPr>
        <w:t>''''''</w:t>
      </w:r>
      <w:r w:rsidR="004B53AE">
        <w:rPr>
          <w:bCs/>
          <w:szCs w:val="22"/>
        </w:rPr>
        <w:t>%</w:t>
      </w:r>
      <w:r w:rsidR="001867B2" w:rsidRPr="004B53AE">
        <w:rPr>
          <w:bCs/>
          <w:szCs w:val="22"/>
        </w:rPr>
        <w:t xml:space="preserve"> to achieve cost-effectiveness in the salvage population</w:t>
      </w:r>
    </w:p>
    <w:p w:rsidR="00CC1798" w:rsidRPr="00FE6409" w:rsidRDefault="001867B2" w:rsidP="00FE6409">
      <w:pPr>
        <w:pStyle w:val="ListParagraph"/>
        <w:numPr>
          <w:ilvl w:val="0"/>
          <w:numId w:val="24"/>
        </w:numPr>
        <w:rPr>
          <w:bCs/>
          <w:szCs w:val="22"/>
        </w:rPr>
      </w:pPr>
      <w:proofErr w:type="gramStart"/>
      <w:r w:rsidRPr="00FE6409">
        <w:rPr>
          <w:bCs/>
          <w:szCs w:val="22"/>
        </w:rPr>
        <w:t>and</w:t>
      </w:r>
      <w:proofErr w:type="gramEnd"/>
      <w:r w:rsidRPr="00FE6409">
        <w:rPr>
          <w:bCs/>
          <w:szCs w:val="22"/>
        </w:rPr>
        <w:t xml:space="preserve"> the PBAC’s recommendation of a maximum of 4 treatment cycles in the salvage and 16</w:t>
      </w:r>
      <w:r w:rsidR="00DC24F8">
        <w:rPr>
          <w:bCs/>
          <w:szCs w:val="22"/>
        </w:rPr>
        <w:t xml:space="preserve"> in the palliative populations.</w:t>
      </w:r>
    </w:p>
    <w:p w:rsidR="00AD454F" w:rsidRPr="00FF044C" w:rsidRDefault="00AD454F" w:rsidP="001867B2">
      <w:pPr>
        <w:rPr>
          <w:bCs/>
          <w:szCs w:val="22"/>
        </w:rPr>
      </w:pPr>
    </w:p>
    <w:p w:rsidR="0075545E" w:rsidRPr="00FF044C" w:rsidRDefault="00C44A93" w:rsidP="0075545E">
      <w:pPr>
        <w:numPr>
          <w:ilvl w:val="1"/>
          <w:numId w:val="1"/>
        </w:numPr>
        <w:contextualSpacing/>
        <w:rPr>
          <w:bCs/>
          <w:szCs w:val="22"/>
        </w:rPr>
      </w:pPr>
      <w:r w:rsidRPr="00FF044C">
        <w:rPr>
          <w:bCs/>
          <w:szCs w:val="22"/>
        </w:rPr>
        <w:t>The PBAC considere</w:t>
      </w:r>
      <w:r w:rsidR="00483BD1" w:rsidRPr="00FF044C">
        <w:rPr>
          <w:bCs/>
          <w:szCs w:val="22"/>
        </w:rPr>
        <w:t>d that there was some uncertaint</w:t>
      </w:r>
      <w:r w:rsidRPr="00FF044C">
        <w:rPr>
          <w:bCs/>
          <w:szCs w:val="22"/>
        </w:rPr>
        <w:t>y in utilisation numbers particularly in the light of patients potentially accessing brentuximab vedotin in more than one line of therapy, and</w:t>
      </w:r>
      <w:r w:rsidR="00CE3AF1" w:rsidRPr="00FF044C">
        <w:rPr>
          <w:bCs/>
          <w:szCs w:val="22"/>
        </w:rPr>
        <w:t xml:space="preserve"> noted the sponsor’s willingness to negotiate with the Department on the proposed </w:t>
      </w:r>
      <w:r w:rsidR="00FE6409">
        <w:rPr>
          <w:bCs/>
          <w:szCs w:val="22"/>
        </w:rPr>
        <w:t>R</w:t>
      </w:r>
      <w:r w:rsidR="00FE6409" w:rsidRPr="00FF044C">
        <w:rPr>
          <w:bCs/>
          <w:szCs w:val="22"/>
        </w:rPr>
        <w:t>isk</w:t>
      </w:r>
      <w:r w:rsidR="00CE3AF1" w:rsidRPr="00FF044C">
        <w:rPr>
          <w:bCs/>
          <w:szCs w:val="22"/>
        </w:rPr>
        <w:t>-</w:t>
      </w:r>
      <w:r w:rsidR="00FE6409">
        <w:rPr>
          <w:bCs/>
          <w:szCs w:val="22"/>
        </w:rPr>
        <w:t>S</w:t>
      </w:r>
      <w:r w:rsidR="00FE6409" w:rsidRPr="00FF044C">
        <w:rPr>
          <w:bCs/>
          <w:szCs w:val="22"/>
        </w:rPr>
        <w:t xml:space="preserve">hare </w:t>
      </w:r>
      <w:r w:rsidR="00FE6409">
        <w:rPr>
          <w:bCs/>
          <w:szCs w:val="22"/>
        </w:rPr>
        <w:t>A</w:t>
      </w:r>
      <w:r w:rsidR="00FE6409" w:rsidRPr="00FF044C">
        <w:rPr>
          <w:bCs/>
          <w:szCs w:val="22"/>
        </w:rPr>
        <w:t>rrangement</w:t>
      </w:r>
      <w:r w:rsidRPr="00FF044C">
        <w:rPr>
          <w:bCs/>
          <w:szCs w:val="22"/>
        </w:rPr>
        <w:t>.</w:t>
      </w:r>
      <w:r w:rsidR="00CE3AF1" w:rsidRPr="00FF044C">
        <w:rPr>
          <w:bCs/>
          <w:szCs w:val="22"/>
        </w:rPr>
        <w:t xml:space="preserve"> </w:t>
      </w:r>
      <w:r w:rsidR="00EB6012">
        <w:rPr>
          <w:bCs/>
          <w:szCs w:val="22"/>
        </w:rPr>
        <w:t xml:space="preserve"> However, the Committee noted that </w:t>
      </w:r>
      <w:r w:rsidR="00306890">
        <w:rPr>
          <w:bCs/>
          <w:szCs w:val="22"/>
        </w:rPr>
        <w:t xml:space="preserve">the per vial cost of brentuximab beyond each Cap </w:t>
      </w:r>
      <w:r w:rsidR="00FE157F">
        <w:rPr>
          <w:bCs/>
          <w:szCs w:val="22"/>
        </w:rPr>
        <w:t xml:space="preserve">as presented in the submission </w:t>
      </w:r>
      <w:r w:rsidR="00306890">
        <w:rPr>
          <w:bCs/>
          <w:szCs w:val="22"/>
        </w:rPr>
        <w:t xml:space="preserve">would need to </w:t>
      </w:r>
      <w:r w:rsidR="006701B6">
        <w:rPr>
          <w:bCs/>
          <w:szCs w:val="22"/>
        </w:rPr>
        <w:t>be</w:t>
      </w:r>
      <w:r w:rsidR="00306890">
        <w:rPr>
          <w:bCs/>
          <w:szCs w:val="22"/>
        </w:rPr>
        <w:t xml:space="preserve"> further</w:t>
      </w:r>
      <w:r w:rsidR="006701B6">
        <w:rPr>
          <w:bCs/>
          <w:szCs w:val="22"/>
        </w:rPr>
        <w:t xml:space="preserve"> reduced</w:t>
      </w:r>
      <w:r w:rsidR="00306890">
        <w:rPr>
          <w:bCs/>
          <w:szCs w:val="22"/>
        </w:rPr>
        <w:t xml:space="preserve">, </w:t>
      </w:r>
      <w:r w:rsidR="006701B6">
        <w:rPr>
          <w:bCs/>
          <w:szCs w:val="22"/>
        </w:rPr>
        <w:t>in order to appropriately manage these uncertainties for the Commonwealth</w:t>
      </w:r>
      <w:r w:rsidR="00306890">
        <w:rPr>
          <w:bCs/>
          <w:szCs w:val="22"/>
        </w:rPr>
        <w:t>.</w:t>
      </w:r>
    </w:p>
    <w:p w:rsidR="00642F8B" w:rsidRPr="00FF044C" w:rsidRDefault="00642F8B" w:rsidP="00642F8B">
      <w:pPr>
        <w:contextualSpacing/>
        <w:rPr>
          <w:bCs/>
          <w:szCs w:val="22"/>
        </w:rPr>
      </w:pPr>
    </w:p>
    <w:p w:rsidR="00E11A75" w:rsidRPr="00FF044C" w:rsidRDefault="00E11A75" w:rsidP="00E11A75">
      <w:pPr>
        <w:numPr>
          <w:ilvl w:val="1"/>
          <w:numId w:val="1"/>
        </w:numPr>
        <w:rPr>
          <w:bCs/>
        </w:rPr>
      </w:pPr>
      <w:r w:rsidRPr="00FF044C">
        <w:rPr>
          <w:bCs/>
        </w:rPr>
        <w:t>The PBAC recommended that brentuximab vedotin should not be treated as interchangeable with any other drugs.</w:t>
      </w:r>
    </w:p>
    <w:p w:rsidR="00E11A75" w:rsidRPr="00FF044C" w:rsidRDefault="00E11A75" w:rsidP="00E11A75">
      <w:pPr>
        <w:rPr>
          <w:bCs/>
        </w:rPr>
      </w:pPr>
    </w:p>
    <w:p w:rsidR="00E11A75" w:rsidRPr="00FF044C" w:rsidRDefault="00E11A75" w:rsidP="00E11A75">
      <w:pPr>
        <w:numPr>
          <w:ilvl w:val="1"/>
          <w:numId w:val="1"/>
        </w:numPr>
        <w:rPr>
          <w:bCs/>
        </w:rPr>
      </w:pPr>
      <w:r w:rsidRPr="00FF044C">
        <w:rPr>
          <w:szCs w:val="22"/>
        </w:rPr>
        <w:lastRenderedPageBreak/>
        <w:t>The PBAC advised that brentuximab vedotin was not suitable for prescribing by nurse practitioners.</w:t>
      </w:r>
    </w:p>
    <w:p w:rsidR="00E11A75" w:rsidRPr="00FF044C" w:rsidRDefault="00E11A75" w:rsidP="00E11A75">
      <w:pPr>
        <w:rPr>
          <w:bCs/>
        </w:rPr>
      </w:pPr>
    </w:p>
    <w:p w:rsidR="00E11A75" w:rsidRPr="00FF044C" w:rsidRDefault="00E11A75" w:rsidP="00E11A75">
      <w:pPr>
        <w:numPr>
          <w:ilvl w:val="1"/>
          <w:numId w:val="1"/>
        </w:numPr>
        <w:rPr>
          <w:bCs/>
        </w:rPr>
      </w:pPr>
      <w:r w:rsidRPr="00FF044C">
        <w:rPr>
          <w:bCs/>
        </w:rPr>
        <w:t>The PBAC noted that the Early Supply Rule does not currently apply to Section 100 (Efficient Fun</w:t>
      </w:r>
      <w:r w:rsidR="00015019">
        <w:rPr>
          <w:bCs/>
        </w:rPr>
        <w:t>ding of Chemotherapy) listings.</w:t>
      </w:r>
    </w:p>
    <w:p w:rsidR="00E11A75" w:rsidRPr="00FF044C" w:rsidRDefault="00E11A75" w:rsidP="00E11A75">
      <w:pPr>
        <w:ind w:left="720"/>
        <w:rPr>
          <w:bCs/>
        </w:rPr>
      </w:pPr>
    </w:p>
    <w:p w:rsidR="00E11A75" w:rsidRPr="00FF044C" w:rsidRDefault="00E11A75" w:rsidP="00E11A75">
      <w:pPr>
        <w:numPr>
          <w:ilvl w:val="1"/>
          <w:numId w:val="1"/>
        </w:numPr>
        <w:rPr>
          <w:bCs/>
        </w:rPr>
      </w:pPr>
      <w:r w:rsidRPr="00FF044C">
        <w:rPr>
          <w:bCs/>
        </w:rPr>
        <w:t>The PBAC noted that this submission is not eligible for an Independent Review because the PBAC has made a positive recommendation.</w:t>
      </w:r>
    </w:p>
    <w:p w:rsidR="00E11A75" w:rsidRPr="00FF044C" w:rsidRDefault="00E11A75" w:rsidP="0075545E">
      <w:pPr>
        <w:ind w:left="720"/>
        <w:contextualSpacing/>
        <w:rPr>
          <w:bCs/>
          <w:i/>
          <w:szCs w:val="22"/>
        </w:rPr>
      </w:pPr>
    </w:p>
    <w:p w:rsidR="0075545E" w:rsidRPr="00FF044C" w:rsidRDefault="0075545E" w:rsidP="0075545E">
      <w:pPr>
        <w:rPr>
          <w:b/>
          <w:bCs/>
          <w:szCs w:val="22"/>
        </w:rPr>
      </w:pPr>
    </w:p>
    <w:p w:rsidR="0075545E" w:rsidRPr="00FF044C" w:rsidRDefault="0075545E" w:rsidP="0075545E">
      <w:pPr>
        <w:rPr>
          <w:b/>
          <w:bCs/>
          <w:szCs w:val="22"/>
        </w:rPr>
      </w:pPr>
      <w:r w:rsidRPr="00FF044C">
        <w:rPr>
          <w:b/>
          <w:bCs/>
          <w:szCs w:val="22"/>
        </w:rPr>
        <w:t>Outcome:</w:t>
      </w:r>
    </w:p>
    <w:p w:rsidR="0075545E" w:rsidRPr="00FF044C" w:rsidRDefault="0075545E" w:rsidP="0075545E">
      <w:pPr>
        <w:rPr>
          <w:bCs/>
          <w:szCs w:val="22"/>
        </w:rPr>
      </w:pPr>
      <w:r w:rsidRPr="00FF044C">
        <w:rPr>
          <w:bCs/>
          <w:szCs w:val="22"/>
        </w:rPr>
        <w:t>Recommended</w:t>
      </w:r>
    </w:p>
    <w:p w:rsidR="0075545E" w:rsidRPr="00FF044C" w:rsidRDefault="0075545E" w:rsidP="0075545E">
      <w:pPr>
        <w:rPr>
          <w:bCs/>
          <w:szCs w:val="22"/>
        </w:rPr>
      </w:pPr>
    </w:p>
    <w:p w:rsidR="0075545E" w:rsidRPr="00FF044C" w:rsidRDefault="0075545E" w:rsidP="0075545E">
      <w:pPr>
        <w:rPr>
          <w:bCs/>
          <w:szCs w:val="22"/>
          <w:highlight w:val="yellow"/>
        </w:rPr>
      </w:pPr>
    </w:p>
    <w:p w:rsidR="0075545E" w:rsidRPr="00FF044C" w:rsidRDefault="0075545E" w:rsidP="004D5D92">
      <w:pPr>
        <w:pStyle w:val="PBACheading10"/>
        <w:numPr>
          <w:ilvl w:val="0"/>
          <w:numId w:val="1"/>
        </w:numPr>
        <w:rPr>
          <w:b w:val="0"/>
          <w:bCs/>
          <w:i/>
        </w:rPr>
      </w:pPr>
      <w:r w:rsidRPr="00FF044C">
        <w:rPr>
          <w:bCs/>
        </w:rPr>
        <w:t>Recommended listing</w:t>
      </w:r>
    </w:p>
    <w:p w:rsidR="0075545E" w:rsidRPr="00FF044C" w:rsidRDefault="0075545E" w:rsidP="0075545E">
      <w:pPr>
        <w:rPr>
          <w:b/>
          <w:bCs/>
          <w:i/>
          <w:szCs w:val="22"/>
        </w:rPr>
      </w:pPr>
    </w:p>
    <w:p w:rsidR="00582044" w:rsidRPr="00DC24F8" w:rsidRDefault="0075545E" w:rsidP="00582044">
      <w:pPr>
        <w:numPr>
          <w:ilvl w:val="1"/>
          <w:numId w:val="1"/>
        </w:numPr>
        <w:contextualSpacing/>
        <w:rPr>
          <w:szCs w:val="22"/>
        </w:rPr>
      </w:pPr>
      <w:r w:rsidRPr="00DC24F8">
        <w:rPr>
          <w:bCs/>
          <w:szCs w:val="22"/>
        </w:rPr>
        <w:t>Add new item:</w:t>
      </w:r>
    </w:p>
    <w:p w:rsidR="004D5D92" w:rsidRPr="00FF044C" w:rsidRDefault="004D5D92" w:rsidP="004D5D92">
      <w:pPr>
        <w:pStyle w:val="NoSpacing"/>
      </w:pPr>
    </w:p>
    <w:tbl>
      <w:tblPr>
        <w:tblW w:w="8368" w:type="dxa"/>
        <w:tblInd w:w="817" w:type="dxa"/>
        <w:tblLayout w:type="fixed"/>
        <w:tblLook w:val="0000" w:firstRow="0" w:lastRow="0" w:firstColumn="0" w:lastColumn="0" w:noHBand="0" w:noVBand="0"/>
      </w:tblPr>
      <w:tblGrid>
        <w:gridCol w:w="2835"/>
        <w:gridCol w:w="1134"/>
        <w:gridCol w:w="992"/>
        <w:gridCol w:w="1134"/>
        <w:gridCol w:w="2273"/>
      </w:tblGrid>
      <w:tr w:rsidR="004D5D92" w:rsidRPr="00FF044C" w:rsidTr="00953BA8">
        <w:trPr>
          <w:cantSplit/>
          <w:trHeight w:val="471"/>
        </w:trPr>
        <w:tc>
          <w:tcPr>
            <w:tcW w:w="2835" w:type="dxa"/>
            <w:tcBorders>
              <w:bottom w:val="single" w:sz="4" w:space="0" w:color="auto"/>
            </w:tcBorders>
          </w:tcPr>
          <w:p w:rsidR="004D5D92" w:rsidRPr="00FF044C" w:rsidRDefault="004D5D92" w:rsidP="00953BA8">
            <w:pPr>
              <w:keepNext/>
              <w:ind w:left="-108"/>
              <w:rPr>
                <w:rFonts w:ascii="Arial Narrow" w:hAnsi="Arial Narrow"/>
                <w:sz w:val="20"/>
              </w:rPr>
            </w:pPr>
            <w:r w:rsidRPr="00FF044C">
              <w:rPr>
                <w:rFonts w:ascii="Arial Narrow" w:hAnsi="Arial Narrow"/>
                <w:sz w:val="20"/>
              </w:rPr>
              <w:t>Name, Restriction,</w:t>
            </w:r>
          </w:p>
          <w:p w:rsidR="004D5D92" w:rsidRPr="00FF044C" w:rsidRDefault="004D5D92" w:rsidP="00953BA8">
            <w:pPr>
              <w:keepNext/>
              <w:ind w:left="-108"/>
              <w:rPr>
                <w:rFonts w:ascii="Arial Narrow" w:hAnsi="Arial Narrow"/>
                <w:sz w:val="20"/>
              </w:rPr>
            </w:pPr>
            <w:r w:rsidRPr="00FF044C">
              <w:rPr>
                <w:rFonts w:ascii="Arial Narrow" w:hAnsi="Arial Narrow"/>
                <w:sz w:val="20"/>
              </w:rPr>
              <w:t>Manner of administration and form</w:t>
            </w:r>
          </w:p>
        </w:tc>
        <w:tc>
          <w:tcPr>
            <w:tcW w:w="1134" w:type="dxa"/>
            <w:tcBorders>
              <w:bottom w:val="single" w:sz="4" w:space="0" w:color="auto"/>
            </w:tcBorders>
          </w:tcPr>
          <w:p w:rsidR="004D5D92" w:rsidRPr="00FF044C" w:rsidRDefault="004D5D92" w:rsidP="00953BA8">
            <w:pPr>
              <w:keepNext/>
              <w:ind w:left="-108"/>
              <w:rPr>
                <w:rFonts w:ascii="Arial Narrow" w:hAnsi="Arial Narrow"/>
                <w:sz w:val="20"/>
              </w:rPr>
            </w:pPr>
            <w:r w:rsidRPr="00FF044C">
              <w:rPr>
                <w:rFonts w:ascii="Arial Narrow" w:hAnsi="Arial Narrow"/>
                <w:sz w:val="20"/>
              </w:rPr>
              <w:t>Max.</w:t>
            </w:r>
          </w:p>
          <w:p w:rsidR="004D5D92" w:rsidRPr="00FF044C" w:rsidRDefault="004D5D92" w:rsidP="00953BA8">
            <w:pPr>
              <w:keepNext/>
              <w:ind w:left="-108"/>
              <w:rPr>
                <w:rFonts w:ascii="Arial Narrow" w:hAnsi="Arial Narrow"/>
                <w:sz w:val="20"/>
              </w:rPr>
            </w:pPr>
            <w:r w:rsidRPr="00FF044C">
              <w:rPr>
                <w:rFonts w:ascii="Arial Narrow" w:hAnsi="Arial Narrow"/>
                <w:sz w:val="20"/>
              </w:rPr>
              <w:t>Amount</w:t>
            </w:r>
          </w:p>
        </w:tc>
        <w:tc>
          <w:tcPr>
            <w:tcW w:w="992" w:type="dxa"/>
            <w:tcBorders>
              <w:bottom w:val="single" w:sz="4" w:space="0" w:color="auto"/>
            </w:tcBorders>
          </w:tcPr>
          <w:p w:rsidR="004D5D92" w:rsidRPr="00FF044C" w:rsidRDefault="004D5D92" w:rsidP="00953BA8">
            <w:pPr>
              <w:keepNext/>
              <w:ind w:left="-108"/>
              <w:rPr>
                <w:rFonts w:ascii="Arial Narrow" w:hAnsi="Arial Narrow"/>
                <w:sz w:val="20"/>
              </w:rPr>
            </w:pPr>
            <w:r w:rsidRPr="00FF044C">
              <w:rPr>
                <w:rFonts w:ascii="Arial Narrow" w:hAnsi="Arial Narrow"/>
                <w:sz w:val="20"/>
              </w:rPr>
              <w:t>№.of</w:t>
            </w:r>
          </w:p>
          <w:p w:rsidR="004D5D92" w:rsidRPr="00FF044C" w:rsidRDefault="004D5D92" w:rsidP="00953BA8">
            <w:pPr>
              <w:keepNext/>
              <w:ind w:left="-108"/>
              <w:rPr>
                <w:rFonts w:ascii="Arial Narrow" w:hAnsi="Arial Narrow"/>
                <w:sz w:val="20"/>
              </w:rPr>
            </w:pPr>
            <w:r w:rsidRPr="00FF044C">
              <w:rPr>
                <w:rFonts w:ascii="Arial Narrow" w:hAnsi="Arial Narrow"/>
                <w:sz w:val="20"/>
              </w:rPr>
              <w:t>Rpts</w:t>
            </w:r>
          </w:p>
        </w:tc>
        <w:tc>
          <w:tcPr>
            <w:tcW w:w="3407" w:type="dxa"/>
            <w:gridSpan w:val="2"/>
            <w:tcBorders>
              <w:bottom w:val="single" w:sz="4" w:space="0" w:color="auto"/>
            </w:tcBorders>
          </w:tcPr>
          <w:p w:rsidR="004D5D92" w:rsidRPr="00FF044C" w:rsidRDefault="004D5D92" w:rsidP="00DC24F8">
            <w:pPr>
              <w:keepNext/>
              <w:jc w:val="center"/>
              <w:rPr>
                <w:rFonts w:ascii="Arial Narrow" w:hAnsi="Arial Narrow"/>
                <w:sz w:val="20"/>
              </w:rPr>
            </w:pPr>
            <w:r w:rsidRPr="00FF044C">
              <w:rPr>
                <w:rFonts w:ascii="Arial Narrow" w:hAnsi="Arial Narrow"/>
                <w:sz w:val="20"/>
              </w:rPr>
              <w:t>P</w:t>
            </w:r>
            <w:r>
              <w:rPr>
                <w:rFonts w:ascii="Arial Narrow" w:hAnsi="Arial Narrow"/>
                <w:sz w:val="20"/>
              </w:rPr>
              <w:t>roprietary  Name and</w:t>
            </w:r>
            <w:r w:rsidR="00DC24F8">
              <w:rPr>
                <w:rFonts w:ascii="Arial Narrow" w:hAnsi="Arial Narrow"/>
                <w:sz w:val="20"/>
              </w:rPr>
              <w:t xml:space="preserve"> </w:t>
            </w:r>
            <w:r w:rsidRPr="00FF044C">
              <w:rPr>
                <w:rFonts w:ascii="Arial Narrow" w:hAnsi="Arial Narrow"/>
                <w:sz w:val="20"/>
              </w:rPr>
              <w:t>Manufacturer</w:t>
            </w:r>
          </w:p>
        </w:tc>
      </w:tr>
      <w:tr w:rsidR="004D5D92" w:rsidRPr="00FF044C" w:rsidTr="00953BA8">
        <w:trPr>
          <w:cantSplit/>
          <w:trHeight w:val="577"/>
        </w:trPr>
        <w:tc>
          <w:tcPr>
            <w:tcW w:w="2835" w:type="dxa"/>
            <w:vAlign w:val="center"/>
          </w:tcPr>
          <w:p w:rsidR="004D5D92" w:rsidRPr="00FF044C" w:rsidRDefault="004D5D92" w:rsidP="00953BA8">
            <w:pPr>
              <w:keepNext/>
              <w:ind w:left="-108"/>
              <w:rPr>
                <w:rFonts w:ascii="Arial Narrow" w:hAnsi="Arial Narrow"/>
                <w:sz w:val="20"/>
              </w:rPr>
            </w:pPr>
            <w:r w:rsidRPr="00FF044C">
              <w:rPr>
                <w:rFonts w:ascii="Arial Narrow" w:hAnsi="Arial Narrow"/>
                <w:sz w:val="20"/>
              </w:rPr>
              <w:t>BRENTUXIMAB VEDOTIN</w:t>
            </w:r>
          </w:p>
          <w:p w:rsidR="004D5D92" w:rsidRPr="00FF044C" w:rsidRDefault="004D5D92" w:rsidP="00953BA8">
            <w:pPr>
              <w:keepNext/>
              <w:ind w:left="-108"/>
              <w:rPr>
                <w:rFonts w:ascii="Arial Narrow" w:hAnsi="Arial Narrow"/>
                <w:sz w:val="20"/>
              </w:rPr>
            </w:pPr>
            <w:r w:rsidRPr="00FF044C">
              <w:rPr>
                <w:rFonts w:ascii="Arial Narrow" w:hAnsi="Arial Narrow"/>
                <w:sz w:val="20"/>
              </w:rPr>
              <w:t xml:space="preserve">50 mg vial for IV infusion, 1 </w:t>
            </w:r>
          </w:p>
        </w:tc>
        <w:tc>
          <w:tcPr>
            <w:tcW w:w="1134" w:type="dxa"/>
            <w:vAlign w:val="center"/>
          </w:tcPr>
          <w:p w:rsidR="004D5D92" w:rsidRPr="00FF044C" w:rsidRDefault="004D5D92" w:rsidP="00953BA8">
            <w:pPr>
              <w:keepNext/>
              <w:ind w:left="-108"/>
              <w:rPr>
                <w:rFonts w:ascii="Arial Narrow" w:hAnsi="Arial Narrow"/>
                <w:sz w:val="20"/>
              </w:rPr>
            </w:pPr>
          </w:p>
          <w:p w:rsidR="004D5D92" w:rsidRPr="00FF044C" w:rsidRDefault="004D5D92" w:rsidP="00953BA8">
            <w:pPr>
              <w:keepNext/>
              <w:ind w:left="-108"/>
              <w:rPr>
                <w:rFonts w:ascii="Arial Narrow" w:hAnsi="Arial Narrow"/>
                <w:strike/>
                <w:sz w:val="20"/>
              </w:rPr>
            </w:pPr>
            <w:r w:rsidRPr="00FF044C">
              <w:rPr>
                <w:rFonts w:ascii="Arial Narrow" w:hAnsi="Arial Narrow"/>
                <w:sz w:val="20"/>
              </w:rPr>
              <w:t>200 mg</w:t>
            </w:r>
          </w:p>
        </w:tc>
        <w:tc>
          <w:tcPr>
            <w:tcW w:w="992" w:type="dxa"/>
            <w:vAlign w:val="center"/>
          </w:tcPr>
          <w:p w:rsidR="004D5D92" w:rsidRPr="00FF044C" w:rsidRDefault="004D5D92" w:rsidP="00953BA8">
            <w:pPr>
              <w:keepNext/>
              <w:ind w:left="-108"/>
              <w:rPr>
                <w:rFonts w:ascii="Arial Narrow" w:hAnsi="Arial Narrow"/>
                <w:sz w:val="20"/>
              </w:rPr>
            </w:pPr>
          </w:p>
          <w:p w:rsidR="004D5D92" w:rsidRPr="00FF044C" w:rsidRDefault="004D5D92" w:rsidP="00953BA8">
            <w:pPr>
              <w:keepNext/>
              <w:ind w:left="-108"/>
              <w:rPr>
                <w:rFonts w:ascii="Arial Narrow" w:hAnsi="Arial Narrow"/>
                <w:sz w:val="20"/>
              </w:rPr>
            </w:pPr>
            <w:r w:rsidRPr="00FF044C">
              <w:rPr>
                <w:rFonts w:ascii="Arial Narrow" w:hAnsi="Arial Narrow"/>
                <w:sz w:val="20"/>
              </w:rPr>
              <w:t>3</w:t>
            </w:r>
          </w:p>
        </w:tc>
        <w:tc>
          <w:tcPr>
            <w:tcW w:w="1134" w:type="dxa"/>
            <w:vAlign w:val="center"/>
          </w:tcPr>
          <w:p w:rsidR="004D5D92" w:rsidRPr="00FF044C" w:rsidRDefault="004D5D92" w:rsidP="00953BA8">
            <w:pPr>
              <w:keepNext/>
              <w:rPr>
                <w:rFonts w:ascii="Arial Narrow" w:hAnsi="Arial Narrow"/>
                <w:sz w:val="20"/>
              </w:rPr>
            </w:pPr>
            <w:r w:rsidRPr="00FF044C">
              <w:rPr>
                <w:rFonts w:ascii="Arial Narrow" w:hAnsi="Arial Narrow"/>
                <w:sz w:val="20"/>
              </w:rPr>
              <w:t>Adcetris</w:t>
            </w:r>
            <w:r w:rsidRPr="00FF044C">
              <w:rPr>
                <w:rFonts w:ascii="Arial Narrow" w:hAnsi="Arial Narrow"/>
                <w:sz w:val="20"/>
                <w:vertAlign w:val="superscript"/>
              </w:rPr>
              <w:t>®</w:t>
            </w:r>
          </w:p>
        </w:tc>
        <w:tc>
          <w:tcPr>
            <w:tcW w:w="2273" w:type="dxa"/>
            <w:vAlign w:val="center"/>
          </w:tcPr>
          <w:p w:rsidR="004D5D92" w:rsidRPr="00FF044C" w:rsidRDefault="004D5D92" w:rsidP="00953BA8">
            <w:pPr>
              <w:keepNext/>
              <w:rPr>
                <w:rFonts w:ascii="Arial Narrow" w:hAnsi="Arial Narrow"/>
                <w:sz w:val="20"/>
              </w:rPr>
            </w:pPr>
            <w:r w:rsidRPr="00FF044C">
              <w:rPr>
                <w:rFonts w:ascii="Arial Narrow" w:hAnsi="Arial Narrow"/>
                <w:sz w:val="20"/>
              </w:rPr>
              <w:t>Takeda Pharmaceuticals Australia Pty Ltd</w:t>
            </w:r>
          </w:p>
        </w:tc>
      </w:tr>
      <w:tr w:rsidR="004D5D92" w:rsidRPr="00FF044C" w:rsidTr="00953BA8">
        <w:trPr>
          <w:cantSplit/>
          <w:trHeight w:val="360"/>
        </w:trPr>
        <w:tc>
          <w:tcPr>
            <w:tcW w:w="2835" w:type="dxa"/>
            <w:tcBorders>
              <w:bottom w:val="single" w:sz="4" w:space="0" w:color="auto"/>
            </w:tcBorders>
          </w:tcPr>
          <w:p w:rsidR="004D5D92" w:rsidRPr="00FF044C" w:rsidRDefault="004D5D92" w:rsidP="00953BA8">
            <w:pPr>
              <w:rPr>
                <w:rFonts w:ascii="Arial Narrow" w:hAnsi="Arial Narrow"/>
                <w:b/>
                <w:sz w:val="20"/>
              </w:rPr>
            </w:pPr>
          </w:p>
        </w:tc>
        <w:tc>
          <w:tcPr>
            <w:tcW w:w="5533" w:type="dxa"/>
            <w:gridSpan w:val="4"/>
            <w:tcBorders>
              <w:bottom w:val="single" w:sz="4" w:space="0" w:color="auto"/>
            </w:tcBorders>
          </w:tcPr>
          <w:p w:rsidR="004D5D92" w:rsidRPr="00FF044C"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 xml:space="preserve">Category / </w:t>
            </w:r>
          </w:p>
          <w:p w:rsidR="004D5D92" w:rsidRPr="00FF044C" w:rsidRDefault="004D5D92" w:rsidP="00953BA8">
            <w:pPr>
              <w:rPr>
                <w:rFonts w:ascii="Arial Narrow" w:hAnsi="Arial Narrow"/>
                <w:b/>
                <w:sz w:val="20"/>
              </w:rPr>
            </w:pPr>
            <w:r w:rsidRPr="00FF044C">
              <w:rPr>
                <w:rFonts w:ascii="Arial Narrow" w:hAnsi="Arial Narrow"/>
                <w:b/>
                <w:sz w:val="20"/>
              </w:rPr>
              <w:t>Program</w:t>
            </w:r>
          </w:p>
        </w:tc>
        <w:tc>
          <w:tcPr>
            <w:tcW w:w="5533" w:type="dxa"/>
            <w:gridSpan w:val="4"/>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t>Section 100 – Efficient Funding of Chemotherapy</w:t>
            </w:r>
          </w:p>
          <w:p w:rsidR="004D5D92" w:rsidRPr="00FF044C" w:rsidRDefault="004D5D92" w:rsidP="00953BA8">
            <w:pPr>
              <w:rPr>
                <w:rFonts w:ascii="Arial Narrow" w:hAnsi="Arial Narrow"/>
                <w:sz w:val="20"/>
              </w:rPr>
            </w:pPr>
          </w:p>
        </w:tc>
      </w:tr>
      <w:tr w:rsidR="004D5D92" w:rsidRPr="00FF044C" w:rsidTr="00953BA8">
        <w:trPr>
          <w:cantSplit/>
          <w:trHeight w:val="806"/>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Prescriber type:</w:t>
            </w:r>
          </w:p>
          <w:p w:rsidR="004D5D92" w:rsidRPr="00FF044C" w:rsidRDefault="004D5D92" w:rsidP="00953BA8">
            <w:pPr>
              <w:rPr>
                <w:rFonts w:ascii="Arial Narrow" w:hAnsi="Arial Narrow"/>
                <w:b/>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Severity:</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Relapsed or Refractory</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Condition:</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Hodgkin lymphoma</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PBS Indication:</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Relapsed or Refractory Hodgkin lymphoma</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rPr>
                <w:rFonts w:ascii="Arial Narrow" w:hAnsi="Arial Narrow"/>
                <w:i/>
                <w:sz w:val="20"/>
              </w:rPr>
            </w:pPr>
            <w:r w:rsidRPr="00FF044C">
              <w:rPr>
                <w:rFonts w:ascii="Arial Narrow" w:hAnsi="Arial Narrow"/>
                <w:b/>
                <w:sz w:val="20"/>
              </w:rPr>
              <w:t>Treatment phase:</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Initial treatment</w:t>
            </w:r>
          </w:p>
        </w:tc>
      </w:tr>
      <w:tr w:rsidR="004D5D92" w:rsidRPr="00FF044C" w:rsidTr="00953BA8">
        <w:trPr>
          <w:cantSplit/>
          <w:trHeight w:val="7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Restriction Level / Method:</w:t>
            </w:r>
          </w:p>
          <w:p w:rsidR="004D5D92" w:rsidRPr="00FF044C" w:rsidRDefault="004D5D92" w:rsidP="00953BA8">
            <w:pPr>
              <w:rPr>
                <w:rFonts w:ascii="Arial Narrow" w:hAnsi="Arial Narrow"/>
                <w:i/>
                <w:sz w:val="20"/>
                <w:highlight w:val="yellow"/>
              </w:rPr>
            </w:pPr>
          </w:p>
          <w:p w:rsidR="004D5D92" w:rsidRPr="00FF044C" w:rsidRDefault="004D5D92" w:rsidP="00953BA8">
            <w:pPr>
              <w:rPr>
                <w:rFonts w:ascii="Arial Narrow" w:hAnsi="Arial Narrow"/>
                <w:i/>
                <w:sz w:val="20"/>
              </w:rPr>
            </w:pPr>
          </w:p>
          <w:p w:rsidR="004D5D92" w:rsidRPr="00FF044C" w:rsidRDefault="004D5D92" w:rsidP="00953BA8">
            <w:pPr>
              <w:rPr>
                <w:rFonts w:ascii="Arial Narrow" w:hAnsi="Arial Narrow"/>
                <w:i/>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Restricted benefit</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In Writing</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Telephone</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Emergency</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Electronic</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Streamlined</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lastRenderedPageBreak/>
              <w:t>Clinical criteria:</w:t>
            </w:r>
          </w:p>
          <w:p w:rsidR="004D5D92" w:rsidRPr="00FF044C" w:rsidRDefault="004D5D92" w:rsidP="00953BA8">
            <w:pPr>
              <w:rPr>
                <w:rFonts w:ascii="Arial Narrow" w:hAnsi="Arial Narrow"/>
                <w:i/>
                <w:sz w:val="20"/>
              </w:rPr>
            </w:pPr>
          </w:p>
          <w:p w:rsidR="004D5D92" w:rsidRPr="00FF044C" w:rsidRDefault="004D5D92" w:rsidP="00953BA8">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4D5D92" w:rsidRPr="009231FB" w:rsidRDefault="004D5D92" w:rsidP="00953BA8">
            <w:pPr>
              <w:rPr>
                <w:rFonts w:ascii="Arial Narrow" w:hAnsi="Arial Narrow"/>
                <w:sz w:val="20"/>
              </w:rPr>
            </w:pPr>
          </w:p>
          <w:p w:rsidR="004D5D92" w:rsidRPr="009231FB" w:rsidRDefault="004D5D92" w:rsidP="00953BA8">
            <w:pPr>
              <w:rPr>
                <w:rFonts w:ascii="Arial Narrow" w:hAnsi="Arial Narrow"/>
                <w:sz w:val="20"/>
              </w:rPr>
            </w:pPr>
            <w:r w:rsidRPr="009231FB">
              <w:rPr>
                <w:rFonts w:ascii="Arial Narrow" w:hAnsi="Arial Narrow"/>
                <w:iCs/>
                <w:sz w:val="20"/>
              </w:rPr>
              <w:t>P</w:t>
            </w:r>
            <w:r w:rsidRPr="009231FB">
              <w:rPr>
                <w:rFonts w:ascii="Arial Narrow" w:hAnsi="Arial Narrow"/>
                <w:sz w:val="20"/>
              </w:rPr>
              <w:t>atient must have never undergone an autologous stem cell transplant (ASCT) for this condition</w:t>
            </w:r>
          </w:p>
          <w:p w:rsidR="004D5D92" w:rsidRPr="00F75D13" w:rsidRDefault="004D5D92" w:rsidP="00953BA8">
            <w:pPr>
              <w:rPr>
                <w:color w:val="1F497D"/>
                <w:sz w:val="24"/>
                <w:szCs w:val="24"/>
              </w:rPr>
            </w:pPr>
            <w:r w:rsidRPr="009231FB">
              <w:rPr>
                <w:rFonts w:ascii="Arial Narrow" w:hAnsi="Arial Narrow"/>
                <w:sz w:val="20"/>
              </w:rPr>
              <w:t>AND</w:t>
            </w:r>
            <w:r w:rsidRPr="009231FB">
              <w:rPr>
                <w:rFonts w:ascii="Arial Narrow" w:hAnsi="Arial Narrow"/>
                <w:sz w:val="20"/>
              </w:rPr>
              <w:br/>
            </w:r>
            <w:r w:rsidRPr="00F75D13">
              <w:rPr>
                <w:rFonts w:ascii="Arial Narrow" w:hAnsi="Arial Narrow"/>
                <w:sz w:val="20"/>
              </w:rPr>
              <w:t>Patient must be unsuitable for ASCT for this condition; OR</w:t>
            </w:r>
          </w:p>
          <w:p w:rsidR="004D5D92" w:rsidRPr="00F75D13" w:rsidRDefault="004D5D92" w:rsidP="00953BA8">
            <w:pPr>
              <w:rPr>
                <w:rFonts w:ascii="Arial Narrow" w:hAnsi="Arial Narrow"/>
                <w:sz w:val="20"/>
              </w:rPr>
            </w:pPr>
            <w:r w:rsidRPr="00F75D13">
              <w:rPr>
                <w:rFonts w:ascii="Arial Narrow" w:hAnsi="Arial Narrow"/>
                <w:sz w:val="20"/>
              </w:rPr>
              <w:t>Patient must be unsuitable for treatment with multi-agent chemotherapy for this condition</w:t>
            </w:r>
          </w:p>
          <w:p w:rsidR="004D5D92" w:rsidRPr="00F75D13" w:rsidRDefault="004D5D92" w:rsidP="00953BA8">
            <w:pPr>
              <w:rPr>
                <w:rFonts w:ascii="Arial Narrow" w:hAnsi="Arial Narrow"/>
                <w:sz w:val="20"/>
              </w:rPr>
            </w:pPr>
            <w:r w:rsidRPr="00F75D13">
              <w:rPr>
                <w:rFonts w:ascii="Arial Narrow" w:hAnsi="Arial Narrow"/>
                <w:sz w:val="20"/>
              </w:rPr>
              <w:t>AND</w:t>
            </w:r>
          </w:p>
          <w:p w:rsidR="004D5D92" w:rsidRPr="00F75D13" w:rsidRDefault="004D5D92" w:rsidP="00953BA8">
            <w:pPr>
              <w:rPr>
                <w:rFonts w:ascii="Arial Narrow" w:hAnsi="Arial Narrow"/>
                <w:sz w:val="20"/>
              </w:rPr>
            </w:pPr>
            <w:r w:rsidRPr="00F75D13">
              <w:rPr>
                <w:rFonts w:ascii="Arial Narrow" w:hAnsi="Arial Narrow"/>
                <w:sz w:val="20"/>
              </w:rPr>
              <w:t>Patient must have experienced a relapsed CD30+ Hodgkin lymphoma following at least two prior therapies for this condition; OR</w:t>
            </w:r>
          </w:p>
          <w:p w:rsidR="004D5D92" w:rsidRPr="00F75D13" w:rsidRDefault="004D5D92" w:rsidP="00953BA8">
            <w:pPr>
              <w:rPr>
                <w:rFonts w:ascii="Arial Narrow" w:hAnsi="Arial Narrow"/>
                <w:sz w:val="20"/>
              </w:rPr>
            </w:pPr>
            <w:r w:rsidRPr="00F75D13">
              <w:rPr>
                <w:rFonts w:ascii="Arial Narrow" w:hAnsi="Arial Narrow"/>
                <w:sz w:val="20"/>
              </w:rPr>
              <w:t>Patient  must have experienced a refractory CD30+ Hodgkin lymphoma following at least two prior therapies for this condition</w:t>
            </w:r>
          </w:p>
          <w:p w:rsidR="004D5D92" w:rsidRPr="009231FB" w:rsidRDefault="004D5D92" w:rsidP="00953BA8">
            <w:pPr>
              <w:keepNext/>
              <w:keepLines/>
              <w:spacing w:beforeLines="40" w:before="96" w:after="40"/>
              <w:rPr>
                <w:rFonts w:ascii="Arial Narrow" w:hAnsi="Arial Narrow"/>
                <w:sz w:val="20"/>
              </w:rPr>
            </w:pPr>
            <w:r w:rsidRPr="009231FB">
              <w:rPr>
                <w:rFonts w:ascii="Arial Narrow" w:hAnsi="Arial Narrow"/>
                <w:sz w:val="20"/>
              </w:rPr>
              <w:t>AND</w:t>
            </w:r>
          </w:p>
          <w:p w:rsidR="004D5D92" w:rsidRPr="009231FB" w:rsidRDefault="004D5D92" w:rsidP="00953BA8">
            <w:pPr>
              <w:keepNext/>
              <w:keepLines/>
              <w:spacing w:beforeLines="40" w:before="96" w:after="40"/>
              <w:rPr>
                <w:rFonts w:ascii="Arial Narrow" w:hAnsi="Arial Narrow"/>
                <w:sz w:val="20"/>
              </w:rPr>
            </w:pPr>
            <w:r w:rsidRPr="009231FB">
              <w:rPr>
                <w:rFonts w:ascii="Arial Narrow" w:hAnsi="Arial Narrow"/>
                <w:sz w:val="20"/>
              </w:rPr>
              <w:t>Patient must not receive more than 4 cycles of treatment under this restriction</w:t>
            </w:r>
          </w:p>
          <w:p w:rsidR="004D5D92" w:rsidRPr="00FF044C"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Prescriber Instructions</w:t>
            </w:r>
          </w:p>
          <w:p w:rsidR="004D5D92" w:rsidRPr="00FF044C" w:rsidRDefault="004D5D92" w:rsidP="00953BA8">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4D5D92" w:rsidRPr="00FF044C" w:rsidRDefault="004D5D92" w:rsidP="00953BA8">
            <w:pPr>
              <w:keepNext/>
              <w:keepLines/>
              <w:spacing w:before="40"/>
              <w:rPr>
                <w:rFonts w:ascii="Arial Narrow" w:hAnsi="Arial Narrow"/>
                <w:sz w:val="20"/>
              </w:rPr>
            </w:pPr>
            <w:r w:rsidRPr="00FF044C">
              <w:rPr>
                <w:rFonts w:ascii="Arial Narrow" w:hAnsi="Arial Narrow"/>
                <w:sz w:val="20"/>
              </w:rPr>
              <w:t xml:space="preserve">Applications for authorisation of initial treatment must be in writing and must include: </w:t>
            </w:r>
          </w:p>
          <w:p w:rsidR="004D5D92" w:rsidRPr="00FF044C" w:rsidRDefault="004D5D92" w:rsidP="00953BA8">
            <w:pPr>
              <w:keepNext/>
              <w:keepLines/>
              <w:spacing w:before="40"/>
              <w:rPr>
                <w:rFonts w:ascii="Arial Narrow" w:hAnsi="Arial Narrow"/>
                <w:sz w:val="20"/>
              </w:rPr>
            </w:pPr>
            <w:r w:rsidRPr="00FF044C">
              <w:rPr>
                <w:rFonts w:ascii="Arial Narrow" w:hAnsi="Arial Narrow"/>
                <w:sz w:val="20"/>
              </w:rPr>
              <w:t xml:space="preserve">(a) a completed authority prescription form; and </w:t>
            </w:r>
          </w:p>
          <w:p w:rsidR="004D5D92" w:rsidRPr="00FF044C" w:rsidRDefault="004D5D92" w:rsidP="00953BA8">
            <w:pPr>
              <w:keepNext/>
              <w:keepLines/>
              <w:spacing w:before="40"/>
              <w:rPr>
                <w:rFonts w:ascii="Arial Narrow" w:hAnsi="Arial Narrow"/>
                <w:sz w:val="20"/>
              </w:rPr>
            </w:pPr>
            <w:r w:rsidRPr="00FF044C">
              <w:rPr>
                <w:rFonts w:ascii="Arial Narrow" w:hAnsi="Arial Narrow"/>
                <w:sz w:val="20"/>
              </w:rPr>
              <w:t xml:space="preserve">(b) a completed Hodgkin lymphoma brentuximab </w:t>
            </w:r>
            <w:r w:rsidRPr="00FF044C">
              <w:rPr>
                <w:rFonts w:ascii="Arial Narrow" w:hAnsi="Arial Narrow"/>
                <w:strike/>
                <w:sz w:val="20"/>
              </w:rPr>
              <w:t xml:space="preserve">vedotin </w:t>
            </w:r>
            <w:r w:rsidRPr="00FF044C">
              <w:rPr>
                <w:rFonts w:ascii="Arial Narrow" w:hAnsi="Arial Narrow"/>
                <w:sz w:val="20"/>
              </w:rPr>
              <w:t xml:space="preserve">PBS Authority Application - </w:t>
            </w:r>
          </w:p>
          <w:p w:rsidR="004D5D92" w:rsidRPr="00FF044C" w:rsidRDefault="004D5D92" w:rsidP="00953BA8">
            <w:pPr>
              <w:keepNext/>
              <w:keepLines/>
              <w:spacing w:before="40"/>
              <w:rPr>
                <w:rFonts w:ascii="Arial Narrow" w:hAnsi="Arial Narrow"/>
                <w:sz w:val="20"/>
              </w:rPr>
            </w:pPr>
            <w:r w:rsidRPr="00FF044C">
              <w:rPr>
                <w:rFonts w:ascii="Arial Narrow" w:hAnsi="Arial Narrow"/>
                <w:sz w:val="20"/>
              </w:rPr>
              <w:t xml:space="preserve">Supporting Information Form which includes the following: </w:t>
            </w:r>
          </w:p>
          <w:p w:rsidR="004D5D92" w:rsidRPr="00FF044C" w:rsidRDefault="004D5D92" w:rsidP="004D5D92">
            <w:pPr>
              <w:pStyle w:val="ListParagraph"/>
              <w:keepNext/>
              <w:keepLines/>
              <w:numPr>
                <w:ilvl w:val="0"/>
                <w:numId w:val="27"/>
              </w:numPr>
              <w:spacing w:before="40"/>
              <w:rPr>
                <w:rFonts w:ascii="Arial Narrow" w:hAnsi="Arial Narrow"/>
                <w:sz w:val="20"/>
              </w:rPr>
            </w:pPr>
            <w:r w:rsidRPr="00FF044C">
              <w:rPr>
                <w:rFonts w:ascii="Arial Narrow" w:hAnsi="Arial Narrow"/>
                <w:sz w:val="20"/>
              </w:rPr>
              <w:t>A histology report including evidence of the tumour’s CD30 positivity from a biopsy at time of</w:t>
            </w:r>
            <w:r w:rsidRPr="009231FB">
              <w:rPr>
                <w:rFonts w:ascii="Arial Narrow" w:hAnsi="Arial Narrow"/>
                <w:color w:val="FF0000"/>
                <w:sz w:val="20"/>
              </w:rPr>
              <w:t xml:space="preserve"> </w:t>
            </w:r>
            <w:r w:rsidRPr="00FF044C">
              <w:rPr>
                <w:rFonts w:ascii="Arial Narrow" w:hAnsi="Arial Narrow"/>
                <w:sz w:val="20"/>
              </w:rPr>
              <w:t xml:space="preserve">diagnosis; </w:t>
            </w:r>
          </w:p>
          <w:p w:rsidR="004D5D92" w:rsidRPr="00FF044C" w:rsidRDefault="004D5D92" w:rsidP="004D5D92">
            <w:pPr>
              <w:pStyle w:val="ListParagraph"/>
              <w:widowControl/>
              <w:numPr>
                <w:ilvl w:val="0"/>
                <w:numId w:val="27"/>
              </w:numPr>
              <w:spacing w:before="20"/>
              <w:jc w:val="left"/>
              <w:rPr>
                <w:rFonts w:ascii="Arial Narrow" w:hAnsi="Arial Narrow"/>
                <w:sz w:val="20"/>
              </w:rPr>
            </w:pPr>
            <w:r>
              <w:rPr>
                <w:rFonts w:ascii="Arial Narrow" w:hAnsi="Arial Narrow"/>
                <w:sz w:val="20"/>
              </w:rPr>
              <w:t>The date of</w:t>
            </w:r>
            <w:r w:rsidRPr="00FF044C">
              <w:rPr>
                <w:rFonts w:ascii="Arial Narrow" w:hAnsi="Arial Narrow"/>
                <w:sz w:val="20"/>
              </w:rPr>
              <w:t xml:space="preserve"> diagnosis of Hodgkin lymphoma; </w:t>
            </w:r>
          </w:p>
          <w:p w:rsidR="004D5D92" w:rsidRPr="00FF044C" w:rsidRDefault="004D5D92" w:rsidP="004D5D92">
            <w:pPr>
              <w:pStyle w:val="ListParagraph"/>
              <w:widowControl/>
              <w:numPr>
                <w:ilvl w:val="0"/>
                <w:numId w:val="27"/>
              </w:numPr>
              <w:spacing w:before="20"/>
              <w:jc w:val="left"/>
              <w:rPr>
                <w:rFonts w:ascii="Arial Narrow" w:hAnsi="Arial Narrow"/>
                <w:sz w:val="20"/>
              </w:rPr>
            </w:pPr>
            <w:r w:rsidRPr="00FF044C">
              <w:rPr>
                <w:rFonts w:ascii="Arial Narrow" w:hAnsi="Arial Narrow"/>
                <w:sz w:val="20"/>
              </w:rPr>
              <w:t>Dates of commencement and completion of front-line curative intent chemotherapy and all lines of subsequent salvage chemotherapy;</w:t>
            </w:r>
          </w:p>
          <w:p w:rsidR="004D5D92" w:rsidRPr="00FF044C" w:rsidRDefault="004D5D92" w:rsidP="004D5D92">
            <w:pPr>
              <w:pStyle w:val="ListParagraph"/>
              <w:keepNext/>
              <w:keepLines/>
              <w:numPr>
                <w:ilvl w:val="0"/>
                <w:numId w:val="27"/>
              </w:numPr>
              <w:spacing w:before="40"/>
              <w:rPr>
                <w:rFonts w:ascii="Arial Narrow" w:hAnsi="Arial Narrow"/>
                <w:sz w:val="20"/>
              </w:rPr>
            </w:pPr>
            <w:r w:rsidRPr="00FF044C">
              <w:rPr>
                <w:rFonts w:ascii="Arial Narrow" w:hAnsi="Arial Narrow"/>
                <w:sz w:val="20"/>
              </w:rPr>
              <w:t xml:space="preserve">A declaration of whether the disease is classified as relapsed or refractory subsequent to the most recently delivered prior </w:t>
            </w:r>
            <w:r w:rsidRPr="007B605C">
              <w:rPr>
                <w:rFonts w:ascii="Arial Narrow" w:hAnsi="Arial Narrow"/>
                <w:sz w:val="20"/>
              </w:rPr>
              <w:t>therapy</w:t>
            </w:r>
          </w:p>
          <w:p w:rsidR="004D5D92" w:rsidRPr="00FF044C" w:rsidRDefault="004D5D92" w:rsidP="004D5D92">
            <w:pPr>
              <w:pStyle w:val="ListParagraph"/>
              <w:keepNext/>
              <w:keepLines/>
              <w:numPr>
                <w:ilvl w:val="0"/>
                <w:numId w:val="27"/>
              </w:numPr>
              <w:spacing w:before="40"/>
              <w:rPr>
                <w:rFonts w:ascii="Arial Narrow" w:hAnsi="Arial Narrow"/>
                <w:sz w:val="20"/>
              </w:rPr>
            </w:pPr>
            <w:r>
              <w:rPr>
                <w:rFonts w:ascii="Arial Narrow" w:hAnsi="Arial Narrow"/>
                <w:sz w:val="20"/>
              </w:rPr>
              <w:t>A declaration that the patient is unsuitable for ASCT</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Administrative Advice</w:t>
            </w:r>
          </w:p>
          <w:p w:rsidR="004D5D92" w:rsidRPr="00FF044C" w:rsidRDefault="004D5D92" w:rsidP="00953BA8">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4D5D92" w:rsidRPr="009231FB" w:rsidRDefault="004D5D92" w:rsidP="00953BA8">
            <w:pPr>
              <w:keepNext/>
              <w:keepLines/>
              <w:spacing w:beforeLines="40" w:before="96" w:after="40"/>
              <w:rPr>
                <w:rFonts w:ascii="Arial Narrow" w:hAnsi="Arial Narrow"/>
                <w:sz w:val="20"/>
              </w:rPr>
            </w:pPr>
            <w:r w:rsidRPr="009231FB">
              <w:rPr>
                <w:rFonts w:ascii="Arial Narrow" w:hAnsi="Arial Narrow"/>
                <w:sz w:val="20"/>
              </w:rPr>
              <w:t>No increase in the maximum numbe</w:t>
            </w:r>
            <w:r w:rsidR="00C9228B">
              <w:rPr>
                <w:rFonts w:ascii="Arial Narrow" w:hAnsi="Arial Narrow"/>
                <w:sz w:val="20"/>
              </w:rPr>
              <w:t>r of repeats may be authorised.</w:t>
            </w:r>
          </w:p>
          <w:p w:rsidR="004D5D92" w:rsidRDefault="004D5D92" w:rsidP="00953BA8">
            <w:pPr>
              <w:keepNext/>
              <w:keepLines/>
              <w:spacing w:beforeLines="40" w:before="96" w:after="40"/>
              <w:rPr>
                <w:rFonts w:ascii="Arial Narrow" w:hAnsi="Arial Narrow"/>
                <w:sz w:val="20"/>
              </w:rPr>
            </w:pPr>
            <w:r w:rsidRPr="009231FB">
              <w:rPr>
                <w:rFonts w:ascii="Arial Narrow" w:hAnsi="Arial Narrow"/>
                <w:sz w:val="20"/>
              </w:rPr>
              <w:t>No increase in the maximum quantity or number of units may be authorised.</w:t>
            </w:r>
          </w:p>
          <w:p w:rsidR="004D5D92" w:rsidRDefault="004D5D92" w:rsidP="00953BA8">
            <w:pPr>
              <w:rPr>
                <w:rFonts w:ascii="Arial Narrow" w:hAnsi="Arial Narrow"/>
                <w:sz w:val="20"/>
              </w:rPr>
            </w:pPr>
          </w:p>
          <w:p w:rsidR="004D5D92" w:rsidRPr="00D01616" w:rsidRDefault="004D5D92" w:rsidP="00953BA8">
            <w:pPr>
              <w:rPr>
                <w:rFonts w:ascii="Arial Narrow" w:hAnsi="Arial Narrow"/>
                <w:sz w:val="20"/>
              </w:rPr>
            </w:pPr>
            <w:r w:rsidRPr="00D01616">
              <w:rPr>
                <w:rFonts w:ascii="Arial Narrow" w:hAnsi="Arial Narrow"/>
                <w:sz w:val="20"/>
              </w:rPr>
              <w:t>Any queries concerning the arrangements to prescribe may be directed to the Department of Human Services on 1800 700 270 (hours of operation 8 a.m. t</w:t>
            </w:r>
            <w:r w:rsidR="00C9228B">
              <w:rPr>
                <w:rFonts w:ascii="Arial Narrow" w:hAnsi="Arial Narrow"/>
                <w:sz w:val="20"/>
              </w:rPr>
              <w:t>o 5 p.m. EST Monday to Friday).</w:t>
            </w:r>
          </w:p>
          <w:p w:rsidR="004D5D92" w:rsidRPr="00D01616" w:rsidRDefault="004D5D92" w:rsidP="00953BA8">
            <w:pPr>
              <w:rPr>
                <w:rFonts w:ascii="Arial Narrow" w:hAnsi="Arial Narrow"/>
                <w:sz w:val="20"/>
              </w:rPr>
            </w:pPr>
          </w:p>
          <w:p w:rsidR="004D5D92" w:rsidRPr="00D01616" w:rsidRDefault="004D5D92" w:rsidP="00953BA8">
            <w:pPr>
              <w:rPr>
                <w:rFonts w:ascii="Arial Narrow" w:hAnsi="Arial Narrow"/>
                <w:sz w:val="20"/>
              </w:rPr>
            </w:pPr>
            <w:r w:rsidRPr="00D0161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4D5D92" w:rsidRPr="00D01616" w:rsidRDefault="004D5D92" w:rsidP="00953BA8">
            <w:pPr>
              <w:rPr>
                <w:rFonts w:ascii="Arial Narrow" w:hAnsi="Arial Narrow"/>
                <w:sz w:val="20"/>
              </w:rPr>
            </w:pPr>
          </w:p>
          <w:p w:rsidR="004D5D92" w:rsidRPr="00D01616" w:rsidRDefault="004D5D92" w:rsidP="00953BA8">
            <w:pPr>
              <w:rPr>
                <w:rFonts w:ascii="Arial Narrow" w:hAnsi="Arial Narrow"/>
                <w:sz w:val="20"/>
              </w:rPr>
            </w:pPr>
            <w:r w:rsidRPr="00D01616">
              <w:rPr>
                <w:rFonts w:ascii="Arial Narrow" w:hAnsi="Arial Narrow"/>
                <w:sz w:val="20"/>
              </w:rPr>
              <w:t>Applications for authority to pr</w:t>
            </w:r>
            <w:r w:rsidR="00C9228B">
              <w:rPr>
                <w:rFonts w:ascii="Arial Narrow" w:hAnsi="Arial Narrow"/>
                <w:sz w:val="20"/>
              </w:rPr>
              <w:t>escribe should be forwarded to:</w:t>
            </w:r>
          </w:p>
          <w:p w:rsidR="004D5D92" w:rsidRPr="00D01616" w:rsidRDefault="004D5D92" w:rsidP="00953BA8">
            <w:pPr>
              <w:rPr>
                <w:rFonts w:ascii="Arial Narrow" w:hAnsi="Arial Narrow"/>
                <w:sz w:val="20"/>
              </w:rPr>
            </w:pPr>
            <w:r w:rsidRPr="00D01616">
              <w:rPr>
                <w:rFonts w:ascii="Arial Narrow" w:hAnsi="Arial Narrow"/>
                <w:sz w:val="20"/>
              </w:rPr>
              <w:t>Department of Human Services</w:t>
            </w:r>
          </w:p>
          <w:p w:rsidR="004D5D92" w:rsidRPr="00D01616" w:rsidRDefault="004D5D92" w:rsidP="00953BA8">
            <w:pPr>
              <w:rPr>
                <w:rFonts w:ascii="Arial Narrow" w:hAnsi="Arial Narrow"/>
                <w:sz w:val="20"/>
              </w:rPr>
            </w:pPr>
            <w:r w:rsidRPr="00D01616">
              <w:rPr>
                <w:rFonts w:ascii="Arial Narrow" w:hAnsi="Arial Narrow"/>
                <w:sz w:val="20"/>
              </w:rPr>
              <w:t>Prior Wr</w:t>
            </w:r>
            <w:r w:rsidR="00C9228B">
              <w:rPr>
                <w:rFonts w:ascii="Arial Narrow" w:hAnsi="Arial Narrow"/>
                <w:sz w:val="20"/>
              </w:rPr>
              <w:t>itten Approval of Complex Drugs</w:t>
            </w:r>
          </w:p>
          <w:p w:rsidR="004D5D92" w:rsidRPr="00D01616" w:rsidRDefault="00C9228B" w:rsidP="00953BA8">
            <w:pPr>
              <w:rPr>
                <w:rFonts w:ascii="Arial Narrow" w:hAnsi="Arial Narrow"/>
                <w:sz w:val="20"/>
              </w:rPr>
            </w:pPr>
            <w:r>
              <w:rPr>
                <w:rFonts w:ascii="Arial Narrow" w:hAnsi="Arial Narrow"/>
                <w:sz w:val="20"/>
              </w:rPr>
              <w:t>Reply Paid 9826</w:t>
            </w:r>
          </w:p>
          <w:p w:rsidR="004D5D92" w:rsidRPr="00D01616" w:rsidRDefault="00C9228B" w:rsidP="00953BA8">
            <w:pPr>
              <w:rPr>
                <w:rFonts w:ascii="Arial Narrow" w:hAnsi="Arial Narrow"/>
                <w:sz w:val="20"/>
              </w:rPr>
            </w:pPr>
            <w:r>
              <w:rPr>
                <w:rFonts w:ascii="Arial Narrow" w:hAnsi="Arial Narrow"/>
                <w:sz w:val="20"/>
              </w:rPr>
              <w:t>GPO Box 9826</w:t>
            </w:r>
          </w:p>
          <w:p w:rsidR="004D5D92" w:rsidRPr="00FF044C" w:rsidRDefault="004D5D92" w:rsidP="00953BA8">
            <w:pPr>
              <w:keepNext/>
              <w:keepLines/>
              <w:spacing w:beforeLines="40" w:before="96" w:after="40"/>
              <w:rPr>
                <w:rFonts w:ascii="Arial Narrow" w:hAnsi="Arial Narrow"/>
                <w:sz w:val="20"/>
              </w:rPr>
            </w:pPr>
            <w:r w:rsidRPr="00D01616">
              <w:rPr>
                <w:rFonts w:ascii="Arial Narrow" w:hAnsi="Arial Narrow"/>
                <w:sz w:val="20"/>
              </w:rPr>
              <w:t>HOBART TAS 7001</w:t>
            </w:r>
          </w:p>
        </w:tc>
      </w:tr>
    </w:tbl>
    <w:p w:rsidR="004D5D92" w:rsidRPr="00FF044C" w:rsidRDefault="004D5D92" w:rsidP="004D5D92">
      <w:pPr>
        <w:rPr>
          <w:szCs w:val="22"/>
        </w:rPr>
      </w:pPr>
    </w:p>
    <w:p w:rsidR="004D5D92" w:rsidRPr="00FF044C" w:rsidRDefault="004D5D92" w:rsidP="004D5D92">
      <w:pPr>
        <w:rPr>
          <w:szCs w:val="22"/>
        </w:rPr>
      </w:pPr>
    </w:p>
    <w:p w:rsidR="004D5D92" w:rsidRPr="00FF044C" w:rsidRDefault="004D5D92" w:rsidP="004D5D92"/>
    <w:p w:rsidR="004D5D92" w:rsidRPr="00FF044C" w:rsidRDefault="004D5D92" w:rsidP="004D5D92"/>
    <w:tbl>
      <w:tblPr>
        <w:tblW w:w="8931" w:type="dxa"/>
        <w:tblInd w:w="108" w:type="dxa"/>
        <w:tblLayout w:type="fixed"/>
        <w:tblLook w:val="0000" w:firstRow="0" w:lastRow="0" w:firstColumn="0" w:lastColumn="0" w:noHBand="0" w:noVBand="0"/>
      </w:tblPr>
      <w:tblGrid>
        <w:gridCol w:w="2835"/>
        <w:gridCol w:w="426"/>
        <w:gridCol w:w="992"/>
        <w:gridCol w:w="850"/>
        <w:gridCol w:w="1134"/>
        <w:gridCol w:w="2694"/>
      </w:tblGrid>
      <w:tr w:rsidR="004D5D92" w:rsidRPr="00FF044C" w:rsidTr="00953BA8">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5D92" w:rsidRPr="00FF044C" w:rsidRDefault="004D5D92" w:rsidP="00953BA8">
            <w:pPr>
              <w:keepNext/>
              <w:ind w:left="-108"/>
              <w:rPr>
                <w:rFonts w:ascii="Arial Narrow" w:hAnsi="Arial Narrow"/>
                <w:sz w:val="20"/>
              </w:rPr>
            </w:pPr>
            <w:r w:rsidRPr="00FF044C">
              <w:rPr>
                <w:rFonts w:ascii="Arial Narrow" w:hAnsi="Arial Narrow"/>
                <w:sz w:val="20"/>
              </w:rPr>
              <w:t>Name, Restriction,</w:t>
            </w:r>
          </w:p>
          <w:p w:rsidR="004D5D92" w:rsidRPr="00FF044C" w:rsidRDefault="004D5D92" w:rsidP="00953BA8">
            <w:pPr>
              <w:keepNext/>
              <w:ind w:left="-108"/>
              <w:rPr>
                <w:rFonts w:ascii="Arial Narrow" w:hAnsi="Arial Narrow"/>
                <w:sz w:val="20"/>
              </w:rPr>
            </w:pPr>
            <w:r w:rsidRPr="00FF044C">
              <w:rPr>
                <w:rFonts w:ascii="Arial Narrow" w:hAnsi="Arial Narrow"/>
                <w:sz w:val="20"/>
              </w:rPr>
              <w:t>Manner of administration and form</w:t>
            </w:r>
          </w:p>
        </w:tc>
        <w:tc>
          <w:tcPr>
            <w:tcW w:w="992"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keepNext/>
              <w:ind w:left="-108"/>
              <w:jc w:val="center"/>
              <w:rPr>
                <w:rFonts w:ascii="Arial Narrow" w:hAnsi="Arial Narrow"/>
                <w:sz w:val="20"/>
              </w:rPr>
            </w:pPr>
            <w:r w:rsidRPr="00FF044C">
              <w:rPr>
                <w:rFonts w:ascii="Arial Narrow" w:hAnsi="Arial Narrow"/>
                <w:sz w:val="20"/>
              </w:rPr>
              <w:t>Max.</w:t>
            </w:r>
          </w:p>
          <w:p w:rsidR="004D5D92" w:rsidRPr="00FF044C" w:rsidRDefault="004D5D92" w:rsidP="00953BA8">
            <w:pPr>
              <w:keepNext/>
              <w:ind w:left="-108"/>
              <w:jc w:val="center"/>
              <w:rPr>
                <w:rFonts w:ascii="Arial Narrow" w:hAnsi="Arial Narrow"/>
                <w:sz w:val="20"/>
              </w:rPr>
            </w:pPr>
            <w:r w:rsidRPr="00FF044C">
              <w:rPr>
                <w:rFonts w:ascii="Arial Narrow" w:hAnsi="Arial Narrow"/>
                <w:sz w:val="20"/>
              </w:rPr>
              <w:t>Amount</w:t>
            </w:r>
          </w:p>
        </w:tc>
        <w:tc>
          <w:tcPr>
            <w:tcW w:w="850"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keepNext/>
              <w:ind w:left="-108"/>
              <w:jc w:val="center"/>
              <w:rPr>
                <w:rFonts w:ascii="Arial Narrow" w:hAnsi="Arial Narrow"/>
                <w:sz w:val="20"/>
              </w:rPr>
            </w:pPr>
            <w:r w:rsidRPr="00FF044C">
              <w:rPr>
                <w:rFonts w:ascii="Arial Narrow" w:hAnsi="Arial Narrow"/>
                <w:sz w:val="20"/>
              </w:rPr>
              <w:t>№.of</w:t>
            </w:r>
          </w:p>
          <w:p w:rsidR="004D5D92" w:rsidRPr="00FF044C" w:rsidRDefault="004D5D92" w:rsidP="00953BA8">
            <w:pPr>
              <w:keepNext/>
              <w:ind w:left="-108"/>
              <w:jc w:val="center"/>
              <w:rPr>
                <w:rFonts w:ascii="Arial Narrow" w:hAnsi="Arial Narrow"/>
                <w:sz w:val="20"/>
              </w:rPr>
            </w:pPr>
            <w:r w:rsidRPr="00FF044C">
              <w:rPr>
                <w:rFonts w:ascii="Arial Narrow" w:hAnsi="Arial Narrow"/>
                <w:sz w:val="20"/>
              </w:rPr>
              <w:t>Rpts</w:t>
            </w:r>
          </w:p>
        </w:tc>
        <w:tc>
          <w:tcPr>
            <w:tcW w:w="3828" w:type="dxa"/>
            <w:gridSpan w:val="2"/>
            <w:tcBorders>
              <w:top w:val="single" w:sz="4" w:space="0" w:color="auto"/>
              <w:left w:val="single" w:sz="4" w:space="0" w:color="auto"/>
              <w:bottom w:val="single" w:sz="4" w:space="0" w:color="auto"/>
              <w:right w:val="single" w:sz="4" w:space="0" w:color="auto"/>
            </w:tcBorders>
          </w:tcPr>
          <w:p w:rsidR="004D5D92" w:rsidRPr="00FF044C" w:rsidRDefault="004D5D92" w:rsidP="00DC24F8">
            <w:pPr>
              <w:keepNext/>
              <w:jc w:val="center"/>
              <w:rPr>
                <w:rFonts w:ascii="Arial Narrow" w:hAnsi="Arial Narrow"/>
                <w:sz w:val="20"/>
              </w:rPr>
            </w:pPr>
            <w:r w:rsidRPr="00FF044C">
              <w:rPr>
                <w:rFonts w:ascii="Arial Narrow" w:hAnsi="Arial Narrow"/>
                <w:sz w:val="20"/>
              </w:rPr>
              <w:t>Propriet</w:t>
            </w:r>
            <w:r>
              <w:rPr>
                <w:rFonts w:ascii="Arial Narrow" w:hAnsi="Arial Narrow"/>
                <w:sz w:val="20"/>
              </w:rPr>
              <w:t>ary  Name and</w:t>
            </w:r>
            <w:r w:rsidR="00DC24F8">
              <w:rPr>
                <w:rFonts w:ascii="Arial Narrow" w:hAnsi="Arial Narrow"/>
                <w:sz w:val="20"/>
              </w:rPr>
              <w:t xml:space="preserve"> </w:t>
            </w:r>
            <w:r w:rsidRPr="00FF044C">
              <w:rPr>
                <w:rFonts w:ascii="Arial Narrow" w:hAnsi="Arial Narrow"/>
                <w:sz w:val="20"/>
              </w:rPr>
              <w:t>Manufacturer</w:t>
            </w:r>
          </w:p>
        </w:tc>
      </w:tr>
      <w:tr w:rsidR="004D5D92" w:rsidRPr="00FF044C" w:rsidTr="00953BA8">
        <w:trPr>
          <w:cantSplit/>
          <w:trHeight w:val="577"/>
        </w:trPr>
        <w:tc>
          <w:tcPr>
            <w:tcW w:w="3261" w:type="dxa"/>
            <w:gridSpan w:val="2"/>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keepNext/>
              <w:ind w:left="-108"/>
              <w:rPr>
                <w:rFonts w:ascii="Arial Narrow" w:hAnsi="Arial Narrow"/>
                <w:sz w:val="20"/>
              </w:rPr>
            </w:pPr>
            <w:r w:rsidRPr="00FF044C">
              <w:rPr>
                <w:rFonts w:ascii="Arial Narrow" w:hAnsi="Arial Narrow"/>
                <w:sz w:val="20"/>
              </w:rPr>
              <w:t>BRENTUXIMAB VEDOTIN</w:t>
            </w:r>
          </w:p>
          <w:p w:rsidR="004D5D92" w:rsidRPr="00FF044C" w:rsidRDefault="004D5D92" w:rsidP="00953BA8">
            <w:pPr>
              <w:keepNext/>
              <w:ind w:left="-108"/>
              <w:rPr>
                <w:rFonts w:ascii="Arial Narrow" w:hAnsi="Arial Narrow"/>
                <w:sz w:val="20"/>
              </w:rPr>
            </w:pPr>
            <w:r w:rsidRPr="00FF044C">
              <w:rPr>
                <w:rFonts w:ascii="Arial Narrow" w:hAnsi="Arial Narrow"/>
                <w:sz w:val="20"/>
              </w:rPr>
              <w:t xml:space="preserve">50 mg vial for IV infusion, 1 </w:t>
            </w:r>
          </w:p>
        </w:tc>
        <w:tc>
          <w:tcPr>
            <w:tcW w:w="992" w:type="dxa"/>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keepNext/>
              <w:ind w:left="-108"/>
              <w:rPr>
                <w:rFonts w:ascii="Arial Narrow" w:hAnsi="Arial Narrow"/>
                <w:sz w:val="20"/>
              </w:rPr>
            </w:pPr>
          </w:p>
          <w:p w:rsidR="004D5D92" w:rsidRPr="00FF044C" w:rsidRDefault="004D5D92" w:rsidP="00953BA8">
            <w:pPr>
              <w:keepNext/>
              <w:ind w:left="-108"/>
              <w:rPr>
                <w:rFonts w:ascii="Arial Narrow" w:hAnsi="Arial Narrow"/>
                <w:sz w:val="20"/>
              </w:rPr>
            </w:pPr>
            <w:r w:rsidRPr="00FF044C">
              <w:rPr>
                <w:rFonts w:ascii="Arial Narrow" w:hAnsi="Arial Narrow"/>
                <w:sz w:val="20"/>
              </w:rPr>
              <w:t>200 mg</w:t>
            </w:r>
          </w:p>
        </w:tc>
        <w:tc>
          <w:tcPr>
            <w:tcW w:w="850" w:type="dxa"/>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keepNext/>
              <w:ind w:left="-108"/>
              <w:rPr>
                <w:rFonts w:ascii="Arial Narrow" w:hAnsi="Arial Narrow"/>
                <w:sz w:val="20"/>
              </w:rPr>
            </w:pPr>
          </w:p>
          <w:p w:rsidR="004D5D92" w:rsidRPr="00FF044C" w:rsidRDefault="004D5D92" w:rsidP="00953BA8">
            <w:pPr>
              <w:keepNext/>
              <w:ind w:left="-108"/>
              <w:rPr>
                <w:rFonts w:ascii="Arial Narrow" w:hAnsi="Arial Narrow"/>
                <w:sz w:val="20"/>
              </w:rPr>
            </w:pPr>
            <w:r w:rsidRPr="00FF044C">
              <w:rPr>
                <w:rFonts w:ascii="Arial Narrow" w:hAnsi="Arial Narrow"/>
                <w:sz w:val="20"/>
              </w:rPr>
              <w:t>11</w:t>
            </w:r>
          </w:p>
        </w:tc>
        <w:tc>
          <w:tcPr>
            <w:tcW w:w="1134" w:type="dxa"/>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keepNext/>
              <w:rPr>
                <w:rFonts w:ascii="Arial Narrow" w:hAnsi="Arial Narrow"/>
                <w:sz w:val="20"/>
              </w:rPr>
            </w:pPr>
            <w:r w:rsidRPr="00FF044C">
              <w:rPr>
                <w:rFonts w:ascii="Arial Narrow" w:hAnsi="Arial Narrow"/>
                <w:sz w:val="20"/>
              </w:rPr>
              <w:t>Adcetris</w:t>
            </w:r>
            <w:r w:rsidRPr="00FF044C">
              <w:rPr>
                <w:rFonts w:ascii="Arial Narrow" w:hAnsi="Arial Narrow"/>
                <w:sz w:val="20"/>
                <w:vertAlign w:val="superscript"/>
              </w:rPr>
              <w:t>®</w:t>
            </w:r>
          </w:p>
        </w:tc>
        <w:tc>
          <w:tcPr>
            <w:tcW w:w="2694"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keepNext/>
              <w:jc w:val="center"/>
              <w:rPr>
                <w:rFonts w:ascii="Arial Narrow" w:hAnsi="Arial Narrow"/>
                <w:sz w:val="20"/>
              </w:rPr>
            </w:pPr>
            <w:r w:rsidRPr="00FF044C">
              <w:rPr>
                <w:rFonts w:ascii="Arial Narrow" w:hAnsi="Arial Narrow"/>
                <w:sz w:val="20"/>
              </w:rPr>
              <w:t>Takeda Pharmaceuticals Australia Pty Ltd</w:t>
            </w:r>
          </w:p>
        </w:tc>
      </w:tr>
      <w:tr w:rsidR="004D5D92" w:rsidRPr="00FF044C" w:rsidTr="00953BA8">
        <w:trPr>
          <w:cantSplit/>
          <w:trHeight w:val="360"/>
        </w:trPr>
        <w:tc>
          <w:tcPr>
            <w:tcW w:w="8931" w:type="dxa"/>
            <w:gridSpan w:val="6"/>
            <w:tcBorders>
              <w:top w:val="single" w:sz="4" w:space="0" w:color="auto"/>
              <w:bottom w:val="single" w:sz="4" w:space="0" w:color="auto"/>
            </w:tcBorders>
          </w:tcPr>
          <w:p w:rsidR="004D5D92" w:rsidRPr="00FF044C"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 xml:space="preserve">Category / </w:t>
            </w:r>
          </w:p>
          <w:p w:rsidR="004D5D92" w:rsidRPr="00FF044C" w:rsidRDefault="004D5D92" w:rsidP="00953BA8">
            <w:pPr>
              <w:rPr>
                <w:rFonts w:ascii="Arial Narrow" w:hAnsi="Arial Narrow"/>
                <w:b/>
                <w:sz w:val="20"/>
              </w:rPr>
            </w:pPr>
            <w:r w:rsidRPr="00FF044C">
              <w:rPr>
                <w:rFonts w:ascii="Arial Narrow" w:hAnsi="Arial Narrow"/>
                <w:b/>
                <w:sz w:val="20"/>
              </w:rPr>
              <w:t>Program</w:t>
            </w:r>
          </w:p>
        </w:tc>
        <w:tc>
          <w:tcPr>
            <w:tcW w:w="6096" w:type="dxa"/>
            <w:gridSpan w:val="5"/>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t>Section 100 – Efficient Funding of Chemotherapy</w:t>
            </w:r>
          </w:p>
          <w:p w:rsidR="004D5D92" w:rsidRPr="00FF044C"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Prescriber type:</w:t>
            </w:r>
          </w:p>
          <w:p w:rsidR="004D5D92" w:rsidRPr="00FF044C" w:rsidRDefault="004D5D92" w:rsidP="00953BA8">
            <w:pPr>
              <w:rPr>
                <w:rFonts w:ascii="Arial Narrow" w:hAnsi="Arial Narrow"/>
                <w:b/>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Dental  </w:t>
            </w: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Medical Practitioners  </w:t>
            </w:r>
            <w:r w:rsidRPr="00FF044C">
              <w:rPr>
                <w:rFonts w:ascii="Arial Narrow" w:hAnsi="Arial Narrow"/>
                <w:sz w:val="20"/>
              </w:rPr>
              <w:fldChar w:fldCharType="begin">
                <w:ffData>
                  <w:name w:val="Check3"/>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 xml:space="preserve">Nurse practitioners  </w:t>
            </w: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Optometrists</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Midwives</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Severity:</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Relapsed or Refractory</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Condition:</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Hodgkin lymphoma</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PBS Indication:</w:t>
            </w:r>
          </w:p>
          <w:p w:rsidR="004D5D92" w:rsidRPr="00FF044C" w:rsidRDefault="004D5D92" w:rsidP="00953BA8">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D5D92" w:rsidRPr="009231FB" w:rsidRDefault="004D5D92" w:rsidP="00953BA8">
            <w:pPr>
              <w:rPr>
                <w:rFonts w:ascii="Arial Narrow" w:hAnsi="Arial Narrow"/>
                <w:sz w:val="20"/>
              </w:rPr>
            </w:pPr>
            <w:r w:rsidRPr="009231FB">
              <w:rPr>
                <w:rFonts w:ascii="Arial Narrow" w:hAnsi="Arial Narrow"/>
                <w:sz w:val="20"/>
              </w:rPr>
              <w:t>Relapsed or Refractory Hodgkin lymphoma</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Treatment phase:</w:t>
            </w:r>
          </w:p>
          <w:p w:rsidR="004D5D92" w:rsidRPr="00FF044C" w:rsidRDefault="004D5D92" w:rsidP="00953BA8">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rPr>
                <w:rFonts w:ascii="Arial Narrow" w:hAnsi="Arial Narrow"/>
                <w:sz w:val="20"/>
              </w:rPr>
            </w:pPr>
            <w:r w:rsidRPr="00FF044C">
              <w:rPr>
                <w:rFonts w:ascii="Arial Narrow" w:hAnsi="Arial Narrow"/>
                <w:sz w:val="20"/>
              </w:rPr>
              <w:t>Continuing treatment</w:t>
            </w: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Restriction Level / Method:</w:t>
            </w:r>
          </w:p>
          <w:p w:rsidR="004D5D92" w:rsidRPr="00FF044C" w:rsidRDefault="004D5D92" w:rsidP="00953BA8">
            <w:pPr>
              <w:rPr>
                <w:rFonts w:ascii="Arial Narrow" w:hAnsi="Arial Narrow"/>
                <w:i/>
                <w:sz w:val="20"/>
                <w:highlight w:val="yellow"/>
              </w:rPr>
            </w:pPr>
          </w:p>
          <w:p w:rsidR="004D5D92" w:rsidRPr="00FF044C" w:rsidRDefault="004D5D92" w:rsidP="00953BA8">
            <w:pPr>
              <w:rPr>
                <w:rFonts w:ascii="Arial Narrow" w:hAnsi="Arial Narrow"/>
                <w:i/>
                <w:sz w:val="20"/>
              </w:rPr>
            </w:pPr>
          </w:p>
          <w:p w:rsidR="004D5D92" w:rsidRPr="00FF044C" w:rsidRDefault="004D5D92" w:rsidP="00953BA8">
            <w:pPr>
              <w:rPr>
                <w:rFonts w:ascii="Arial Narrow" w:hAnsi="Arial Narrow"/>
                <w:i/>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1"/>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Restricted benefit</w:t>
            </w:r>
          </w:p>
          <w:p w:rsidR="004D5D92" w:rsidRPr="00FF044C" w:rsidRDefault="004D5D92" w:rsidP="00953BA8">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Pr>
                <w:rFonts w:ascii="Arial Narrow" w:hAnsi="Arial Narrow"/>
                <w:sz w:val="20"/>
              </w:rPr>
              <w:fldChar w:fldCharType="end"/>
            </w:r>
            <w:r w:rsidRPr="00FF044C">
              <w:rPr>
                <w:rFonts w:ascii="Arial Narrow" w:hAnsi="Arial Narrow"/>
                <w:sz w:val="20"/>
              </w:rPr>
              <w:t>Authority Required - In Writing</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
                  <w:enabled/>
                  <w:calcOnExit w:val="0"/>
                  <w:checkBox>
                    <w:sizeAuto/>
                    <w:default w:val="1"/>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Telephone</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Emergency</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Authority Required - Electronic</w:t>
            </w:r>
          </w:p>
          <w:p w:rsidR="004D5D92" w:rsidRPr="00FF044C" w:rsidRDefault="004D5D92" w:rsidP="00953BA8">
            <w:pPr>
              <w:rPr>
                <w:rFonts w:ascii="Arial Narrow" w:hAnsi="Arial Narrow"/>
                <w:sz w:val="20"/>
              </w:rPr>
            </w:pPr>
            <w:r w:rsidRPr="00FF044C">
              <w:rPr>
                <w:rFonts w:ascii="Arial Narrow" w:hAnsi="Arial Narrow"/>
                <w:sz w:val="20"/>
              </w:rPr>
              <w:fldChar w:fldCharType="begin">
                <w:ffData>
                  <w:name w:val="Check5"/>
                  <w:enabled/>
                  <w:calcOnExit w:val="0"/>
                  <w:checkBox>
                    <w:sizeAuto/>
                    <w:default w:val="0"/>
                  </w:checkBox>
                </w:ffData>
              </w:fldChar>
            </w:r>
            <w:r w:rsidRPr="00FF044C">
              <w:rPr>
                <w:rFonts w:ascii="Arial Narrow" w:hAnsi="Arial Narrow"/>
                <w:sz w:val="20"/>
              </w:rPr>
              <w:instrText xml:space="preserve"> FORMCHECKBOX </w:instrText>
            </w:r>
            <w:r w:rsidR="00015019">
              <w:rPr>
                <w:rFonts w:ascii="Arial Narrow" w:hAnsi="Arial Narrow"/>
                <w:sz w:val="20"/>
              </w:rPr>
            </w:r>
            <w:r w:rsidR="00015019">
              <w:rPr>
                <w:rFonts w:ascii="Arial Narrow" w:hAnsi="Arial Narrow"/>
                <w:sz w:val="20"/>
              </w:rPr>
              <w:fldChar w:fldCharType="separate"/>
            </w:r>
            <w:r w:rsidRPr="00FF044C">
              <w:rPr>
                <w:rFonts w:ascii="Arial Narrow" w:hAnsi="Arial Narrow"/>
                <w:sz w:val="20"/>
              </w:rPr>
              <w:fldChar w:fldCharType="end"/>
            </w:r>
            <w:r w:rsidRPr="00FF044C">
              <w:rPr>
                <w:rFonts w:ascii="Arial Narrow" w:hAnsi="Arial Narrow"/>
                <w:sz w:val="20"/>
              </w:rPr>
              <w:t>Streamlined</w:t>
            </w:r>
          </w:p>
        </w:tc>
      </w:tr>
      <w:tr w:rsidR="004D5D92" w:rsidRPr="009231FB"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Clinical criteria:</w:t>
            </w:r>
          </w:p>
          <w:p w:rsidR="004D5D92" w:rsidRPr="00FF044C" w:rsidRDefault="004D5D92" w:rsidP="00953BA8">
            <w:pPr>
              <w:rPr>
                <w:rFonts w:ascii="Arial Narrow" w:hAnsi="Arial Narrow"/>
                <w:i/>
                <w:sz w:val="20"/>
              </w:rPr>
            </w:pPr>
          </w:p>
          <w:p w:rsidR="004D5D92" w:rsidRPr="00FF044C" w:rsidRDefault="004D5D92" w:rsidP="00953BA8">
            <w:pPr>
              <w:rPr>
                <w:rFonts w:ascii="Arial Narrow" w:hAnsi="Arial Narrow"/>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4D5D92" w:rsidRPr="009231FB" w:rsidRDefault="004D5D92" w:rsidP="00953BA8">
            <w:pPr>
              <w:rPr>
                <w:rFonts w:ascii="Arial Narrow" w:hAnsi="Arial Narrow"/>
                <w:sz w:val="20"/>
              </w:rPr>
            </w:pPr>
            <w:r w:rsidRPr="009231FB">
              <w:rPr>
                <w:rFonts w:ascii="Arial Narrow" w:hAnsi="Arial Narrow"/>
                <w:sz w:val="20"/>
              </w:rPr>
              <w:t>Patient must have previously received PBS-subsidised treatment with this drug for this condition.</w:t>
            </w:r>
          </w:p>
          <w:p w:rsidR="004D5D92" w:rsidRPr="009231FB" w:rsidRDefault="004D5D92" w:rsidP="00953BA8">
            <w:pPr>
              <w:rPr>
                <w:rFonts w:ascii="Arial Narrow" w:hAnsi="Arial Narrow"/>
                <w:sz w:val="20"/>
              </w:rPr>
            </w:pPr>
            <w:r w:rsidRPr="009231FB">
              <w:rPr>
                <w:rFonts w:ascii="Arial Narrow" w:hAnsi="Arial Narrow"/>
                <w:sz w:val="20"/>
              </w:rPr>
              <w:t>AND</w:t>
            </w:r>
          </w:p>
          <w:p w:rsidR="004D5D92" w:rsidRPr="009231FB" w:rsidRDefault="004D5D92" w:rsidP="00953BA8">
            <w:pPr>
              <w:rPr>
                <w:rFonts w:ascii="Arial Narrow" w:hAnsi="Arial Narrow"/>
                <w:sz w:val="20"/>
              </w:rPr>
            </w:pPr>
            <w:r w:rsidRPr="009231FB">
              <w:rPr>
                <w:rFonts w:ascii="Arial Narrow" w:hAnsi="Arial Narrow"/>
                <w:sz w:val="20"/>
              </w:rPr>
              <w:t>Patient must not have progressive disease while receiving PBS-subsidised  treatment with this drug</w:t>
            </w:r>
          </w:p>
          <w:p w:rsidR="004D5D92" w:rsidRPr="009231FB" w:rsidRDefault="004D5D92" w:rsidP="00953BA8">
            <w:pPr>
              <w:rPr>
                <w:rFonts w:ascii="Arial Narrow" w:hAnsi="Arial Narrow"/>
                <w:sz w:val="20"/>
              </w:rPr>
            </w:pPr>
            <w:r w:rsidRPr="009231FB">
              <w:rPr>
                <w:rFonts w:ascii="Arial Narrow" w:hAnsi="Arial Narrow"/>
                <w:sz w:val="20"/>
              </w:rPr>
              <w:t>AND</w:t>
            </w:r>
          </w:p>
          <w:p w:rsidR="004D5D92" w:rsidRPr="009231FB" w:rsidRDefault="004D5D92" w:rsidP="00953BA8">
            <w:pPr>
              <w:rPr>
                <w:rFonts w:ascii="Arial Narrow" w:hAnsi="Arial Narrow"/>
                <w:sz w:val="20"/>
              </w:rPr>
            </w:pPr>
            <w:r w:rsidRPr="009231FB">
              <w:rPr>
                <w:rFonts w:ascii="Arial Narrow" w:hAnsi="Arial Narrow"/>
                <w:sz w:val="20"/>
              </w:rPr>
              <w:t>Patient must not receive more than 12 cycles of treatment under this restriction</w:t>
            </w:r>
          </w:p>
          <w:p w:rsidR="004D5D92" w:rsidRPr="009231FB"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b/>
                <w:sz w:val="20"/>
              </w:rPr>
            </w:pPr>
            <w:r w:rsidRPr="00FF044C">
              <w:rPr>
                <w:rFonts w:ascii="Arial Narrow" w:hAnsi="Arial Narrow"/>
                <w:b/>
                <w:sz w:val="20"/>
              </w:rPr>
              <w:t>Prescriber Instructions</w:t>
            </w:r>
          </w:p>
          <w:p w:rsidR="004D5D92" w:rsidRPr="00FF044C" w:rsidRDefault="004D5D92" w:rsidP="00953BA8">
            <w:pPr>
              <w:rPr>
                <w:rFonts w:ascii="Arial Narrow" w:hAnsi="Arial Narrow"/>
                <w:sz w:val="20"/>
              </w:rPr>
            </w:pPr>
          </w:p>
        </w:tc>
        <w:tc>
          <w:tcPr>
            <w:tcW w:w="6096" w:type="dxa"/>
            <w:gridSpan w:val="5"/>
            <w:tcBorders>
              <w:top w:val="single" w:sz="4" w:space="0" w:color="auto"/>
              <w:left w:val="single" w:sz="4" w:space="0" w:color="auto"/>
              <w:bottom w:val="single" w:sz="4" w:space="0" w:color="auto"/>
              <w:right w:val="single" w:sz="4" w:space="0" w:color="auto"/>
            </w:tcBorders>
          </w:tcPr>
          <w:p w:rsidR="004D5D92" w:rsidRPr="00FF044C" w:rsidRDefault="004D5D92" w:rsidP="00953BA8">
            <w:pPr>
              <w:rPr>
                <w:rFonts w:ascii="Arial Narrow" w:hAnsi="Arial Narrow"/>
                <w:sz w:val="20"/>
              </w:rPr>
            </w:pPr>
            <w:r w:rsidRPr="00FF044C">
              <w:rPr>
                <w:rFonts w:ascii="Arial Narrow" w:hAnsi="Arial Narrow"/>
                <w:sz w:val="20"/>
              </w:rPr>
              <w:t>Authority applications for continuing treatment may be made by telephone to the Department of Human Services on 1800 700 270 (hours of operation 8 a.m. t</w:t>
            </w:r>
            <w:r w:rsidR="00C9228B">
              <w:rPr>
                <w:rFonts w:ascii="Arial Narrow" w:hAnsi="Arial Narrow"/>
                <w:sz w:val="20"/>
              </w:rPr>
              <w:t>o 5 p.m. EST Monday to Friday).</w:t>
            </w:r>
          </w:p>
          <w:p w:rsidR="004D5D92" w:rsidRPr="00FF044C" w:rsidRDefault="004D5D92" w:rsidP="00953BA8">
            <w:pPr>
              <w:rPr>
                <w:rFonts w:ascii="Arial Narrow" w:hAnsi="Arial Narrow"/>
                <w:sz w:val="20"/>
              </w:rPr>
            </w:pPr>
          </w:p>
          <w:p w:rsidR="004D5D92" w:rsidRPr="00FF044C" w:rsidRDefault="004D5D92" w:rsidP="00953BA8">
            <w:pPr>
              <w:rPr>
                <w:rFonts w:ascii="Arial Narrow" w:hAnsi="Arial Narrow"/>
                <w:sz w:val="20"/>
              </w:rPr>
            </w:pPr>
            <w:r w:rsidRPr="009231FB">
              <w:rPr>
                <w:rFonts w:ascii="Arial Narrow" w:hAnsi="Arial Narrow"/>
                <w:sz w:val="20"/>
              </w:rPr>
              <w:t>The treatment must not exceed a total of 16 cycles in a lifetime</w:t>
            </w:r>
            <w:r w:rsidRPr="00FF044C">
              <w:rPr>
                <w:rFonts w:ascii="Arial Narrow" w:hAnsi="Arial Narrow"/>
                <w:sz w:val="20"/>
              </w:rPr>
              <w:t>.</w:t>
            </w:r>
          </w:p>
          <w:p w:rsidR="004D5D92" w:rsidRPr="00FF044C" w:rsidRDefault="004D5D92" w:rsidP="00953BA8">
            <w:pPr>
              <w:rPr>
                <w:rFonts w:ascii="Arial Narrow" w:hAnsi="Arial Narrow"/>
                <w:sz w:val="20"/>
              </w:rPr>
            </w:pPr>
          </w:p>
        </w:tc>
      </w:tr>
      <w:tr w:rsidR="004D5D92" w:rsidRPr="00FF044C" w:rsidTr="00953BA8">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rPr>
                <w:rFonts w:ascii="Arial Narrow" w:hAnsi="Arial Narrow"/>
                <w:b/>
                <w:sz w:val="20"/>
              </w:rPr>
            </w:pPr>
            <w:r w:rsidRPr="00FF044C">
              <w:rPr>
                <w:rFonts w:ascii="Arial Narrow" w:hAnsi="Arial Narrow"/>
                <w:b/>
                <w:sz w:val="20"/>
              </w:rPr>
              <w:t>Administrative Advice</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4D5D92" w:rsidRPr="00FF044C" w:rsidRDefault="004D5D92" w:rsidP="00953BA8">
            <w:pPr>
              <w:rPr>
                <w:rFonts w:ascii="Arial Narrow" w:hAnsi="Arial Narrow"/>
                <w:sz w:val="20"/>
              </w:rPr>
            </w:pPr>
          </w:p>
          <w:p w:rsidR="004D5D92" w:rsidRPr="00FF044C" w:rsidRDefault="004D5D92" w:rsidP="00953BA8">
            <w:pPr>
              <w:rPr>
                <w:rFonts w:ascii="Arial Narrow" w:hAnsi="Arial Narrow"/>
                <w:sz w:val="20"/>
              </w:rPr>
            </w:pPr>
            <w:r w:rsidRPr="00FF044C">
              <w:rPr>
                <w:rFonts w:ascii="Arial Narrow" w:hAnsi="Arial Narrow"/>
                <w:sz w:val="20"/>
              </w:rPr>
              <w:t>No increase in the maximum numbe</w:t>
            </w:r>
            <w:r w:rsidR="00C9228B">
              <w:rPr>
                <w:rFonts w:ascii="Arial Narrow" w:hAnsi="Arial Narrow"/>
                <w:sz w:val="20"/>
              </w:rPr>
              <w:t>r of repeats may be authorised.</w:t>
            </w:r>
          </w:p>
          <w:p w:rsidR="004D5D92" w:rsidRPr="00FF044C" w:rsidRDefault="004D5D92" w:rsidP="00953BA8">
            <w:pPr>
              <w:rPr>
                <w:rFonts w:ascii="Arial Narrow" w:hAnsi="Arial Narrow"/>
                <w:sz w:val="20"/>
              </w:rPr>
            </w:pPr>
            <w:r w:rsidRPr="00FF044C">
              <w:rPr>
                <w:rFonts w:ascii="Arial Narrow" w:hAnsi="Arial Narrow"/>
                <w:sz w:val="20"/>
              </w:rPr>
              <w:t>No increase in the maximum quantity or number of units may be authorised</w:t>
            </w:r>
          </w:p>
          <w:p w:rsidR="004D5D92" w:rsidRPr="00FF044C" w:rsidRDefault="004D5D92" w:rsidP="00953BA8">
            <w:pPr>
              <w:rPr>
                <w:rFonts w:ascii="Arial Narrow" w:hAnsi="Arial Narrow"/>
                <w:sz w:val="20"/>
              </w:rPr>
            </w:pPr>
          </w:p>
        </w:tc>
      </w:tr>
    </w:tbl>
    <w:p w:rsidR="00DC24F8" w:rsidRDefault="00DC24F8" w:rsidP="00BC46F1">
      <w:pPr>
        <w:ind w:left="426"/>
      </w:pPr>
    </w:p>
    <w:p w:rsidR="00DC24F8" w:rsidRDefault="00DC24F8" w:rsidP="00BC46F1">
      <w:pPr>
        <w:ind w:left="426"/>
      </w:pPr>
    </w:p>
    <w:p w:rsidR="004454A0" w:rsidRPr="00570D4E" w:rsidRDefault="004454A0" w:rsidP="004454A0">
      <w:pPr>
        <w:pStyle w:val="PBACheading10"/>
        <w:numPr>
          <w:ilvl w:val="0"/>
          <w:numId w:val="1"/>
        </w:numPr>
      </w:pPr>
      <w:r w:rsidRPr="00485DD3">
        <w:t>Context for Decision</w:t>
      </w:r>
    </w:p>
    <w:p w:rsidR="004454A0" w:rsidRDefault="004454A0" w:rsidP="004454A0">
      <w:pPr>
        <w:ind w:left="426"/>
      </w:pPr>
    </w:p>
    <w:p w:rsidR="004454A0" w:rsidRDefault="004454A0" w:rsidP="004454A0">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C24F8" w:rsidRDefault="00DC24F8">
      <w:pPr>
        <w:widowControl/>
        <w:jc w:val="left"/>
      </w:pPr>
      <w:r>
        <w:br w:type="page"/>
      </w:r>
    </w:p>
    <w:p w:rsidR="004454A0" w:rsidRDefault="004454A0" w:rsidP="004454A0">
      <w:pPr>
        <w:ind w:left="426"/>
      </w:pPr>
    </w:p>
    <w:p w:rsidR="00953BA8" w:rsidRDefault="004454A0" w:rsidP="00DC24F8">
      <w:pPr>
        <w:pStyle w:val="PBACheading10"/>
        <w:numPr>
          <w:ilvl w:val="0"/>
          <w:numId w:val="1"/>
        </w:numPr>
      </w:pPr>
      <w:r w:rsidRPr="00485DD3">
        <w:t>Sponsor’s Comment</w:t>
      </w:r>
    </w:p>
    <w:p w:rsidR="00DC24F8" w:rsidRPr="00DC24F8" w:rsidRDefault="00DC24F8" w:rsidP="00BC46F1">
      <w:pPr>
        <w:tabs>
          <w:tab w:val="left" w:pos="1785"/>
        </w:tabs>
        <w:rPr>
          <w:szCs w:val="22"/>
        </w:rPr>
      </w:pPr>
    </w:p>
    <w:p w:rsidR="00953BA8" w:rsidRDefault="00953BA8" w:rsidP="00953BA8">
      <w:pPr>
        <w:spacing w:after="120"/>
        <w:ind w:left="709"/>
        <w:rPr>
          <w:bCs/>
          <w:szCs w:val="24"/>
        </w:rPr>
      </w:pPr>
      <w:r>
        <w:rPr>
          <w:bCs/>
          <w:szCs w:val="24"/>
        </w:rPr>
        <w:t>Takeda Pharmaceuticals Australia welcomes the PBAC’s positive recommendation for the listing of its innovative medicine brentuximab vedotin for patients with relapsed or refractory Hodgkin lymphoma who are ASCT naïve. Takeda Australia also acknowledges and thanks the clinical community and the patients / carers who contributed to this outcome via their input to the PBAC.</w:t>
      </w:r>
    </w:p>
    <w:p w:rsidR="00CA3BA7" w:rsidRPr="00FF044C" w:rsidRDefault="00CA3BA7" w:rsidP="00C57CAC">
      <w:pPr>
        <w:tabs>
          <w:tab w:val="left" w:pos="1785"/>
        </w:tabs>
      </w:pPr>
    </w:p>
    <w:sectPr w:rsidR="00CA3BA7" w:rsidRPr="00FF044C" w:rsidSect="004F268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26A48" w15:done="0"/>
  <w15:commentEx w15:paraId="5AA70512" w15:done="0"/>
  <w15:commentEx w15:paraId="2C24E741" w15:done="0"/>
  <w15:commentEx w15:paraId="21271403" w15:done="0"/>
  <w15:commentEx w15:paraId="4DC7AB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019" w:rsidRDefault="00015019" w:rsidP="00124A51">
      <w:r>
        <w:separator/>
      </w:r>
    </w:p>
  </w:endnote>
  <w:endnote w:type="continuationSeparator" w:id="0">
    <w:p w:rsidR="00015019" w:rsidRDefault="0001501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019" w:rsidRDefault="000150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230513"/>
      <w:docPartObj>
        <w:docPartGallery w:val="Page Numbers (Bottom of Page)"/>
        <w:docPartUnique/>
      </w:docPartObj>
    </w:sdtPr>
    <w:sdtEndPr>
      <w:rPr>
        <w:noProof/>
      </w:rPr>
    </w:sdtEndPr>
    <w:sdtContent>
      <w:p w:rsidR="00015019" w:rsidRDefault="00015019">
        <w:pPr>
          <w:pStyle w:val="Footer"/>
          <w:jc w:val="center"/>
        </w:pPr>
        <w:r>
          <w:fldChar w:fldCharType="begin"/>
        </w:r>
        <w:r>
          <w:instrText xml:space="preserve"> PAGE   \* MERGEFORMAT </w:instrText>
        </w:r>
        <w:r>
          <w:fldChar w:fldCharType="separate"/>
        </w:r>
        <w:r w:rsidR="00C9228B">
          <w:rPr>
            <w:noProof/>
          </w:rPr>
          <w:t>5</w:t>
        </w:r>
        <w:r>
          <w:rPr>
            <w:noProof/>
          </w:rPr>
          <w:fldChar w:fldCharType="end"/>
        </w:r>
      </w:p>
    </w:sdtContent>
  </w:sdt>
  <w:p w:rsidR="00015019" w:rsidRPr="007F30A3" w:rsidRDefault="00015019" w:rsidP="007F30A3">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019" w:rsidRDefault="00015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019" w:rsidRDefault="00015019" w:rsidP="00124A51">
      <w:r>
        <w:separator/>
      </w:r>
    </w:p>
  </w:footnote>
  <w:footnote w:type="continuationSeparator" w:id="0">
    <w:p w:rsidR="00015019" w:rsidRDefault="0001501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019" w:rsidRDefault="000150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019" w:rsidRDefault="00015019" w:rsidP="0075545E">
    <w:pPr>
      <w:tabs>
        <w:tab w:val="left" w:pos="142"/>
        <w:tab w:val="right" w:pos="9027"/>
      </w:tabs>
      <w:jc w:val="center"/>
      <w:rPr>
        <w:i/>
        <w:color w:val="D9D9D9" w:themeColor="background1" w:themeShade="D9"/>
      </w:rPr>
    </w:pPr>
    <w:r>
      <w:rPr>
        <w:i/>
        <w:color w:val="D9D9D9" w:themeColor="background1" w:themeShade="D9"/>
      </w:rPr>
      <w:t xml:space="preserve">Public Summary Document - </w:t>
    </w:r>
    <w:r w:rsidRPr="0075545E">
      <w:rPr>
        <w:i/>
        <w:color w:val="D9D9D9" w:themeColor="background1" w:themeShade="D9"/>
      </w:rPr>
      <w:t>November 2016 PBAC Meeting</w:t>
    </w:r>
  </w:p>
  <w:p w:rsidR="00015019" w:rsidRDefault="000150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019" w:rsidRDefault="000150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105BB7"/>
    <w:multiLevelType w:val="hybridMultilevel"/>
    <w:tmpl w:val="9178191A"/>
    <w:lvl w:ilvl="0" w:tplc="E3D2AE8C">
      <w:start w:val="1"/>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A3E1DF5"/>
    <w:multiLevelType w:val="hybridMultilevel"/>
    <w:tmpl w:val="4F5CCF9A"/>
    <w:lvl w:ilvl="0" w:tplc="E3D2AE8C">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E50782"/>
    <w:multiLevelType w:val="hybridMultilevel"/>
    <w:tmpl w:val="837C99C6"/>
    <w:lvl w:ilvl="0" w:tplc="E3D2AE8C">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801CF8"/>
    <w:multiLevelType w:val="hybridMultilevel"/>
    <w:tmpl w:val="2F286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5E4534"/>
    <w:multiLevelType w:val="hybridMultilevel"/>
    <w:tmpl w:val="3962F0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nsid w:val="1E6410D9"/>
    <w:multiLevelType w:val="hybridMultilevel"/>
    <w:tmpl w:val="23AE4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136489D"/>
    <w:multiLevelType w:val="hybridMultilevel"/>
    <w:tmpl w:val="3CA87B8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D265E9"/>
    <w:multiLevelType w:val="hybridMultilevel"/>
    <w:tmpl w:val="AEF80FA0"/>
    <w:lvl w:ilvl="0" w:tplc="E3D2AE8C">
      <w:start w:val="1"/>
      <w:numFmt w:val="bullet"/>
      <w:lvlText w:val="-"/>
      <w:lvlJc w:val="left"/>
      <w:pPr>
        <w:ind w:left="-1440" w:hanging="360"/>
      </w:pPr>
      <w:rPr>
        <w:rFonts w:ascii="Arial" w:eastAsia="Times New Roman" w:hAnsi="Arial" w:cs="Arial" w:hint="default"/>
        <w:i/>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11">
    <w:nsid w:val="2FC131CA"/>
    <w:multiLevelType w:val="hybridMultilevel"/>
    <w:tmpl w:val="9092BA60"/>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D552107"/>
    <w:multiLevelType w:val="hybridMultilevel"/>
    <w:tmpl w:val="5DC4997A"/>
    <w:lvl w:ilvl="0" w:tplc="E3D2AE8C">
      <w:start w:val="1"/>
      <w:numFmt w:val="bullet"/>
      <w:lvlText w:val="-"/>
      <w:lvlJc w:val="left"/>
      <w:pPr>
        <w:ind w:left="360" w:hanging="360"/>
      </w:pPr>
      <w:rPr>
        <w:rFonts w:ascii="Arial" w:eastAsia="Times New Roman" w:hAnsi="Arial" w:cs="Arial" w:hint="default"/>
      </w:rPr>
    </w:lvl>
    <w:lvl w:ilvl="1" w:tplc="E3D2AE8C">
      <w:start w:val="1"/>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F416D76"/>
    <w:multiLevelType w:val="hybridMultilevel"/>
    <w:tmpl w:val="5A9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F65343E"/>
    <w:multiLevelType w:val="hybridMultilevel"/>
    <w:tmpl w:val="F80EC144"/>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95C0829"/>
    <w:multiLevelType w:val="hybridMultilevel"/>
    <w:tmpl w:val="82044828"/>
    <w:lvl w:ilvl="0" w:tplc="E3D2AE8C">
      <w:start w:val="1"/>
      <w:numFmt w:val="bullet"/>
      <w:lvlText w:val="-"/>
      <w:lvlJc w:val="left"/>
      <w:pPr>
        <w:ind w:left="1080" w:hanging="360"/>
      </w:pPr>
      <w:rPr>
        <w:rFonts w:ascii="Arial" w:eastAsia="Times New Roman" w:hAnsi="Arial" w:cs="Arial" w:hint="default"/>
      </w:rPr>
    </w:lvl>
    <w:lvl w:ilvl="1" w:tplc="E3D2AE8C">
      <w:start w:val="1"/>
      <w:numFmt w:val="bullet"/>
      <w:lvlText w:val="-"/>
      <w:lvlJc w:val="left"/>
      <w:pPr>
        <w:ind w:left="1800" w:hanging="360"/>
      </w:pPr>
      <w:rPr>
        <w:rFonts w:ascii="Arial" w:eastAsia="Times New Roman"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4B094C34"/>
    <w:multiLevelType w:val="hybridMultilevel"/>
    <w:tmpl w:val="3CA87B8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7626DB"/>
    <w:multiLevelType w:val="hybridMultilevel"/>
    <w:tmpl w:val="B0DC9990"/>
    <w:lvl w:ilvl="0" w:tplc="E3D2AE8C">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33D256A"/>
    <w:multiLevelType w:val="hybridMultilevel"/>
    <w:tmpl w:val="1320FF40"/>
    <w:lvl w:ilvl="0" w:tplc="785C05E4">
      <w:start w:val="1"/>
      <w:numFmt w:val="bullet"/>
      <w:lvlText w:val="-"/>
      <w:lvlJc w:val="left"/>
      <w:pPr>
        <w:ind w:left="2138" w:hanging="360"/>
      </w:pPr>
      <w:rPr>
        <w:rFonts w:ascii="Courier New" w:hAnsi="Courier New"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9">
    <w:nsid w:val="535D6D1A"/>
    <w:multiLevelType w:val="hybridMultilevel"/>
    <w:tmpl w:val="8FB0FA5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54DA057F"/>
    <w:multiLevelType w:val="hybridMultilevel"/>
    <w:tmpl w:val="193A3516"/>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C6F5ADD"/>
    <w:multiLevelType w:val="hybridMultilevel"/>
    <w:tmpl w:val="E4401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E13387A"/>
    <w:multiLevelType w:val="hybridMultilevel"/>
    <w:tmpl w:val="E370CB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696C1E96"/>
    <w:multiLevelType w:val="hybridMultilevel"/>
    <w:tmpl w:val="9F5E532E"/>
    <w:lvl w:ilvl="0" w:tplc="0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84D033C"/>
    <w:multiLevelType w:val="multilevel"/>
    <w:tmpl w:val="04966F8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
  </w:num>
  <w:num w:numId="3">
    <w:abstractNumId w:val="13"/>
  </w:num>
  <w:num w:numId="4">
    <w:abstractNumId w:val="10"/>
  </w:num>
  <w:num w:numId="5">
    <w:abstractNumId w:val="24"/>
  </w:num>
  <w:num w:numId="6">
    <w:abstractNumId w:val="1"/>
  </w:num>
  <w:num w:numId="7">
    <w:abstractNumId w:val="20"/>
  </w:num>
  <w:num w:numId="8">
    <w:abstractNumId w:val="6"/>
  </w:num>
  <w:num w:numId="9">
    <w:abstractNumId w:val="22"/>
  </w:num>
  <w:num w:numId="10">
    <w:abstractNumId w:val="23"/>
  </w:num>
  <w:num w:numId="11">
    <w:abstractNumId w:val="16"/>
  </w:num>
  <w:num w:numId="12">
    <w:abstractNumId w:val="19"/>
  </w:num>
  <w:num w:numId="13">
    <w:abstractNumId w:val="5"/>
  </w:num>
  <w:num w:numId="14">
    <w:abstractNumId w:val="11"/>
  </w:num>
  <w:num w:numId="15">
    <w:abstractNumId w:val="18"/>
  </w:num>
  <w:num w:numId="16">
    <w:abstractNumId w:val="14"/>
  </w:num>
  <w:num w:numId="17">
    <w:abstractNumId w:val="4"/>
  </w:num>
  <w:num w:numId="18">
    <w:abstractNumId w:val="21"/>
  </w:num>
  <w:num w:numId="19">
    <w:abstractNumId w:val="3"/>
  </w:num>
  <w:num w:numId="20">
    <w:abstractNumId w:val="0"/>
  </w:num>
  <w:num w:numId="21">
    <w:abstractNumId w:val="9"/>
  </w:num>
  <w:num w:numId="22">
    <w:abstractNumId w:val="25"/>
  </w:num>
  <w:num w:numId="23">
    <w:abstractNumId w:val="15"/>
  </w:num>
  <w:num w:numId="24">
    <w:abstractNumId w:val="17"/>
  </w:num>
  <w:num w:numId="25">
    <w:abstractNumId w:val="12"/>
  </w:num>
  <w:num w:numId="26">
    <w:abstractNumId w:val="7"/>
  </w:num>
  <w:num w:numId="27">
    <w:abstractNumId w:val="8"/>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77D"/>
    <w:rsid w:val="00000790"/>
    <w:rsid w:val="0000110B"/>
    <w:rsid w:val="00001951"/>
    <w:rsid w:val="00003499"/>
    <w:rsid w:val="00003E57"/>
    <w:rsid w:val="00005E57"/>
    <w:rsid w:val="00007BFE"/>
    <w:rsid w:val="00013247"/>
    <w:rsid w:val="00015019"/>
    <w:rsid w:val="00015635"/>
    <w:rsid w:val="00015886"/>
    <w:rsid w:val="00015DCE"/>
    <w:rsid w:val="000162EF"/>
    <w:rsid w:val="00017CB0"/>
    <w:rsid w:val="0002225F"/>
    <w:rsid w:val="00023763"/>
    <w:rsid w:val="00024A5A"/>
    <w:rsid w:val="000266FE"/>
    <w:rsid w:val="00026A2D"/>
    <w:rsid w:val="00027FD1"/>
    <w:rsid w:val="0003138A"/>
    <w:rsid w:val="00034BE9"/>
    <w:rsid w:val="000365CA"/>
    <w:rsid w:val="00036783"/>
    <w:rsid w:val="00036EC4"/>
    <w:rsid w:val="00040661"/>
    <w:rsid w:val="00040895"/>
    <w:rsid w:val="00040ABD"/>
    <w:rsid w:val="00040F7C"/>
    <w:rsid w:val="000411A8"/>
    <w:rsid w:val="00041975"/>
    <w:rsid w:val="0004279C"/>
    <w:rsid w:val="000431B9"/>
    <w:rsid w:val="00043656"/>
    <w:rsid w:val="00043768"/>
    <w:rsid w:val="00043C37"/>
    <w:rsid w:val="00043E67"/>
    <w:rsid w:val="00044A36"/>
    <w:rsid w:val="00045A87"/>
    <w:rsid w:val="00046F67"/>
    <w:rsid w:val="00051215"/>
    <w:rsid w:val="00051BFE"/>
    <w:rsid w:val="000522C2"/>
    <w:rsid w:val="0005277D"/>
    <w:rsid w:val="000546D7"/>
    <w:rsid w:val="000548A4"/>
    <w:rsid w:val="00056FB8"/>
    <w:rsid w:val="0006104F"/>
    <w:rsid w:val="00061A18"/>
    <w:rsid w:val="0006613E"/>
    <w:rsid w:val="00066680"/>
    <w:rsid w:val="000674E9"/>
    <w:rsid w:val="00067D54"/>
    <w:rsid w:val="00071248"/>
    <w:rsid w:val="000720B9"/>
    <w:rsid w:val="00072701"/>
    <w:rsid w:val="00072EAD"/>
    <w:rsid w:val="00075696"/>
    <w:rsid w:val="000759DE"/>
    <w:rsid w:val="00075B5B"/>
    <w:rsid w:val="00077575"/>
    <w:rsid w:val="000812CA"/>
    <w:rsid w:val="0008205A"/>
    <w:rsid w:val="000834D3"/>
    <w:rsid w:val="00084D09"/>
    <w:rsid w:val="0008552C"/>
    <w:rsid w:val="00087481"/>
    <w:rsid w:val="0009015A"/>
    <w:rsid w:val="00090C7E"/>
    <w:rsid w:val="00091881"/>
    <w:rsid w:val="00094391"/>
    <w:rsid w:val="00094C1B"/>
    <w:rsid w:val="00094F4F"/>
    <w:rsid w:val="0009676B"/>
    <w:rsid w:val="000A0F90"/>
    <w:rsid w:val="000A4EEA"/>
    <w:rsid w:val="000A73F9"/>
    <w:rsid w:val="000B37F2"/>
    <w:rsid w:val="000B59A4"/>
    <w:rsid w:val="000B5C2C"/>
    <w:rsid w:val="000B5EE9"/>
    <w:rsid w:val="000B77C0"/>
    <w:rsid w:val="000C5621"/>
    <w:rsid w:val="000C6C9F"/>
    <w:rsid w:val="000D1A00"/>
    <w:rsid w:val="000D1BFC"/>
    <w:rsid w:val="000D4235"/>
    <w:rsid w:val="000D5544"/>
    <w:rsid w:val="000D7D60"/>
    <w:rsid w:val="000E0A50"/>
    <w:rsid w:val="000E1C83"/>
    <w:rsid w:val="000E2D3C"/>
    <w:rsid w:val="000E3643"/>
    <w:rsid w:val="000E7043"/>
    <w:rsid w:val="000F208D"/>
    <w:rsid w:val="000F3FB6"/>
    <w:rsid w:val="000F4BB8"/>
    <w:rsid w:val="000F504D"/>
    <w:rsid w:val="000F5278"/>
    <w:rsid w:val="000F67EC"/>
    <w:rsid w:val="000F7127"/>
    <w:rsid w:val="000F77F7"/>
    <w:rsid w:val="0010022B"/>
    <w:rsid w:val="00100F8A"/>
    <w:rsid w:val="00101777"/>
    <w:rsid w:val="0010278D"/>
    <w:rsid w:val="00103141"/>
    <w:rsid w:val="001031B9"/>
    <w:rsid w:val="00107384"/>
    <w:rsid w:val="00107A16"/>
    <w:rsid w:val="001102F3"/>
    <w:rsid w:val="0011032E"/>
    <w:rsid w:val="00111B84"/>
    <w:rsid w:val="0011348B"/>
    <w:rsid w:val="00113D69"/>
    <w:rsid w:val="00116C32"/>
    <w:rsid w:val="00116EA0"/>
    <w:rsid w:val="00121799"/>
    <w:rsid w:val="001222FC"/>
    <w:rsid w:val="00122EBE"/>
    <w:rsid w:val="001239FD"/>
    <w:rsid w:val="00124A51"/>
    <w:rsid w:val="00126050"/>
    <w:rsid w:val="00126621"/>
    <w:rsid w:val="001301E9"/>
    <w:rsid w:val="00130249"/>
    <w:rsid w:val="00132391"/>
    <w:rsid w:val="001359FD"/>
    <w:rsid w:val="00136A3F"/>
    <w:rsid w:val="00137402"/>
    <w:rsid w:val="00137645"/>
    <w:rsid w:val="0014015A"/>
    <w:rsid w:val="00140E99"/>
    <w:rsid w:val="001411FF"/>
    <w:rsid w:val="00141814"/>
    <w:rsid w:val="001432BE"/>
    <w:rsid w:val="00145540"/>
    <w:rsid w:val="001456B0"/>
    <w:rsid w:val="0014743C"/>
    <w:rsid w:val="0015070E"/>
    <w:rsid w:val="00153A22"/>
    <w:rsid w:val="00154E3E"/>
    <w:rsid w:val="00157130"/>
    <w:rsid w:val="00162913"/>
    <w:rsid w:val="0016316B"/>
    <w:rsid w:val="00163EFF"/>
    <w:rsid w:val="00164245"/>
    <w:rsid w:val="00164FDD"/>
    <w:rsid w:val="0016574A"/>
    <w:rsid w:val="001661FB"/>
    <w:rsid w:val="00166F55"/>
    <w:rsid w:val="0017289A"/>
    <w:rsid w:val="00173093"/>
    <w:rsid w:val="00174424"/>
    <w:rsid w:val="00177FC2"/>
    <w:rsid w:val="00180674"/>
    <w:rsid w:val="001867B2"/>
    <w:rsid w:val="0018752F"/>
    <w:rsid w:val="00187BF9"/>
    <w:rsid w:val="00192619"/>
    <w:rsid w:val="0019321C"/>
    <w:rsid w:val="001932FD"/>
    <w:rsid w:val="0019336C"/>
    <w:rsid w:val="00193757"/>
    <w:rsid w:val="0019490D"/>
    <w:rsid w:val="00195222"/>
    <w:rsid w:val="001975D8"/>
    <w:rsid w:val="001A2BD4"/>
    <w:rsid w:val="001A3B7E"/>
    <w:rsid w:val="001A4EDC"/>
    <w:rsid w:val="001B19D5"/>
    <w:rsid w:val="001B3443"/>
    <w:rsid w:val="001B4645"/>
    <w:rsid w:val="001B56AC"/>
    <w:rsid w:val="001B74D1"/>
    <w:rsid w:val="001B7BF3"/>
    <w:rsid w:val="001C04B8"/>
    <w:rsid w:val="001C1D6F"/>
    <w:rsid w:val="001C20C2"/>
    <w:rsid w:val="001C27A3"/>
    <w:rsid w:val="001C4A12"/>
    <w:rsid w:val="001C4D88"/>
    <w:rsid w:val="001C6E66"/>
    <w:rsid w:val="001C73BF"/>
    <w:rsid w:val="001D0FE7"/>
    <w:rsid w:val="001D2033"/>
    <w:rsid w:val="001D2BAB"/>
    <w:rsid w:val="001D379F"/>
    <w:rsid w:val="001D435D"/>
    <w:rsid w:val="001D44A4"/>
    <w:rsid w:val="001D5059"/>
    <w:rsid w:val="001E0298"/>
    <w:rsid w:val="001E238E"/>
    <w:rsid w:val="001E2B1E"/>
    <w:rsid w:val="001E52EB"/>
    <w:rsid w:val="001E6E56"/>
    <w:rsid w:val="001E7218"/>
    <w:rsid w:val="001E740C"/>
    <w:rsid w:val="001E7DCF"/>
    <w:rsid w:val="001F0003"/>
    <w:rsid w:val="001F1235"/>
    <w:rsid w:val="001F1CB3"/>
    <w:rsid w:val="001F2214"/>
    <w:rsid w:val="001F7361"/>
    <w:rsid w:val="00200106"/>
    <w:rsid w:val="00200AB5"/>
    <w:rsid w:val="00201E11"/>
    <w:rsid w:val="0020385F"/>
    <w:rsid w:val="0020481C"/>
    <w:rsid w:val="00207021"/>
    <w:rsid w:val="00207D00"/>
    <w:rsid w:val="002105C1"/>
    <w:rsid w:val="0021064B"/>
    <w:rsid w:val="0021200D"/>
    <w:rsid w:val="00217992"/>
    <w:rsid w:val="00222B0C"/>
    <w:rsid w:val="0022343E"/>
    <w:rsid w:val="00223B49"/>
    <w:rsid w:val="00224DD4"/>
    <w:rsid w:val="00227805"/>
    <w:rsid w:val="00230385"/>
    <w:rsid w:val="00230544"/>
    <w:rsid w:val="002309CC"/>
    <w:rsid w:val="0023175D"/>
    <w:rsid w:val="002327F9"/>
    <w:rsid w:val="00235323"/>
    <w:rsid w:val="0023715F"/>
    <w:rsid w:val="0024022C"/>
    <w:rsid w:val="002437A5"/>
    <w:rsid w:val="0024775D"/>
    <w:rsid w:val="00254DCF"/>
    <w:rsid w:val="0025534B"/>
    <w:rsid w:val="00255B3C"/>
    <w:rsid w:val="00255BB7"/>
    <w:rsid w:val="00262A87"/>
    <w:rsid w:val="00262DBF"/>
    <w:rsid w:val="002646EB"/>
    <w:rsid w:val="002648F5"/>
    <w:rsid w:val="00270DAF"/>
    <w:rsid w:val="00271419"/>
    <w:rsid w:val="00271FF1"/>
    <w:rsid w:val="00275C5A"/>
    <w:rsid w:val="00280CB6"/>
    <w:rsid w:val="00281014"/>
    <w:rsid w:val="00284980"/>
    <w:rsid w:val="00287C13"/>
    <w:rsid w:val="002901E4"/>
    <w:rsid w:val="00291BB7"/>
    <w:rsid w:val="002937BB"/>
    <w:rsid w:val="002966B3"/>
    <w:rsid w:val="00296C6F"/>
    <w:rsid w:val="002A14AB"/>
    <w:rsid w:val="002A42E6"/>
    <w:rsid w:val="002A48C8"/>
    <w:rsid w:val="002A577F"/>
    <w:rsid w:val="002A5BB1"/>
    <w:rsid w:val="002A7F5F"/>
    <w:rsid w:val="002B188A"/>
    <w:rsid w:val="002B1C1F"/>
    <w:rsid w:val="002B1C20"/>
    <w:rsid w:val="002B432F"/>
    <w:rsid w:val="002B543C"/>
    <w:rsid w:val="002B6CCE"/>
    <w:rsid w:val="002B7904"/>
    <w:rsid w:val="002C0875"/>
    <w:rsid w:val="002C2775"/>
    <w:rsid w:val="002C27C1"/>
    <w:rsid w:val="002C280F"/>
    <w:rsid w:val="002C2DB9"/>
    <w:rsid w:val="002C693E"/>
    <w:rsid w:val="002D14F4"/>
    <w:rsid w:val="002D285D"/>
    <w:rsid w:val="002D3CA6"/>
    <w:rsid w:val="002D5A48"/>
    <w:rsid w:val="002D601E"/>
    <w:rsid w:val="002D6471"/>
    <w:rsid w:val="002E58DE"/>
    <w:rsid w:val="002E66EB"/>
    <w:rsid w:val="002F0595"/>
    <w:rsid w:val="002F0FF0"/>
    <w:rsid w:val="002F6C9A"/>
    <w:rsid w:val="002F7728"/>
    <w:rsid w:val="00301017"/>
    <w:rsid w:val="00306890"/>
    <w:rsid w:val="00306E80"/>
    <w:rsid w:val="0030786C"/>
    <w:rsid w:val="0031031A"/>
    <w:rsid w:val="00310981"/>
    <w:rsid w:val="00315498"/>
    <w:rsid w:val="00315AB3"/>
    <w:rsid w:val="00315E1A"/>
    <w:rsid w:val="00316C22"/>
    <w:rsid w:val="00316EE7"/>
    <w:rsid w:val="003213E3"/>
    <w:rsid w:val="00324A46"/>
    <w:rsid w:val="00327B62"/>
    <w:rsid w:val="003353C5"/>
    <w:rsid w:val="00336688"/>
    <w:rsid w:val="003366C9"/>
    <w:rsid w:val="003369C4"/>
    <w:rsid w:val="003371B0"/>
    <w:rsid w:val="00337806"/>
    <w:rsid w:val="00340FA2"/>
    <w:rsid w:val="003414B5"/>
    <w:rsid w:val="0034511D"/>
    <w:rsid w:val="00347F15"/>
    <w:rsid w:val="0035354D"/>
    <w:rsid w:val="0035533E"/>
    <w:rsid w:val="00355FBE"/>
    <w:rsid w:val="0035620E"/>
    <w:rsid w:val="00356DD0"/>
    <w:rsid w:val="00362592"/>
    <w:rsid w:val="00364C89"/>
    <w:rsid w:val="00365DB7"/>
    <w:rsid w:val="00366F48"/>
    <w:rsid w:val="00367243"/>
    <w:rsid w:val="003744D6"/>
    <w:rsid w:val="00376645"/>
    <w:rsid w:val="00376A7B"/>
    <w:rsid w:val="003803EB"/>
    <w:rsid w:val="0038365C"/>
    <w:rsid w:val="00384955"/>
    <w:rsid w:val="0038576C"/>
    <w:rsid w:val="0038658D"/>
    <w:rsid w:val="00391A36"/>
    <w:rsid w:val="00392075"/>
    <w:rsid w:val="00394916"/>
    <w:rsid w:val="00394CB8"/>
    <w:rsid w:val="00395492"/>
    <w:rsid w:val="0039669A"/>
    <w:rsid w:val="00396FD0"/>
    <w:rsid w:val="0039772F"/>
    <w:rsid w:val="00397B9A"/>
    <w:rsid w:val="003A0405"/>
    <w:rsid w:val="003A1A7A"/>
    <w:rsid w:val="003A44FA"/>
    <w:rsid w:val="003A47ED"/>
    <w:rsid w:val="003B1AC0"/>
    <w:rsid w:val="003B7AE6"/>
    <w:rsid w:val="003C0B77"/>
    <w:rsid w:val="003C43AF"/>
    <w:rsid w:val="003C460A"/>
    <w:rsid w:val="003C476E"/>
    <w:rsid w:val="003C5E41"/>
    <w:rsid w:val="003C6348"/>
    <w:rsid w:val="003C658F"/>
    <w:rsid w:val="003C695F"/>
    <w:rsid w:val="003D07DC"/>
    <w:rsid w:val="003D1828"/>
    <w:rsid w:val="003D2422"/>
    <w:rsid w:val="003D606E"/>
    <w:rsid w:val="003D6DC8"/>
    <w:rsid w:val="003D70C0"/>
    <w:rsid w:val="003E278D"/>
    <w:rsid w:val="003E3038"/>
    <w:rsid w:val="003E63F1"/>
    <w:rsid w:val="003F3D63"/>
    <w:rsid w:val="003F3FB3"/>
    <w:rsid w:val="003F4156"/>
    <w:rsid w:val="004002E4"/>
    <w:rsid w:val="00400ECB"/>
    <w:rsid w:val="004015CA"/>
    <w:rsid w:val="00401852"/>
    <w:rsid w:val="00401A83"/>
    <w:rsid w:val="00403888"/>
    <w:rsid w:val="00406423"/>
    <w:rsid w:val="004104EC"/>
    <w:rsid w:val="00410708"/>
    <w:rsid w:val="00410EC7"/>
    <w:rsid w:val="00414476"/>
    <w:rsid w:val="00415DAD"/>
    <w:rsid w:val="004170F5"/>
    <w:rsid w:val="00420B9F"/>
    <w:rsid w:val="0042118A"/>
    <w:rsid w:val="00422509"/>
    <w:rsid w:val="004236B8"/>
    <w:rsid w:val="00423A9E"/>
    <w:rsid w:val="004259EF"/>
    <w:rsid w:val="00427660"/>
    <w:rsid w:val="00427B9D"/>
    <w:rsid w:val="0043185A"/>
    <w:rsid w:val="004318D7"/>
    <w:rsid w:val="004319F8"/>
    <w:rsid w:val="00432C59"/>
    <w:rsid w:val="00433044"/>
    <w:rsid w:val="0043306B"/>
    <w:rsid w:val="0043533E"/>
    <w:rsid w:val="00435A1C"/>
    <w:rsid w:val="00436BE5"/>
    <w:rsid w:val="00437F2D"/>
    <w:rsid w:val="00441E67"/>
    <w:rsid w:val="00443832"/>
    <w:rsid w:val="00443AD3"/>
    <w:rsid w:val="004443A7"/>
    <w:rsid w:val="0044476B"/>
    <w:rsid w:val="004454A0"/>
    <w:rsid w:val="00446234"/>
    <w:rsid w:val="004464EB"/>
    <w:rsid w:val="004510E1"/>
    <w:rsid w:val="0045141E"/>
    <w:rsid w:val="00451C29"/>
    <w:rsid w:val="004540ED"/>
    <w:rsid w:val="00455782"/>
    <w:rsid w:val="00455D45"/>
    <w:rsid w:val="00464595"/>
    <w:rsid w:val="004662E7"/>
    <w:rsid w:val="00466350"/>
    <w:rsid w:val="004665FD"/>
    <w:rsid w:val="00467DBA"/>
    <w:rsid w:val="00470A5B"/>
    <w:rsid w:val="004711F5"/>
    <w:rsid w:val="004715B1"/>
    <w:rsid w:val="00474E8E"/>
    <w:rsid w:val="0048108F"/>
    <w:rsid w:val="0048125A"/>
    <w:rsid w:val="00481A17"/>
    <w:rsid w:val="00483BD1"/>
    <w:rsid w:val="00483BF7"/>
    <w:rsid w:val="00484D4D"/>
    <w:rsid w:val="004867E2"/>
    <w:rsid w:val="00486BED"/>
    <w:rsid w:val="00491B3A"/>
    <w:rsid w:val="00492BD7"/>
    <w:rsid w:val="00492CFD"/>
    <w:rsid w:val="004962D2"/>
    <w:rsid w:val="004A0022"/>
    <w:rsid w:val="004A0735"/>
    <w:rsid w:val="004A0DA1"/>
    <w:rsid w:val="004A145C"/>
    <w:rsid w:val="004A15A4"/>
    <w:rsid w:val="004A195C"/>
    <w:rsid w:val="004A214C"/>
    <w:rsid w:val="004A26FE"/>
    <w:rsid w:val="004A2879"/>
    <w:rsid w:val="004A3963"/>
    <w:rsid w:val="004A43A3"/>
    <w:rsid w:val="004A4739"/>
    <w:rsid w:val="004A4EB2"/>
    <w:rsid w:val="004A6597"/>
    <w:rsid w:val="004B1CB4"/>
    <w:rsid w:val="004B2857"/>
    <w:rsid w:val="004B2C72"/>
    <w:rsid w:val="004B2F18"/>
    <w:rsid w:val="004B3300"/>
    <w:rsid w:val="004B3AC9"/>
    <w:rsid w:val="004B3DDB"/>
    <w:rsid w:val="004B44FD"/>
    <w:rsid w:val="004B4B29"/>
    <w:rsid w:val="004B53AE"/>
    <w:rsid w:val="004B5CFC"/>
    <w:rsid w:val="004B734A"/>
    <w:rsid w:val="004C03FC"/>
    <w:rsid w:val="004C2BFA"/>
    <w:rsid w:val="004C4AED"/>
    <w:rsid w:val="004C666C"/>
    <w:rsid w:val="004D0762"/>
    <w:rsid w:val="004D1C0F"/>
    <w:rsid w:val="004D4900"/>
    <w:rsid w:val="004D5D92"/>
    <w:rsid w:val="004E09CD"/>
    <w:rsid w:val="004E0EB8"/>
    <w:rsid w:val="004E2ADC"/>
    <w:rsid w:val="004E3C16"/>
    <w:rsid w:val="004E3F5F"/>
    <w:rsid w:val="004E43B2"/>
    <w:rsid w:val="004E5226"/>
    <w:rsid w:val="004E612C"/>
    <w:rsid w:val="004E6B3A"/>
    <w:rsid w:val="004F096F"/>
    <w:rsid w:val="004F14AA"/>
    <w:rsid w:val="004F1D02"/>
    <w:rsid w:val="004F2286"/>
    <w:rsid w:val="004F2347"/>
    <w:rsid w:val="004F2679"/>
    <w:rsid w:val="004F268E"/>
    <w:rsid w:val="004F31E2"/>
    <w:rsid w:val="004F384F"/>
    <w:rsid w:val="004F3973"/>
    <w:rsid w:val="004F68DA"/>
    <w:rsid w:val="004F7865"/>
    <w:rsid w:val="005001F9"/>
    <w:rsid w:val="005002BF"/>
    <w:rsid w:val="0050277C"/>
    <w:rsid w:val="00503A8A"/>
    <w:rsid w:val="00503B37"/>
    <w:rsid w:val="00503CBE"/>
    <w:rsid w:val="0050422B"/>
    <w:rsid w:val="005058B1"/>
    <w:rsid w:val="00506928"/>
    <w:rsid w:val="00510EDC"/>
    <w:rsid w:val="00510F59"/>
    <w:rsid w:val="00510F98"/>
    <w:rsid w:val="00511E3A"/>
    <w:rsid w:val="00512728"/>
    <w:rsid w:val="00513E72"/>
    <w:rsid w:val="0051497B"/>
    <w:rsid w:val="005150E5"/>
    <w:rsid w:val="005152B5"/>
    <w:rsid w:val="00521319"/>
    <w:rsid w:val="0052187F"/>
    <w:rsid w:val="00523C28"/>
    <w:rsid w:val="00524551"/>
    <w:rsid w:val="00524657"/>
    <w:rsid w:val="00524A69"/>
    <w:rsid w:val="00526F54"/>
    <w:rsid w:val="00535526"/>
    <w:rsid w:val="00535A73"/>
    <w:rsid w:val="00535B9D"/>
    <w:rsid w:val="00536283"/>
    <w:rsid w:val="00536ED6"/>
    <w:rsid w:val="00540CEA"/>
    <w:rsid w:val="0054303D"/>
    <w:rsid w:val="00544454"/>
    <w:rsid w:val="005452DB"/>
    <w:rsid w:val="0055137E"/>
    <w:rsid w:val="00552BD3"/>
    <w:rsid w:val="00553559"/>
    <w:rsid w:val="005538D7"/>
    <w:rsid w:val="00553E70"/>
    <w:rsid w:val="00554F2B"/>
    <w:rsid w:val="00554F95"/>
    <w:rsid w:val="00555109"/>
    <w:rsid w:val="00557AB1"/>
    <w:rsid w:val="00561F63"/>
    <w:rsid w:val="00563465"/>
    <w:rsid w:val="00565AA6"/>
    <w:rsid w:val="0056658D"/>
    <w:rsid w:val="0056696F"/>
    <w:rsid w:val="00570FD0"/>
    <w:rsid w:val="00574453"/>
    <w:rsid w:val="00575144"/>
    <w:rsid w:val="005759F1"/>
    <w:rsid w:val="00575D8D"/>
    <w:rsid w:val="00576972"/>
    <w:rsid w:val="00577119"/>
    <w:rsid w:val="00582044"/>
    <w:rsid w:val="00583699"/>
    <w:rsid w:val="00583D95"/>
    <w:rsid w:val="005860A5"/>
    <w:rsid w:val="00592500"/>
    <w:rsid w:val="005970E6"/>
    <w:rsid w:val="00597219"/>
    <w:rsid w:val="00597800"/>
    <w:rsid w:val="00597A78"/>
    <w:rsid w:val="005A7D95"/>
    <w:rsid w:val="005B100A"/>
    <w:rsid w:val="005B3620"/>
    <w:rsid w:val="005B3FAF"/>
    <w:rsid w:val="005B41F5"/>
    <w:rsid w:val="005B5857"/>
    <w:rsid w:val="005B7DB0"/>
    <w:rsid w:val="005C13E7"/>
    <w:rsid w:val="005C1B83"/>
    <w:rsid w:val="005C1D1C"/>
    <w:rsid w:val="005C2237"/>
    <w:rsid w:val="005C346B"/>
    <w:rsid w:val="005C69C9"/>
    <w:rsid w:val="005D013F"/>
    <w:rsid w:val="005D044D"/>
    <w:rsid w:val="005D0750"/>
    <w:rsid w:val="005D13C1"/>
    <w:rsid w:val="005D18AD"/>
    <w:rsid w:val="005D1B78"/>
    <w:rsid w:val="005D1C45"/>
    <w:rsid w:val="005D2D09"/>
    <w:rsid w:val="005D3E46"/>
    <w:rsid w:val="005D3F82"/>
    <w:rsid w:val="005D42B2"/>
    <w:rsid w:val="005D5578"/>
    <w:rsid w:val="005D5C7E"/>
    <w:rsid w:val="005D7BE4"/>
    <w:rsid w:val="005D7D00"/>
    <w:rsid w:val="005E0D5A"/>
    <w:rsid w:val="005E2108"/>
    <w:rsid w:val="005E24B1"/>
    <w:rsid w:val="005E73C0"/>
    <w:rsid w:val="005F0E96"/>
    <w:rsid w:val="005F1259"/>
    <w:rsid w:val="005F1CC0"/>
    <w:rsid w:val="005F2706"/>
    <w:rsid w:val="005F4C69"/>
    <w:rsid w:val="005F6A8F"/>
    <w:rsid w:val="00603388"/>
    <w:rsid w:val="00607669"/>
    <w:rsid w:val="006106B9"/>
    <w:rsid w:val="00612F97"/>
    <w:rsid w:val="00613FF2"/>
    <w:rsid w:val="00614267"/>
    <w:rsid w:val="00616498"/>
    <w:rsid w:val="00616802"/>
    <w:rsid w:val="00616CAF"/>
    <w:rsid w:val="00617E12"/>
    <w:rsid w:val="00620365"/>
    <w:rsid w:val="00621477"/>
    <w:rsid w:val="00621F33"/>
    <w:rsid w:val="00625954"/>
    <w:rsid w:val="00625C77"/>
    <w:rsid w:val="0062681D"/>
    <w:rsid w:val="006303D3"/>
    <w:rsid w:val="00630A26"/>
    <w:rsid w:val="00631079"/>
    <w:rsid w:val="00631B1F"/>
    <w:rsid w:val="00631D6B"/>
    <w:rsid w:val="00631E1E"/>
    <w:rsid w:val="00633500"/>
    <w:rsid w:val="0063479F"/>
    <w:rsid w:val="006364A1"/>
    <w:rsid w:val="00636774"/>
    <w:rsid w:val="00637BFD"/>
    <w:rsid w:val="00640A40"/>
    <w:rsid w:val="006429C8"/>
    <w:rsid w:val="00642F8B"/>
    <w:rsid w:val="00645D66"/>
    <w:rsid w:val="00646178"/>
    <w:rsid w:val="006471CC"/>
    <w:rsid w:val="006475BB"/>
    <w:rsid w:val="0065079F"/>
    <w:rsid w:val="00650A29"/>
    <w:rsid w:val="0065671E"/>
    <w:rsid w:val="00656F1F"/>
    <w:rsid w:val="006600C7"/>
    <w:rsid w:val="006635EA"/>
    <w:rsid w:val="00664484"/>
    <w:rsid w:val="00665EFB"/>
    <w:rsid w:val="00666B9F"/>
    <w:rsid w:val="006701B6"/>
    <w:rsid w:val="00670B09"/>
    <w:rsid w:val="0067127C"/>
    <w:rsid w:val="00672F42"/>
    <w:rsid w:val="0067392B"/>
    <w:rsid w:val="00674E42"/>
    <w:rsid w:val="00675710"/>
    <w:rsid w:val="00675A68"/>
    <w:rsid w:val="00677DFA"/>
    <w:rsid w:val="006812A4"/>
    <w:rsid w:val="00682112"/>
    <w:rsid w:val="006848F2"/>
    <w:rsid w:val="006867B5"/>
    <w:rsid w:val="006872BA"/>
    <w:rsid w:val="00690BD6"/>
    <w:rsid w:val="006917D7"/>
    <w:rsid w:val="00691C52"/>
    <w:rsid w:val="00694F44"/>
    <w:rsid w:val="006958F7"/>
    <w:rsid w:val="00697F34"/>
    <w:rsid w:val="006A1862"/>
    <w:rsid w:val="006A2631"/>
    <w:rsid w:val="006A3338"/>
    <w:rsid w:val="006A598D"/>
    <w:rsid w:val="006B127E"/>
    <w:rsid w:val="006B2DEB"/>
    <w:rsid w:val="006B32CB"/>
    <w:rsid w:val="006B60E3"/>
    <w:rsid w:val="006B686A"/>
    <w:rsid w:val="006B7890"/>
    <w:rsid w:val="006B7BDB"/>
    <w:rsid w:val="006B7E91"/>
    <w:rsid w:val="006C07E4"/>
    <w:rsid w:val="006C158B"/>
    <w:rsid w:val="006C2A8E"/>
    <w:rsid w:val="006C2CF1"/>
    <w:rsid w:val="006C5316"/>
    <w:rsid w:val="006D068C"/>
    <w:rsid w:val="006D15D0"/>
    <w:rsid w:val="006D2E27"/>
    <w:rsid w:val="006D3C7D"/>
    <w:rsid w:val="006D5403"/>
    <w:rsid w:val="006D5D5F"/>
    <w:rsid w:val="006D5F43"/>
    <w:rsid w:val="006D6B98"/>
    <w:rsid w:val="006F078F"/>
    <w:rsid w:val="006F1AAC"/>
    <w:rsid w:val="006F1F6F"/>
    <w:rsid w:val="006F4ADA"/>
    <w:rsid w:val="006F5C28"/>
    <w:rsid w:val="006F63A5"/>
    <w:rsid w:val="0070060A"/>
    <w:rsid w:val="007020F1"/>
    <w:rsid w:val="0070276E"/>
    <w:rsid w:val="00702EA1"/>
    <w:rsid w:val="00702F8F"/>
    <w:rsid w:val="00705F66"/>
    <w:rsid w:val="007064B6"/>
    <w:rsid w:val="007070E9"/>
    <w:rsid w:val="00710DE0"/>
    <w:rsid w:val="00711A36"/>
    <w:rsid w:val="00713F10"/>
    <w:rsid w:val="00714093"/>
    <w:rsid w:val="00715926"/>
    <w:rsid w:val="00716A2B"/>
    <w:rsid w:val="007172AD"/>
    <w:rsid w:val="00721F88"/>
    <w:rsid w:val="00721FDC"/>
    <w:rsid w:val="0072416F"/>
    <w:rsid w:val="0072573C"/>
    <w:rsid w:val="00725865"/>
    <w:rsid w:val="007302C3"/>
    <w:rsid w:val="00730CD3"/>
    <w:rsid w:val="00730D5E"/>
    <w:rsid w:val="0073453F"/>
    <w:rsid w:val="00735328"/>
    <w:rsid w:val="0073685B"/>
    <w:rsid w:val="00742CE3"/>
    <w:rsid w:val="00743D39"/>
    <w:rsid w:val="00743FD1"/>
    <w:rsid w:val="00746040"/>
    <w:rsid w:val="00746164"/>
    <w:rsid w:val="0075165F"/>
    <w:rsid w:val="0075545E"/>
    <w:rsid w:val="007605F1"/>
    <w:rsid w:val="007617B4"/>
    <w:rsid w:val="00767CC7"/>
    <w:rsid w:val="00772463"/>
    <w:rsid w:val="00773CDC"/>
    <w:rsid w:val="00775C13"/>
    <w:rsid w:val="00780E7C"/>
    <w:rsid w:val="00781257"/>
    <w:rsid w:val="00781639"/>
    <w:rsid w:val="007823DE"/>
    <w:rsid w:val="00783B4B"/>
    <w:rsid w:val="00785935"/>
    <w:rsid w:val="007861CE"/>
    <w:rsid w:val="00786458"/>
    <w:rsid w:val="007904A5"/>
    <w:rsid w:val="00790DA1"/>
    <w:rsid w:val="00793427"/>
    <w:rsid w:val="007937A8"/>
    <w:rsid w:val="007938F9"/>
    <w:rsid w:val="007971D6"/>
    <w:rsid w:val="007A0A12"/>
    <w:rsid w:val="007A248D"/>
    <w:rsid w:val="007A3B84"/>
    <w:rsid w:val="007A531A"/>
    <w:rsid w:val="007A58EC"/>
    <w:rsid w:val="007A60D2"/>
    <w:rsid w:val="007A6792"/>
    <w:rsid w:val="007A7996"/>
    <w:rsid w:val="007B251D"/>
    <w:rsid w:val="007B5949"/>
    <w:rsid w:val="007B74ED"/>
    <w:rsid w:val="007B77D1"/>
    <w:rsid w:val="007C0C39"/>
    <w:rsid w:val="007C361D"/>
    <w:rsid w:val="007C581B"/>
    <w:rsid w:val="007C6D99"/>
    <w:rsid w:val="007C7268"/>
    <w:rsid w:val="007D0B38"/>
    <w:rsid w:val="007D0C53"/>
    <w:rsid w:val="007D1B40"/>
    <w:rsid w:val="007D5EB2"/>
    <w:rsid w:val="007D66E5"/>
    <w:rsid w:val="007D6F1C"/>
    <w:rsid w:val="007D7409"/>
    <w:rsid w:val="007E127C"/>
    <w:rsid w:val="007E188A"/>
    <w:rsid w:val="007E2D2D"/>
    <w:rsid w:val="007E3E20"/>
    <w:rsid w:val="007E4BFE"/>
    <w:rsid w:val="007E5313"/>
    <w:rsid w:val="007E5D99"/>
    <w:rsid w:val="007F1017"/>
    <w:rsid w:val="007F12FA"/>
    <w:rsid w:val="007F30A3"/>
    <w:rsid w:val="007F3A5F"/>
    <w:rsid w:val="007F4A3F"/>
    <w:rsid w:val="007F4FC1"/>
    <w:rsid w:val="007F6D23"/>
    <w:rsid w:val="007F7266"/>
    <w:rsid w:val="0080074F"/>
    <w:rsid w:val="00800B38"/>
    <w:rsid w:val="00805142"/>
    <w:rsid w:val="00805F1E"/>
    <w:rsid w:val="00805F63"/>
    <w:rsid w:val="00807A8B"/>
    <w:rsid w:val="00807AC7"/>
    <w:rsid w:val="00812149"/>
    <w:rsid w:val="008143FF"/>
    <w:rsid w:val="008166EF"/>
    <w:rsid w:val="0081750F"/>
    <w:rsid w:val="00820F0B"/>
    <w:rsid w:val="00820FE5"/>
    <w:rsid w:val="00825823"/>
    <w:rsid w:val="008264EB"/>
    <w:rsid w:val="00833B05"/>
    <w:rsid w:val="00834844"/>
    <w:rsid w:val="008355AB"/>
    <w:rsid w:val="0083595E"/>
    <w:rsid w:val="00837FCC"/>
    <w:rsid w:val="00840CA2"/>
    <w:rsid w:val="0084152F"/>
    <w:rsid w:val="008439C2"/>
    <w:rsid w:val="00845F85"/>
    <w:rsid w:val="0084768D"/>
    <w:rsid w:val="00851FDE"/>
    <w:rsid w:val="0085247A"/>
    <w:rsid w:val="00856E9A"/>
    <w:rsid w:val="008623F5"/>
    <w:rsid w:val="00862502"/>
    <w:rsid w:val="00873716"/>
    <w:rsid w:val="008748ED"/>
    <w:rsid w:val="00875812"/>
    <w:rsid w:val="008758C0"/>
    <w:rsid w:val="00882874"/>
    <w:rsid w:val="00882B15"/>
    <w:rsid w:val="00883787"/>
    <w:rsid w:val="00891C7E"/>
    <w:rsid w:val="00891CF5"/>
    <w:rsid w:val="00891F0A"/>
    <w:rsid w:val="00894489"/>
    <w:rsid w:val="00895221"/>
    <w:rsid w:val="008963A5"/>
    <w:rsid w:val="008A1165"/>
    <w:rsid w:val="008A1866"/>
    <w:rsid w:val="008A2765"/>
    <w:rsid w:val="008A3C3E"/>
    <w:rsid w:val="008A4023"/>
    <w:rsid w:val="008A42CC"/>
    <w:rsid w:val="008A4390"/>
    <w:rsid w:val="008A516B"/>
    <w:rsid w:val="008A79DE"/>
    <w:rsid w:val="008B3450"/>
    <w:rsid w:val="008B3CB9"/>
    <w:rsid w:val="008B6A1F"/>
    <w:rsid w:val="008B7D7E"/>
    <w:rsid w:val="008B7D83"/>
    <w:rsid w:val="008C131D"/>
    <w:rsid w:val="008C1716"/>
    <w:rsid w:val="008C20AF"/>
    <w:rsid w:val="008C515B"/>
    <w:rsid w:val="008C5E90"/>
    <w:rsid w:val="008C751E"/>
    <w:rsid w:val="008C7ECB"/>
    <w:rsid w:val="008D0B06"/>
    <w:rsid w:val="008D2F9F"/>
    <w:rsid w:val="008D5B34"/>
    <w:rsid w:val="008E1B9E"/>
    <w:rsid w:val="008E1DA0"/>
    <w:rsid w:val="008E765B"/>
    <w:rsid w:val="008F0C34"/>
    <w:rsid w:val="008F120A"/>
    <w:rsid w:val="008F1BD8"/>
    <w:rsid w:val="008F4687"/>
    <w:rsid w:val="008F48EB"/>
    <w:rsid w:val="008F4BA4"/>
    <w:rsid w:val="008F4F0B"/>
    <w:rsid w:val="008F6EDA"/>
    <w:rsid w:val="00903AC5"/>
    <w:rsid w:val="00904EAB"/>
    <w:rsid w:val="009062A5"/>
    <w:rsid w:val="009068E1"/>
    <w:rsid w:val="00911272"/>
    <w:rsid w:val="00917139"/>
    <w:rsid w:val="0092108A"/>
    <w:rsid w:val="00921674"/>
    <w:rsid w:val="009238E2"/>
    <w:rsid w:val="00925A83"/>
    <w:rsid w:val="00927863"/>
    <w:rsid w:val="009311AE"/>
    <w:rsid w:val="009346B7"/>
    <w:rsid w:val="00935AD2"/>
    <w:rsid w:val="00936C90"/>
    <w:rsid w:val="00943CEE"/>
    <w:rsid w:val="00945F36"/>
    <w:rsid w:val="00952026"/>
    <w:rsid w:val="00953BA8"/>
    <w:rsid w:val="009563CB"/>
    <w:rsid w:val="009565CA"/>
    <w:rsid w:val="009576D4"/>
    <w:rsid w:val="00962CB9"/>
    <w:rsid w:val="00964312"/>
    <w:rsid w:val="0097090C"/>
    <w:rsid w:val="0097333A"/>
    <w:rsid w:val="0097350B"/>
    <w:rsid w:val="00974D1F"/>
    <w:rsid w:val="00974FCB"/>
    <w:rsid w:val="00982EAD"/>
    <w:rsid w:val="00983E57"/>
    <w:rsid w:val="00986A96"/>
    <w:rsid w:val="009902DB"/>
    <w:rsid w:val="0099304C"/>
    <w:rsid w:val="00993647"/>
    <w:rsid w:val="00996B1A"/>
    <w:rsid w:val="00997DB3"/>
    <w:rsid w:val="009A1105"/>
    <w:rsid w:val="009A2040"/>
    <w:rsid w:val="009A4E96"/>
    <w:rsid w:val="009B069B"/>
    <w:rsid w:val="009B16C6"/>
    <w:rsid w:val="009B2B4C"/>
    <w:rsid w:val="009B3001"/>
    <w:rsid w:val="009B3E26"/>
    <w:rsid w:val="009B625E"/>
    <w:rsid w:val="009D0B44"/>
    <w:rsid w:val="009D5B91"/>
    <w:rsid w:val="009D5D82"/>
    <w:rsid w:val="009D77D6"/>
    <w:rsid w:val="009E0FCC"/>
    <w:rsid w:val="009E3B37"/>
    <w:rsid w:val="009E4C07"/>
    <w:rsid w:val="009E7903"/>
    <w:rsid w:val="009F25D7"/>
    <w:rsid w:val="009F3577"/>
    <w:rsid w:val="009F406B"/>
    <w:rsid w:val="009F5D0F"/>
    <w:rsid w:val="009F6942"/>
    <w:rsid w:val="009F6E9D"/>
    <w:rsid w:val="00A03D43"/>
    <w:rsid w:val="00A03DF2"/>
    <w:rsid w:val="00A04380"/>
    <w:rsid w:val="00A06BD7"/>
    <w:rsid w:val="00A10874"/>
    <w:rsid w:val="00A13948"/>
    <w:rsid w:val="00A15EAB"/>
    <w:rsid w:val="00A15FBA"/>
    <w:rsid w:val="00A16D34"/>
    <w:rsid w:val="00A21928"/>
    <w:rsid w:val="00A22CC6"/>
    <w:rsid w:val="00A22DB0"/>
    <w:rsid w:val="00A25CB5"/>
    <w:rsid w:val="00A269EA"/>
    <w:rsid w:val="00A27AEC"/>
    <w:rsid w:val="00A30C8B"/>
    <w:rsid w:val="00A33829"/>
    <w:rsid w:val="00A35B73"/>
    <w:rsid w:val="00A35D16"/>
    <w:rsid w:val="00A364A4"/>
    <w:rsid w:val="00A36801"/>
    <w:rsid w:val="00A43C59"/>
    <w:rsid w:val="00A4710B"/>
    <w:rsid w:val="00A50ECD"/>
    <w:rsid w:val="00A52729"/>
    <w:rsid w:val="00A528AB"/>
    <w:rsid w:val="00A53675"/>
    <w:rsid w:val="00A54083"/>
    <w:rsid w:val="00A54DC1"/>
    <w:rsid w:val="00A55652"/>
    <w:rsid w:val="00A55CD6"/>
    <w:rsid w:val="00A56B6A"/>
    <w:rsid w:val="00A578DC"/>
    <w:rsid w:val="00A601A6"/>
    <w:rsid w:val="00A638CF"/>
    <w:rsid w:val="00A6725B"/>
    <w:rsid w:val="00A70F38"/>
    <w:rsid w:val="00A73E4A"/>
    <w:rsid w:val="00A75EE1"/>
    <w:rsid w:val="00A84BA6"/>
    <w:rsid w:val="00A84C9F"/>
    <w:rsid w:val="00A86825"/>
    <w:rsid w:val="00A86B93"/>
    <w:rsid w:val="00A86E8B"/>
    <w:rsid w:val="00A86ECD"/>
    <w:rsid w:val="00A902F8"/>
    <w:rsid w:val="00A918F7"/>
    <w:rsid w:val="00A920DD"/>
    <w:rsid w:val="00A9219D"/>
    <w:rsid w:val="00A92ACC"/>
    <w:rsid w:val="00A93072"/>
    <w:rsid w:val="00A93CD6"/>
    <w:rsid w:val="00A959D8"/>
    <w:rsid w:val="00A96719"/>
    <w:rsid w:val="00A97BEF"/>
    <w:rsid w:val="00AA1BF1"/>
    <w:rsid w:val="00AA23CA"/>
    <w:rsid w:val="00AA2E73"/>
    <w:rsid w:val="00AA309F"/>
    <w:rsid w:val="00AA7987"/>
    <w:rsid w:val="00AB01FD"/>
    <w:rsid w:val="00AB042A"/>
    <w:rsid w:val="00AB049D"/>
    <w:rsid w:val="00AB0E15"/>
    <w:rsid w:val="00AB27AE"/>
    <w:rsid w:val="00AB2D34"/>
    <w:rsid w:val="00AB3430"/>
    <w:rsid w:val="00AB3B86"/>
    <w:rsid w:val="00AB7CFA"/>
    <w:rsid w:val="00AC0E15"/>
    <w:rsid w:val="00AC188B"/>
    <w:rsid w:val="00AC2F30"/>
    <w:rsid w:val="00AD35FE"/>
    <w:rsid w:val="00AD454F"/>
    <w:rsid w:val="00AD5EE6"/>
    <w:rsid w:val="00AD6643"/>
    <w:rsid w:val="00AD75FB"/>
    <w:rsid w:val="00AD796E"/>
    <w:rsid w:val="00AE21DD"/>
    <w:rsid w:val="00AE2621"/>
    <w:rsid w:val="00AE34F9"/>
    <w:rsid w:val="00AE5D5A"/>
    <w:rsid w:val="00AF1B5A"/>
    <w:rsid w:val="00AF2577"/>
    <w:rsid w:val="00AF2F7D"/>
    <w:rsid w:val="00AF7622"/>
    <w:rsid w:val="00B051EE"/>
    <w:rsid w:val="00B0778E"/>
    <w:rsid w:val="00B11802"/>
    <w:rsid w:val="00B1376F"/>
    <w:rsid w:val="00B143A2"/>
    <w:rsid w:val="00B14D4C"/>
    <w:rsid w:val="00B17305"/>
    <w:rsid w:val="00B2192C"/>
    <w:rsid w:val="00B21AB3"/>
    <w:rsid w:val="00B221D5"/>
    <w:rsid w:val="00B230D0"/>
    <w:rsid w:val="00B231E9"/>
    <w:rsid w:val="00B242DF"/>
    <w:rsid w:val="00B25D57"/>
    <w:rsid w:val="00B26F49"/>
    <w:rsid w:val="00B30B54"/>
    <w:rsid w:val="00B31D0F"/>
    <w:rsid w:val="00B339A2"/>
    <w:rsid w:val="00B359F4"/>
    <w:rsid w:val="00B36688"/>
    <w:rsid w:val="00B40FAD"/>
    <w:rsid w:val="00B42851"/>
    <w:rsid w:val="00B4436D"/>
    <w:rsid w:val="00B50221"/>
    <w:rsid w:val="00B502A2"/>
    <w:rsid w:val="00B50DB8"/>
    <w:rsid w:val="00B5120D"/>
    <w:rsid w:val="00B53905"/>
    <w:rsid w:val="00B543C4"/>
    <w:rsid w:val="00B54B5B"/>
    <w:rsid w:val="00B5562E"/>
    <w:rsid w:val="00B57000"/>
    <w:rsid w:val="00B60484"/>
    <w:rsid w:val="00B608CF"/>
    <w:rsid w:val="00B60939"/>
    <w:rsid w:val="00B60AFD"/>
    <w:rsid w:val="00B62715"/>
    <w:rsid w:val="00B63985"/>
    <w:rsid w:val="00B713D4"/>
    <w:rsid w:val="00B719C1"/>
    <w:rsid w:val="00B7309B"/>
    <w:rsid w:val="00B76323"/>
    <w:rsid w:val="00B76389"/>
    <w:rsid w:val="00B80052"/>
    <w:rsid w:val="00B818A4"/>
    <w:rsid w:val="00B8649C"/>
    <w:rsid w:val="00B91A1F"/>
    <w:rsid w:val="00B92D0B"/>
    <w:rsid w:val="00B94945"/>
    <w:rsid w:val="00B97C1D"/>
    <w:rsid w:val="00BA0749"/>
    <w:rsid w:val="00BA2E90"/>
    <w:rsid w:val="00BA4648"/>
    <w:rsid w:val="00BA4D2D"/>
    <w:rsid w:val="00BA6820"/>
    <w:rsid w:val="00BB0E81"/>
    <w:rsid w:val="00BB2DE3"/>
    <w:rsid w:val="00BB6363"/>
    <w:rsid w:val="00BB7405"/>
    <w:rsid w:val="00BB7C0E"/>
    <w:rsid w:val="00BC150D"/>
    <w:rsid w:val="00BC2312"/>
    <w:rsid w:val="00BC46F1"/>
    <w:rsid w:val="00BC4B7A"/>
    <w:rsid w:val="00BC6456"/>
    <w:rsid w:val="00BC76DB"/>
    <w:rsid w:val="00BC7DD3"/>
    <w:rsid w:val="00BD1618"/>
    <w:rsid w:val="00BD22EA"/>
    <w:rsid w:val="00BD2B95"/>
    <w:rsid w:val="00BD6453"/>
    <w:rsid w:val="00BD6CF3"/>
    <w:rsid w:val="00BE0158"/>
    <w:rsid w:val="00BE0335"/>
    <w:rsid w:val="00BE1BB1"/>
    <w:rsid w:val="00BE2180"/>
    <w:rsid w:val="00BE4275"/>
    <w:rsid w:val="00BE5A0E"/>
    <w:rsid w:val="00BE7DEC"/>
    <w:rsid w:val="00BF2001"/>
    <w:rsid w:val="00BF2433"/>
    <w:rsid w:val="00BF2B54"/>
    <w:rsid w:val="00BF5475"/>
    <w:rsid w:val="00BF61C9"/>
    <w:rsid w:val="00BF6E98"/>
    <w:rsid w:val="00C006B2"/>
    <w:rsid w:val="00C00F02"/>
    <w:rsid w:val="00C0344C"/>
    <w:rsid w:val="00C04577"/>
    <w:rsid w:val="00C05C7B"/>
    <w:rsid w:val="00C07A6C"/>
    <w:rsid w:val="00C105A5"/>
    <w:rsid w:val="00C117C4"/>
    <w:rsid w:val="00C1707E"/>
    <w:rsid w:val="00C25418"/>
    <w:rsid w:val="00C25D7B"/>
    <w:rsid w:val="00C25D9C"/>
    <w:rsid w:val="00C27063"/>
    <w:rsid w:val="00C31649"/>
    <w:rsid w:val="00C32F70"/>
    <w:rsid w:val="00C35449"/>
    <w:rsid w:val="00C4008D"/>
    <w:rsid w:val="00C40385"/>
    <w:rsid w:val="00C40F3D"/>
    <w:rsid w:val="00C41310"/>
    <w:rsid w:val="00C44A93"/>
    <w:rsid w:val="00C45098"/>
    <w:rsid w:val="00C45B67"/>
    <w:rsid w:val="00C4697A"/>
    <w:rsid w:val="00C47889"/>
    <w:rsid w:val="00C50225"/>
    <w:rsid w:val="00C51A9B"/>
    <w:rsid w:val="00C528A6"/>
    <w:rsid w:val="00C5482C"/>
    <w:rsid w:val="00C54F2D"/>
    <w:rsid w:val="00C54FFB"/>
    <w:rsid w:val="00C56180"/>
    <w:rsid w:val="00C56792"/>
    <w:rsid w:val="00C56960"/>
    <w:rsid w:val="00C57CAC"/>
    <w:rsid w:val="00C60E6E"/>
    <w:rsid w:val="00C62DF2"/>
    <w:rsid w:val="00C63476"/>
    <w:rsid w:val="00C65576"/>
    <w:rsid w:val="00C6600E"/>
    <w:rsid w:val="00C66165"/>
    <w:rsid w:val="00C66AD1"/>
    <w:rsid w:val="00C66D41"/>
    <w:rsid w:val="00C7292F"/>
    <w:rsid w:val="00C7441E"/>
    <w:rsid w:val="00C750C8"/>
    <w:rsid w:val="00C815C4"/>
    <w:rsid w:val="00C8213F"/>
    <w:rsid w:val="00C85E9B"/>
    <w:rsid w:val="00C875EE"/>
    <w:rsid w:val="00C8797A"/>
    <w:rsid w:val="00C907E5"/>
    <w:rsid w:val="00C919DF"/>
    <w:rsid w:val="00C9228B"/>
    <w:rsid w:val="00C938CF"/>
    <w:rsid w:val="00CA0B5E"/>
    <w:rsid w:val="00CA3753"/>
    <w:rsid w:val="00CA3BA7"/>
    <w:rsid w:val="00CA5203"/>
    <w:rsid w:val="00CA5245"/>
    <w:rsid w:val="00CA5A67"/>
    <w:rsid w:val="00CA7B09"/>
    <w:rsid w:val="00CB2163"/>
    <w:rsid w:val="00CB2763"/>
    <w:rsid w:val="00CB5B1A"/>
    <w:rsid w:val="00CB5C87"/>
    <w:rsid w:val="00CB71FC"/>
    <w:rsid w:val="00CC023C"/>
    <w:rsid w:val="00CC1798"/>
    <w:rsid w:val="00CC3799"/>
    <w:rsid w:val="00CC4327"/>
    <w:rsid w:val="00CC70DA"/>
    <w:rsid w:val="00CD32F9"/>
    <w:rsid w:val="00CD3A45"/>
    <w:rsid w:val="00CD6ADC"/>
    <w:rsid w:val="00CE0DAD"/>
    <w:rsid w:val="00CE3AF1"/>
    <w:rsid w:val="00CE4FE2"/>
    <w:rsid w:val="00CE6274"/>
    <w:rsid w:val="00CF1691"/>
    <w:rsid w:val="00CF34C1"/>
    <w:rsid w:val="00CF456B"/>
    <w:rsid w:val="00CF4D1E"/>
    <w:rsid w:val="00CF568B"/>
    <w:rsid w:val="00CF5A22"/>
    <w:rsid w:val="00CF622C"/>
    <w:rsid w:val="00CF7E3A"/>
    <w:rsid w:val="00D0042D"/>
    <w:rsid w:val="00D0262E"/>
    <w:rsid w:val="00D02D14"/>
    <w:rsid w:val="00D05F25"/>
    <w:rsid w:val="00D06DE3"/>
    <w:rsid w:val="00D06F12"/>
    <w:rsid w:val="00D10B25"/>
    <w:rsid w:val="00D110BD"/>
    <w:rsid w:val="00D1343A"/>
    <w:rsid w:val="00D13EA3"/>
    <w:rsid w:val="00D15EDF"/>
    <w:rsid w:val="00D17A88"/>
    <w:rsid w:val="00D17D6C"/>
    <w:rsid w:val="00D21271"/>
    <w:rsid w:val="00D2272A"/>
    <w:rsid w:val="00D241AE"/>
    <w:rsid w:val="00D2554D"/>
    <w:rsid w:val="00D2697A"/>
    <w:rsid w:val="00D26C1F"/>
    <w:rsid w:val="00D2786D"/>
    <w:rsid w:val="00D30ABF"/>
    <w:rsid w:val="00D31AB0"/>
    <w:rsid w:val="00D32C91"/>
    <w:rsid w:val="00D348C0"/>
    <w:rsid w:val="00D35262"/>
    <w:rsid w:val="00D356EE"/>
    <w:rsid w:val="00D357FF"/>
    <w:rsid w:val="00D36738"/>
    <w:rsid w:val="00D407C6"/>
    <w:rsid w:val="00D4120D"/>
    <w:rsid w:val="00D42311"/>
    <w:rsid w:val="00D4761F"/>
    <w:rsid w:val="00D50179"/>
    <w:rsid w:val="00D5024E"/>
    <w:rsid w:val="00D522B2"/>
    <w:rsid w:val="00D52A6A"/>
    <w:rsid w:val="00D52E02"/>
    <w:rsid w:val="00D535EF"/>
    <w:rsid w:val="00D622E2"/>
    <w:rsid w:val="00D648CC"/>
    <w:rsid w:val="00D64F5D"/>
    <w:rsid w:val="00D66A6E"/>
    <w:rsid w:val="00D679DF"/>
    <w:rsid w:val="00D711A8"/>
    <w:rsid w:val="00D729F1"/>
    <w:rsid w:val="00D75430"/>
    <w:rsid w:val="00D76A44"/>
    <w:rsid w:val="00D770A9"/>
    <w:rsid w:val="00D77CF0"/>
    <w:rsid w:val="00D807F9"/>
    <w:rsid w:val="00D815FB"/>
    <w:rsid w:val="00D84E60"/>
    <w:rsid w:val="00D92162"/>
    <w:rsid w:val="00D923B0"/>
    <w:rsid w:val="00D9244E"/>
    <w:rsid w:val="00D9252D"/>
    <w:rsid w:val="00D93753"/>
    <w:rsid w:val="00D93868"/>
    <w:rsid w:val="00D95E29"/>
    <w:rsid w:val="00D96BBB"/>
    <w:rsid w:val="00DA049C"/>
    <w:rsid w:val="00DA0EE9"/>
    <w:rsid w:val="00DA16A1"/>
    <w:rsid w:val="00DA1FB4"/>
    <w:rsid w:val="00DA26D4"/>
    <w:rsid w:val="00DA44F0"/>
    <w:rsid w:val="00DA4CBB"/>
    <w:rsid w:val="00DA5A2F"/>
    <w:rsid w:val="00DA6133"/>
    <w:rsid w:val="00DA77A5"/>
    <w:rsid w:val="00DA7B6D"/>
    <w:rsid w:val="00DA7EAB"/>
    <w:rsid w:val="00DB3398"/>
    <w:rsid w:val="00DC24F8"/>
    <w:rsid w:val="00DC4BB3"/>
    <w:rsid w:val="00DC5119"/>
    <w:rsid w:val="00DC5480"/>
    <w:rsid w:val="00DC5501"/>
    <w:rsid w:val="00DC5FC0"/>
    <w:rsid w:val="00DC6211"/>
    <w:rsid w:val="00DC6A07"/>
    <w:rsid w:val="00DD3F28"/>
    <w:rsid w:val="00DD4537"/>
    <w:rsid w:val="00DD4E15"/>
    <w:rsid w:val="00DD63FD"/>
    <w:rsid w:val="00DD64E1"/>
    <w:rsid w:val="00DE0BB9"/>
    <w:rsid w:val="00DE25B3"/>
    <w:rsid w:val="00DE3ABF"/>
    <w:rsid w:val="00DE479E"/>
    <w:rsid w:val="00DE4FCB"/>
    <w:rsid w:val="00DE6E79"/>
    <w:rsid w:val="00DE7498"/>
    <w:rsid w:val="00DF131F"/>
    <w:rsid w:val="00DF2985"/>
    <w:rsid w:val="00DF2E40"/>
    <w:rsid w:val="00DF4CD2"/>
    <w:rsid w:val="00DF51F7"/>
    <w:rsid w:val="00DF544A"/>
    <w:rsid w:val="00DF57B7"/>
    <w:rsid w:val="00DF5C72"/>
    <w:rsid w:val="00DF5D2B"/>
    <w:rsid w:val="00DF6137"/>
    <w:rsid w:val="00DF682C"/>
    <w:rsid w:val="00DF6ECA"/>
    <w:rsid w:val="00E0067F"/>
    <w:rsid w:val="00E00B17"/>
    <w:rsid w:val="00E00F73"/>
    <w:rsid w:val="00E02611"/>
    <w:rsid w:val="00E05BDF"/>
    <w:rsid w:val="00E071CA"/>
    <w:rsid w:val="00E10149"/>
    <w:rsid w:val="00E11A75"/>
    <w:rsid w:val="00E12903"/>
    <w:rsid w:val="00E1370B"/>
    <w:rsid w:val="00E13DE8"/>
    <w:rsid w:val="00E140AE"/>
    <w:rsid w:val="00E15726"/>
    <w:rsid w:val="00E16372"/>
    <w:rsid w:val="00E20ED6"/>
    <w:rsid w:val="00E21358"/>
    <w:rsid w:val="00E221DE"/>
    <w:rsid w:val="00E2249B"/>
    <w:rsid w:val="00E22A0D"/>
    <w:rsid w:val="00E231E4"/>
    <w:rsid w:val="00E24AE6"/>
    <w:rsid w:val="00E24B51"/>
    <w:rsid w:val="00E2771E"/>
    <w:rsid w:val="00E32D75"/>
    <w:rsid w:val="00E34B38"/>
    <w:rsid w:val="00E34DA2"/>
    <w:rsid w:val="00E3566F"/>
    <w:rsid w:val="00E37569"/>
    <w:rsid w:val="00E41422"/>
    <w:rsid w:val="00E41613"/>
    <w:rsid w:val="00E41E30"/>
    <w:rsid w:val="00E41E53"/>
    <w:rsid w:val="00E43D70"/>
    <w:rsid w:val="00E47679"/>
    <w:rsid w:val="00E47B2C"/>
    <w:rsid w:val="00E47F41"/>
    <w:rsid w:val="00E51560"/>
    <w:rsid w:val="00E52D9D"/>
    <w:rsid w:val="00E53E9A"/>
    <w:rsid w:val="00E55424"/>
    <w:rsid w:val="00E55BB5"/>
    <w:rsid w:val="00E56078"/>
    <w:rsid w:val="00E6044C"/>
    <w:rsid w:val="00E60ED5"/>
    <w:rsid w:val="00E62F01"/>
    <w:rsid w:val="00E6438A"/>
    <w:rsid w:val="00E64EDA"/>
    <w:rsid w:val="00E65E79"/>
    <w:rsid w:val="00E65FDD"/>
    <w:rsid w:val="00E66BD7"/>
    <w:rsid w:val="00E67416"/>
    <w:rsid w:val="00E67DCC"/>
    <w:rsid w:val="00E709BF"/>
    <w:rsid w:val="00E718B6"/>
    <w:rsid w:val="00E73581"/>
    <w:rsid w:val="00E80311"/>
    <w:rsid w:val="00E83612"/>
    <w:rsid w:val="00E83B89"/>
    <w:rsid w:val="00E83BDF"/>
    <w:rsid w:val="00E84F3A"/>
    <w:rsid w:val="00E8605D"/>
    <w:rsid w:val="00E90402"/>
    <w:rsid w:val="00E95421"/>
    <w:rsid w:val="00E9566A"/>
    <w:rsid w:val="00E96626"/>
    <w:rsid w:val="00EA0A12"/>
    <w:rsid w:val="00EA221D"/>
    <w:rsid w:val="00EA3864"/>
    <w:rsid w:val="00EA3A82"/>
    <w:rsid w:val="00EB15B6"/>
    <w:rsid w:val="00EB1D58"/>
    <w:rsid w:val="00EB1E4D"/>
    <w:rsid w:val="00EB1F22"/>
    <w:rsid w:val="00EB3A66"/>
    <w:rsid w:val="00EB4916"/>
    <w:rsid w:val="00EB6012"/>
    <w:rsid w:val="00EB725E"/>
    <w:rsid w:val="00EC00C9"/>
    <w:rsid w:val="00EC2A4F"/>
    <w:rsid w:val="00EC4F1F"/>
    <w:rsid w:val="00ED3509"/>
    <w:rsid w:val="00ED43BA"/>
    <w:rsid w:val="00ED46C7"/>
    <w:rsid w:val="00ED68EC"/>
    <w:rsid w:val="00ED7FBB"/>
    <w:rsid w:val="00EE0673"/>
    <w:rsid w:val="00EE07D3"/>
    <w:rsid w:val="00EE10C6"/>
    <w:rsid w:val="00EE116F"/>
    <w:rsid w:val="00EE26C1"/>
    <w:rsid w:val="00EE4CE4"/>
    <w:rsid w:val="00EE6D55"/>
    <w:rsid w:val="00EE7DA0"/>
    <w:rsid w:val="00EF24C4"/>
    <w:rsid w:val="00EF3566"/>
    <w:rsid w:val="00EF3C91"/>
    <w:rsid w:val="00EF5CCB"/>
    <w:rsid w:val="00EF72F7"/>
    <w:rsid w:val="00F024C6"/>
    <w:rsid w:val="00F026B7"/>
    <w:rsid w:val="00F03608"/>
    <w:rsid w:val="00F04B1D"/>
    <w:rsid w:val="00F067A2"/>
    <w:rsid w:val="00F10447"/>
    <w:rsid w:val="00F10627"/>
    <w:rsid w:val="00F1180A"/>
    <w:rsid w:val="00F11D59"/>
    <w:rsid w:val="00F1212E"/>
    <w:rsid w:val="00F128AB"/>
    <w:rsid w:val="00F13DDD"/>
    <w:rsid w:val="00F142F8"/>
    <w:rsid w:val="00F175A8"/>
    <w:rsid w:val="00F22716"/>
    <w:rsid w:val="00F2300E"/>
    <w:rsid w:val="00F23B0B"/>
    <w:rsid w:val="00F24837"/>
    <w:rsid w:val="00F2575F"/>
    <w:rsid w:val="00F30248"/>
    <w:rsid w:val="00F327C8"/>
    <w:rsid w:val="00F33DE9"/>
    <w:rsid w:val="00F35549"/>
    <w:rsid w:val="00F3619A"/>
    <w:rsid w:val="00F424E8"/>
    <w:rsid w:val="00F429F6"/>
    <w:rsid w:val="00F46CB6"/>
    <w:rsid w:val="00F46F2E"/>
    <w:rsid w:val="00F47D40"/>
    <w:rsid w:val="00F50C96"/>
    <w:rsid w:val="00F51609"/>
    <w:rsid w:val="00F540D2"/>
    <w:rsid w:val="00F55504"/>
    <w:rsid w:val="00F55E73"/>
    <w:rsid w:val="00F56EF3"/>
    <w:rsid w:val="00F5741E"/>
    <w:rsid w:val="00F60092"/>
    <w:rsid w:val="00F610BF"/>
    <w:rsid w:val="00F61A5A"/>
    <w:rsid w:val="00F64DFF"/>
    <w:rsid w:val="00F661DA"/>
    <w:rsid w:val="00F7154E"/>
    <w:rsid w:val="00F7255D"/>
    <w:rsid w:val="00F7477F"/>
    <w:rsid w:val="00F753EF"/>
    <w:rsid w:val="00F7721C"/>
    <w:rsid w:val="00F80B8A"/>
    <w:rsid w:val="00F80E5D"/>
    <w:rsid w:val="00F851CE"/>
    <w:rsid w:val="00F85808"/>
    <w:rsid w:val="00F864FB"/>
    <w:rsid w:val="00F92C2C"/>
    <w:rsid w:val="00F97A78"/>
    <w:rsid w:val="00F97DE1"/>
    <w:rsid w:val="00FA24E7"/>
    <w:rsid w:val="00FB0548"/>
    <w:rsid w:val="00FB0879"/>
    <w:rsid w:val="00FB0B69"/>
    <w:rsid w:val="00FB0E9F"/>
    <w:rsid w:val="00FB2EB0"/>
    <w:rsid w:val="00FB2FCB"/>
    <w:rsid w:val="00FB31E9"/>
    <w:rsid w:val="00FB7C11"/>
    <w:rsid w:val="00FC1074"/>
    <w:rsid w:val="00FC1884"/>
    <w:rsid w:val="00FC2A09"/>
    <w:rsid w:val="00FC3ADA"/>
    <w:rsid w:val="00FC6856"/>
    <w:rsid w:val="00FD07AF"/>
    <w:rsid w:val="00FD2100"/>
    <w:rsid w:val="00FD446D"/>
    <w:rsid w:val="00FD6985"/>
    <w:rsid w:val="00FE01C9"/>
    <w:rsid w:val="00FE157F"/>
    <w:rsid w:val="00FE1F91"/>
    <w:rsid w:val="00FE2BC5"/>
    <w:rsid w:val="00FE2F51"/>
    <w:rsid w:val="00FE310D"/>
    <w:rsid w:val="00FE4E6E"/>
    <w:rsid w:val="00FE6409"/>
    <w:rsid w:val="00FE7179"/>
    <w:rsid w:val="00FF044C"/>
    <w:rsid w:val="00FF2496"/>
    <w:rsid w:val="00FF3DCF"/>
    <w:rsid w:val="00FF5886"/>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D796E"/>
    <w:pPr>
      <w:widowControl w:val="0"/>
      <w:jc w:val="both"/>
    </w:pPr>
    <w:rPr>
      <w:rFonts w:ascii="Arial" w:hAnsi="Arial" w:cs="Arial"/>
      <w:snapToGrid w:val="0"/>
      <w:sz w:val="22"/>
      <w:lang w:eastAsia="en-US"/>
    </w:rPr>
  </w:style>
  <w:style w:type="paragraph" w:styleId="Heading1">
    <w:name w:val="heading 1"/>
    <w:basedOn w:val="BodyText"/>
    <w:next w:val="Normal"/>
    <w:link w:val="Heading1Char"/>
    <w:qFormat/>
    <w:rsid w:val="00DA44F0"/>
    <w:pPr>
      <w:ind w:left="720" w:hanging="720"/>
      <w:outlineLvl w:val="0"/>
    </w:pPr>
    <w:rPr>
      <w:b/>
      <w:sz w:val="24"/>
      <w:szCs w:val="24"/>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PRIMA,Caption for Appendix,OxTableCaption,Char2,IB Caption,Medical Caption,Caption Char1 Char Char,Caption Char Char Char Char,Caption Char1 Char,Caption Char Char Char Char Char,Caption Char Char,Caption Char Char Char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for Appendix Char,OxTableCaption Char,Char2 Char,IB Caption Char,Medical Caption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815FB"/>
    <w:pPr>
      <w:numPr>
        <w:numId w:val="1"/>
      </w:numPr>
      <w:outlineLvl w:val="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AD66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rsid w:val="0048108F"/>
    <w:rPr>
      <w:rFonts w:ascii="Arial" w:hAnsi="Arial" w:cs="Arial"/>
      <w:snapToGrid w:val="0"/>
      <w:sz w:val="22"/>
      <w:lang w:eastAsia="en-US"/>
    </w:rPr>
  </w:style>
  <w:style w:type="paragraph" w:styleId="FootnoteText">
    <w:name w:val="footnote text"/>
    <w:basedOn w:val="Normal"/>
    <w:link w:val="FootnoteTextChar"/>
    <w:uiPriority w:val="99"/>
    <w:unhideWhenUsed/>
    <w:rsid w:val="00051BFE"/>
    <w:pPr>
      <w:widowControl/>
      <w:jc w:val="left"/>
    </w:pPr>
    <w:rPr>
      <w:rFonts w:ascii="Times New Roman" w:eastAsia="Calibri" w:hAnsi="Times New Roman"/>
      <w:snapToGrid/>
      <w:sz w:val="20"/>
      <w:lang w:val="en-US"/>
    </w:rPr>
  </w:style>
  <w:style w:type="character" w:customStyle="1" w:styleId="FootnoteTextChar">
    <w:name w:val="Footnote Text Char"/>
    <w:basedOn w:val="DefaultParagraphFont"/>
    <w:link w:val="FootnoteText"/>
    <w:uiPriority w:val="99"/>
    <w:rsid w:val="00051BFE"/>
    <w:rPr>
      <w:rFonts w:eastAsia="Calibri" w:cs="Arial"/>
      <w:lang w:val="en-US" w:eastAsia="en-US"/>
    </w:rPr>
  </w:style>
  <w:style w:type="character" w:styleId="FootnoteReference">
    <w:name w:val="footnote reference"/>
    <w:basedOn w:val="DefaultParagraphFont"/>
    <w:uiPriority w:val="99"/>
    <w:unhideWhenUsed/>
    <w:rsid w:val="00051BFE"/>
    <w:rPr>
      <w:vertAlign w:val="superscript"/>
    </w:rPr>
  </w:style>
  <w:style w:type="character" w:customStyle="1" w:styleId="Heading1Char">
    <w:name w:val="Heading 1 Char"/>
    <w:basedOn w:val="DefaultParagraphFont"/>
    <w:link w:val="Heading1"/>
    <w:rsid w:val="00DA44F0"/>
    <w:rPr>
      <w:rFonts w:ascii="Arial" w:hAnsi="Arial" w:cs="Arial"/>
      <w:b/>
      <w:snapToGrid w:val="0"/>
      <w:sz w:val="24"/>
      <w:szCs w:val="24"/>
      <w:lang w:eastAsia="en-US"/>
    </w:rPr>
  </w:style>
  <w:style w:type="paragraph" w:customStyle="1" w:styleId="Default">
    <w:name w:val="Default"/>
    <w:rsid w:val="00C56180"/>
    <w:pPr>
      <w:autoSpaceDE w:val="0"/>
      <w:autoSpaceDN w:val="0"/>
      <w:adjustRightInd w:val="0"/>
    </w:pPr>
    <w:rPr>
      <w:rFonts w:ascii="Arial" w:hAnsi="Arial" w:cs="Arial"/>
      <w:color w:val="000000"/>
      <w:sz w:val="24"/>
      <w:szCs w:val="24"/>
      <w:lang w:val="en-GB"/>
    </w:rPr>
  </w:style>
  <w:style w:type="character" w:customStyle="1" w:styleId="TableText1">
    <w:name w:val="Table Text"/>
    <w:basedOn w:val="DefaultParagraphFont"/>
    <w:uiPriority w:val="4"/>
    <w:qFormat/>
    <w:rsid w:val="001B56AC"/>
    <w:rPr>
      <w:rFonts w:ascii="Arial Narrow" w:hAnsi="Arial Narrow"/>
      <w:sz w:val="20"/>
    </w:rPr>
  </w:style>
  <w:style w:type="table" w:customStyle="1" w:styleId="Summarybox2">
    <w:name w:val="Summary box2"/>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73093"/>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1639"/>
    <w:pPr>
      <w:widowControl/>
      <w:spacing w:after="160" w:line="240" w:lineRule="exact"/>
      <w:jc w:val="left"/>
    </w:pPr>
    <w:rPr>
      <w:rFonts w:ascii="Verdana" w:eastAsia="MS Mincho" w:hAnsi="Verdana" w:cs="Verdana"/>
      <w:snapToGrid/>
      <w:sz w:val="20"/>
      <w:lang w:val="en-US"/>
    </w:rPr>
  </w:style>
  <w:style w:type="paragraph" w:styleId="EndnoteText">
    <w:name w:val="endnote text"/>
    <w:basedOn w:val="Normal"/>
    <w:link w:val="EndnoteTextChar"/>
    <w:semiHidden/>
    <w:unhideWhenUsed/>
    <w:rsid w:val="00C44A93"/>
    <w:rPr>
      <w:sz w:val="20"/>
    </w:rPr>
  </w:style>
  <w:style w:type="character" w:customStyle="1" w:styleId="EndnoteTextChar">
    <w:name w:val="Endnote Text Char"/>
    <w:basedOn w:val="DefaultParagraphFont"/>
    <w:link w:val="EndnoteText"/>
    <w:semiHidden/>
    <w:rsid w:val="00C44A93"/>
    <w:rPr>
      <w:rFonts w:ascii="Arial" w:hAnsi="Arial" w:cs="Arial"/>
      <w:snapToGrid w:val="0"/>
      <w:lang w:eastAsia="en-US"/>
    </w:rPr>
  </w:style>
  <w:style w:type="character" w:styleId="EndnoteReference">
    <w:name w:val="endnote reference"/>
    <w:basedOn w:val="DefaultParagraphFont"/>
    <w:semiHidden/>
    <w:unhideWhenUsed/>
    <w:rsid w:val="00C44A93"/>
    <w:rPr>
      <w:vertAlign w:val="superscript"/>
    </w:rPr>
  </w:style>
  <w:style w:type="character" w:customStyle="1" w:styleId="highwire-cite-metadata-journal">
    <w:name w:val="highwire-cite-metadata-journal"/>
    <w:basedOn w:val="DefaultParagraphFont"/>
    <w:rsid w:val="00C44A93"/>
  </w:style>
  <w:style w:type="character" w:customStyle="1" w:styleId="apple-converted-space">
    <w:name w:val="apple-converted-space"/>
    <w:basedOn w:val="DefaultParagraphFont"/>
    <w:rsid w:val="00C44A93"/>
  </w:style>
  <w:style w:type="character" w:customStyle="1" w:styleId="highwire-cite-metadata-date">
    <w:name w:val="highwire-cite-metadata-date"/>
    <w:basedOn w:val="DefaultParagraphFont"/>
    <w:rsid w:val="00C44A93"/>
  </w:style>
  <w:style w:type="character" w:customStyle="1" w:styleId="highwire-cite-metadata-volume-pages">
    <w:name w:val="highwire-cite-metadata-volume-pages"/>
    <w:basedOn w:val="DefaultParagraphFont"/>
    <w:rsid w:val="00C44A93"/>
  </w:style>
  <w:style w:type="character" w:customStyle="1" w:styleId="highwire-cite-metadata-doi">
    <w:name w:val="highwire-cite-metadata-doi"/>
    <w:basedOn w:val="DefaultParagraphFont"/>
    <w:rsid w:val="00C44A93"/>
  </w:style>
  <w:style w:type="paragraph" w:customStyle="1" w:styleId="PBACheading10">
    <w:name w:val="PBAC heading 1"/>
    <w:qFormat/>
    <w:rsid w:val="004454A0"/>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D796E"/>
    <w:pPr>
      <w:widowControl w:val="0"/>
      <w:jc w:val="both"/>
    </w:pPr>
    <w:rPr>
      <w:rFonts w:ascii="Arial" w:hAnsi="Arial" w:cs="Arial"/>
      <w:snapToGrid w:val="0"/>
      <w:sz w:val="22"/>
      <w:lang w:eastAsia="en-US"/>
    </w:rPr>
  </w:style>
  <w:style w:type="paragraph" w:styleId="Heading1">
    <w:name w:val="heading 1"/>
    <w:basedOn w:val="BodyText"/>
    <w:next w:val="Normal"/>
    <w:link w:val="Heading1Char"/>
    <w:qFormat/>
    <w:rsid w:val="00DA44F0"/>
    <w:pPr>
      <w:ind w:left="720" w:hanging="720"/>
      <w:outlineLvl w:val="0"/>
    </w:pPr>
    <w:rPr>
      <w:b/>
      <w:sz w:val="24"/>
      <w:szCs w:val="24"/>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PRIMA,Caption for Appendix,OxTableCaption,Char2,IB Caption,Medical Caption,Caption Char1 Char Char,Caption Char Char Char Char,Caption Char1 Char,Caption Char Char Char Char Char,Caption Char Char,Caption Char Char Char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for Appendix Char,OxTableCaption Char,Char2 Char,IB Caption Char,Medical Caption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815FB"/>
    <w:pPr>
      <w:numPr>
        <w:numId w:val="1"/>
      </w:numPr>
      <w:outlineLvl w:val="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AD66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rsid w:val="0048108F"/>
    <w:rPr>
      <w:rFonts w:ascii="Arial" w:hAnsi="Arial" w:cs="Arial"/>
      <w:snapToGrid w:val="0"/>
      <w:sz w:val="22"/>
      <w:lang w:eastAsia="en-US"/>
    </w:rPr>
  </w:style>
  <w:style w:type="paragraph" w:styleId="FootnoteText">
    <w:name w:val="footnote text"/>
    <w:basedOn w:val="Normal"/>
    <w:link w:val="FootnoteTextChar"/>
    <w:uiPriority w:val="99"/>
    <w:unhideWhenUsed/>
    <w:rsid w:val="00051BFE"/>
    <w:pPr>
      <w:widowControl/>
      <w:jc w:val="left"/>
    </w:pPr>
    <w:rPr>
      <w:rFonts w:ascii="Times New Roman" w:eastAsia="Calibri" w:hAnsi="Times New Roman"/>
      <w:snapToGrid/>
      <w:sz w:val="20"/>
      <w:lang w:val="en-US"/>
    </w:rPr>
  </w:style>
  <w:style w:type="character" w:customStyle="1" w:styleId="FootnoteTextChar">
    <w:name w:val="Footnote Text Char"/>
    <w:basedOn w:val="DefaultParagraphFont"/>
    <w:link w:val="FootnoteText"/>
    <w:uiPriority w:val="99"/>
    <w:rsid w:val="00051BFE"/>
    <w:rPr>
      <w:rFonts w:eastAsia="Calibri" w:cs="Arial"/>
      <w:lang w:val="en-US" w:eastAsia="en-US"/>
    </w:rPr>
  </w:style>
  <w:style w:type="character" w:styleId="FootnoteReference">
    <w:name w:val="footnote reference"/>
    <w:basedOn w:val="DefaultParagraphFont"/>
    <w:uiPriority w:val="99"/>
    <w:unhideWhenUsed/>
    <w:rsid w:val="00051BFE"/>
    <w:rPr>
      <w:vertAlign w:val="superscript"/>
    </w:rPr>
  </w:style>
  <w:style w:type="character" w:customStyle="1" w:styleId="Heading1Char">
    <w:name w:val="Heading 1 Char"/>
    <w:basedOn w:val="DefaultParagraphFont"/>
    <w:link w:val="Heading1"/>
    <w:rsid w:val="00DA44F0"/>
    <w:rPr>
      <w:rFonts w:ascii="Arial" w:hAnsi="Arial" w:cs="Arial"/>
      <w:b/>
      <w:snapToGrid w:val="0"/>
      <w:sz w:val="24"/>
      <w:szCs w:val="24"/>
      <w:lang w:eastAsia="en-US"/>
    </w:rPr>
  </w:style>
  <w:style w:type="paragraph" w:customStyle="1" w:styleId="Default">
    <w:name w:val="Default"/>
    <w:rsid w:val="00C56180"/>
    <w:pPr>
      <w:autoSpaceDE w:val="0"/>
      <w:autoSpaceDN w:val="0"/>
      <w:adjustRightInd w:val="0"/>
    </w:pPr>
    <w:rPr>
      <w:rFonts w:ascii="Arial" w:hAnsi="Arial" w:cs="Arial"/>
      <w:color w:val="000000"/>
      <w:sz w:val="24"/>
      <w:szCs w:val="24"/>
      <w:lang w:val="en-GB"/>
    </w:rPr>
  </w:style>
  <w:style w:type="character" w:customStyle="1" w:styleId="TableText1">
    <w:name w:val="Table Text"/>
    <w:basedOn w:val="DefaultParagraphFont"/>
    <w:uiPriority w:val="4"/>
    <w:qFormat/>
    <w:rsid w:val="001B56AC"/>
    <w:rPr>
      <w:rFonts w:ascii="Arial Narrow" w:hAnsi="Arial Narrow"/>
      <w:sz w:val="20"/>
    </w:rPr>
  </w:style>
  <w:style w:type="table" w:customStyle="1" w:styleId="Summarybox2">
    <w:name w:val="Summary box2"/>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1730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73093"/>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1639"/>
    <w:pPr>
      <w:widowControl/>
      <w:spacing w:after="160" w:line="240" w:lineRule="exact"/>
      <w:jc w:val="left"/>
    </w:pPr>
    <w:rPr>
      <w:rFonts w:ascii="Verdana" w:eastAsia="MS Mincho" w:hAnsi="Verdana" w:cs="Verdana"/>
      <w:snapToGrid/>
      <w:sz w:val="20"/>
      <w:lang w:val="en-US"/>
    </w:rPr>
  </w:style>
  <w:style w:type="paragraph" w:styleId="EndnoteText">
    <w:name w:val="endnote text"/>
    <w:basedOn w:val="Normal"/>
    <w:link w:val="EndnoteTextChar"/>
    <w:semiHidden/>
    <w:unhideWhenUsed/>
    <w:rsid w:val="00C44A93"/>
    <w:rPr>
      <w:sz w:val="20"/>
    </w:rPr>
  </w:style>
  <w:style w:type="character" w:customStyle="1" w:styleId="EndnoteTextChar">
    <w:name w:val="Endnote Text Char"/>
    <w:basedOn w:val="DefaultParagraphFont"/>
    <w:link w:val="EndnoteText"/>
    <w:semiHidden/>
    <w:rsid w:val="00C44A93"/>
    <w:rPr>
      <w:rFonts w:ascii="Arial" w:hAnsi="Arial" w:cs="Arial"/>
      <w:snapToGrid w:val="0"/>
      <w:lang w:eastAsia="en-US"/>
    </w:rPr>
  </w:style>
  <w:style w:type="character" w:styleId="EndnoteReference">
    <w:name w:val="endnote reference"/>
    <w:basedOn w:val="DefaultParagraphFont"/>
    <w:semiHidden/>
    <w:unhideWhenUsed/>
    <w:rsid w:val="00C44A93"/>
    <w:rPr>
      <w:vertAlign w:val="superscript"/>
    </w:rPr>
  </w:style>
  <w:style w:type="character" w:customStyle="1" w:styleId="highwire-cite-metadata-journal">
    <w:name w:val="highwire-cite-metadata-journal"/>
    <w:basedOn w:val="DefaultParagraphFont"/>
    <w:rsid w:val="00C44A93"/>
  </w:style>
  <w:style w:type="character" w:customStyle="1" w:styleId="apple-converted-space">
    <w:name w:val="apple-converted-space"/>
    <w:basedOn w:val="DefaultParagraphFont"/>
    <w:rsid w:val="00C44A93"/>
  </w:style>
  <w:style w:type="character" w:customStyle="1" w:styleId="highwire-cite-metadata-date">
    <w:name w:val="highwire-cite-metadata-date"/>
    <w:basedOn w:val="DefaultParagraphFont"/>
    <w:rsid w:val="00C44A93"/>
  </w:style>
  <w:style w:type="character" w:customStyle="1" w:styleId="highwire-cite-metadata-volume-pages">
    <w:name w:val="highwire-cite-metadata-volume-pages"/>
    <w:basedOn w:val="DefaultParagraphFont"/>
    <w:rsid w:val="00C44A93"/>
  </w:style>
  <w:style w:type="character" w:customStyle="1" w:styleId="highwire-cite-metadata-doi">
    <w:name w:val="highwire-cite-metadata-doi"/>
    <w:basedOn w:val="DefaultParagraphFont"/>
    <w:rsid w:val="00C44A93"/>
  </w:style>
  <w:style w:type="paragraph" w:customStyle="1" w:styleId="PBACheading10">
    <w:name w:val="PBAC heading 1"/>
    <w:qFormat/>
    <w:rsid w:val="004454A0"/>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57172">
      <w:bodyDiv w:val="1"/>
      <w:marLeft w:val="0"/>
      <w:marRight w:val="0"/>
      <w:marTop w:val="0"/>
      <w:marBottom w:val="0"/>
      <w:divBdr>
        <w:top w:val="none" w:sz="0" w:space="0" w:color="auto"/>
        <w:left w:val="none" w:sz="0" w:space="0" w:color="auto"/>
        <w:bottom w:val="none" w:sz="0" w:space="0" w:color="auto"/>
        <w:right w:val="none" w:sz="0" w:space="0" w:color="auto"/>
      </w:divBdr>
    </w:div>
    <w:div w:id="352849072">
      <w:bodyDiv w:val="1"/>
      <w:marLeft w:val="0"/>
      <w:marRight w:val="0"/>
      <w:marTop w:val="0"/>
      <w:marBottom w:val="0"/>
      <w:divBdr>
        <w:top w:val="none" w:sz="0" w:space="0" w:color="auto"/>
        <w:left w:val="none" w:sz="0" w:space="0" w:color="auto"/>
        <w:bottom w:val="none" w:sz="0" w:space="0" w:color="auto"/>
        <w:right w:val="none" w:sz="0" w:space="0" w:color="auto"/>
      </w:divBdr>
      <w:divsChild>
        <w:div w:id="2007898765">
          <w:marLeft w:val="547"/>
          <w:marRight w:val="0"/>
          <w:marTop w:val="144"/>
          <w:marBottom w:val="0"/>
          <w:divBdr>
            <w:top w:val="none" w:sz="0" w:space="0" w:color="auto"/>
            <w:left w:val="none" w:sz="0" w:space="0" w:color="auto"/>
            <w:bottom w:val="none" w:sz="0" w:space="0" w:color="auto"/>
            <w:right w:val="none" w:sz="0" w:space="0" w:color="auto"/>
          </w:divBdr>
        </w:div>
        <w:div w:id="361320493">
          <w:marLeft w:val="547"/>
          <w:marRight w:val="0"/>
          <w:marTop w:val="144"/>
          <w:marBottom w:val="0"/>
          <w:divBdr>
            <w:top w:val="none" w:sz="0" w:space="0" w:color="auto"/>
            <w:left w:val="none" w:sz="0" w:space="0" w:color="auto"/>
            <w:bottom w:val="none" w:sz="0" w:space="0" w:color="auto"/>
            <w:right w:val="none" w:sz="0" w:space="0" w:color="auto"/>
          </w:divBdr>
        </w:div>
        <w:div w:id="18434684">
          <w:marLeft w:val="547"/>
          <w:marRight w:val="0"/>
          <w:marTop w:val="144"/>
          <w:marBottom w:val="0"/>
          <w:divBdr>
            <w:top w:val="none" w:sz="0" w:space="0" w:color="auto"/>
            <w:left w:val="none" w:sz="0" w:space="0" w:color="auto"/>
            <w:bottom w:val="none" w:sz="0" w:space="0" w:color="auto"/>
            <w:right w:val="none" w:sz="0" w:space="0" w:color="auto"/>
          </w:divBdr>
        </w:div>
      </w:divsChild>
    </w:div>
    <w:div w:id="357241481">
      <w:bodyDiv w:val="1"/>
      <w:marLeft w:val="0"/>
      <w:marRight w:val="0"/>
      <w:marTop w:val="0"/>
      <w:marBottom w:val="0"/>
      <w:divBdr>
        <w:top w:val="none" w:sz="0" w:space="0" w:color="auto"/>
        <w:left w:val="none" w:sz="0" w:space="0" w:color="auto"/>
        <w:bottom w:val="none" w:sz="0" w:space="0" w:color="auto"/>
        <w:right w:val="none" w:sz="0" w:space="0" w:color="auto"/>
      </w:divBdr>
      <w:divsChild>
        <w:div w:id="1759521117">
          <w:marLeft w:val="547"/>
          <w:marRight w:val="0"/>
          <w:marTop w:val="144"/>
          <w:marBottom w:val="0"/>
          <w:divBdr>
            <w:top w:val="none" w:sz="0" w:space="0" w:color="auto"/>
            <w:left w:val="none" w:sz="0" w:space="0" w:color="auto"/>
            <w:bottom w:val="none" w:sz="0" w:space="0" w:color="auto"/>
            <w:right w:val="none" w:sz="0" w:space="0" w:color="auto"/>
          </w:divBdr>
        </w:div>
        <w:div w:id="1915042847">
          <w:marLeft w:val="547"/>
          <w:marRight w:val="0"/>
          <w:marTop w:val="144"/>
          <w:marBottom w:val="0"/>
          <w:divBdr>
            <w:top w:val="none" w:sz="0" w:space="0" w:color="auto"/>
            <w:left w:val="none" w:sz="0" w:space="0" w:color="auto"/>
            <w:bottom w:val="none" w:sz="0" w:space="0" w:color="auto"/>
            <w:right w:val="none" w:sz="0" w:space="0" w:color="auto"/>
          </w:divBdr>
        </w:div>
        <w:div w:id="1865704766">
          <w:marLeft w:val="547"/>
          <w:marRight w:val="0"/>
          <w:marTop w:val="144"/>
          <w:marBottom w:val="0"/>
          <w:divBdr>
            <w:top w:val="none" w:sz="0" w:space="0" w:color="auto"/>
            <w:left w:val="none" w:sz="0" w:space="0" w:color="auto"/>
            <w:bottom w:val="none" w:sz="0" w:space="0" w:color="auto"/>
            <w:right w:val="none" w:sz="0" w:space="0" w:color="auto"/>
          </w:divBdr>
        </w:div>
      </w:divsChild>
    </w:div>
    <w:div w:id="476263581">
      <w:bodyDiv w:val="1"/>
      <w:marLeft w:val="0"/>
      <w:marRight w:val="0"/>
      <w:marTop w:val="0"/>
      <w:marBottom w:val="0"/>
      <w:divBdr>
        <w:top w:val="none" w:sz="0" w:space="0" w:color="auto"/>
        <w:left w:val="none" w:sz="0" w:space="0" w:color="auto"/>
        <w:bottom w:val="none" w:sz="0" w:space="0" w:color="auto"/>
        <w:right w:val="none" w:sz="0" w:space="0" w:color="auto"/>
      </w:divBdr>
    </w:div>
    <w:div w:id="481655813">
      <w:bodyDiv w:val="1"/>
      <w:marLeft w:val="0"/>
      <w:marRight w:val="0"/>
      <w:marTop w:val="0"/>
      <w:marBottom w:val="0"/>
      <w:divBdr>
        <w:top w:val="none" w:sz="0" w:space="0" w:color="auto"/>
        <w:left w:val="none" w:sz="0" w:space="0" w:color="auto"/>
        <w:bottom w:val="none" w:sz="0" w:space="0" w:color="auto"/>
        <w:right w:val="none" w:sz="0" w:space="0" w:color="auto"/>
      </w:divBdr>
    </w:div>
    <w:div w:id="528572732">
      <w:bodyDiv w:val="1"/>
      <w:marLeft w:val="0"/>
      <w:marRight w:val="0"/>
      <w:marTop w:val="0"/>
      <w:marBottom w:val="0"/>
      <w:divBdr>
        <w:top w:val="none" w:sz="0" w:space="0" w:color="auto"/>
        <w:left w:val="none" w:sz="0" w:space="0" w:color="auto"/>
        <w:bottom w:val="none" w:sz="0" w:space="0" w:color="auto"/>
        <w:right w:val="none" w:sz="0" w:space="0" w:color="auto"/>
      </w:divBdr>
    </w:div>
    <w:div w:id="965694228">
      <w:bodyDiv w:val="1"/>
      <w:marLeft w:val="0"/>
      <w:marRight w:val="0"/>
      <w:marTop w:val="0"/>
      <w:marBottom w:val="0"/>
      <w:divBdr>
        <w:top w:val="none" w:sz="0" w:space="0" w:color="auto"/>
        <w:left w:val="none" w:sz="0" w:space="0" w:color="auto"/>
        <w:bottom w:val="none" w:sz="0" w:space="0" w:color="auto"/>
        <w:right w:val="none" w:sz="0" w:space="0" w:color="auto"/>
      </w:divBdr>
    </w:div>
    <w:div w:id="1499464256">
      <w:bodyDiv w:val="1"/>
      <w:marLeft w:val="0"/>
      <w:marRight w:val="0"/>
      <w:marTop w:val="0"/>
      <w:marBottom w:val="0"/>
      <w:divBdr>
        <w:top w:val="none" w:sz="0" w:space="0" w:color="auto"/>
        <w:left w:val="none" w:sz="0" w:space="0" w:color="auto"/>
        <w:bottom w:val="none" w:sz="0" w:space="0" w:color="auto"/>
        <w:right w:val="none" w:sz="0" w:space="0" w:color="auto"/>
      </w:divBdr>
    </w:div>
    <w:div w:id="1518158475">
      <w:bodyDiv w:val="1"/>
      <w:marLeft w:val="0"/>
      <w:marRight w:val="0"/>
      <w:marTop w:val="0"/>
      <w:marBottom w:val="0"/>
      <w:divBdr>
        <w:top w:val="none" w:sz="0" w:space="0" w:color="auto"/>
        <w:left w:val="none" w:sz="0" w:space="0" w:color="auto"/>
        <w:bottom w:val="none" w:sz="0" w:space="0" w:color="auto"/>
        <w:right w:val="none" w:sz="0" w:space="0" w:color="auto"/>
      </w:divBdr>
    </w:div>
    <w:div w:id="1520773761">
      <w:bodyDiv w:val="1"/>
      <w:marLeft w:val="0"/>
      <w:marRight w:val="0"/>
      <w:marTop w:val="0"/>
      <w:marBottom w:val="0"/>
      <w:divBdr>
        <w:top w:val="none" w:sz="0" w:space="0" w:color="auto"/>
        <w:left w:val="none" w:sz="0" w:space="0" w:color="auto"/>
        <w:bottom w:val="none" w:sz="0" w:space="0" w:color="auto"/>
        <w:right w:val="none" w:sz="0" w:space="0" w:color="auto"/>
      </w:divBdr>
    </w:div>
    <w:div w:id="1655451045">
      <w:bodyDiv w:val="1"/>
      <w:marLeft w:val="0"/>
      <w:marRight w:val="0"/>
      <w:marTop w:val="0"/>
      <w:marBottom w:val="0"/>
      <w:divBdr>
        <w:top w:val="none" w:sz="0" w:space="0" w:color="auto"/>
        <w:left w:val="none" w:sz="0" w:space="0" w:color="auto"/>
        <w:bottom w:val="none" w:sz="0" w:space="0" w:color="auto"/>
        <w:right w:val="none" w:sz="0" w:space="0" w:color="auto"/>
      </w:divBdr>
    </w:div>
    <w:div w:id="1763067962">
      <w:bodyDiv w:val="1"/>
      <w:marLeft w:val="0"/>
      <w:marRight w:val="0"/>
      <w:marTop w:val="0"/>
      <w:marBottom w:val="0"/>
      <w:divBdr>
        <w:top w:val="none" w:sz="0" w:space="0" w:color="auto"/>
        <w:left w:val="none" w:sz="0" w:space="0" w:color="auto"/>
        <w:bottom w:val="none" w:sz="0" w:space="0" w:color="auto"/>
        <w:right w:val="none" w:sz="0" w:space="0" w:color="auto"/>
      </w:divBdr>
    </w:div>
    <w:div w:id="1834296891">
      <w:bodyDiv w:val="1"/>
      <w:marLeft w:val="0"/>
      <w:marRight w:val="0"/>
      <w:marTop w:val="0"/>
      <w:marBottom w:val="0"/>
      <w:divBdr>
        <w:top w:val="none" w:sz="0" w:space="0" w:color="auto"/>
        <w:left w:val="none" w:sz="0" w:space="0" w:color="auto"/>
        <w:bottom w:val="none" w:sz="0" w:space="0" w:color="auto"/>
        <w:right w:val="none" w:sz="0" w:space="0" w:color="auto"/>
      </w:divBdr>
    </w:div>
    <w:div w:id="186878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BF300-8CDD-4EA6-B0E5-C1E4F34D9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8955</Words>
  <Characters>51450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2017-02-13T03:52:00Z</dcterms:created>
  <dcterms:modified xsi:type="dcterms:W3CDTF">2017-02-16T23:07:00Z</dcterms:modified>
</cp:coreProperties>
</file>