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F16087" w:rsidRDefault="0042071C" w:rsidP="003662EA">
      <w:pPr>
        <w:pStyle w:val="Heading1"/>
        <w:widowControl/>
        <w:jc w:val="left"/>
      </w:pPr>
      <w:bookmarkStart w:id="0" w:name="_Toc461464560"/>
      <w:bookmarkStart w:id="1" w:name="_GoBack"/>
      <w:bookmarkEnd w:id="1"/>
      <w:r w:rsidRPr="00F16087">
        <w:t>7.02</w:t>
      </w:r>
      <w:r w:rsidR="00B60939" w:rsidRPr="00F16087">
        <w:tab/>
      </w:r>
      <w:bookmarkEnd w:id="0"/>
      <w:r w:rsidR="003373CA" w:rsidRPr="00F16087">
        <w:t xml:space="preserve">APREMILAST, </w:t>
      </w:r>
      <w:r w:rsidR="003373CA" w:rsidRPr="00F16087">
        <w:br/>
        <w:t>Pack containing 4 tablets 10 mg, 4 tablets 20 mg and 19 tablets 30 mg; Tablet 30 mg</w:t>
      </w:r>
      <w:r w:rsidR="003373CA" w:rsidRPr="00F16087">
        <w:br/>
        <w:t xml:space="preserve">Otezla®, </w:t>
      </w:r>
      <w:r w:rsidR="003373CA" w:rsidRPr="00F16087">
        <w:br/>
      </w:r>
      <w:proofErr w:type="spellStart"/>
      <w:r w:rsidR="003373CA" w:rsidRPr="00F16087">
        <w:t>Celgene</w:t>
      </w:r>
      <w:proofErr w:type="spellEnd"/>
      <w:r w:rsidR="003373CA" w:rsidRPr="00F16087">
        <w:t xml:space="preserve"> Pty Ltd</w:t>
      </w:r>
      <w:r w:rsidR="00BA12E9">
        <w:t>.</w:t>
      </w:r>
    </w:p>
    <w:p w:rsidR="00F338FF" w:rsidRPr="00F16087" w:rsidRDefault="00F338FF" w:rsidP="003662EA">
      <w:pPr>
        <w:widowControl/>
      </w:pPr>
    </w:p>
    <w:p w:rsidR="00394857" w:rsidRPr="00F16087" w:rsidRDefault="00394857" w:rsidP="003662EA">
      <w:pPr>
        <w:widowControl/>
      </w:pPr>
    </w:p>
    <w:p w:rsidR="00F338FF" w:rsidRPr="00F16087" w:rsidRDefault="00F338FF" w:rsidP="003662EA">
      <w:pPr>
        <w:pStyle w:val="Heading2"/>
        <w:keepNext/>
      </w:pPr>
      <w:bookmarkStart w:id="2" w:name="_Toc461464562"/>
      <w:r w:rsidRPr="00F16087">
        <w:t>Purpose of Application</w:t>
      </w:r>
      <w:bookmarkEnd w:id="2"/>
    </w:p>
    <w:p w:rsidR="00B60939" w:rsidRPr="00F16087" w:rsidRDefault="00B60939" w:rsidP="003662EA">
      <w:pPr>
        <w:keepNext/>
        <w:widowControl/>
        <w:rPr>
          <w:szCs w:val="22"/>
        </w:rPr>
      </w:pPr>
    </w:p>
    <w:p w:rsidR="00B60939" w:rsidRPr="00F16087" w:rsidRDefault="00046FEE" w:rsidP="003662EA">
      <w:pPr>
        <w:pStyle w:val="ListParagraph"/>
        <w:widowControl/>
        <w:numPr>
          <w:ilvl w:val="1"/>
          <w:numId w:val="1"/>
        </w:numPr>
        <w:rPr>
          <w:szCs w:val="22"/>
        </w:rPr>
      </w:pPr>
      <w:r w:rsidRPr="00F16087">
        <w:t xml:space="preserve">Resubmission to request </w:t>
      </w:r>
      <w:r w:rsidR="001E238E" w:rsidRPr="00F16087">
        <w:t>Author</w:t>
      </w:r>
      <w:r w:rsidR="00AA5AC0" w:rsidRPr="00F16087">
        <w:t xml:space="preserve">ity Required (STREAMLINED) listing for apremilast for </w:t>
      </w:r>
      <w:r w:rsidR="0042071C" w:rsidRPr="00F16087">
        <w:t xml:space="preserve">the </w:t>
      </w:r>
      <w:r w:rsidR="00AA5AC0" w:rsidRPr="00F16087">
        <w:t>treatment of moderate-to-severe plaque psoriasis</w:t>
      </w:r>
      <w:r w:rsidR="001E238E" w:rsidRPr="00F16087">
        <w:t>.</w:t>
      </w:r>
    </w:p>
    <w:p w:rsidR="001B6188" w:rsidRPr="00F16087" w:rsidRDefault="001B6188" w:rsidP="003662EA">
      <w:pPr>
        <w:widowControl/>
      </w:pPr>
    </w:p>
    <w:p w:rsidR="00A86BA9" w:rsidRPr="00F16087" w:rsidRDefault="00A86BA9" w:rsidP="003662EA">
      <w:pPr>
        <w:widowControl/>
      </w:pPr>
    </w:p>
    <w:p w:rsidR="00F338FF" w:rsidRPr="00F16087" w:rsidRDefault="00F338FF" w:rsidP="003662EA">
      <w:pPr>
        <w:pStyle w:val="Heading2"/>
        <w:keepNext/>
      </w:pPr>
      <w:bookmarkStart w:id="3" w:name="_Toc461464563"/>
      <w:r w:rsidRPr="00F16087">
        <w:t>Requested listing</w:t>
      </w:r>
      <w:bookmarkEnd w:id="3"/>
    </w:p>
    <w:p w:rsidR="00617E12" w:rsidRPr="00F16087" w:rsidRDefault="00617E12" w:rsidP="003662EA">
      <w:pPr>
        <w:keepNext/>
        <w:widowControl/>
        <w:rPr>
          <w:szCs w:val="22"/>
        </w:rPr>
      </w:pPr>
    </w:p>
    <w:p w:rsidR="00046FEE" w:rsidRPr="00F16087" w:rsidRDefault="00046FEE" w:rsidP="003662EA">
      <w:pPr>
        <w:pStyle w:val="ListParagraph"/>
        <w:widowControl/>
        <w:numPr>
          <w:ilvl w:val="1"/>
          <w:numId w:val="1"/>
        </w:numPr>
      </w:pPr>
      <w:r w:rsidRPr="00F16087">
        <w:t>Suggestions and additions proposed by the Secretariat are added in italics and suggested deletions are crossed out with strikethrough.</w:t>
      </w:r>
    </w:p>
    <w:p w:rsidR="00046FEE" w:rsidRPr="00F16087" w:rsidRDefault="00046FEE" w:rsidP="003662EA">
      <w:pPr>
        <w:keepNext/>
        <w:widowControl/>
        <w:rPr>
          <w:szCs w:val="22"/>
        </w:rPr>
      </w:pPr>
    </w:p>
    <w:tbl>
      <w:tblPr>
        <w:tblW w:w="4594" w:type="pct"/>
        <w:tblInd w:w="737" w:type="dxa"/>
        <w:tblCellMar>
          <w:left w:w="28" w:type="dxa"/>
          <w:right w:w="28" w:type="dxa"/>
        </w:tblCellMar>
        <w:tblLook w:val="0000" w:firstRow="0" w:lastRow="0" w:firstColumn="0" w:lastColumn="0" w:noHBand="0" w:noVBand="0"/>
      </w:tblPr>
      <w:tblGrid>
        <w:gridCol w:w="2267"/>
        <w:gridCol w:w="708"/>
        <w:gridCol w:w="713"/>
        <w:gridCol w:w="2549"/>
        <w:gridCol w:w="711"/>
        <w:gridCol w:w="1397"/>
      </w:tblGrid>
      <w:tr w:rsidR="001824D9" w:rsidRPr="00F16087" w:rsidTr="009F7C79">
        <w:trPr>
          <w:cantSplit/>
          <w:trHeight w:val="471"/>
        </w:trPr>
        <w:tc>
          <w:tcPr>
            <w:tcW w:w="1358" w:type="pct"/>
            <w:tcBorders>
              <w:bottom w:val="single" w:sz="4" w:space="0" w:color="auto"/>
            </w:tcBorders>
          </w:tcPr>
          <w:p w:rsidR="001824D9" w:rsidRPr="00F16087" w:rsidRDefault="001824D9" w:rsidP="003662EA">
            <w:pPr>
              <w:keepNext/>
              <w:keepLines/>
              <w:widowControl/>
              <w:rPr>
                <w:rFonts w:ascii="Arial Narrow" w:hAnsi="Arial Narrow"/>
                <w:sz w:val="20"/>
              </w:rPr>
            </w:pPr>
            <w:r w:rsidRPr="00F16087">
              <w:rPr>
                <w:rFonts w:ascii="Arial Narrow" w:hAnsi="Arial Narrow"/>
                <w:sz w:val="20"/>
              </w:rPr>
              <w:t>Name, Restriction,</w:t>
            </w:r>
          </w:p>
          <w:p w:rsidR="001824D9" w:rsidRPr="00F16087" w:rsidRDefault="001824D9" w:rsidP="003662EA">
            <w:pPr>
              <w:keepNext/>
              <w:keepLines/>
              <w:widowControl/>
              <w:rPr>
                <w:rFonts w:ascii="Arial Narrow" w:hAnsi="Arial Narrow"/>
                <w:sz w:val="20"/>
              </w:rPr>
            </w:pPr>
            <w:r w:rsidRPr="00F16087">
              <w:rPr>
                <w:rFonts w:ascii="Arial Narrow" w:hAnsi="Arial Narrow"/>
                <w:sz w:val="20"/>
              </w:rPr>
              <w:t>Manner of administration and form</w:t>
            </w:r>
          </w:p>
        </w:tc>
        <w:tc>
          <w:tcPr>
            <w:tcW w:w="424" w:type="pct"/>
            <w:tcBorders>
              <w:bottom w:val="single" w:sz="4" w:space="0" w:color="auto"/>
            </w:tcBorders>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Max.</w:t>
            </w:r>
          </w:p>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Qty</w:t>
            </w:r>
          </w:p>
        </w:tc>
        <w:tc>
          <w:tcPr>
            <w:tcW w:w="427" w:type="pct"/>
            <w:tcBorders>
              <w:bottom w:val="single" w:sz="4" w:space="0" w:color="auto"/>
            </w:tcBorders>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№.of</w:t>
            </w:r>
          </w:p>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Rpts</w:t>
            </w:r>
          </w:p>
        </w:tc>
        <w:tc>
          <w:tcPr>
            <w:tcW w:w="1527" w:type="pct"/>
            <w:tcBorders>
              <w:bottom w:val="single" w:sz="4" w:space="0" w:color="auto"/>
            </w:tcBorders>
          </w:tcPr>
          <w:p w:rsidR="001824D9" w:rsidRPr="00F16087" w:rsidRDefault="00FA0FE0" w:rsidP="003662EA">
            <w:pPr>
              <w:keepNext/>
              <w:keepLines/>
              <w:widowControl/>
              <w:jc w:val="center"/>
              <w:rPr>
                <w:rFonts w:ascii="Arial Narrow" w:hAnsi="Arial Narrow"/>
                <w:sz w:val="20"/>
              </w:rPr>
            </w:pPr>
            <w:r w:rsidRPr="00F16087">
              <w:rPr>
                <w:rFonts w:ascii="Arial Narrow" w:hAnsi="Arial Narrow"/>
                <w:sz w:val="20"/>
              </w:rPr>
              <w:t>DPMQ</w:t>
            </w:r>
          </w:p>
        </w:tc>
        <w:tc>
          <w:tcPr>
            <w:tcW w:w="1263" w:type="pct"/>
            <w:gridSpan w:val="2"/>
            <w:tcBorders>
              <w:bottom w:val="single" w:sz="4" w:space="0" w:color="auto"/>
            </w:tcBorders>
          </w:tcPr>
          <w:p w:rsidR="001824D9" w:rsidRPr="00F16087" w:rsidRDefault="001824D9" w:rsidP="003662EA">
            <w:pPr>
              <w:keepNext/>
              <w:keepLines/>
              <w:widowControl/>
              <w:jc w:val="center"/>
              <w:rPr>
                <w:rFonts w:ascii="Arial Narrow" w:hAnsi="Arial Narrow"/>
                <w:sz w:val="20"/>
                <w:lang w:val="fr-FR"/>
              </w:rPr>
            </w:pPr>
            <w:r w:rsidRPr="00F16087">
              <w:rPr>
                <w:rFonts w:ascii="Arial Narrow" w:hAnsi="Arial Narrow"/>
                <w:sz w:val="20"/>
              </w:rPr>
              <w:t>Proprietary Name and Manufacturer</w:t>
            </w:r>
          </w:p>
        </w:tc>
      </w:tr>
      <w:tr w:rsidR="001824D9" w:rsidRPr="00F16087" w:rsidTr="009F7C79">
        <w:trPr>
          <w:cantSplit/>
          <w:trHeight w:val="577"/>
        </w:trPr>
        <w:tc>
          <w:tcPr>
            <w:tcW w:w="1358" w:type="pct"/>
            <w:tcBorders>
              <w:top w:val="single" w:sz="4" w:space="0" w:color="auto"/>
            </w:tcBorders>
          </w:tcPr>
          <w:p w:rsidR="001824D9" w:rsidRPr="00F16087" w:rsidRDefault="001824D9" w:rsidP="003662EA">
            <w:pPr>
              <w:keepNext/>
              <w:keepLines/>
              <w:widowControl/>
              <w:rPr>
                <w:rFonts w:ascii="Arial Narrow" w:hAnsi="Arial Narrow"/>
                <w:smallCaps/>
                <w:sz w:val="20"/>
              </w:rPr>
            </w:pPr>
            <w:r w:rsidRPr="00F16087">
              <w:rPr>
                <w:rFonts w:ascii="Arial Narrow" w:hAnsi="Arial Narrow"/>
                <w:smallCaps/>
                <w:sz w:val="20"/>
              </w:rPr>
              <w:t>Apremilast</w:t>
            </w:r>
          </w:p>
          <w:p w:rsidR="001824D9" w:rsidRPr="00F16087" w:rsidRDefault="001824D9" w:rsidP="003662EA">
            <w:pPr>
              <w:keepNext/>
              <w:keepLines/>
              <w:widowControl/>
              <w:rPr>
                <w:rFonts w:ascii="Arial Narrow" w:hAnsi="Arial Narrow"/>
                <w:smallCaps/>
                <w:sz w:val="20"/>
              </w:rPr>
            </w:pPr>
            <w:r w:rsidRPr="00F16087">
              <w:rPr>
                <w:rFonts w:ascii="Arial Narrow" w:hAnsi="Arial Narrow"/>
                <w:sz w:val="20"/>
              </w:rPr>
              <w:t>Tablets, titration pack (10 mg x 4, 20 mg x 4, 30 mg x 19)</w:t>
            </w:r>
          </w:p>
        </w:tc>
        <w:tc>
          <w:tcPr>
            <w:tcW w:w="424" w:type="pct"/>
            <w:tcBorders>
              <w:top w:val="single" w:sz="4" w:space="0" w:color="auto"/>
            </w:tcBorders>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1</w:t>
            </w:r>
          </w:p>
        </w:tc>
        <w:tc>
          <w:tcPr>
            <w:tcW w:w="427" w:type="pct"/>
            <w:tcBorders>
              <w:top w:val="single" w:sz="4" w:space="0" w:color="auto"/>
            </w:tcBorders>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0</w:t>
            </w:r>
          </w:p>
        </w:tc>
        <w:tc>
          <w:tcPr>
            <w:tcW w:w="1527" w:type="pct"/>
            <w:tcBorders>
              <w:top w:val="single" w:sz="4" w:space="0" w:color="auto"/>
            </w:tcBorders>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r w:rsidRPr="00F16087">
              <w:rPr>
                <w:rFonts w:ascii="Arial Narrow" w:hAnsi="Arial Narrow"/>
                <w:sz w:val="20"/>
              </w:rPr>
              <w:t xml:space="preserve"> (effective: $</w:t>
            </w:r>
            <w:r w:rsidR="00EF4316">
              <w:rPr>
                <w:rFonts w:ascii="Arial Narrow" w:hAnsi="Arial Narrow"/>
                <w:noProof/>
                <w:color w:val="000000"/>
                <w:sz w:val="20"/>
                <w:highlight w:val="black"/>
              </w:rPr>
              <w:t>'''''''''''''''</w:t>
            </w:r>
            <w:r w:rsidRPr="00F16087">
              <w:rPr>
                <w:rFonts w:ascii="Arial Narrow" w:hAnsi="Arial Narrow"/>
                <w:sz w:val="20"/>
              </w:rPr>
              <w:t>)</w:t>
            </w:r>
            <w:r w:rsidRPr="00F16087">
              <w:rPr>
                <w:rFonts w:ascii="Arial Narrow" w:hAnsi="Arial Narrow"/>
                <w:sz w:val="20"/>
                <w:vertAlign w:val="superscript"/>
              </w:rPr>
              <w:t>*</w:t>
            </w:r>
          </w:p>
        </w:tc>
        <w:tc>
          <w:tcPr>
            <w:tcW w:w="426" w:type="pct"/>
            <w:vMerge w:val="restart"/>
            <w:tcBorders>
              <w:top w:val="single" w:sz="4" w:space="0" w:color="auto"/>
            </w:tcBorders>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Otezla®</w:t>
            </w:r>
          </w:p>
        </w:tc>
        <w:tc>
          <w:tcPr>
            <w:tcW w:w="837" w:type="pct"/>
            <w:vMerge w:val="restart"/>
            <w:tcBorders>
              <w:top w:val="single" w:sz="4" w:space="0" w:color="auto"/>
            </w:tcBorders>
            <w:vAlign w:val="center"/>
          </w:tcPr>
          <w:p w:rsidR="001824D9" w:rsidRPr="00F16087" w:rsidRDefault="001824D9" w:rsidP="003662EA">
            <w:pPr>
              <w:keepNext/>
              <w:keepLines/>
              <w:widowControl/>
              <w:jc w:val="center"/>
              <w:rPr>
                <w:rFonts w:ascii="Arial Narrow" w:hAnsi="Arial Narrow"/>
                <w:sz w:val="20"/>
              </w:rPr>
            </w:pPr>
            <w:proofErr w:type="spellStart"/>
            <w:r w:rsidRPr="00F16087">
              <w:rPr>
                <w:rFonts w:ascii="Arial Narrow" w:hAnsi="Arial Narrow"/>
                <w:sz w:val="20"/>
              </w:rPr>
              <w:t>Celgene</w:t>
            </w:r>
            <w:proofErr w:type="spellEnd"/>
            <w:r w:rsidRPr="00F16087">
              <w:rPr>
                <w:rFonts w:ascii="Arial Narrow" w:hAnsi="Arial Narrow"/>
                <w:sz w:val="20"/>
              </w:rPr>
              <w:t xml:space="preserve"> Pty Ltd</w:t>
            </w:r>
          </w:p>
        </w:tc>
      </w:tr>
      <w:tr w:rsidR="001824D9" w:rsidRPr="00F16087" w:rsidTr="009F7C79">
        <w:trPr>
          <w:cantSplit/>
          <w:trHeight w:val="291"/>
        </w:trPr>
        <w:tc>
          <w:tcPr>
            <w:tcW w:w="1358" w:type="pct"/>
          </w:tcPr>
          <w:p w:rsidR="001824D9" w:rsidRPr="00F16087" w:rsidRDefault="001824D9" w:rsidP="003662EA">
            <w:pPr>
              <w:keepNext/>
              <w:keepLines/>
              <w:widowControl/>
              <w:rPr>
                <w:rFonts w:ascii="Arial Narrow" w:hAnsi="Arial Narrow"/>
                <w:sz w:val="20"/>
              </w:rPr>
            </w:pPr>
            <w:r w:rsidRPr="00F16087">
              <w:rPr>
                <w:rFonts w:ascii="Arial Narrow" w:hAnsi="Arial Narrow"/>
                <w:sz w:val="20"/>
              </w:rPr>
              <w:t>Tablets, 30mg</w:t>
            </w:r>
          </w:p>
        </w:tc>
        <w:tc>
          <w:tcPr>
            <w:tcW w:w="424" w:type="pct"/>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56</w:t>
            </w:r>
          </w:p>
        </w:tc>
        <w:tc>
          <w:tcPr>
            <w:tcW w:w="427" w:type="pct"/>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5</w:t>
            </w:r>
          </w:p>
        </w:tc>
        <w:tc>
          <w:tcPr>
            <w:tcW w:w="1527" w:type="pct"/>
            <w:vAlign w:val="center"/>
          </w:tcPr>
          <w:p w:rsidR="001824D9" w:rsidRPr="00F16087" w:rsidRDefault="001824D9" w:rsidP="003662EA">
            <w:pPr>
              <w:keepNext/>
              <w:keepLines/>
              <w:widowControl/>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r w:rsidR="009F7C79" w:rsidRPr="00F16087">
              <w:rPr>
                <w:rFonts w:ascii="Arial Narrow" w:hAnsi="Arial Narrow"/>
                <w:sz w:val="20"/>
              </w:rPr>
              <w:t xml:space="preserve"> (effective: </w:t>
            </w:r>
            <w:r w:rsidRPr="00F16087">
              <w:rPr>
                <w:rFonts w:ascii="Arial Narrow" w:hAnsi="Arial Narrow"/>
                <w:sz w:val="20"/>
              </w:rPr>
              <w:t>$</w:t>
            </w:r>
            <w:r w:rsidR="00EF4316">
              <w:rPr>
                <w:rFonts w:ascii="Arial Narrow" w:hAnsi="Arial Narrow"/>
                <w:noProof/>
                <w:color w:val="000000"/>
                <w:sz w:val="20"/>
                <w:highlight w:val="black"/>
              </w:rPr>
              <w:t>'''''''''''''''''</w:t>
            </w:r>
            <w:r w:rsidRPr="00F16087">
              <w:rPr>
                <w:rFonts w:ascii="Arial Narrow" w:hAnsi="Arial Narrow"/>
                <w:sz w:val="20"/>
              </w:rPr>
              <w:t>)*</w:t>
            </w:r>
          </w:p>
        </w:tc>
        <w:tc>
          <w:tcPr>
            <w:tcW w:w="426" w:type="pct"/>
            <w:vMerge/>
          </w:tcPr>
          <w:p w:rsidR="001824D9" w:rsidRPr="00F16087" w:rsidRDefault="001824D9" w:rsidP="003662EA">
            <w:pPr>
              <w:keepNext/>
              <w:keepLines/>
              <w:widowControl/>
              <w:jc w:val="center"/>
              <w:rPr>
                <w:rFonts w:ascii="Arial Narrow" w:hAnsi="Arial Narrow"/>
                <w:sz w:val="20"/>
              </w:rPr>
            </w:pPr>
          </w:p>
        </w:tc>
        <w:tc>
          <w:tcPr>
            <w:tcW w:w="837" w:type="pct"/>
            <w:vMerge/>
          </w:tcPr>
          <w:p w:rsidR="001824D9" w:rsidRPr="00F16087" w:rsidRDefault="001824D9" w:rsidP="003662EA">
            <w:pPr>
              <w:keepNext/>
              <w:keepLines/>
              <w:widowControl/>
              <w:jc w:val="center"/>
              <w:rPr>
                <w:rFonts w:ascii="Arial Narrow" w:hAnsi="Arial Narrow"/>
                <w:sz w:val="20"/>
              </w:rPr>
            </w:pPr>
          </w:p>
        </w:tc>
      </w:tr>
    </w:tbl>
    <w:p w:rsidR="003B45AB" w:rsidRPr="00F16087" w:rsidRDefault="003B45AB" w:rsidP="003662EA">
      <w:pPr>
        <w:widowControl/>
        <w:tabs>
          <w:tab w:val="left" w:pos="284"/>
        </w:tabs>
        <w:rPr>
          <w:rFonts w:ascii="Arial Narrow" w:hAnsi="Arial Narrow"/>
          <w:sz w:val="18"/>
          <w:szCs w:val="18"/>
        </w:rPr>
      </w:pPr>
    </w:p>
    <w:tbl>
      <w:tblPr>
        <w:tblW w:w="8363" w:type="dxa"/>
        <w:tblInd w:w="817" w:type="dxa"/>
        <w:tblLayout w:type="fixed"/>
        <w:tblLook w:val="0000" w:firstRow="0" w:lastRow="0" w:firstColumn="0" w:lastColumn="0" w:noHBand="0" w:noVBand="0"/>
      </w:tblPr>
      <w:tblGrid>
        <w:gridCol w:w="2126"/>
        <w:gridCol w:w="6237"/>
      </w:tblGrid>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 xml:space="preserve">Category / </w:t>
            </w:r>
          </w:p>
          <w:p w:rsidR="00B47B43" w:rsidRPr="00F16087" w:rsidRDefault="00B47B43" w:rsidP="003662EA">
            <w:pPr>
              <w:widowControl/>
              <w:rPr>
                <w:rFonts w:ascii="Arial Narrow" w:hAnsi="Arial Narrow"/>
                <w:b/>
                <w:sz w:val="20"/>
              </w:rPr>
            </w:pPr>
            <w:r w:rsidRPr="00F16087">
              <w:rPr>
                <w:rFonts w:ascii="Arial Narrow" w:hAnsi="Arial Narrow"/>
                <w:b/>
                <w:sz w:val="20"/>
              </w:rPr>
              <w:t>Program</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t>GENERAL – General Schedule (Code GE)</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Prescriber type:</w:t>
            </w:r>
          </w:p>
          <w:p w:rsidR="00B47B43" w:rsidRPr="00F16087" w:rsidRDefault="00B47B43" w:rsidP="003662EA">
            <w:pPr>
              <w:widowControl/>
              <w:rPr>
                <w:rFonts w:ascii="Arial Narrow" w:hAnsi="Arial Narrow"/>
                <w:b/>
                <w:sz w:val="20"/>
              </w:rPr>
            </w:pP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Check1"/>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 xml:space="preserve">Dental  </w:t>
            </w:r>
            <w:r w:rsidRPr="00F16087">
              <w:rPr>
                <w:rFonts w:ascii="Arial Narrow" w:hAnsi="Arial Narrow"/>
                <w:sz w:val="20"/>
              </w:rPr>
              <w:fldChar w:fldCharType="begin">
                <w:ffData>
                  <w:name w:val=""/>
                  <w:enabled/>
                  <w:calcOnExit w:val="0"/>
                  <w:checkBox>
                    <w:sizeAuto/>
                    <w:default w:val="1"/>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 xml:space="preserve">Medical Practitioners  </w:t>
            </w:r>
            <w:r w:rsidRPr="00F16087">
              <w:rPr>
                <w:rFonts w:ascii="Arial Narrow" w:hAnsi="Arial Narrow"/>
                <w:sz w:val="20"/>
              </w:rPr>
              <w:fldChar w:fldCharType="begin">
                <w:ffData>
                  <w:name w:val="Check3"/>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 xml:space="preserve">Nurse practitioners  </w:t>
            </w:r>
            <w:r w:rsidRPr="00F16087">
              <w:rPr>
                <w:rFonts w:ascii="Arial Narrow" w:hAnsi="Arial Narrow"/>
                <w:sz w:val="20"/>
              </w:rPr>
              <w:fldChar w:fldCharType="begin">
                <w:ffData>
                  <w:name w:val=""/>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Optometrists</w:t>
            </w:r>
          </w:p>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Check5"/>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Midwives</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Episodicity:</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trike/>
                <w:sz w:val="20"/>
              </w:rPr>
            </w:pPr>
            <w:r w:rsidRPr="00F16087">
              <w:rPr>
                <w:rFonts w:ascii="Arial Narrow" w:hAnsi="Arial Narrow"/>
                <w:strike/>
                <w:sz w:val="20"/>
              </w:rPr>
              <w:t>Chronic</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Severity:</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t>Moderate to severe</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Condition:</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t>Plaque psoriasis</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PBS Indication:</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t>Moderate to severe plaque psoriasis</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Treatment phase:</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trike/>
                <w:sz w:val="20"/>
              </w:rPr>
            </w:pPr>
            <w:r w:rsidRPr="00F16087">
              <w:rPr>
                <w:rFonts w:ascii="Arial Narrow" w:hAnsi="Arial Narrow"/>
                <w:strike/>
                <w:sz w:val="20"/>
              </w:rPr>
              <w:t>Initial and continuing</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jc w:val="left"/>
              <w:rPr>
                <w:rFonts w:ascii="Arial Narrow" w:hAnsi="Arial Narrow"/>
                <w:b/>
                <w:sz w:val="20"/>
              </w:rPr>
            </w:pPr>
            <w:r w:rsidRPr="00F16087">
              <w:rPr>
                <w:rFonts w:ascii="Arial Narrow" w:hAnsi="Arial Narrow"/>
                <w:b/>
                <w:sz w:val="20"/>
              </w:rPr>
              <w:t>Restriction Level / Method:</w:t>
            </w:r>
          </w:p>
          <w:p w:rsidR="00B47B43" w:rsidRPr="00F16087" w:rsidRDefault="00B47B43" w:rsidP="003662EA">
            <w:pPr>
              <w:widowControl/>
              <w:rPr>
                <w:rFonts w:ascii="Arial Narrow" w:hAnsi="Arial Narrow"/>
                <w:sz w:val="20"/>
              </w:rPr>
            </w:pPr>
          </w:p>
          <w:p w:rsidR="00B47B43" w:rsidRPr="00F16087" w:rsidRDefault="00B47B43" w:rsidP="003662EA">
            <w:pPr>
              <w:widowControl/>
              <w:rPr>
                <w:rFonts w:ascii="Arial Narrow" w:hAnsi="Arial Narrow"/>
                <w:sz w:val="20"/>
              </w:rPr>
            </w:pP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Check1"/>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Restricted benefit</w:t>
            </w:r>
          </w:p>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Authority Required - In Writing</w:t>
            </w:r>
          </w:p>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Check3"/>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Authority Required - Telephone</w:t>
            </w:r>
          </w:p>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Authority Required - Emergency</w:t>
            </w:r>
          </w:p>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Check5"/>
                  <w:enabled/>
                  <w:calcOnExit w:val="0"/>
                  <w:checkBox>
                    <w:sizeAuto/>
                    <w:default w:val="0"/>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Authority Required - Electronic</w:t>
            </w:r>
          </w:p>
          <w:p w:rsidR="00B47B43" w:rsidRPr="00F16087" w:rsidRDefault="00B47B43" w:rsidP="003662EA">
            <w:pPr>
              <w:widowControl/>
              <w:rPr>
                <w:rFonts w:ascii="Arial Narrow" w:hAnsi="Arial Narrow"/>
                <w:sz w:val="20"/>
              </w:rPr>
            </w:pPr>
            <w:r w:rsidRPr="00F16087">
              <w:rPr>
                <w:rFonts w:ascii="Arial Narrow" w:hAnsi="Arial Narrow"/>
                <w:sz w:val="20"/>
              </w:rPr>
              <w:fldChar w:fldCharType="begin">
                <w:ffData>
                  <w:name w:val=""/>
                  <w:enabled/>
                  <w:calcOnExit w:val="0"/>
                  <w:checkBox>
                    <w:sizeAuto/>
                    <w:default w:val="1"/>
                  </w:checkBox>
                </w:ffData>
              </w:fldChar>
            </w:r>
            <w:r w:rsidRPr="00F16087">
              <w:rPr>
                <w:rFonts w:ascii="Arial Narrow" w:hAnsi="Arial Narrow"/>
                <w:sz w:val="20"/>
              </w:rPr>
              <w:instrText xml:space="preserve"> FORMCHECKBOX </w:instrText>
            </w:r>
            <w:r w:rsidR="004C3B72">
              <w:rPr>
                <w:rFonts w:ascii="Arial Narrow" w:hAnsi="Arial Narrow"/>
                <w:sz w:val="20"/>
              </w:rPr>
            </w:r>
            <w:r w:rsidR="004C3B72">
              <w:rPr>
                <w:rFonts w:ascii="Arial Narrow" w:hAnsi="Arial Narrow"/>
                <w:sz w:val="20"/>
              </w:rPr>
              <w:fldChar w:fldCharType="separate"/>
            </w:r>
            <w:r w:rsidRPr="00F16087">
              <w:rPr>
                <w:rFonts w:ascii="Arial Narrow" w:hAnsi="Arial Narrow"/>
                <w:sz w:val="20"/>
              </w:rPr>
              <w:fldChar w:fldCharType="end"/>
            </w:r>
            <w:r w:rsidRPr="00F16087">
              <w:rPr>
                <w:rFonts w:ascii="Arial Narrow" w:hAnsi="Arial Narrow"/>
                <w:sz w:val="20"/>
              </w:rPr>
              <w:t>Streamlined</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Treatment criteria:</w:t>
            </w:r>
          </w:p>
          <w:p w:rsidR="00B47B43" w:rsidRPr="00F16087" w:rsidRDefault="00B47B43" w:rsidP="003662EA">
            <w:pPr>
              <w:widowControl/>
              <w:rPr>
                <w:rFonts w:ascii="Arial Narrow" w:hAnsi="Arial Narrow"/>
                <w:sz w:val="20"/>
              </w:rPr>
            </w:pP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z w:val="20"/>
              </w:rPr>
            </w:pPr>
            <w:r w:rsidRPr="00F16087">
              <w:rPr>
                <w:rFonts w:ascii="Arial Narrow" w:hAnsi="Arial Narrow"/>
                <w:sz w:val="20"/>
              </w:rPr>
              <w:t>Must be treated by a dermatologist</w:t>
            </w:r>
            <w:r w:rsidR="00046FEE" w:rsidRPr="00F16087">
              <w:rPr>
                <w:rFonts w:ascii="Arial Narrow" w:hAnsi="Arial Narrow"/>
                <w:sz w:val="20"/>
              </w:rPr>
              <w:t xml:space="preserve">, </w:t>
            </w:r>
            <w:r w:rsidRPr="00F16087">
              <w:rPr>
                <w:rFonts w:ascii="Arial Narrow" w:hAnsi="Arial Narrow"/>
                <w:sz w:val="20"/>
              </w:rPr>
              <w:t>OR</w:t>
            </w:r>
          </w:p>
          <w:p w:rsidR="00B47B43" w:rsidRPr="00F16087" w:rsidRDefault="00B47B43" w:rsidP="003662EA">
            <w:pPr>
              <w:widowControl/>
              <w:rPr>
                <w:rFonts w:ascii="Arial Narrow" w:hAnsi="Arial Narrow"/>
                <w:i/>
                <w:sz w:val="20"/>
              </w:rPr>
            </w:pPr>
            <w:r w:rsidRPr="00F16087">
              <w:rPr>
                <w:rFonts w:ascii="Arial Narrow" w:hAnsi="Arial Narrow"/>
                <w:i/>
                <w:sz w:val="20"/>
              </w:rPr>
              <w:t>Must be treated by a general physician with expertise in the management of plaque psoriasis.</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strike/>
                <w:sz w:val="20"/>
              </w:rPr>
            </w:pPr>
            <w:r w:rsidRPr="00F16087">
              <w:rPr>
                <w:rFonts w:ascii="Arial Narrow" w:hAnsi="Arial Narrow"/>
                <w:strike/>
                <w:sz w:val="20"/>
              </w:rPr>
              <w:t>Patient must have moderate to severe disease</w:t>
            </w:r>
          </w:p>
        </w:tc>
      </w:tr>
      <w:tr w:rsidR="00B47B43" w:rsidRPr="00F16087" w:rsidTr="00B47B43">
        <w:trPr>
          <w:cantSplit/>
          <w:trHeight w:val="360"/>
        </w:trPr>
        <w:tc>
          <w:tcPr>
            <w:tcW w:w="2126"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b/>
                <w:sz w:val="20"/>
              </w:rPr>
            </w:pPr>
            <w:r w:rsidRPr="00F16087">
              <w:rPr>
                <w:rFonts w:ascii="Arial Narrow" w:hAnsi="Arial Narrow"/>
                <w:b/>
                <w:sz w:val="20"/>
              </w:rPr>
              <w:lastRenderedPageBreak/>
              <w:t>Administrative Advice</w:t>
            </w:r>
          </w:p>
          <w:p w:rsidR="00B47B43" w:rsidRPr="00F16087" w:rsidRDefault="00B47B43" w:rsidP="003662EA">
            <w:pPr>
              <w:widowControl/>
              <w:rPr>
                <w:rFonts w:ascii="Arial Narrow" w:hAnsi="Arial Narrow"/>
                <w:sz w:val="20"/>
              </w:rPr>
            </w:pPr>
          </w:p>
        </w:tc>
        <w:tc>
          <w:tcPr>
            <w:tcW w:w="6237" w:type="dxa"/>
            <w:tcBorders>
              <w:top w:val="single" w:sz="4" w:space="0" w:color="auto"/>
              <w:left w:val="single" w:sz="4" w:space="0" w:color="auto"/>
              <w:bottom w:val="single" w:sz="4" w:space="0" w:color="auto"/>
              <w:right w:val="single" w:sz="4" w:space="0" w:color="auto"/>
            </w:tcBorders>
          </w:tcPr>
          <w:p w:rsidR="00B47B43" w:rsidRPr="00F16087" w:rsidRDefault="00B47B43" w:rsidP="003662EA">
            <w:pPr>
              <w:widowControl/>
              <w:rPr>
                <w:rFonts w:ascii="Arial Narrow" w:hAnsi="Arial Narrow"/>
                <w:i/>
                <w:sz w:val="20"/>
              </w:rPr>
            </w:pPr>
            <w:r w:rsidRPr="00F16087">
              <w:rPr>
                <w:rFonts w:ascii="Arial Narrow" w:hAnsi="Arial Narrow"/>
                <w:i/>
                <w:sz w:val="20"/>
              </w:rPr>
              <w:t>No increase in the maximum number of repeats may be authorised.</w:t>
            </w:r>
          </w:p>
          <w:p w:rsidR="00B47B43" w:rsidRPr="00F16087" w:rsidRDefault="00B47B43" w:rsidP="003662EA">
            <w:pPr>
              <w:widowControl/>
              <w:rPr>
                <w:rFonts w:ascii="Arial Narrow" w:hAnsi="Arial Narrow"/>
                <w:i/>
                <w:sz w:val="20"/>
              </w:rPr>
            </w:pPr>
          </w:p>
          <w:p w:rsidR="00B47B43" w:rsidRPr="00F16087" w:rsidRDefault="00B47B43" w:rsidP="003662EA">
            <w:pPr>
              <w:widowControl/>
              <w:rPr>
                <w:rFonts w:ascii="Arial Narrow" w:hAnsi="Arial Narrow"/>
                <w:i/>
                <w:sz w:val="20"/>
              </w:rPr>
            </w:pPr>
            <w:r w:rsidRPr="00F16087">
              <w:rPr>
                <w:rFonts w:ascii="Arial Narrow" w:hAnsi="Arial Narrow"/>
                <w:i/>
                <w:sz w:val="20"/>
              </w:rPr>
              <w:t>No increase in the maximum quantity or number of units may be authorised.</w:t>
            </w:r>
          </w:p>
          <w:p w:rsidR="00B47B43" w:rsidRPr="00F16087" w:rsidRDefault="00B47B43" w:rsidP="003662EA">
            <w:pPr>
              <w:widowControl/>
              <w:rPr>
                <w:rFonts w:ascii="Arial Narrow" w:hAnsi="Arial Narrow"/>
                <w:i/>
                <w:sz w:val="20"/>
              </w:rPr>
            </w:pPr>
          </w:p>
          <w:p w:rsidR="00B47B43" w:rsidRPr="00F16087" w:rsidRDefault="00B47B43" w:rsidP="003662EA">
            <w:pPr>
              <w:widowControl/>
              <w:rPr>
                <w:rFonts w:ascii="Arial Narrow" w:hAnsi="Arial Narrow"/>
                <w:sz w:val="20"/>
              </w:rPr>
            </w:pPr>
            <w:r w:rsidRPr="00F16087">
              <w:rPr>
                <w:rFonts w:ascii="Arial Narrow" w:hAnsi="Arial Narrow"/>
                <w:i/>
                <w:sz w:val="20"/>
              </w:rPr>
              <w:t>Special Pricing Arrangements apply.</w:t>
            </w:r>
          </w:p>
        </w:tc>
      </w:tr>
    </w:tbl>
    <w:p w:rsidR="00A7325F" w:rsidRPr="00F16087" w:rsidRDefault="00E862C3" w:rsidP="003662EA">
      <w:pPr>
        <w:pStyle w:val="ListParagraph"/>
        <w:widowControl/>
        <w:rPr>
          <w:rFonts w:ascii="Arial Narrow" w:hAnsi="Arial Narrow"/>
          <w:sz w:val="18"/>
          <w:szCs w:val="18"/>
        </w:rPr>
      </w:pPr>
      <w:r w:rsidRPr="00F16087">
        <w:rPr>
          <w:rFonts w:ascii="Arial Narrow" w:hAnsi="Arial Narrow"/>
          <w:sz w:val="18"/>
          <w:szCs w:val="18"/>
        </w:rPr>
        <w:t>*</w:t>
      </w:r>
      <w:r w:rsidR="00A04D98" w:rsidRPr="00F16087">
        <w:rPr>
          <w:rFonts w:ascii="Arial Narrow" w:hAnsi="Arial Narrow"/>
          <w:sz w:val="18"/>
          <w:szCs w:val="18"/>
        </w:rPr>
        <w:t>Effective DPMQs calculated in the evaluation differed from the proposed effective DPMQs in the submission</w:t>
      </w:r>
      <w:r w:rsidRPr="00F16087">
        <w:rPr>
          <w:rFonts w:ascii="Arial Narrow" w:hAnsi="Arial Narrow"/>
          <w:sz w:val="18"/>
          <w:szCs w:val="18"/>
        </w:rPr>
        <w:t xml:space="preserve"> and the PSCR</w:t>
      </w:r>
      <w:r w:rsidR="00A04D98" w:rsidRPr="00F16087">
        <w:rPr>
          <w:rFonts w:ascii="Arial Narrow" w:hAnsi="Arial Narrow"/>
          <w:sz w:val="18"/>
          <w:szCs w:val="18"/>
        </w:rPr>
        <w:t>. Based on the proposed effective AEMPs</w:t>
      </w:r>
      <w:r w:rsidRPr="00F16087">
        <w:rPr>
          <w:rFonts w:ascii="Arial Narrow" w:hAnsi="Arial Narrow"/>
          <w:sz w:val="18"/>
          <w:szCs w:val="18"/>
        </w:rPr>
        <w:t xml:space="preserve"> in the PSCR</w:t>
      </w:r>
      <w:r w:rsidR="00A04D98" w:rsidRPr="00F16087">
        <w:rPr>
          <w:rFonts w:ascii="Arial Narrow" w:hAnsi="Arial Narrow"/>
          <w:sz w:val="18"/>
          <w:szCs w:val="18"/>
        </w:rPr>
        <w:t>, the evaluation calculated effective DPMQs of $</w:t>
      </w:r>
      <w:r w:rsidR="00EF4316">
        <w:rPr>
          <w:rFonts w:ascii="Arial Narrow" w:hAnsi="Arial Narrow"/>
          <w:noProof/>
          <w:color w:val="000000"/>
          <w:sz w:val="18"/>
          <w:szCs w:val="18"/>
          <w:highlight w:val="black"/>
        </w:rPr>
        <w:t>''''''''''''''''</w:t>
      </w:r>
      <w:r w:rsidR="00A04D98" w:rsidRPr="00F16087">
        <w:rPr>
          <w:rFonts w:ascii="Arial Narrow" w:hAnsi="Arial Narrow"/>
          <w:sz w:val="18"/>
          <w:szCs w:val="18"/>
        </w:rPr>
        <w:t xml:space="preserve"> for the titration pack and $</w:t>
      </w:r>
      <w:r w:rsidR="00EF4316">
        <w:rPr>
          <w:rFonts w:ascii="Arial Narrow" w:hAnsi="Arial Narrow"/>
          <w:noProof/>
          <w:color w:val="000000"/>
          <w:sz w:val="18"/>
          <w:szCs w:val="18"/>
          <w:highlight w:val="black"/>
        </w:rPr>
        <w:t>''''''''''''''''</w:t>
      </w:r>
      <w:r w:rsidR="00A04D98" w:rsidRPr="00F16087">
        <w:rPr>
          <w:rFonts w:ascii="Arial Narrow" w:hAnsi="Arial Narrow"/>
          <w:sz w:val="18"/>
          <w:szCs w:val="18"/>
        </w:rPr>
        <w:t xml:space="preserve"> for the standard pack.</w:t>
      </w:r>
    </w:p>
    <w:p w:rsidR="00A04D98" w:rsidRPr="00F16087" w:rsidRDefault="00A04D98" w:rsidP="003662EA">
      <w:pPr>
        <w:pStyle w:val="ListParagraph"/>
        <w:widowControl/>
        <w:rPr>
          <w:szCs w:val="22"/>
        </w:rPr>
      </w:pPr>
    </w:p>
    <w:p w:rsidR="0033268C" w:rsidRPr="00F16087" w:rsidRDefault="00300A87" w:rsidP="003662EA">
      <w:pPr>
        <w:pStyle w:val="ListParagraph"/>
        <w:widowControl/>
        <w:numPr>
          <w:ilvl w:val="1"/>
          <w:numId w:val="2"/>
        </w:numPr>
        <w:rPr>
          <w:szCs w:val="22"/>
        </w:rPr>
      </w:pPr>
      <w:r w:rsidRPr="00F16087">
        <w:rPr>
          <w:szCs w:val="22"/>
        </w:rPr>
        <w:t>The requested basis for listing was a cost-utility analysis, based on the premise that apremilast is superior to cyclosporin in terms of effectiveness and safety</w:t>
      </w:r>
      <w:r w:rsidR="0033268C" w:rsidRPr="00F16087">
        <w:rPr>
          <w:szCs w:val="22"/>
        </w:rPr>
        <w:t xml:space="preserve"> from non</w:t>
      </w:r>
      <w:r w:rsidR="00046FEE" w:rsidRPr="00F16087">
        <w:rPr>
          <w:szCs w:val="22"/>
        </w:rPr>
        <w:noBreakHyphen/>
      </w:r>
      <w:r w:rsidR="0033268C" w:rsidRPr="00F16087">
        <w:rPr>
          <w:szCs w:val="22"/>
        </w:rPr>
        <w:t xml:space="preserve">randomised </w:t>
      </w:r>
      <w:r w:rsidR="008F1A85" w:rsidRPr="00F16087">
        <w:rPr>
          <w:szCs w:val="22"/>
        </w:rPr>
        <w:t>claims (</w:t>
      </w:r>
      <w:r w:rsidR="0033268C" w:rsidRPr="00F16087">
        <w:rPr>
          <w:szCs w:val="22"/>
        </w:rPr>
        <w:t>persistence</w:t>
      </w:r>
      <w:r w:rsidR="008F1A85" w:rsidRPr="00F16087">
        <w:rPr>
          <w:szCs w:val="22"/>
        </w:rPr>
        <w:t>)</w:t>
      </w:r>
      <w:r w:rsidR="0033268C" w:rsidRPr="00F16087">
        <w:rPr>
          <w:szCs w:val="22"/>
        </w:rPr>
        <w:t xml:space="preserve"> data from the U</w:t>
      </w:r>
      <w:r w:rsidR="002909DA" w:rsidRPr="00F16087">
        <w:rPr>
          <w:szCs w:val="22"/>
        </w:rPr>
        <w:t xml:space="preserve">nited </w:t>
      </w:r>
      <w:r w:rsidR="0033268C" w:rsidRPr="00F16087">
        <w:rPr>
          <w:szCs w:val="22"/>
        </w:rPr>
        <w:t>S</w:t>
      </w:r>
      <w:r w:rsidR="002909DA" w:rsidRPr="00F16087">
        <w:rPr>
          <w:szCs w:val="22"/>
        </w:rPr>
        <w:t>tates</w:t>
      </w:r>
      <w:r w:rsidR="000B4D52" w:rsidRPr="00F16087">
        <w:rPr>
          <w:szCs w:val="22"/>
        </w:rPr>
        <w:t xml:space="preserve"> (US)</w:t>
      </w:r>
      <w:r w:rsidR="0033268C" w:rsidRPr="00F16087">
        <w:rPr>
          <w:szCs w:val="22"/>
        </w:rPr>
        <w:t>.</w:t>
      </w:r>
    </w:p>
    <w:p w:rsidR="008871AD" w:rsidRPr="00F16087" w:rsidRDefault="008871AD" w:rsidP="003662EA">
      <w:pPr>
        <w:pStyle w:val="ListParagraph"/>
        <w:widowControl/>
        <w:rPr>
          <w:szCs w:val="22"/>
        </w:rPr>
      </w:pPr>
    </w:p>
    <w:p w:rsidR="0042071C" w:rsidRPr="00F16087" w:rsidRDefault="0033268C" w:rsidP="003662EA">
      <w:pPr>
        <w:pStyle w:val="ListParagraph"/>
        <w:widowControl/>
        <w:numPr>
          <w:ilvl w:val="1"/>
          <w:numId w:val="2"/>
        </w:numPr>
        <w:rPr>
          <w:szCs w:val="22"/>
        </w:rPr>
      </w:pPr>
      <w:r w:rsidRPr="00F16087">
        <w:rPr>
          <w:color w:val="000000" w:themeColor="text1"/>
          <w:szCs w:val="22"/>
        </w:rPr>
        <w:t xml:space="preserve">The requested basis for listing in the previous submission </w:t>
      </w:r>
      <w:r w:rsidR="008F1A85" w:rsidRPr="00F16087">
        <w:rPr>
          <w:color w:val="000000" w:themeColor="text1"/>
          <w:szCs w:val="22"/>
        </w:rPr>
        <w:t>considered at the March</w:t>
      </w:r>
      <w:r w:rsidR="00B303B3" w:rsidRPr="00F16087">
        <w:rPr>
          <w:color w:val="000000" w:themeColor="text1"/>
          <w:szCs w:val="22"/>
        </w:rPr>
        <w:t> </w:t>
      </w:r>
      <w:r w:rsidR="008F1A85" w:rsidRPr="00F16087">
        <w:rPr>
          <w:color w:val="000000" w:themeColor="text1"/>
          <w:szCs w:val="22"/>
        </w:rPr>
        <w:t xml:space="preserve">2015 PBAC meeting </w:t>
      </w:r>
      <w:r w:rsidRPr="00F16087">
        <w:rPr>
          <w:color w:val="000000" w:themeColor="text1"/>
          <w:szCs w:val="22"/>
        </w:rPr>
        <w:t>was a cost</w:t>
      </w:r>
      <w:r w:rsidR="0042071C" w:rsidRPr="00F16087">
        <w:rPr>
          <w:color w:val="000000" w:themeColor="text1"/>
          <w:szCs w:val="22"/>
        </w:rPr>
        <w:noBreakHyphen/>
      </w:r>
      <w:r w:rsidRPr="00F16087">
        <w:rPr>
          <w:color w:val="000000" w:themeColor="text1"/>
          <w:szCs w:val="22"/>
        </w:rPr>
        <w:t xml:space="preserve">utility analysis based on the unsupported premise that the listing of apremilast </w:t>
      </w:r>
      <w:r w:rsidR="008F1A85" w:rsidRPr="00F16087">
        <w:rPr>
          <w:color w:val="000000" w:themeColor="text1"/>
          <w:szCs w:val="22"/>
        </w:rPr>
        <w:t xml:space="preserve">would </w:t>
      </w:r>
      <w:r w:rsidRPr="00F16087">
        <w:rPr>
          <w:color w:val="000000" w:themeColor="text1"/>
          <w:szCs w:val="22"/>
        </w:rPr>
        <w:t>extend the period of time patients would be treated with systemic therapies for psoriasis and delay the commencement of biologics.</w:t>
      </w:r>
    </w:p>
    <w:p w:rsidR="00C721C3" w:rsidRPr="00F16087" w:rsidRDefault="00C721C3" w:rsidP="003662EA">
      <w:pPr>
        <w:pStyle w:val="ListParagraph"/>
        <w:widowControl/>
        <w:rPr>
          <w:szCs w:val="22"/>
        </w:rPr>
      </w:pPr>
    </w:p>
    <w:p w:rsidR="00C721C3" w:rsidRPr="00F16087" w:rsidRDefault="00C801FE" w:rsidP="003662EA">
      <w:pPr>
        <w:pStyle w:val="ListParagraph"/>
        <w:widowControl/>
        <w:numPr>
          <w:ilvl w:val="1"/>
          <w:numId w:val="2"/>
        </w:numPr>
        <w:rPr>
          <w:szCs w:val="22"/>
        </w:rPr>
      </w:pPr>
      <w:r w:rsidRPr="00F16087">
        <w:rPr>
          <w:szCs w:val="22"/>
        </w:rPr>
        <w:t xml:space="preserve">The </w:t>
      </w:r>
      <w:r w:rsidR="00C721C3" w:rsidRPr="00F16087">
        <w:rPr>
          <w:szCs w:val="22"/>
        </w:rPr>
        <w:t xml:space="preserve">DUSC noted that the requested restriction only requires that eligible patients must have moderate to severe disease. This criterion is broader than the approved indication where a patient must be an adult and be a candidate for phototherapy or systemic therapy. </w:t>
      </w:r>
      <w:r w:rsidRPr="00F16087">
        <w:rPr>
          <w:szCs w:val="22"/>
        </w:rPr>
        <w:t xml:space="preserve">The </w:t>
      </w:r>
      <w:r w:rsidR="00C721C3" w:rsidRPr="00F16087">
        <w:rPr>
          <w:szCs w:val="22"/>
        </w:rPr>
        <w:t>DUSC further noted that the restriction does not preclude access to patients who have received prior therapy</w:t>
      </w:r>
      <w:r w:rsidR="000B4D52" w:rsidRPr="00F16087">
        <w:rPr>
          <w:szCs w:val="22"/>
        </w:rPr>
        <w:t xml:space="preserve"> with biologics</w:t>
      </w:r>
      <w:r w:rsidR="00C721C3" w:rsidRPr="00F16087">
        <w:rPr>
          <w:szCs w:val="22"/>
        </w:rPr>
        <w:t>.</w:t>
      </w:r>
    </w:p>
    <w:p w:rsidR="00394857" w:rsidRPr="00F16087" w:rsidRDefault="00394857" w:rsidP="003662EA">
      <w:pPr>
        <w:widowControl/>
        <w:rPr>
          <w:szCs w:val="22"/>
        </w:rPr>
      </w:pPr>
    </w:p>
    <w:p w:rsidR="00101327" w:rsidRPr="00F16087" w:rsidRDefault="00101327" w:rsidP="003662EA">
      <w:pPr>
        <w:widowControl/>
      </w:pPr>
    </w:p>
    <w:p w:rsidR="00F338FF" w:rsidRPr="00F16087" w:rsidRDefault="00F338FF" w:rsidP="003662EA">
      <w:pPr>
        <w:pStyle w:val="Heading2"/>
      </w:pPr>
      <w:bookmarkStart w:id="4" w:name="_Toc461464564"/>
      <w:r w:rsidRPr="00F16087">
        <w:t>Background</w:t>
      </w:r>
      <w:bookmarkEnd w:id="4"/>
    </w:p>
    <w:p w:rsidR="00B60939" w:rsidRPr="00F16087" w:rsidRDefault="00B60939" w:rsidP="003662EA">
      <w:pPr>
        <w:widowControl/>
        <w:rPr>
          <w:szCs w:val="22"/>
        </w:rPr>
      </w:pPr>
    </w:p>
    <w:p w:rsidR="00166C1D" w:rsidRPr="00F16087" w:rsidRDefault="00B27AFF" w:rsidP="00166C1D">
      <w:pPr>
        <w:pStyle w:val="ListParagraph"/>
        <w:widowControl/>
        <w:numPr>
          <w:ilvl w:val="1"/>
          <w:numId w:val="1"/>
        </w:numPr>
        <w:rPr>
          <w:rFonts w:asciiTheme="minorBidi" w:hAnsiTheme="minorBidi" w:cstheme="minorBidi"/>
          <w:szCs w:val="22"/>
        </w:rPr>
      </w:pPr>
      <w:r w:rsidRPr="00F16087">
        <w:rPr>
          <w:b/>
          <w:szCs w:val="22"/>
        </w:rPr>
        <w:t>TGA status at time of PBAC consideration:</w:t>
      </w:r>
      <w:r w:rsidRPr="00F16087">
        <w:rPr>
          <w:szCs w:val="22"/>
        </w:rPr>
        <w:t xml:space="preserve"> </w:t>
      </w:r>
      <w:r w:rsidR="001622BB" w:rsidRPr="00F16087">
        <w:rPr>
          <w:szCs w:val="22"/>
        </w:rPr>
        <w:t>Apremilast was TGA registered on 19</w:t>
      </w:r>
      <w:r w:rsidR="00284FE4" w:rsidRPr="00F16087">
        <w:rPr>
          <w:szCs w:val="22"/>
        </w:rPr>
        <w:t> </w:t>
      </w:r>
      <w:r w:rsidR="001622BB" w:rsidRPr="00F16087">
        <w:rPr>
          <w:szCs w:val="22"/>
        </w:rPr>
        <w:t xml:space="preserve">March 2015 </w:t>
      </w:r>
      <w:r w:rsidR="001622BB" w:rsidRPr="00F16087">
        <w:t xml:space="preserve">for the </w:t>
      </w:r>
      <w:r w:rsidR="00166C1D" w:rsidRPr="00F16087">
        <w:t>t</w:t>
      </w:r>
      <w:r w:rsidR="005D5D81" w:rsidRPr="00F16087">
        <w:rPr>
          <w:rFonts w:asciiTheme="minorBidi" w:hAnsiTheme="minorBidi" w:cstheme="minorBidi"/>
          <w:szCs w:val="22"/>
        </w:rPr>
        <w:t>reatment of adult patients with moderate-to-severe plaque psoriasis who are candidates for phototherapy or systemic therapy</w:t>
      </w:r>
      <w:r w:rsidR="00166C1D" w:rsidRPr="00F16087">
        <w:rPr>
          <w:rFonts w:asciiTheme="minorBidi" w:hAnsiTheme="minorBidi" w:cstheme="minorBidi"/>
          <w:szCs w:val="22"/>
        </w:rPr>
        <w:t>.</w:t>
      </w:r>
    </w:p>
    <w:p w:rsidR="00B60939" w:rsidRPr="00F16087" w:rsidRDefault="00B60939" w:rsidP="00166C1D">
      <w:pPr>
        <w:pStyle w:val="ListParagraph"/>
        <w:widowControl/>
      </w:pPr>
    </w:p>
    <w:p w:rsidR="001D112E" w:rsidRPr="00F16087" w:rsidRDefault="0042071C" w:rsidP="003662EA">
      <w:pPr>
        <w:pStyle w:val="ListParagraph"/>
        <w:widowControl/>
        <w:numPr>
          <w:ilvl w:val="1"/>
          <w:numId w:val="1"/>
        </w:numPr>
        <w:rPr>
          <w:szCs w:val="22"/>
        </w:rPr>
      </w:pPr>
      <w:r w:rsidRPr="00F16087">
        <w:rPr>
          <w:szCs w:val="22"/>
        </w:rPr>
        <w:t xml:space="preserve">The </w:t>
      </w:r>
      <w:r w:rsidR="005070FD" w:rsidRPr="00F16087">
        <w:rPr>
          <w:szCs w:val="22"/>
        </w:rPr>
        <w:t xml:space="preserve">PBAC previously considered apremilast for </w:t>
      </w:r>
      <w:r w:rsidR="00E41050" w:rsidRPr="00F16087">
        <w:rPr>
          <w:szCs w:val="22"/>
        </w:rPr>
        <w:t xml:space="preserve">plaque </w:t>
      </w:r>
      <w:r w:rsidR="005070FD" w:rsidRPr="00F16087">
        <w:rPr>
          <w:szCs w:val="22"/>
        </w:rPr>
        <w:t>psoriasis at the March 2015 meeting.</w:t>
      </w:r>
      <w:r w:rsidR="00E41050" w:rsidRPr="00F16087">
        <w:rPr>
          <w:szCs w:val="22"/>
        </w:rPr>
        <w:t xml:space="preserve"> </w:t>
      </w:r>
      <w:r w:rsidR="003A3432" w:rsidRPr="00F16087">
        <w:rPr>
          <w:szCs w:val="22"/>
        </w:rPr>
        <w:t xml:space="preserve">A summary of the comparison of the </w:t>
      </w:r>
      <w:r w:rsidR="00E41050" w:rsidRPr="00F16087">
        <w:rPr>
          <w:szCs w:val="22"/>
        </w:rPr>
        <w:t xml:space="preserve">March 2015 </w:t>
      </w:r>
      <w:r w:rsidR="003A3432" w:rsidRPr="00F16087">
        <w:rPr>
          <w:szCs w:val="22"/>
        </w:rPr>
        <w:t xml:space="preserve">submission and this </w:t>
      </w:r>
      <w:r w:rsidR="00E41050" w:rsidRPr="00F16087">
        <w:rPr>
          <w:szCs w:val="22"/>
        </w:rPr>
        <w:t>resub</w:t>
      </w:r>
      <w:r w:rsidR="003A3432" w:rsidRPr="00F16087">
        <w:rPr>
          <w:szCs w:val="22"/>
        </w:rPr>
        <w:t xml:space="preserve">mission is outlined </w:t>
      </w:r>
      <w:r w:rsidRPr="00F16087">
        <w:rPr>
          <w:szCs w:val="22"/>
        </w:rPr>
        <w:t>in Table 1</w:t>
      </w:r>
      <w:r w:rsidR="003A3432" w:rsidRPr="00F16087">
        <w:rPr>
          <w:szCs w:val="22"/>
        </w:rPr>
        <w:t>.</w:t>
      </w:r>
    </w:p>
    <w:p w:rsidR="001F7C36" w:rsidRPr="00F16087" w:rsidRDefault="001F7C36" w:rsidP="003662EA">
      <w:pPr>
        <w:pStyle w:val="ListParagraph"/>
        <w:widowControl/>
        <w:rPr>
          <w:szCs w:val="22"/>
        </w:rPr>
      </w:pPr>
    </w:p>
    <w:p w:rsidR="00A72356" w:rsidRPr="00F16087" w:rsidRDefault="00A72356" w:rsidP="003662EA">
      <w:pPr>
        <w:pStyle w:val="Caption"/>
        <w:keepNext/>
        <w:widowControl/>
        <w:ind w:firstLine="720"/>
      </w:pPr>
      <w:r w:rsidRPr="00F16087">
        <w:t xml:space="preserve">Table </w:t>
      </w:r>
      <w:r w:rsidR="00D209A6" w:rsidRPr="00F16087">
        <w:rPr>
          <w:noProof/>
        </w:rPr>
        <w:t>1</w:t>
      </w:r>
      <w:r w:rsidRPr="00F16087">
        <w:t xml:space="preserve">: Summary of the previous submission and current </w:t>
      </w:r>
      <w:r w:rsidR="00E41050" w:rsidRPr="00F16087">
        <w:t>resub</w:t>
      </w:r>
      <w:r w:rsidRPr="00F16087">
        <w:t>mission</w:t>
      </w:r>
    </w:p>
    <w:tbl>
      <w:tblPr>
        <w:tblW w:w="829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6"/>
        <w:gridCol w:w="3738"/>
        <w:gridCol w:w="3587"/>
      </w:tblGrid>
      <w:tr w:rsidR="00E763F4" w:rsidRPr="00F16087" w:rsidTr="00912356">
        <w:trPr>
          <w:trHeight w:val="220"/>
          <w:tblHeader/>
        </w:trPr>
        <w:tc>
          <w:tcPr>
            <w:tcW w:w="966" w:type="dxa"/>
          </w:tcPr>
          <w:p w:rsidR="00E763F4" w:rsidRPr="00F16087" w:rsidRDefault="00E763F4" w:rsidP="003662EA">
            <w:pPr>
              <w:keepNext/>
              <w:widowControl/>
              <w:jc w:val="left"/>
              <w:rPr>
                <w:rFonts w:ascii="Arial Narrow" w:hAnsi="Arial Narrow"/>
                <w:sz w:val="19"/>
                <w:szCs w:val="19"/>
              </w:rPr>
            </w:pPr>
          </w:p>
        </w:tc>
        <w:tc>
          <w:tcPr>
            <w:tcW w:w="3738" w:type="dxa"/>
            <w:vAlign w:val="center"/>
          </w:tcPr>
          <w:p w:rsidR="00E763F4" w:rsidRPr="00F16087" w:rsidRDefault="00E763F4" w:rsidP="003662EA">
            <w:pPr>
              <w:keepNext/>
              <w:widowControl/>
              <w:jc w:val="center"/>
              <w:rPr>
                <w:rFonts w:ascii="Arial Narrow" w:hAnsi="Arial Narrow"/>
                <w:b/>
                <w:sz w:val="19"/>
                <w:szCs w:val="19"/>
              </w:rPr>
            </w:pPr>
            <w:r w:rsidRPr="00F16087">
              <w:rPr>
                <w:rFonts w:ascii="Arial Narrow" w:hAnsi="Arial Narrow"/>
                <w:b/>
                <w:sz w:val="19"/>
                <w:szCs w:val="19"/>
              </w:rPr>
              <w:t>March 2015</w:t>
            </w:r>
            <w:r w:rsidR="00E41050" w:rsidRPr="00F16087">
              <w:rPr>
                <w:rFonts w:ascii="Arial Narrow" w:hAnsi="Arial Narrow"/>
                <w:b/>
                <w:sz w:val="19"/>
                <w:szCs w:val="19"/>
              </w:rPr>
              <w:t xml:space="preserve"> submission</w:t>
            </w:r>
          </w:p>
        </w:tc>
        <w:tc>
          <w:tcPr>
            <w:tcW w:w="3587" w:type="dxa"/>
            <w:vAlign w:val="center"/>
          </w:tcPr>
          <w:p w:rsidR="00E763F4" w:rsidRPr="00F16087" w:rsidRDefault="00E763F4" w:rsidP="003662EA">
            <w:pPr>
              <w:keepNext/>
              <w:widowControl/>
              <w:jc w:val="center"/>
              <w:rPr>
                <w:rFonts w:ascii="Arial Narrow" w:hAnsi="Arial Narrow"/>
                <w:b/>
                <w:sz w:val="19"/>
                <w:szCs w:val="19"/>
              </w:rPr>
            </w:pPr>
            <w:r w:rsidRPr="00F16087">
              <w:rPr>
                <w:rFonts w:ascii="Arial Narrow" w:hAnsi="Arial Narrow"/>
                <w:b/>
                <w:sz w:val="19"/>
                <w:szCs w:val="19"/>
              </w:rPr>
              <w:t xml:space="preserve">Current </w:t>
            </w:r>
            <w:r w:rsidR="00E41050" w:rsidRPr="00F16087">
              <w:rPr>
                <w:rFonts w:ascii="Arial Narrow" w:hAnsi="Arial Narrow"/>
                <w:b/>
                <w:sz w:val="19"/>
                <w:szCs w:val="19"/>
              </w:rPr>
              <w:t>resub</w:t>
            </w:r>
            <w:r w:rsidRPr="00F16087">
              <w:rPr>
                <w:rFonts w:ascii="Arial Narrow" w:hAnsi="Arial Narrow"/>
                <w:b/>
                <w:sz w:val="19"/>
                <w:szCs w:val="19"/>
              </w:rPr>
              <w:t>mission</w:t>
            </w:r>
          </w:p>
        </w:tc>
      </w:tr>
      <w:tr w:rsidR="00E763F4" w:rsidRPr="00F16087" w:rsidTr="00912356">
        <w:trPr>
          <w:trHeight w:val="525"/>
        </w:trPr>
        <w:tc>
          <w:tcPr>
            <w:tcW w:w="966" w:type="dxa"/>
            <w:shd w:val="clear" w:color="auto" w:fill="auto"/>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Requested PBS listing</w:t>
            </w:r>
          </w:p>
        </w:tc>
        <w:tc>
          <w:tcPr>
            <w:tcW w:w="3738" w:type="dxa"/>
            <w:shd w:val="clear" w:color="auto" w:fill="auto"/>
          </w:tcPr>
          <w:p w:rsidR="00E763F4" w:rsidRPr="00F16087" w:rsidRDefault="00E763F4" w:rsidP="003662EA">
            <w:pPr>
              <w:widowControl/>
              <w:rPr>
                <w:rFonts w:ascii="Arial Narrow" w:hAnsi="Arial Narrow"/>
                <w:sz w:val="19"/>
                <w:szCs w:val="19"/>
              </w:rPr>
            </w:pPr>
            <w:r w:rsidRPr="00F16087">
              <w:rPr>
                <w:rFonts w:ascii="Arial Narrow" w:hAnsi="Arial Narrow"/>
                <w:sz w:val="19"/>
                <w:szCs w:val="19"/>
              </w:rPr>
              <w:t>Moderate-to-severe plaque psoriasis, where other systemic therapies (including methotrexate) are ineffective or inappropriate.</w:t>
            </w:r>
          </w:p>
          <w:p w:rsidR="002346F2" w:rsidRDefault="002346F2" w:rsidP="003662EA">
            <w:pPr>
              <w:widowControl/>
              <w:jc w:val="left"/>
              <w:rPr>
                <w:rFonts w:ascii="Arial Narrow" w:hAnsi="Arial Narrow"/>
                <w:b/>
                <w:sz w:val="19"/>
                <w:szCs w:val="19"/>
                <w:lang w:val="fr-FR"/>
              </w:rPr>
            </w:pPr>
          </w:p>
          <w:p w:rsidR="00E763F4" w:rsidRPr="00F16087" w:rsidRDefault="00E763F4" w:rsidP="003662EA">
            <w:pPr>
              <w:widowControl/>
              <w:jc w:val="left"/>
              <w:rPr>
                <w:rFonts w:ascii="Arial Narrow" w:hAnsi="Arial Narrow"/>
                <w:sz w:val="19"/>
                <w:szCs w:val="19"/>
              </w:rPr>
            </w:pPr>
            <w:r w:rsidRPr="00F16087">
              <w:rPr>
                <w:rFonts w:ascii="Arial Narrow" w:hAnsi="Arial Narrow"/>
                <w:b/>
                <w:sz w:val="19"/>
                <w:szCs w:val="19"/>
                <w:lang w:val="fr-FR"/>
              </w:rPr>
              <w:t xml:space="preserve">PBAC Comment: </w:t>
            </w:r>
            <w:r w:rsidRPr="00F16087">
              <w:rPr>
                <w:rFonts w:ascii="Arial Narrow" w:hAnsi="Arial Narrow"/>
                <w:sz w:val="19"/>
                <w:szCs w:val="19"/>
                <w:lang w:val="fr-FR"/>
              </w:rPr>
              <w:t>(</w:t>
            </w:r>
            <w:proofErr w:type="spellStart"/>
            <w:r w:rsidRPr="00F16087">
              <w:rPr>
                <w:rFonts w:ascii="Arial Narrow" w:hAnsi="Arial Narrow"/>
                <w:sz w:val="19"/>
                <w:szCs w:val="19"/>
                <w:lang w:val="fr-FR"/>
              </w:rPr>
              <w:t>paragraph</w:t>
            </w:r>
            <w:proofErr w:type="spellEnd"/>
            <w:r w:rsidRPr="00F16087">
              <w:rPr>
                <w:rFonts w:ascii="Arial Narrow" w:hAnsi="Arial Narrow"/>
                <w:sz w:val="19"/>
                <w:szCs w:val="19"/>
                <w:lang w:val="fr-FR"/>
              </w:rPr>
              <w:t xml:space="preserve"> 7.2)</w:t>
            </w:r>
            <w:r w:rsidR="00D37DEA" w:rsidRPr="00F16087">
              <w:rPr>
                <w:rFonts w:ascii="Arial Narrow" w:hAnsi="Arial Narrow"/>
                <w:sz w:val="19"/>
                <w:szCs w:val="19"/>
                <w:lang w:val="fr-FR"/>
              </w:rPr>
              <w:t>.</w:t>
            </w:r>
            <w:r w:rsidRPr="00F16087">
              <w:rPr>
                <w:rFonts w:ascii="Arial Narrow" w:hAnsi="Arial Narrow"/>
                <w:sz w:val="19"/>
                <w:szCs w:val="19"/>
                <w:lang w:val="fr-FR"/>
              </w:rPr>
              <w:t xml:space="preserve"> </w:t>
            </w:r>
            <w:r w:rsidRPr="00F16087">
              <w:rPr>
                <w:rFonts w:ascii="Arial Narrow" w:hAnsi="Arial Narrow"/>
                <w:sz w:val="19"/>
                <w:szCs w:val="19"/>
              </w:rPr>
              <w:t>The PBAC expressed concerns over the potential delay in prescribers being able to initiate bDMARD therapy.</w:t>
            </w:r>
          </w:p>
        </w:tc>
        <w:tc>
          <w:tcPr>
            <w:tcW w:w="3587" w:type="dxa"/>
            <w:shd w:val="clear" w:color="auto" w:fill="auto"/>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Moderate-to-severe plaque psoriasis</w:t>
            </w:r>
            <w:r w:rsidR="0042071C" w:rsidRPr="00F16087">
              <w:rPr>
                <w:rFonts w:ascii="Arial Narrow" w:hAnsi="Arial Narrow"/>
                <w:sz w:val="19"/>
                <w:szCs w:val="19"/>
              </w:rPr>
              <w:t xml:space="preserve"> </w:t>
            </w:r>
          </w:p>
        </w:tc>
      </w:tr>
      <w:tr w:rsidR="00E763F4" w:rsidRPr="00F16087" w:rsidTr="00912356">
        <w:trPr>
          <w:trHeight w:val="422"/>
        </w:trPr>
        <w:tc>
          <w:tcPr>
            <w:tcW w:w="966" w:type="dxa"/>
          </w:tcPr>
          <w:p w:rsidR="00E763F4" w:rsidRPr="00F16087" w:rsidRDefault="00E763F4" w:rsidP="003662EA">
            <w:pPr>
              <w:widowControl/>
              <w:rPr>
                <w:rFonts w:ascii="Arial Narrow" w:hAnsi="Arial Narrow"/>
                <w:sz w:val="19"/>
                <w:szCs w:val="19"/>
              </w:rPr>
            </w:pPr>
            <w:r w:rsidRPr="00F16087">
              <w:rPr>
                <w:rFonts w:ascii="Arial Narrow" w:hAnsi="Arial Narrow"/>
                <w:sz w:val="19"/>
                <w:szCs w:val="19"/>
              </w:rPr>
              <w:t>Requested price</w:t>
            </w:r>
          </w:p>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(DPMQs)</w:t>
            </w:r>
          </w:p>
        </w:tc>
        <w:tc>
          <w:tcPr>
            <w:tcW w:w="3738" w:type="dxa"/>
          </w:tcPr>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Apremilast (10mg x</w:t>
            </w:r>
            <w:r w:rsidR="0042071C" w:rsidRPr="00F16087">
              <w:rPr>
                <w:rFonts w:ascii="Arial Narrow" w:hAnsi="Arial Narrow"/>
                <w:sz w:val="19"/>
                <w:szCs w:val="19"/>
              </w:rPr>
              <w:t xml:space="preserve"> </w:t>
            </w:r>
            <w:r w:rsidRPr="00F16087">
              <w:rPr>
                <w:rFonts w:ascii="Arial Narrow" w:hAnsi="Arial Narrow"/>
                <w:sz w:val="19"/>
                <w:szCs w:val="19"/>
              </w:rPr>
              <w:t>4, 20mg x</w:t>
            </w:r>
            <w:r w:rsidR="0042071C" w:rsidRPr="00F16087">
              <w:rPr>
                <w:rFonts w:ascii="Arial Narrow" w:hAnsi="Arial Narrow"/>
                <w:sz w:val="19"/>
                <w:szCs w:val="19"/>
              </w:rPr>
              <w:t xml:space="preserve"> </w:t>
            </w:r>
            <w:r w:rsidRPr="00F16087">
              <w:rPr>
                <w:rFonts w:ascii="Arial Narrow" w:hAnsi="Arial Narrow"/>
                <w:sz w:val="19"/>
                <w:szCs w:val="19"/>
              </w:rPr>
              <w:t>4, 30mg x</w:t>
            </w:r>
            <w:r w:rsidR="0042071C" w:rsidRPr="00F16087">
              <w:rPr>
                <w:rFonts w:ascii="Arial Narrow" w:hAnsi="Arial Narrow"/>
                <w:sz w:val="19"/>
                <w:szCs w:val="19"/>
              </w:rPr>
              <w:t xml:space="preserve"> </w:t>
            </w:r>
            <w:r w:rsidRPr="00F16087">
              <w:rPr>
                <w:rFonts w:ascii="Arial Narrow" w:hAnsi="Arial Narrow"/>
                <w:sz w:val="19"/>
                <w:szCs w:val="19"/>
              </w:rPr>
              <w:t>19): $</w:t>
            </w:r>
            <w:r w:rsidR="00EF4316">
              <w:rPr>
                <w:rFonts w:ascii="Arial Narrow" w:hAnsi="Arial Narrow"/>
                <w:noProof/>
                <w:color w:val="000000"/>
                <w:sz w:val="19"/>
                <w:szCs w:val="19"/>
                <w:highlight w:val="black"/>
              </w:rPr>
              <w:t>'''''''''''''''''</w:t>
            </w:r>
          </w:p>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Apremilast 30 mg (56): $</w:t>
            </w:r>
            <w:r w:rsidR="00EF4316">
              <w:rPr>
                <w:rFonts w:ascii="Arial Narrow" w:hAnsi="Arial Narrow"/>
                <w:noProof/>
                <w:color w:val="000000"/>
                <w:sz w:val="19"/>
                <w:szCs w:val="19"/>
                <w:highlight w:val="black"/>
              </w:rPr>
              <w:t>''''''''''''''''''''</w:t>
            </w:r>
          </w:p>
        </w:tc>
        <w:tc>
          <w:tcPr>
            <w:tcW w:w="3587"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Unchanged</w:t>
            </w:r>
            <w:r w:rsidR="00D37DEA" w:rsidRPr="00F16087">
              <w:rPr>
                <w:rFonts w:ascii="Arial Narrow" w:hAnsi="Arial Narrow"/>
                <w:sz w:val="19"/>
                <w:szCs w:val="19"/>
              </w:rPr>
              <w:t xml:space="preserve"> published price, but p</w:t>
            </w:r>
            <w:r w:rsidRPr="00F16087">
              <w:rPr>
                <w:rFonts w:ascii="Arial Narrow" w:hAnsi="Arial Narrow"/>
                <w:sz w:val="19"/>
                <w:szCs w:val="19"/>
              </w:rPr>
              <w:t>ropose effective prices:</w:t>
            </w:r>
          </w:p>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Apremilast (10mg x</w:t>
            </w:r>
            <w:r w:rsidR="0042071C" w:rsidRPr="00F16087">
              <w:rPr>
                <w:rFonts w:ascii="Arial Narrow" w:hAnsi="Arial Narrow"/>
                <w:sz w:val="19"/>
                <w:szCs w:val="19"/>
              </w:rPr>
              <w:t xml:space="preserve"> </w:t>
            </w:r>
            <w:r w:rsidRPr="00F16087">
              <w:rPr>
                <w:rFonts w:ascii="Arial Narrow" w:hAnsi="Arial Narrow"/>
                <w:sz w:val="19"/>
                <w:szCs w:val="19"/>
              </w:rPr>
              <w:t>4, 20mg x</w:t>
            </w:r>
            <w:r w:rsidR="0042071C" w:rsidRPr="00F16087">
              <w:rPr>
                <w:rFonts w:ascii="Arial Narrow" w:hAnsi="Arial Narrow"/>
                <w:sz w:val="19"/>
                <w:szCs w:val="19"/>
              </w:rPr>
              <w:t xml:space="preserve"> </w:t>
            </w:r>
            <w:r w:rsidRPr="00F16087">
              <w:rPr>
                <w:rFonts w:ascii="Arial Narrow" w:hAnsi="Arial Narrow"/>
                <w:sz w:val="19"/>
                <w:szCs w:val="19"/>
              </w:rPr>
              <w:t>4, 30mg x</w:t>
            </w:r>
            <w:r w:rsidR="0042071C" w:rsidRPr="00F16087">
              <w:rPr>
                <w:rFonts w:ascii="Arial Narrow" w:hAnsi="Arial Narrow"/>
                <w:sz w:val="19"/>
                <w:szCs w:val="19"/>
              </w:rPr>
              <w:t xml:space="preserve"> </w:t>
            </w:r>
            <w:r w:rsidRPr="00F16087">
              <w:rPr>
                <w:rFonts w:ascii="Arial Narrow" w:hAnsi="Arial Narrow"/>
                <w:sz w:val="19"/>
                <w:szCs w:val="19"/>
              </w:rPr>
              <w:t>19): $</w:t>
            </w:r>
            <w:r w:rsidR="00EF4316">
              <w:rPr>
                <w:rFonts w:ascii="Arial Narrow" w:hAnsi="Arial Narrow"/>
                <w:noProof/>
                <w:color w:val="000000"/>
                <w:sz w:val="19"/>
                <w:szCs w:val="19"/>
                <w:highlight w:val="black"/>
              </w:rPr>
              <w:t>''''''''''''''''</w:t>
            </w:r>
          </w:p>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Apremilast 30 mg (56): $</w:t>
            </w:r>
            <w:r w:rsidR="00EF4316">
              <w:rPr>
                <w:rFonts w:ascii="Arial Narrow" w:hAnsi="Arial Narrow"/>
                <w:noProof/>
                <w:color w:val="000000"/>
                <w:sz w:val="19"/>
                <w:szCs w:val="19"/>
                <w:highlight w:val="black"/>
              </w:rPr>
              <w:t>'''''''''''''''''</w:t>
            </w:r>
          </w:p>
        </w:tc>
      </w:tr>
      <w:tr w:rsidR="00E763F4" w:rsidRPr="00F16087" w:rsidTr="002346F2">
        <w:trPr>
          <w:trHeight w:val="242"/>
        </w:trPr>
        <w:tc>
          <w:tcPr>
            <w:tcW w:w="966"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Clinical evidence</w:t>
            </w:r>
          </w:p>
        </w:tc>
        <w:tc>
          <w:tcPr>
            <w:tcW w:w="3738" w:type="dxa"/>
          </w:tcPr>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Apremilast versus placebo: 3 pivotal trials</w:t>
            </w:r>
          </w:p>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Cyclosporin versus placebo:1 pivotal trial</w:t>
            </w:r>
          </w:p>
          <w:p w:rsidR="002346F2" w:rsidRDefault="002346F2" w:rsidP="003662EA">
            <w:pPr>
              <w:widowControl/>
              <w:jc w:val="left"/>
              <w:rPr>
                <w:rFonts w:ascii="Arial Narrow" w:hAnsi="Arial Narrow"/>
                <w:b/>
                <w:sz w:val="19"/>
                <w:szCs w:val="19"/>
              </w:rPr>
            </w:pPr>
          </w:p>
          <w:p w:rsidR="00E763F4" w:rsidRPr="00F16087" w:rsidRDefault="00E763F4" w:rsidP="003662EA">
            <w:pPr>
              <w:widowControl/>
              <w:jc w:val="left"/>
              <w:rPr>
                <w:rFonts w:ascii="Arial Narrow" w:hAnsi="Arial Narrow"/>
                <w:color w:val="0000FF"/>
                <w:sz w:val="19"/>
                <w:szCs w:val="19"/>
              </w:rPr>
            </w:pPr>
            <w:r w:rsidRPr="00F16087">
              <w:rPr>
                <w:rFonts w:ascii="Arial Narrow" w:hAnsi="Arial Narrow"/>
                <w:b/>
                <w:sz w:val="19"/>
                <w:szCs w:val="19"/>
              </w:rPr>
              <w:t>PBAC Comment:</w:t>
            </w:r>
            <w:r w:rsidRPr="00F16087">
              <w:rPr>
                <w:rFonts w:ascii="Arial Narrow" w:hAnsi="Arial Narrow"/>
                <w:sz w:val="19"/>
                <w:szCs w:val="19"/>
              </w:rPr>
              <w:t xml:space="preserve"> (paragraphs 6.17; 7.4) The fixed </w:t>
            </w:r>
            <w:r w:rsidRPr="00F16087">
              <w:rPr>
                <w:rFonts w:ascii="Arial Narrow" w:hAnsi="Arial Narrow"/>
                <w:sz w:val="19"/>
                <w:szCs w:val="19"/>
              </w:rPr>
              <w:lastRenderedPageBreak/>
              <w:t xml:space="preserve">dose of cyclosporin 2.5mg/kg/day for 10 weeks in the </w:t>
            </w:r>
            <w:proofErr w:type="spellStart"/>
            <w:r w:rsidRPr="00F16087">
              <w:rPr>
                <w:rFonts w:ascii="Arial Narrow" w:hAnsi="Arial Narrow"/>
                <w:sz w:val="19"/>
                <w:szCs w:val="19"/>
              </w:rPr>
              <w:t>Meffert</w:t>
            </w:r>
            <w:proofErr w:type="spellEnd"/>
            <w:r w:rsidRPr="00F16087">
              <w:rPr>
                <w:rFonts w:ascii="Arial Narrow" w:hAnsi="Arial Narrow"/>
                <w:sz w:val="19"/>
                <w:szCs w:val="19"/>
              </w:rPr>
              <w:t xml:space="preserve"> (1997) trial was not the recommended dose regimen.</w:t>
            </w:r>
          </w:p>
        </w:tc>
        <w:tc>
          <w:tcPr>
            <w:tcW w:w="3587" w:type="dxa"/>
          </w:tcPr>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lastRenderedPageBreak/>
              <w:t xml:space="preserve">Randomised evidence: Apremilast versus placebo: </w:t>
            </w:r>
            <w:r w:rsidR="000C2250" w:rsidRPr="00F16087">
              <w:rPr>
                <w:rFonts w:ascii="Arial Narrow" w:hAnsi="Arial Narrow"/>
                <w:sz w:val="19"/>
                <w:szCs w:val="19"/>
              </w:rPr>
              <w:t>3</w:t>
            </w:r>
            <w:r w:rsidRPr="00F16087">
              <w:rPr>
                <w:rFonts w:ascii="Arial Narrow" w:hAnsi="Arial Narrow"/>
                <w:sz w:val="19"/>
                <w:szCs w:val="19"/>
              </w:rPr>
              <w:t xml:space="preserve"> trials</w:t>
            </w:r>
            <w:r w:rsidR="000C2250" w:rsidRPr="00F16087">
              <w:rPr>
                <w:rFonts w:ascii="Arial Narrow" w:hAnsi="Arial Narrow"/>
                <w:sz w:val="19"/>
                <w:szCs w:val="19"/>
              </w:rPr>
              <w:t>, plus 1 inappropriately excluded trial.</w:t>
            </w:r>
          </w:p>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 xml:space="preserve">Non-randomised evidence: Apremilast versus </w:t>
            </w:r>
            <w:r w:rsidRPr="00F16087">
              <w:rPr>
                <w:rFonts w:ascii="Arial Narrow" w:hAnsi="Arial Narrow"/>
                <w:sz w:val="19"/>
                <w:szCs w:val="19"/>
              </w:rPr>
              <w:lastRenderedPageBreak/>
              <w:t xml:space="preserve">cyclosporin: 1 pivotal study. </w:t>
            </w:r>
          </w:p>
          <w:p w:rsidR="00E763F4" w:rsidRPr="00F16087" w:rsidRDefault="00E763F4" w:rsidP="003662EA">
            <w:pPr>
              <w:pStyle w:val="ListParagraph"/>
              <w:widowControl/>
              <w:numPr>
                <w:ilvl w:val="0"/>
                <w:numId w:val="6"/>
              </w:numPr>
              <w:ind w:left="114" w:hanging="114"/>
              <w:jc w:val="left"/>
              <w:rPr>
                <w:rFonts w:ascii="Arial Narrow" w:hAnsi="Arial Narrow"/>
                <w:sz w:val="19"/>
                <w:szCs w:val="19"/>
              </w:rPr>
            </w:pPr>
            <w:r w:rsidRPr="00F16087">
              <w:rPr>
                <w:rFonts w:ascii="Arial Narrow" w:hAnsi="Arial Narrow"/>
                <w:sz w:val="19"/>
                <w:szCs w:val="19"/>
              </w:rPr>
              <w:t>Apremilast single arm: 3 supportive studies</w:t>
            </w:r>
          </w:p>
        </w:tc>
      </w:tr>
      <w:tr w:rsidR="00E763F4" w:rsidRPr="00F16087" w:rsidTr="00912356">
        <w:trPr>
          <w:trHeight w:val="860"/>
        </w:trPr>
        <w:tc>
          <w:tcPr>
            <w:tcW w:w="966"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lastRenderedPageBreak/>
              <w:t>Key effectiveness data</w:t>
            </w:r>
          </w:p>
        </w:tc>
        <w:tc>
          <w:tcPr>
            <w:tcW w:w="3738"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PASI</w:t>
            </w:r>
            <w:r w:rsidR="00D37DEA" w:rsidRPr="00F16087">
              <w:rPr>
                <w:rFonts w:ascii="Arial Narrow" w:hAnsi="Arial Narrow"/>
                <w:sz w:val="19"/>
                <w:szCs w:val="19"/>
              </w:rPr>
              <w:t xml:space="preserve"> 75 </w:t>
            </w:r>
            <w:r w:rsidRPr="00F16087">
              <w:rPr>
                <w:rFonts w:ascii="Arial Narrow" w:hAnsi="Arial Narrow"/>
                <w:sz w:val="19"/>
                <w:szCs w:val="19"/>
              </w:rPr>
              <w:t>response at 16 weeks</w:t>
            </w:r>
            <w:r w:rsidR="00D37DEA" w:rsidRPr="00F16087">
              <w:rPr>
                <w:rFonts w:ascii="Arial Narrow" w:hAnsi="Arial Narrow"/>
                <w:sz w:val="19"/>
                <w:szCs w:val="19"/>
              </w:rPr>
              <w:t xml:space="preserve"> for apremilast </w:t>
            </w:r>
          </w:p>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PASI</w:t>
            </w:r>
            <w:r w:rsidR="00D37DEA" w:rsidRPr="00F16087">
              <w:rPr>
                <w:rFonts w:ascii="Arial Narrow" w:hAnsi="Arial Narrow"/>
                <w:sz w:val="19"/>
                <w:szCs w:val="19"/>
              </w:rPr>
              <w:t xml:space="preserve"> 75</w:t>
            </w:r>
            <w:r w:rsidRPr="00F16087">
              <w:rPr>
                <w:rFonts w:ascii="Arial Narrow" w:hAnsi="Arial Narrow"/>
                <w:sz w:val="19"/>
                <w:szCs w:val="19"/>
              </w:rPr>
              <w:t xml:space="preserve"> response at 10 weeks for </w:t>
            </w:r>
            <w:r w:rsidR="00D37DEA" w:rsidRPr="00F16087">
              <w:rPr>
                <w:rFonts w:ascii="Arial Narrow" w:hAnsi="Arial Narrow"/>
                <w:sz w:val="19"/>
                <w:szCs w:val="19"/>
              </w:rPr>
              <w:t>cyclosporin (</w:t>
            </w:r>
            <w:proofErr w:type="spellStart"/>
            <w:r w:rsidRPr="00F16087">
              <w:rPr>
                <w:rFonts w:ascii="Arial Narrow" w:hAnsi="Arial Narrow"/>
                <w:sz w:val="19"/>
                <w:szCs w:val="19"/>
              </w:rPr>
              <w:t>Meffert</w:t>
            </w:r>
            <w:proofErr w:type="spellEnd"/>
            <w:r w:rsidRPr="00F16087">
              <w:rPr>
                <w:rFonts w:ascii="Arial Narrow" w:hAnsi="Arial Narrow"/>
                <w:sz w:val="19"/>
                <w:szCs w:val="19"/>
              </w:rPr>
              <w:t xml:space="preserve"> 1997</w:t>
            </w:r>
            <w:r w:rsidR="00D37DEA" w:rsidRPr="00F16087">
              <w:rPr>
                <w:rFonts w:ascii="Arial Narrow" w:hAnsi="Arial Narrow"/>
                <w:sz w:val="19"/>
                <w:szCs w:val="19"/>
              </w:rPr>
              <w:t>)</w:t>
            </w:r>
          </w:p>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Indirect comparison of apremilast versus cyclosporin: RR=0.94 (95% CI: 0.22, 4.12)</w:t>
            </w:r>
          </w:p>
          <w:p w:rsidR="002346F2" w:rsidRDefault="002346F2" w:rsidP="003662EA">
            <w:pPr>
              <w:widowControl/>
              <w:jc w:val="left"/>
              <w:rPr>
                <w:rFonts w:ascii="Arial Narrow" w:hAnsi="Arial Narrow"/>
                <w:b/>
                <w:sz w:val="19"/>
                <w:szCs w:val="19"/>
              </w:rPr>
            </w:pPr>
          </w:p>
          <w:p w:rsidR="00E5593F" w:rsidRPr="00F16087" w:rsidRDefault="00E5593F" w:rsidP="003662EA">
            <w:pPr>
              <w:widowControl/>
              <w:jc w:val="left"/>
              <w:rPr>
                <w:rFonts w:ascii="Arial Narrow" w:hAnsi="Arial Narrow"/>
                <w:sz w:val="19"/>
                <w:szCs w:val="19"/>
              </w:rPr>
            </w:pPr>
            <w:r w:rsidRPr="00F16087">
              <w:rPr>
                <w:rFonts w:ascii="Arial Narrow" w:hAnsi="Arial Narrow"/>
                <w:b/>
                <w:sz w:val="19"/>
                <w:szCs w:val="19"/>
              </w:rPr>
              <w:t>PBAC comment:</w:t>
            </w:r>
            <w:r w:rsidRPr="00F16087">
              <w:rPr>
                <w:rFonts w:ascii="Arial Narrow" w:hAnsi="Arial Narrow"/>
                <w:sz w:val="19"/>
                <w:szCs w:val="19"/>
              </w:rPr>
              <w:t xml:space="preserve"> (paragraph 7.4) PASI</w:t>
            </w:r>
            <w:r w:rsidR="000C2250" w:rsidRPr="00F16087">
              <w:rPr>
                <w:rFonts w:ascii="Arial Narrow" w:hAnsi="Arial Narrow"/>
                <w:sz w:val="19"/>
                <w:szCs w:val="19"/>
              </w:rPr>
              <w:t xml:space="preserve"> </w:t>
            </w:r>
            <w:r w:rsidRPr="00F16087">
              <w:rPr>
                <w:rFonts w:ascii="Arial Narrow" w:hAnsi="Arial Narrow"/>
                <w:sz w:val="19"/>
                <w:szCs w:val="19"/>
              </w:rPr>
              <w:t xml:space="preserve">50 response at 16 weeks favoured cyclosporin and the cyclosporin dosing in the </w:t>
            </w:r>
            <w:proofErr w:type="spellStart"/>
            <w:r w:rsidRPr="00F16087">
              <w:rPr>
                <w:rFonts w:ascii="Arial Narrow" w:hAnsi="Arial Narrow"/>
                <w:sz w:val="19"/>
                <w:szCs w:val="19"/>
              </w:rPr>
              <w:t>Meffert</w:t>
            </w:r>
            <w:proofErr w:type="spellEnd"/>
            <w:r w:rsidRPr="00F16087">
              <w:rPr>
                <w:rFonts w:ascii="Arial Narrow" w:hAnsi="Arial Narrow"/>
                <w:sz w:val="19"/>
                <w:szCs w:val="19"/>
              </w:rPr>
              <w:t xml:space="preserve"> 1997 trial may have been suboptimal.</w:t>
            </w:r>
          </w:p>
        </w:tc>
        <w:tc>
          <w:tcPr>
            <w:tcW w:w="3587"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PASI</w:t>
            </w:r>
            <w:r w:rsidR="00D37DEA" w:rsidRPr="00F16087">
              <w:rPr>
                <w:rFonts w:ascii="Arial Narrow" w:hAnsi="Arial Narrow"/>
                <w:sz w:val="19"/>
                <w:szCs w:val="19"/>
              </w:rPr>
              <w:t xml:space="preserve"> 75 </w:t>
            </w:r>
            <w:r w:rsidRPr="00F16087">
              <w:rPr>
                <w:rFonts w:ascii="Arial Narrow" w:hAnsi="Arial Narrow"/>
                <w:sz w:val="19"/>
                <w:szCs w:val="19"/>
              </w:rPr>
              <w:t>response at 16 weeks</w:t>
            </w:r>
            <w:r w:rsidR="00D37DEA" w:rsidRPr="00F16087">
              <w:rPr>
                <w:rFonts w:ascii="Arial Narrow" w:hAnsi="Arial Narrow"/>
                <w:sz w:val="19"/>
                <w:szCs w:val="19"/>
              </w:rPr>
              <w:t xml:space="preserve"> for apremilast </w:t>
            </w:r>
          </w:p>
          <w:p w:rsidR="00E763F4" w:rsidRDefault="00E763F4" w:rsidP="003662EA">
            <w:pPr>
              <w:widowControl/>
              <w:jc w:val="left"/>
              <w:rPr>
                <w:rFonts w:ascii="Arial Narrow" w:hAnsi="Arial Narrow"/>
                <w:sz w:val="19"/>
                <w:szCs w:val="19"/>
              </w:rPr>
            </w:pPr>
            <w:r w:rsidRPr="00F16087">
              <w:rPr>
                <w:rFonts w:ascii="Arial Narrow" w:hAnsi="Arial Narrow"/>
                <w:sz w:val="19"/>
                <w:szCs w:val="19"/>
              </w:rPr>
              <w:t>Pooled RR of apremilast versus placebo =</w:t>
            </w:r>
            <w:r w:rsidR="0042071C" w:rsidRPr="00F16087">
              <w:rPr>
                <w:rFonts w:ascii="Arial Narrow" w:hAnsi="Arial Narrow"/>
                <w:sz w:val="19"/>
                <w:szCs w:val="19"/>
              </w:rPr>
              <w:t xml:space="preserve"> </w:t>
            </w:r>
            <w:r w:rsidRPr="00F16087">
              <w:rPr>
                <w:rFonts w:ascii="Arial Narrow" w:hAnsi="Arial Narrow"/>
                <w:b/>
                <w:bCs/>
                <w:sz w:val="19"/>
                <w:szCs w:val="19"/>
              </w:rPr>
              <w:t>5.16 (95% CI: 3.74, 7.12</w:t>
            </w:r>
            <w:r w:rsidRPr="00F16087">
              <w:rPr>
                <w:rFonts w:ascii="Arial Narrow" w:hAnsi="Arial Narrow"/>
                <w:sz w:val="19"/>
                <w:szCs w:val="19"/>
              </w:rPr>
              <w:t>)</w:t>
            </w:r>
          </w:p>
          <w:p w:rsidR="002346F2" w:rsidRPr="00F16087" w:rsidRDefault="002346F2" w:rsidP="003662EA">
            <w:pPr>
              <w:widowControl/>
              <w:jc w:val="left"/>
              <w:rPr>
                <w:rFonts w:ascii="Arial Narrow" w:hAnsi="Arial Narrow"/>
                <w:sz w:val="19"/>
                <w:szCs w:val="19"/>
              </w:rPr>
            </w:pPr>
          </w:p>
          <w:p w:rsidR="00E763F4" w:rsidRPr="00F16087" w:rsidRDefault="00E763F4" w:rsidP="003662EA">
            <w:pPr>
              <w:widowControl/>
              <w:jc w:val="left"/>
              <w:rPr>
                <w:rFonts w:ascii="Arial Narrow" w:hAnsi="Arial Narrow"/>
                <w:sz w:val="19"/>
                <w:szCs w:val="19"/>
                <w:u w:val="single"/>
              </w:rPr>
            </w:pPr>
            <w:r w:rsidRPr="00F16087">
              <w:rPr>
                <w:rFonts w:ascii="Arial Narrow" w:hAnsi="Arial Narrow"/>
                <w:sz w:val="19"/>
                <w:szCs w:val="19"/>
                <w:u w:val="single"/>
              </w:rPr>
              <w:t>Non-randomised studies</w:t>
            </w:r>
          </w:p>
          <w:p w:rsidR="00E763F4" w:rsidRPr="00F16087" w:rsidRDefault="00E763F4" w:rsidP="003662EA">
            <w:pPr>
              <w:pStyle w:val="ListParagraph"/>
              <w:widowControl/>
              <w:ind w:left="114" w:hanging="114"/>
              <w:jc w:val="left"/>
              <w:rPr>
                <w:rFonts w:ascii="Arial Narrow" w:hAnsi="Arial Narrow"/>
                <w:sz w:val="19"/>
                <w:szCs w:val="19"/>
              </w:rPr>
            </w:pPr>
            <w:r w:rsidRPr="00F16087">
              <w:rPr>
                <w:rFonts w:ascii="Arial Narrow" w:hAnsi="Arial Narrow"/>
                <w:sz w:val="19"/>
                <w:szCs w:val="19"/>
              </w:rPr>
              <w:t>Persistence rates at 1 month; 4 months:</w:t>
            </w:r>
          </w:p>
          <w:tbl>
            <w:tblPr>
              <w:tblStyle w:val="TableGrid"/>
              <w:tblW w:w="0" w:type="auto"/>
              <w:jc w:val="center"/>
              <w:tblCellMar>
                <w:left w:w="28" w:type="dxa"/>
                <w:right w:w="28" w:type="dxa"/>
              </w:tblCellMar>
              <w:tblLook w:val="04A0" w:firstRow="1" w:lastRow="0" w:firstColumn="1" w:lastColumn="0" w:noHBand="0" w:noVBand="1"/>
              <w:tblCaption w:val="Summary of persistence rates"/>
              <w:tblDescription w:val="Summary of persistence rates in U.S. and AU populations for apremilast and cyclosporin."/>
            </w:tblPr>
            <w:tblGrid>
              <w:gridCol w:w="955"/>
              <w:gridCol w:w="2566"/>
            </w:tblGrid>
            <w:tr w:rsidR="00E763F4" w:rsidRPr="00F16087" w:rsidTr="00922993">
              <w:trPr>
                <w:tblHeader/>
                <w:jc w:val="center"/>
              </w:trPr>
              <w:tc>
                <w:tcPr>
                  <w:tcW w:w="963"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US</w:t>
                  </w:r>
                </w:p>
              </w:tc>
              <w:tc>
                <w:tcPr>
                  <w:tcW w:w="2630" w:type="dxa"/>
                </w:tcPr>
                <w:p w:rsidR="00E763F4" w:rsidRPr="00F54DFC" w:rsidRDefault="00E763F4" w:rsidP="003662EA">
                  <w:pPr>
                    <w:widowControl/>
                    <w:jc w:val="left"/>
                    <w:rPr>
                      <w:rFonts w:ascii="Arial Narrow" w:hAnsi="Arial Narrow"/>
                      <w:sz w:val="19"/>
                      <w:szCs w:val="19"/>
                    </w:rPr>
                  </w:pPr>
                  <w:r w:rsidRPr="00F54DFC">
                    <w:rPr>
                      <w:rFonts w:ascii="Arial Narrow" w:hAnsi="Arial Narrow"/>
                      <w:sz w:val="19"/>
                      <w:szCs w:val="19"/>
                    </w:rPr>
                    <w:t xml:space="preserve">Apremilast:  </w:t>
                  </w:r>
                  <w:r w:rsidR="00EF4316">
                    <w:rPr>
                      <w:rFonts w:ascii="Arial Narrow" w:hAnsi="Arial Narrow"/>
                      <w:noProof/>
                      <w:color w:val="000000"/>
                      <w:sz w:val="19"/>
                      <w:szCs w:val="19"/>
                      <w:highlight w:val="black"/>
                    </w:rPr>
                    <w:t>''''''''''''''' ''''''''''''''''''</w:t>
                  </w:r>
                </w:p>
                <w:p w:rsidR="00E763F4" w:rsidRPr="00F54DFC" w:rsidRDefault="00E763F4" w:rsidP="003662EA">
                  <w:pPr>
                    <w:widowControl/>
                    <w:jc w:val="left"/>
                    <w:rPr>
                      <w:rFonts w:ascii="Arial Narrow" w:hAnsi="Arial Narrow"/>
                      <w:sz w:val="19"/>
                      <w:szCs w:val="19"/>
                    </w:rPr>
                  </w:pPr>
                  <w:r w:rsidRPr="00F54DFC">
                    <w:rPr>
                      <w:rFonts w:ascii="Arial Narrow" w:hAnsi="Arial Narrow"/>
                      <w:sz w:val="19"/>
                      <w:szCs w:val="19"/>
                    </w:rPr>
                    <w:t xml:space="preserve">Cyclosporin: </w:t>
                  </w:r>
                  <w:r w:rsidR="00EF4316">
                    <w:rPr>
                      <w:rFonts w:ascii="Arial Narrow" w:hAnsi="Arial Narrow"/>
                      <w:noProof/>
                      <w:color w:val="000000"/>
                      <w:sz w:val="19"/>
                      <w:szCs w:val="19"/>
                      <w:highlight w:val="black"/>
                    </w:rPr>
                    <w:t>'''''''''''''''' ''''''''''''''</w:t>
                  </w:r>
                </w:p>
              </w:tc>
            </w:tr>
            <w:tr w:rsidR="00E763F4" w:rsidRPr="00F16087" w:rsidTr="00D37DEA">
              <w:trPr>
                <w:jc w:val="center"/>
              </w:trPr>
              <w:tc>
                <w:tcPr>
                  <w:tcW w:w="963"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Australian</w:t>
                  </w:r>
                </w:p>
              </w:tc>
              <w:tc>
                <w:tcPr>
                  <w:tcW w:w="2630" w:type="dxa"/>
                </w:tcPr>
                <w:p w:rsidR="00E763F4" w:rsidRPr="00F54DFC" w:rsidRDefault="00E763F4" w:rsidP="003662EA">
                  <w:pPr>
                    <w:widowControl/>
                    <w:jc w:val="left"/>
                    <w:rPr>
                      <w:rFonts w:ascii="Arial Narrow" w:hAnsi="Arial Narrow"/>
                      <w:sz w:val="19"/>
                      <w:szCs w:val="19"/>
                    </w:rPr>
                  </w:pPr>
                  <w:r w:rsidRPr="00F54DFC">
                    <w:rPr>
                      <w:rFonts w:ascii="Arial Narrow" w:hAnsi="Arial Narrow"/>
                      <w:sz w:val="19"/>
                      <w:szCs w:val="19"/>
                    </w:rPr>
                    <w:t xml:space="preserve">Apremilast: </w:t>
                  </w:r>
                </w:p>
                <w:p w:rsidR="00E763F4" w:rsidRPr="00F54DFC" w:rsidRDefault="00EF4316" w:rsidP="003662EA">
                  <w:pPr>
                    <w:widowControl/>
                    <w:jc w:val="left"/>
                    <w:rPr>
                      <w:rFonts w:ascii="Arial Narrow" w:hAnsi="Arial Narrow"/>
                      <w:sz w:val="19"/>
                      <w:szCs w:val="19"/>
                    </w:rPr>
                  </w:pPr>
                  <w:r>
                    <w:rPr>
                      <w:rFonts w:ascii="Arial Narrow" w:hAnsi="Arial Narrow"/>
                      <w:noProof/>
                      <w:color w:val="000000"/>
                      <w:sz w:val="19"/>
                      <w:szCs w:val="19"/>
                      <w:highlight w:val="black"/>
                    </w:rPr>
                    <w:t>''''''''''''''''' '''''''''''''''</w:t>
                  </w:r>
                  <w:r w:rsidR="00E763F4" w:rsidRPr="00F54DFC">
                    <w:rPr>
                      <w:rFonts w:ascii="Arial Narrow" w:hAnsi="Arial Narrow"/>
                      <w:sz w:val="19"/>
                      <w:szCs w:val="19"/>
                    </w:rPr>
                    <w:t xml:space="preserve"> (C1 cohort)</w:t>
                  </w:r>
                </w:p>
                <w:p w:rsidR="00E763F4" w:rsidRPr="00F54DFC" w:rsidRDefault="00EF4316" w:rsidP="003662EA">
                  <w:pPr>
                    <w:widowControl/>
                    <w:jc w:val="left"/>
                    <w:rPr>
                      <w:rFonts w:ascii="Arial Narrow" w:hAnsi="Arial Narrow"/>
                      <w:sz w:val="19"/>
                      <w:szCs w:val="19"/>
                    </w:rPr>
                  </w:pPr>
                  <w:r>
                    <w:rPr>
                      <w:rFonts w:ascii="Arial Narrow" w:hAnsi="Arial Narrow"/>
                      <w:noProof/>
                      <w:color w:val="000000"/>
                      <w:sz w:val="19"/>
                      <w:szCs w:val="19"/>
                      <w:highlight w:val="black"/>
                    </w:rPr>
                    <w:t>'''''''''''''''''' ''''''''''''''''</w:t>
                  </w:r>
                  <w:r w:rsidR="00E763F4" w:rsidRPr="00F54DFC">
                    <w:rPr>
                      <w:rFonts w:ascii="Arial Narrow" w:hAnsi="Arial Narrow"/>
                      <w:sz w:val="19"/>
                      <w:szCs w:val="19"/>
                    </w:rPr>
                    <w:t xml:space="preserve"> (C2 cohort)</w:t>
                  </w:r>
                </w:p>
                <w:p w:rsidR="00E763F4" w:rsidRPr="00F54DFC" w:rsidRDefault="00EF4316" w:rsidP="003662EA">
                  <w:pPr>
                    <w:widowControl/>
                    <w:jc w:val="left"/>
                    <w:rPr>
                      <w:rFonts w:ascii="Arial Narrow" w:hAnsi="Arial Narrow"/>
                      <w:sz w:val="19"/>
                      <w:szCs w:val="19"/>
                    </w:rPr>
                  </w:pPr>
                  <w:r>
                    <w:rPr>
                      <w:rFonts w:ascii="Arial Narrow" w:hAnsi="Arial Narrow"/>
                      <w:noProof/>
                      <w:color w:val="000000"/>
                      <w:sz w:val="19"/>
                      <w:szCs w:val="19"/>
                      <w:highlight w:val="black"/>
                    </w:rPr>
                    <w:t>'''''''''''''''' '''''''''''''''</w:t>
                  </w:r>
                  <w:r w:rsidR="00E763F4" w:rsidRPr="00F54DFC">
                    <w:rPr>
                      <w:rFonts w:ascii="Arial Narrow" w:hAnsi="Arial Narrow"/>
                      <w:sz w:val="19"/>
                      <w:szCs w:val="19"/>
                    </w:rPr>
                    <w:t xml:space="preserve"> (C3 cohort)</w:t>
                  </w:r>
                </w:p>
              </w:tc>
            </w:tr>
            <w:tr w:rsidR="00E763F4" w:rsidRPr="00F16087" w:rsidTr="00D37DEA">
              <w:trPr>
                <w:jc w:val="center"/>
              </w:trPr>
              <w:tc>
                <w:tcPr>
                  <w:tcW w:w="963"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German</w:t>
                  </w:r>
                </w:p>
              </w:tc>
              <w:tc>
                <w:tcPr>
                  <w:tcW w:w="2630" w:type="dxa"/>
                </w:tcPr>
                <w:p w:rsidR="00E763F4" w:rsidRPr="00F54DFC" w:rsidRDefault="00E763F4" w:rsidP="003662EA">
                  <w:pPr>
                    <w:widowControl/>
                    <w:jc w:val="left"/>
                    <w:rPr>
                      <w:rFonts w:ascii="Arial Narrow" w:hAnsi="Arial Narrow"/>
                      <w:sz w:val="19"/>
                      <w:szCs w:val="19"/>
                    </w:rPr>
                  </w:pPr>
                  <w:r w:rsidRPr="00F54DFC">
                    <w:rPr>
                      <w:rFonts w:ascii="Arial Narrow" w:hAnsi="Arial Narrow"/>
                      <w:sz w:val="19"/>
                      <w:szCs w:val="19"/>
                    </w:rPr>
                    <w:t xml:space="preserve">Apremilast: </w:t>
                  </w:r>
                  <w:r w:rsidR="00EF4316">
                    <w:rPr>
                      <w:rFonts w:ascii="Arial Narrow" w:hAnsi="Arial Narrow"/>
                      <w:noProof/>
                      <w:color w:val="000000"/>
                      <w:sz w:val="19"/>
                      <w:szCs w:val="19"/>
                      <w:highlight w:val="black"/>
                    </w:rPr>
                    <w:t>'''''''''''''' ''''''''''</w:t>
                  </w:r>
                </w:p>
              </w:tc>
            </w:tr>
            <w:tr w:rsidR="00E763F4" w:rsidRPr="00F16087" w:rsidTr="00D37DEA">
              <w:trPr>
                <w:jc w:val="center"/>
              </w:trPr>
              <w:tc>
                <w:tcPr>
                  <w:tcW w:w="963"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Canadian</w:t>
                  </w:r>
                </w:p>
              </w:tc>
              <w:tc>
                <w:tcPr>
                  <w:tcW w:w="2630" w:type="dxa"/>
                </w:tcPr>
                <w:p w:rsidR="00E763F4" w:rsidRPr="00F54DFC" w:rsidRDefault="00E763F4" w:rsidP="003662EA">
                  <w:pPr>
                    <w:widowControl/>
                    <w:jc w:val="left"/>
                    <w:rPr>
                      <w:rFonts w:ascii="Arial Narrow" w:hAnsi="Arial Narrow"/>
                      <w:sz w:val="19"/>
                      <w:szCs w:val="19"/>
                    </w:rPr>
                  </w:pPr>
                  <w:r w:rsidRPr="00F54DFC">
                    <w:rPr>
                      <w:rFonts w:ascii="Arial Narrow" w:hAnsi="Arial Narrow"/>
                      <w:sz w:val="19"/>
                      <w:szCs w:val="19"/>
                    </w:rPr>
                    <w:t>Apremilast</w:t>
                  </w:r>
                  <w:r w:rsidRPr="00F54DFC">
                    <w:rPr>
                      <w:rFonts w:ascii="Arial Narrow" w:hAnsi="Arial Narrow"/>
                      <w:b/>
                      <w:bCs/>
                      <w:sz w:val="19"/>
                      <w:szCs w:val="19"/>
                    </w:rPr>
                    <w:t xml:space="preserve">: </w:t>
                  </w:r>
                  <w:r w:rsidR="00EF4316">
                    <w:rPr>
                      <w:rFonts w:ascii="Arial Narrow" w:hAnsi="Arial Narrow"/>
                      <w:iCs/>
                      <w:noProof/>
                      <w:color w:val="000000"/>
                      <w:sz w:val="19"/>
                      <w:szCs w:val="19"/>
                      <w:highlight w:val="black"/>
                    </w:rPr>
                    <w:t>''''''''''''' ''''''''''</w:t>
                  </w:r>
                </w:p>
              </w:tc>
            </w:tr>
          </w:tbl>
          <w:p w:rsidR="00E763F4" w:rsidRPr="00F16087" w:rsidRDefault="00E763F4" w:rsidP="003662EA">
            <w:pPr>
              <w:pStyle w:val="ListParagraph"/>
              <w:widowControl/>
              <w:ind w:left="0"/>
              <w:jc w:val="left"/>
              <w:rPr>
                <w:rFonts w:ascii="Arial Narrow" w:hAnsi="Arial Narrow"/>
                <w:sz w:val="19"/>
                <w:szCs w:val="19"/>
              </w:rPr>
            </w:pPr>
          </w:p>
        </w:tc>
      </w:tr>
      <w:tr w:rsidR="00E763F4" w:rsidRPr="00F16087" w:rsidTr="00912356">
        <w:trPr>
          <w:trHeight w:val="860"/>
        </w:trPr>
        <w:tc>
          <w:tcPr>
            <w:tcW w:w="966"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Clinical claim</w:t>
            </w:r>
          </w:p>
        </w:tc>
        <w:tc>
          <w:tcPr>
            <w:tcW w:w="3738"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 xml:space="preserve">Apremilast is non-inferior in terms of comparative effectiveness and superior in terms of safety over cyclosporin. </w:t>
            </w:r>
          </w:p>
          <w:p w:rsidR="002346F2" w:rsidRDefault="002346F2" w:rsidP="003662EA">
            <w:pPr>
              <w:widowControl/>
              <w:jc w:val="left"/>
              <w:rPr>
                <w:rFonts w:ascii="Arial Narrow" w:hAnsi="Arial Narrow"/>
                <w:b/>
                <w:sz w:val="19"/>
                <w:szCs w:val="19"/>
              </w:rPr>
            </w:pPr>
          </w:p>
          <w:p w:rsidR="00E763F4" w:rsidRDefault="00E763F4" w:rsidP="003662EA">
            <w:pPr>
              <w:widowControl/>
              <w:jc w:val="left"/>
              <w:rPr>
                <w:rFonts w:ascii="Arial Narrow" w:hAnsi="Arial Narrow"/>
                <w:sz w:val="19"/>
                <w:szCs w:val="19"/>
              </w:rPr>
            </w:pPr>
            <w:r w:rsidRPr="00F16087">
              <w:rPr>
                <w:rFonts w:ascii="Arial Narrow" w:hAnsi="Arial Narrow"/>
                <w:b/>
                <w:sz w:val="19"/>
                <w:szCs w:val="19"/>
              </w:rPr>
              <w:t>PBAC Comment:</w:t>
            </w:r>
            <w:r w:rsidRPr="00F16087">
              <w:rPr>
                <w:rFonts w:ascii="Arial Narrow" w:hAnsi="Arial Narrow"/>
                <w:sz w:val="19"/>
                <w:szCs w:val="19"/>
              </w:rPr>
              <w:t xml:space="preserve"> (paragraph</w:t>
            </w:r>
            <w:r w:rsidR="00520C29" w:rsidRPr="00F16087">
              <w:rPr>
                <w:rFonts w:ascii="Arial Narrow" w:hAnsi="Arial Narrow"/>
                <w:sz w:val="19"/>
                <w:szCs w:val="19"/>
              </w:rPr>
              <w:t>s</w:t>
            </w:r>
            <w:r w:rsidR="00E5593F" w:rsidRPr="00F16087">
              <w:rPr>
                <w:rFonts w:ascii="Arial Narrow" w:hAnsi="Arial Narrow"/>
                <w:sz w:val="19"/>
                <w:szCs w:val="19"/>
              </w:rPr>
              <w:t xml:space="preserve"> 7.4</w:t>
            </w:r>
            <w:r w:rsidR="00520C29" w:rsidRPr="00F16087">
              <w:rPr>
                <w:rFonts w:ascii="Arial Narrow" w:hAnsi="Arial Narrow"/>
                <w:sz w:val="19"/>
                <w:szCs w:val="19"/>
              </w:rPr>
              <w:t>,</w:t>
            </w:r>
            <w:r w:rsidRPr="00F16087">
              <w:rPr>
                <w:rFonts w:ascii="Arial Narrow" w:hAnsi="Arial Narrow"/>
                <w:sz w:val="19"/>
                <w:szCs w:val="19"/>
              </w:rPr>
              <w:t xml:space="preserve"> 7.5) In the absence of a formal indirect comparison between apremilast and cyclosporin in terms of comparative harms and the absence of long-term comparative safety data for apremilast, the PBAC did not consider the submission’s claim of superior safety to have been adequately supported.</w:t>
            </w:r>
          </w:p>
          <w:p w:rsidR="002346F2" w:rsidRPr="00F16087" w:rsidRDefault="002346F2" w:rsidP="003662EA">
            <w:pPr>
              <w:widowControl/>
              <w:jc w:val="left"/>
              <w:rPr>
                <w:rFonts w:ascii="Arial Narrow" w:hAnsi="Arial Narrow"/>
                <w:sz w:val="19"/>
                <w:szCs w:val="19"/>
              </w:rPr>
            </w:pPr>
          </w:p>
          <w:p w:rsidR="00E5593F" w:rsidRPr="00F16087" w:rsidRDefault="00E5593F" w:rsidP="003662EA">
            <w:pPr>
              <w:widowControl/>
              <w:jc w:val="left"/>
              <w:rPr>
                <w:rFonts w:ascii="Arial Narrow" w:hAnsi="Arial Narrow"/>
                <w:sz w:val="19"/>
                <w:szCs w:val="19"/>
              </w:rPr>
            </w:pPr>
            <w:r w:rsidRPr="00F16087">
              <w:rPr>
                <w:rFonts w:ascii="Arial Narrow" w:hAnsi="Arial Narrow"/>
                <w:sz w:val="19"/>
                <w:szCs w:val="19"/>
              </w:rPr>
              <w:t xml:space="preserve">Non-inferiority in terms of comparative effectiveness </w:t>
            </w:r>
            <w:r w:rsidR="00520C29" w:rsidRPr="00F16087">
              <w:rPr>
                <w:rFonts w:ascii="Arial Narrow" w:hAnsi="Arial Narrow"/>
                <w:sz w:val="19"/>
                <w:szCs w:val="19"/>
              </w:rPr>
              <w:t xml:space="preserve">was </w:t>
            </w:r>
            <w:r w:rsidRPr="00F16087">
              <w:rPr>
                <w:rFonts w:ascii="Arial Narrow" w:hAnsi="Arial Narrow"/>
                <w:sz w:val="19"/>
                <w:szCs w:val="19"/>
              </w:rPr>
              <w:t>not established.</w:t>
            </w:r>
          </w:p>
        </w:tc>
        <w:tc>
          <w:tcPr>
            <w:tcW w:w="3587"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Randomised evidence:</w:t>
            </w:r>
          </w:p>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Apremilast is superior in terms of comparative effectiveness and inferior in terms of comparative safety over placebo.</w:t>
            </w:r>
          </w:p>
          <w:p w:rsidR="00E763F4" w:rsidRPr="00F16087" w:rsidRDefault="00E763F4" w:rsidP="003662EA">
            <w:pPr>
              <w:widowControl/>
              <w:jc w:val="left"/>
              <w:rPr>
                <w:rFonts w:ascii="Arial Narrow" w:hAnsi="Arial Narrow"/>
                <w:sz w:val="19"/>
                <w:szCs w:val="19"/>
              </w:rPr>
            </w:pPr>
          </w:p>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Non-randomised evidence:</w:t>
            </w:r>
          </w:p>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Apremilast is superior in terms of comparative effectiveness and superior in terms of comparative safety over cyclosporin, based on the real-world comparative claims data from the US.</w:t>
            </w:r>
          </w:p>
        </w:tc>
      </w:tr>
      <w:tr w:rsidR="00E763F4" w:rsidRPr="00F16087" w:rsidTr="00912356">
        <w:trPr>
          <w:trHeight w:val="860"/>
        </w:trPr>
        <w:tc>
          <w:tcPr>
            <w:tcW w:w="966"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Economic evaluation</w:t>
            </w:r>
          </w:p>
        </w:tc>
        <w:tc>
          <w:tcPr>
            <w:tcW w:w="3738"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 xml:space="preserve">Assumption that apremilast will </w:t>
            </w:r>
            <w:r w:rsidRPr="00F16087">
              <w:rPr>
                <w:rFonts w:ascii="Arial Narrow" w:hAnsi="Arial Narrow"/>
                <w:sz w:val="19"/>
                <w:szCs w:val="19"/>
                <w:u w:val="single"/>
              </w:rPr>
              <w:t>extend the period of time patients would be treated with systemic therapies</w:t>
            </w:r>
            <w:r w:rsidRPr="00F16087">
              <w:rPr>
                <w:rFonts w:ascii="Arial Narrow" w:hAnsi="Arial Narrow"/>
                <w:sz w:val="19"/>
                <w:szCs w:val="19"/>
              </w:rPr>
              <w:t xml:space="preserve"> for psoriasis, but this was deemed to be uninformative.</w:t>
            </w:r>
          </w:p>
        </w:tc>
        <w:tc>
          <w:tcPr>
            <w:tcW w:w="3587" w:type="dxa"/>
            <w:vAlign w:val="center"/>
          </w:tcPr>
          <w:p w:rsidR="00E763F4" w:rsidRPr="00F16087" w:rsidRDefault="00D37DEA" w:rsidP="003662EA">
            <w:pPr>
              <w:widowControl/>
              <w:jc w:val="left"/>
              <w:rPr>
                <w:rFonts w:ascii="Arial Narrow" w:hAnsi="Arial Narrow"/>
                <w:b/>
                <w:iCs/>
                <w:sz w:val="19"/>
                <w:szCs w:val="19"/>
              </w:rPr>
            </w:pPr>
            <w:r w:rsidRPr="00F16087">
              <w:rPr>
                <w:rFonts w:ascii="Arial Narrow" w:hAnsi="Arial Narrow"/>
                <w:sz w:val="19"/>
                <w:szCs w:val="19"/>
              </w:rPr>
              <w:t>C</w:t>
            </w:r>
            <w:r w:rsidR="00E763F4" w:rsidRPr="00F16087">
              <w:rPr>
                <w:rFonts w:ascii="Arial Narrow" w:hAnsi="Arial Narrow"/>
                <w:sz w:val="19"/>
                <w:szCs w:val="19"/>
              </w:rPr>
              <w:t>ost-utility model of apremilast versus cyclosporin with cost/QALY $</w:t>
            </w:r>
            <w:r w:rsidR="000D79DC">
              <w:rPr>
                <w:rFonts w:ascii="Arial Narrow" w:hAnsi="Arial Narrow"/>
                <w:sz w:val="19"/>
                <w:szCs w:val="19"/>
              </w:rPr>
              <w:t>15,000 - $45,000</w:t>
            </w:r>
            <w:r w:rsidR="00E763F4" w:rsidRPr="00F16087">
              <w:rPr>
                <w:rFonts w:ascii="Arial Narrow" w:hAnsi="Arial Narrow"/>
                <w:iCs/>
                <w:sz w:val="19"/>
                <w:szCs w:val="19"/>
              </w:rPr>
              <w:t>.</w:t>
            </w:r>
            <w:r w:rsidR="00E763F4" w:rsidRPr="00F16087">
              <w:rPr>
                <w:rFonts w:ascii="Arial Narrow" w:hAnsi="Arial Narrow"/>
                <w:b/>
                <w:iCs/>
                <w:sz w:val="19"/>
                <w:szCs w:val="19"/>
              </w:rPr>
              <w:t xml:space="preserve"> </w:t>
            </w:r>
          </w:p>
          <w:p w:rsidR="00E763F4" w:rsidRPr="00F16087" w:rsidRDefault="00E763F4" w:rsidP="003662EA">
            <w:pPr>
              <w:widowControl/>
              <w:jc w:val="left"/>
              <w:rPr>
                <w:rFonts w:ascii="Arial Narrow" w:hAnsi="Arial Narrow"/>
                <w:iCs/>
                <w:sz w:val="19"/>
                <w:szCs w:val="19"/>
              </w:rPr>
            </w:pPr>
            <w:r w:rsidRPr="00F16087">
              <w:rPr>
                <w:rFonts w:ascii="Arial Narrow" w:hAnsi="Arial Narrow"/>
                <w:sz w:val="19"/>
                <w:szCs w:val="19"/>
              </w:rPr>
              <w:t xml:space="preserve">Based on persistence rates from the </w:t>
            </w:r>
            <w:r w:rsidRPr="00F16087">
              <w:rPr>
                <w:rFonts w:ascii="Arial Narrow" w:hAnsi="Arial Narrow"/>
                <w:sz w:val="19"/>
                <w:szCs w:val="19"/>
                <w:u w:val="single"/>
              </w:rPr>
              <w:t>non-randomised</w:t>
            </w:r>
            <w:r w:rsidRPr="00F16087">
              <w:rPr>
                <w:rFonts w:ascii="Arial Narrow" w:hAnsi="Arial Narrow"/>
                <w:sz w:val="19"/>
                <w:szCs w:val="19"/>
              </w:rPr>
              <w:t xml:space="preserve"> US comparative data.  </w:t>
            </w:r>
          </w:p>
        </w:tc>
      </w:tr>
      <w:tr w:rsidR="00E763F4" w:rsidRPr="00F16087" w:rsidTr="00912356">
        <w:trPr>
          <w:trHeight w:val="416"/>
        </w:trPr>
        <w:tc>
          <w:tcPr>
            <w:tcW w:w="966"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t>Estimated net cost to PBS</w:t>
            </w:r>
          </w:p>
        </w:tc>
        <w:tc>
          <w:tcPr>
            <w:tcW w:w="3738" w:type="dxa"/>
          </w:tcPr>
          <w:p w:rsidR="00E763F4" w:rsidRPr="00F16087" w:rsidRDefault="000D79DC" w:rsidP="000D79DC">
            <w:pPr>
              <w:widowControl/>
              <w:jc w:val="left"/>
              <w:rPr>
                <w:rFonts w:ascii="Arial Narrow" w:hAnsi="Arial Narrow"/>
                <w:sz w:val="19"/>
                <w:szCs w:val="19"/>
              </w:rPr>
            </w:pPr>
            <w:r>
              <w:rPr>
                <w:rFonts w:ascii="Arial Narrow" w:hAnsi="Arial Narrow"/>
                <w:sz w:val="19"/>
                <w:szCs w:val="19"/>
              </w:rPr>
              <w:t>Less than $10 million</w:t>
            </w:r>
            <w:r w:rsidR="00E763F4" w:rsidRPr="00F16087">
              <w:rPr>
                <w:rFonts w:ascii="Arial Narrow" w:hAnsi="Arial Narrow"/>
                <w:sz w:val="19"/>
                <w:szCs w:val="19"/>
              </w:rPr>
              <w:t xml:space="preserve"> in Year 1 increasing to </w:t>
            </w:r>
            <w:r>
              <w:rPr>
                <w:rFonts w:ascii="Arial Narrow" w:hAnsi="Arial Narrow"/>
                <w:sz w:val="19"/>
                <w:szCs w:val="19"/>
              </w:rPr>
              <w:t>$30 - $60 million</w:t>
            </w:r>
            <w:r w:rsidR="00E763F4" w:rsidRPr="00F16087">
              <w:rPr>
                <w:rFonts w:ascii="Arial Narrow" w:hAnsi="Arial Narrow"/>
                <w:sz w:val="19"/>
                <w:szCs w:val="19"/>
              </w:rPr>
              <w:t xml:space="preserve"> in Year 5 for a total of </w:t>
            </w:r>
            <w:r>
              <w:rPr>
                <w:rFonts w:ascii="Arial Narrow" w:hAnsi="Arial Narrow"/>
                <w:sz w:val="19"/>
                <w:szCs w:val="19"/>
              </w:rPr>
              <w:t>more than $100,000</w:t>
            </w:r>
            <w:r w:rsidR="00E763F4" w:rsidRPr="00F16087">
              <w:rPr>
                <w:rFonts w:ascii="Arial Narrow" w:hAnsi="Arial Narrow"/>
                <w:sz w:val="19"/>
                <w:szCs w:val="19"/>
              </w:rPr>
              <w:t xml:space="preserve"> over the first 5 years of listing.</w:t>
            </w:r>
          </w:p>
        </w:tc>
        <w:tc>
          <w:tcPr>
            <w:tcW w:w="3587" w:type="dxa"/>
          </w:tcPr>
          <w:p w:rsidR="00E763F4" w:rsidRPr="00F16087" w:rsidRDefault="000D79DC" w:rsidP="000D79DC">
            <w:pPr>
              <w:widowControl/>
              <w:rPr>
                <w:rFonts w:ascii="Arial Narrow" w:hAnsi="Arial Narrow"/>
                <w:sz w:val="19"/>
                <w:szCs w:val="19"/>
              </w:rPr>
            </w:pPr>
            <w:r>
              <w:rPr>
                <w:rFonts w:ascii="Arial Narrow" w:hAnsi="Arial Narrow"/>
                <w:sz w:val="19"/>
                <w:szCs w:val="19"/>
              </w:rPr>
              <w:t>$20 - $30 million</w:t>
            </w:r>
            <w:r w:rsidR="00E763F4" w:rsidRPr="00F16087">
              <w:rPr>
                <w:rFonts w:ascii="Arial Narrow" w:hAnsi="Arial Narrow"/>
                <w:sz w:val="19"/>
                <w:szCs w:val="19"/>
              </w:rPr>
              <w:t xml:space="preserve"> in Year 1 increasing to </w:t>
            </w:r>
            <w:r>
              <w:rPr>
                <w:rFonts w:ascii="Arial Narrow" w:hAnsi="Arial Narrow"/>
                <w:sz w:val="19"/>
                <w:szCs w:val="19"/>
              </w:rPr>
              <w:t>more than $100 million</w:t>
            </w:r>
            <w:r w:rsidR="00E763F4" w:rsidRPr="00F16087">
              <w:rPr>
                <w:rFonts w:ascii="Arial Narrow" w:hAnsi="Arial Narrow"/>
                <w:sz w:val="19"/>
                <w:szCs w:val="19"/>
              </w:rPr>
              <w:t xml:space="preserve"> in Year 5 for a total of </w:t>
            </w:r>
            <w:r>
              <w:rPr>
                <w:rFonts w:ascii="Arial Narrow" w:hAnsi="Arial Narrow"/>
                <w:sz w:val="19"/>
                <w:szCs w:val="19"/>
              </w:rPr>
              <w:t>more than $100 million</w:t>
            </w:r>
            <w:r w:rsidRPr="00F16087">
              <w:rPr>
                <w:rFonts w:ascii="Arial Narrow" w:hAnsi="Arial Narrow"/>
                <w:sz w:val="19"/>
                <w:szCs w:val="19"/>
              </w:rPr>
              <w:t xml:space="preserve"> </w:t>
            </w:r>
            <w:r w:rsidR="00E763F4" w:rsidRPr="00F16087">
              <w:rPr>
                <w:rFonts w:ascii="Arial Narrow" w:hAnsi="Arial Narrow"/>
                <w:sz w:val="19"/>
                <w:szCs w:val="19"/>
              </w:rPr>
              <w:t xml:space="preserve"> over the first 5 years of listing.</w:t>
            </w:r>
          </w:p>
        </w:tc>
      </w:tr>
      <w:tr w:rsidR="00E763F4" w:rsidRPr="00F16087" w:rsidTr="00912356">
        <w:trPr>
          <w:trHeight w:val="860"/>
        </w:trPr>
        <w:tc>
          <w:tcPr>
            <w:tcW w:w="966" w:type="dxa"/>
          </w:tcPr>
          <w:p w:rsidR="00E763F4" w:rsidRPr="00F16087" w:rsidRDefault="00E763F4" w:rsidP="003662EA">
            <w:pPr>
              <w:widowControl/>
              <w:jc w:val="left"/>
              <w:rPr>
                <w:rFonts w:ascii="Arial Narrow" w:hAnsi="Arial Narrow"/>
                <w:sz w:val="19"/>
                <w:szCs w:val="19"/>
              </w:rPr>
            </w:pPr>
            <w:r w:rsidRPr="00F16087">
              <w:rPr>
                <w:rFonts w:ascii="Arial Narrow" w:hAnsi="Arial Narrow"/>
                <w:sz w:val="19"/>
                <w:szCs w:val="19"/>
              </w:rPr>
              <w:br w:type="page"/>
              <w:t>PBAC decision</w:t>
            </w:r>
          </w:p>
        </w:tc>
        <w:tc>
          <w:tcPr>
            <w:tcW w:w="3738" w:type="dxa"/>
          </w:tcPr>
          <w:p w:rsidR="00E763F4" w:rsidRPr="00F16087" w:rsidRDefault="00E763F4" w:rsidP="003662EA">
            <w:pPr>
              <w:widowControl/>
              <w:jc w:val="left"/>
              <w:rPr>
                <w:rFonts w:ascii="Arial Narrow" w:hAnsi="Arial Narrow"/>
                <w:bCs/>
                <w:sz w:val="19"/>
                <w:szCs w:val="19"/>
              </w:rPr>
            </w:pPr>
            <w:r w:rsidRPr="00F16087">
              <w:rPr>
                <w:rFonts w:ascii="Arial Narrow" w:hAnsi="Arial Narrow"/>
                <w:bCs/>
                <w:sz w:val="19"/>
                <w:szCs w:val="19"/>
              </w:rPr>
              <w:t xml:space="preserve">Reject.  </w:t>
            </w:r>
          </w:p>
          <w:p w:rsidR="002346F2" w:rsidRDefault="002346F2" w:rsidP="003662EA">
            <w:pPr>
              <w:widowControl/>
              <w:jc w:val="left"/>
              <w:rPr>
                <w:rFonts w:ascii="Arial Narrow" w:hAnsi="Arial Narrow"/>
                <w:b/>
                <w:sz w:val="19"/>
                <w:szCs w:val="19"/>
              </w:rPr>
            </w:pPr>
          </w:p>
          <w:p w:rsidR="00E763F4" w:rsidRPr="00F16087" w:rsidRDefault="004355F8" w:rsidP="003662EA">
            <w:pPr>
              <w:widowControl/>
              <w:jc w:val="left"/>
              <w:rPr>
                <w:rFonts w:ascii="Arial Narrow" w:hAnsi="Arial Narrow"/>
                <w:sz w:val="19"/>
                <w:szCs w:val="19"/>
              </w:rPr>
            </w:pPr>
            <w:r w:rsidRPr="00F16087">
              <w:rPr>
                <w:rFonts w:ascii="Arial Narrow" w:hAnsi="Arial Narrow"/>
                <w:b/>
                <w:sz w:val="19"/>
                <w:szCs w:val="19"/>
              </w:rPr>
              <w:t>PBAC Comment:</w:t>
            </w:r>
            <w:r w:rsidRPr="00F16087">
              <w:rPr>
                <w:rFonts w:ascii="Arial Narrow" w:hAnsi="Arial Narrow"/>
                <w:sz w:val="19"/>
                <w:szCs w:val="19"/>
              </w:rPr>
              <w:t xml:space="preserve"> </w:t>
            </w:r>
            <w:r w:rsidR="00E763F4" w:rsidRPr="00F16087">
              <w:rPr>
                <w:rFonts w:ascii="Arial Narrow" w:hAnsi="Arial Narrow"/>
                <w:sz w:val="19"/>
                <w:szCs w:val="19"/>
              </w:rPr>
              <w:t>(paragraph 7.1) The PBAC rejected the submission on the basis that cost-effectiveness compared to cyclosporin treatment had not been adequately established at the price proposed in the submission.</w:t>
            </w:r>
          </w:p>
        </w:tc>
        <w:tc>
          <w:tcPr>
            <w:tcW w:w="3587" w:type="dxa"/>
          </w:tcPr>
          <w:p w:rsidR="00E763F4" w:rsidRPr="00F16087" w:rsidRDefault="00E763F4" w:rsidP="003662EA">
            <w:pPr>
              <w:widowControl/>
              <w:rPr>
                <w:rFonts w:ascii="Arial Narrow" w:hAnsi="Arial Narrow"/>
                <w:sz w:val="19"/>
                <w:szCs w:val="19"/>
              </w:rPr>
            </w:pPr>
            <w:r w:rsidRPr="00F16087">
              <w:rPr>
                <w:rFonts w:ascii="Arial Narrow" w:hAnsi="Arial Narrow"/>
                <w:sz w:val="19"/>
                <w:szCs w:val="19"/>
              </w:rPr>
              <w:br w:type="page"/>
              <w:t>-</w:t>
            </w:r>
          </w:p>
        </w:tc>
      </w:tr>
    </w:tbl>
    <w:p w:rsidR="00B60939" w:rsidRPr="00F16087" w:rsidRDefault="001D112E" w:rsidP="003662EA">
      <w:pPr>
        <w:pStyle w:val="TableFooter"/>
        <w:widowControl/>
        <w:ind w:left="709" w:firstLine="11"/>
      </w:pPr>
      <w:r w:rsidRPr="00F16087">
        <w:t>Source: Compiled during the evaluation</w:t>
      </w:r>
      <w:r w:rsidR="004355F8" w:rsidRPr="00F16087">
        <w:t>. Paragraph references refer to the March 2015 apremilast (plaque psoriasis) public summary document.</w:t>
      </w:r>
    </w:p>
    <w:p w:rsidR="001B6188" w:rsidRPr="00F16087" w:rsidRDefault="001B6188" w:rsidP="003662EA">
      <w:pPr>
        <w:widowControl/>
      </w:pPr>
    </w:p>
    <w:p w:rsidR="00101327" w:rsidRDefault="00101327" w:rsidP="003662EA">
      <w:pPr>
        <w:widowControl/>
        <w:ind w:left="709"/>
        <w:rPr>
          <w:bCs/>
          <w:i/>
          <w:szCs w:val="22"/>
        </w:rPr>
      </w:pPr>
      <w:r w:rsidRPr="00F16087">
        <w:rPr>
          <w:bCs/>
          <w:i/>
          <w:szCs w:val="22"/>
        </w:rPr>
        <w:t>For more detail on PBAC’s view, see section 7 “PBAC outcome”</w:t>
      </w:r>
      <w:r w:rsidR="002346F2">
        <w:rPr>
          <w:bCs/>
          <w:i/>
          <w:szCs w:val="22"/>
        </w:rPr>
        <w:t>.</w:t>
      </w:r>
    </w:p>
    <w:p w:rsidR="002346F2" w:rsidRDefault="002346F2" w:rsidP="003662EA">
      <w:pPr>
        <w:widowControl/>
        <w:ind w:left="709"/>
        <w:rPr>
          <w:bCs/>
          <w:i/>
          <w:szCs w:val="22"/>
        </w:rPr>
      </w:pPr>
    </w:p>
    <w:p w:rsidR="002346F2" w:rsidRPr="00F16087" w:rsidRDefault="002346F2" w:rsidP="003662EA">
      <w:pPr>
        <w:widowControl/>
        <w:ind w:left="709"/>
      </w:pPr>
    </w:p>
    <w:p w:rsidR="00F338FF" w:rsidRPr="00F16087" w:rsidRDefault="00F338FF" w:rsidP="003662EA">
      <w:pPr>
        <w:pStyle w:val="Heading2"/>
      </w:pPr>
      <w:bookmarkStart w:id="5" w:name="_Toc461464565"/>
      <w:r w:rsidRPr="00F16087">
        <w:t>Clinical place for the proposed therapy</w:t>
      </w:r>
      <w:bookmarkEnd w:id="5"/>
    </w:p>
    <w:p w:rsidR="00B60939" w:rsidRPr="00F16087" w:rsidRDefault="00B60939" w:rsidP="003662EA">
      <w:pPr>
        <w:widowControl/>
        <w:rPr>
          <w:szCs w:val="22"/>
        </w:rPr>
      </w:pPr>
    </w:p>
    <w:p w:rsidR="00497F10" w:rsidRPr="00F16087" w:rsidRDefault="00FC2DAC" w:rsidP="003662EA">
      <w:pPr>
        <w:pStyle w:val="ListParagraph"/>
        <w:widowControl/>
        <w:numPr>
          <w:ilvl w:val="1"/>
          <w:numId w:val="1"/>
        </w:numPr>
        <w:rPr>
          <w:szCs w:val="22"/>
        </w:rPr>
      </w:pPr>
      <w:r w:rsidRPr="00F16087">
        <w:t xml:space="preserve">The </w:t>
      </w:r>
      <w:r w:rsidR="00E41050" w:rsidRPr="00F16087">
        <w:t>resub</w:t>
      </w:r>
      <w:r w:rsidRPr="00F16087">
        <w:t>miss</w:t>
      </w:r>
      <w:r w:rsidR="00291EC0" w:rsidRPr="00F16087">
        <w:t xml:space="preserve">ion proposed </w:t>
      </w:r>
      <w:r w:rsidR="00C464A3" w:rsidRPr="00F16087">
        <w:t xml:space="preserve">that </w:t>
      </w:r>
      <w:r w:rsidR="00291EC0" w:rsidRPr="00F16087">
        <w:t xml:space="preserve">apremilast </w:t>
      </w:r>
      <w:r w:rsidR="00D37DEA" w:rsidRPr="00F16087">
        <w:t xml:space="preserve">would be </w:t>
      </w:r>
      <w:r w:rsidR="00291EC0" w:rsidRPr="00F16087">
        <w:t xml:space="preserve">an additional treatment option </w:t>
      </w:r>
      <w:r w:rsidR="0042071C" w:rsidRPr="00F16087">
        <w:t xml:space="preserve">in </w:t>
      </w:r>
      <w:r w:rsidR="00291EC0" w:rsidRPr="00F16087">
        <w:t>the same line of therapy as cyclosporin.</w:t>
      </w:r>
      <w:r w:rsidR="004652AA" w:rsidRPr="00F16087">
        <w:t xml:space="preserve"> This differed to the previous submission which proposed that </w:t>
      </w:r>
      <w:r w:rsidR="006B5F59" w:rsidRPr="00F16087">
        <w:t xml:space="preserve">patients be treated with </w:t>
      </w:r>
      <w:r w:rsidR="004652AA" w:rsidRPr="00F16087">
        <w:t xml:space="preserve">apremilast subsequent to phototherapy </w:t>
      </w:r>
      <w:r w:rsidR="004652AA" w:rsidRPr="00F16087">
        <w:lastRenderedPageBreak/>
        <w:t>and methotrexate, but before cyclosporin or acitretin for moderate-to-severe psoriasis (</w:t>
      </w:r>
      <w:r w:rsidR="00DD1F3E" w:rsidRPr="00F16087">
        <w:rPr>
          <w:color w:val="000000" w:themeColor="text1"/>
          <w:szCs w:val="22"/>
        </w:rPr>
        <w:t xml:space="preserve">displacing </w:t>
      </w:r>
      <w:r w:rsidR="004652AA" w:rsidRPr="00F16087">
        <w:rPr>
          <w:color w:val="000000" w:themeColor="text1"/>
          <w:szCs w:val="22"/>
        </w:rPr>
        <w:t>existing therapies and extend</w:t>
      </w:r>
      <w:r w:rsidR="00D37DEA" w:rsidRPr="00F16087">
        <w:rPr>
          <w:color w:val="000000" w:themeColor="text1"/>
          <w:szCs w:val="22"/>
        </w:rPr>
        <w:t>ing</w:t>
      </w:r>
      <w:r w:rsidR="004652AA" w:rsidRPr="00F16087">
        <w:rPr>
          <w:color w:val="000000" w:themeColor="text1"/>
          <w:szCs w:val="22"/>
        </w:rPr>
        <w:t xml:space="preserve"> the treatment sequence </w:t>
      </w:r>
      <w:r w:rsidR="00D37DEA" w:rsidRPr="00F16087">
        <w:rPr>
          <w:color w:val="000000" w:themeColor="text1"/>
          <w:szCs w:val="22"/>
        </w:rPr>
        <w:t xml:space="preserve">with systemic therapies </w:t>
      </w:r>
      <w:r w:rsidR="004652AA" w:rsidRPr="00F16087">
        <w:rPr>
          <w:color w:val="000000" w:themeColor="text1"/>
          <w:szCs w:val="22"/>
        </w:rPr>
        <w:t>in plaque psoriasis).</w:t>
      </w:r>
    </w:p>
    <w:p w:rsidR="00497F10" w:rsidRPr="00F16087" w:rsidRDefault="00497F10" w:rsidP="003662EA">
      <w:pPr>
        <w:widowControl/>
        <w:rPr>
          <w:szCs w:val="22"/>
        </w:rPr>
      </w:pPr>
    </w:p>
    <w:p w:rsidR="00497F10" w:rsidRPr="00F16087" w:rsidRDefault="00AA7717" w:rsidP="003662EA">
      <w:pPr>
        <w:pStyle w:val="ListParagraph"/>
        <w:widowControl/>
        <w:numPr>
          <w:ilvl w:val="1"/>
          <w:numId w:val="1"/>
        </w:numPr>
        <w:rPr>
          <w:szCs w:val="22"/>
        </w:rPr>
      </w:pPr>
      <w:r w:rsidRPr="00F16087">
        <w:rPr>
          <w:szCs w:val="22"/>
        </w:rPr>
        <w:t xml:space="preserve">The </w:t>
      </w:r>
      <w:r w:rsidR="00E41050" w:rsidRPr="00F16087">
        <w:rPr>
          <w:szCs w:val="22"/>
        </w:rPr>
        <w:t>resub</w:t>
      </w:r>
      <w:r w:rsidRPr="00F16087">
        <w:rPr>
          <w:szCs w:val="22"/>
        </w:rPr>
        <w:t xml:space="preserve">mission </w:t>
      </w:r>
      <w:r w:rsidR="005B7B92" w:rsidRPr="00F16087">
        <w:rPr>
          <w:szCs w:val="22"/>
        </w:rPr>
        <w:t xml:space="preserve">stated </w:t>
      </w:r>
      <w:r w:rsidRPr="00F16087">
        <w:rPr>
          <w:szCs w:val="22"/>
        </w:rPr>
        <w:t xml:space="preserve">that apremilast </w:t>
      </w:r>
      <w:r w:rsidR="00D61921" w:rsidRPr="00F16087">
        <w:rPr>
          <w:szCs w:val="22"/>
        </w:rPr>
        <w:t xml:space="preserve">would be expected to </w:t>
      </w:r>
      <w:r w:rsidRPr="00F16087">
        <w:rPr>
          <w:szCs w:val="22"/>
        </w:rPr>
        <w:t>directly substitute cyclosporin</w:t>
      </w:r>
      <w:r w:rsidR="00D61921" w:rsidRPr="00F16087">
        <w:rPr>
          <w:szCs w:val="22"/>
        </w:rPr>
        <w:t xml:space="preserve"> and </w:t>
      </w:r>
      <w:r w:rsidRPr="00F16087">
        <w:rPr>
          <w:szCs w:val="22"/>
        </w:rPr>
        <w:t>displace the use of methotrexate and acitretin in clinical practi</w:t>
      </w:r>
      <w:r w:rsidR="0042071C" w:rsidRPr="00F16087">
        <w:rPr>
          <w:szCs w:val="22"/>
        </w:rPr>
        <w:t>ce.</w:t>
      </w:r>
    </w:p>
    <w:p w:rsidR="00AA7717" w:rsidRPr="00F16087" w:rsidRDefault="00AA7717" w:rsidP="003662EA">
      <w:pPr>
        <w:pStyle w:val="ListParagraph"/>
        <w:widowControl/>
        <w:rPr>
          <w:szCs w:val="22"/>
        </w:rPr>
      </w:pPr>
    </w:p>
    <w:p w:rsidR="00AA7717" w:rsidRPr="00F16087" w:rsidRDefault="00BE1E9F" w:rsidP="003662EA">
      <w:pPr>
        <w:pStyle w:val="ListParagraph"/>
        <w:widowControl/>
        <w:numPr>
          <w:ilvl w:val="1"/>
          <w:numId w:val="1"/>
        </w:numPr>
        <w:rPr>
          <w:szCs w:val="22"/>
        </w:rPr>
      </w:pPr>
      <w:r w:rsidRPr="00F16087">
        <w:t xml:space="preserve">The </w:t>
      </w:r>
      <w:r w:rsidR="00E41050" w:rsidRPr="00F16087">
        <w:t>resub</w:t>
      </w:r>
      <w:r w:rsidRPr="00F16087">
        <w:t>mission proposed that apremilast be added to the ‘Conditions and criteria’ for the PBS authority application for PBS subsidised treatment with a biological agent for s</w:t>
      </w:r>
      <w:r w:rsidR="0042071C" w:rsidRPr="00F16087">
        <w:t>evere chronic plaque psoriasis.</w:t>
      </w:r>
      <w:r w:rsidRPr="00F16087">
        <w:t xml:space="preserve"> It was proposed </w:t>
      </w:r>
      <w:r w:rsidRPr="00F16087">
        <w:rPr>
          <w:iCs/>
        </w:rPr>
        <w:t xml:space="preserve">(changes are underlined) </w:t>
      </w:r>
      <w:r w:rsidRPr="00F16087">
        <w:t xml:space="preserve">that apremilast be included such that patients seeking to access PBS subsidised treatment with a biological agent for severe plaque psoriasis be required to have failed to achieve an adequate response to </w:t>
      </w:r>
      <w:r w:rsidR="002900B0" w:rsidRPr="00F16087">
        <w:t>three</w:t>
      </w:r>
      <w:r w:rsidRPr="00F16087">
        <w:t xml:space="preserve"> of the following </w:t>
      </w:r>
      <w:r w:rsidR="002900B0" w:rsidRPr="00F16087">
        <w:rPr>
          <w:u w:val="single"/>
        </w:rPr>
        <w:t>five</w:t>
      </w:r>
      <w:r w:rsidRPr="00F16087">
        <w:t xml:space="preserve"> </w:t>
      </w:r>
      <w:r w:rsidRPr="00F16087">
        <w:rPr>
          <w:iCs/>
        </w:rPr>
        <w:t xml:space="preserve">(currently </w:t>
      </w:r>
      <w:r w:rsidR="002900B0" w:rsidRPr="00F16087">
        <w:rPr>
          <w:iCs/>
        </w:rPr>
        <w:t>four</w:t>
      </w:r>
      <w:r w:rsidRPr="00F16087">
        <w:rPr>
          <w:iCs/>
        </w:rPr>
        <w:t>)</w:t>
      </w:r>
      <w:r w:rsidRPr="00F16087">
        <w:t xml:space="preserve"> treatments: phototherapy</w:t>
      </w:r>
      <w:r w:rsidR="001B43FC" w:rsidRPr="00F16087">
        <w:t>,</w:t>
      </w:r>
      <w:r w:rsidRPr="00F16087">
        <w:t xml:space="preserve"> methotrexate</w:t>
      </w:r>
      <w:r w:rsidR="001B43FC" w:rsidRPr="00F16087">
        <w:t>,</w:t>
      </w:r>
      <w:r w:rsidRPr="00F16087">
        <w:t xml:space="preserve"> </w:t>
      </w:r>
      <w:r w:rsidR="001B43FC" w:rsidRPr="00F16087">
        <w:t>cyclosporin,</w:t>
      </w:r>
      <w:r w:rsidRPr="00F16087">
        <w:t xml:space="preserve"> acitretin</w:t>
      </w:r>
      <w:r w:rsidR="001B43FC" w:rsidRPr="00F16087">
        <w:t>,</w:t>
      </w:r>
      <w:r w:rsidRPr="00F16087">
        <w:t xml:space="preserve"> </w:t>
      </w:r>
      <w:r w:rsidR="00F03175" w:rsidRPr="00F16087">
        <w:t>and</w:t>
      </w:r>
      <w:r w:rsidRPr="00F16087">
        <w:t xml:space="preserve"> </w:t>
      </w:r>
      <w:r w:rsidRPr="00F16087">
        <w:rPr>
          <w:u w:val="single"/>
        </w:rPr>
        <w:t>apremilast</w:t>
      </w:r>
      <w:r w:rsidR="0042071C" w:rsidRPr="00F16087">
        <w:t>.</w:t>
      </w:r>
    </w:p>
    <w:p w:rsidR="002E79C6" w:rsidRPr="00F16087" w:rsidRDefault="002E79C6" w:rsidP="002E79C6">
      <w:pPr>
        <w:pStyle w:val="ListParagraph"/>
        <w:rPr>
          <w:szCs w:val="22"/>
        </w:rPr>
      </w:pPr>
    </w:p>
    <w:p w:rsidR="002E79C6" w:rsidRPr="00F16087" w:rsidRDefault="002E79C6" w:rsidP="003662EA">
      <w:pPr>
        <w:pStyle w:val="ListParagraph"/>
        <w:widowControl/>
        <w:numPr>
          <w:ilvl w:val="1"/>
          <w:numId w:val="1"/>
        </w:numPr>
        <w:rPr>
          <w:szCs w:val="22"/>
        </w:rPr>
      </w:pPr>
      <w:r w:rsidRPr="00F16087">
        <w:rPr>
          <w:szCs w:val="22"/>
        </w:rPr>
        <w:t>The pre-PBAC response noted that apremilast is currently reimbursed for the treatment of plaque psoriasis in 23 countries, including the United Kingdom (UK). The PBAC noted the UK’s National Institute for Health Care Excellence (NICE) currently recommends apremilast as a treatment option for chronic plaque psoriasis in adults whose disease has not responded to other systemic therapies, including cyclosporin</w:t>
      </w:r>
      <w:r w:rsidR="002A000A" w:rsidRPr="00F16087">
        <w:rPr>
          <w:szCs w:val="22"/>
        </w:rPr>
        <w:t xml:space="preserve">, </w:t>
      </w:r>
      <w:r w:rsidRPr="00F16087">
        <w:rPr>
          <w:szCs w:val="22"/>
        </w:rPr>
        <w:t>methotrexate</w:t>
      </w:r>
      <w:r w:rsidR="002A000A" w:rsidRPr="00F16087">
        <w:rPr>
          <w:szCs w:val="22"/>
        </w:rPr>
        <w:t>, and phototherapy</w:t>
      </w:r>
      <w:r w:rsidRPr="00F16087">
        <w:rPr>
          <w:rStyle w:val="FootnoteReference"/>
          <w:szCs w:val="22"/>
        </w:rPr>
        <w:footnoteReference w:id="2"/>
      </w:r>
      <w:r w:rsidRPr="00F16087">
        <w:rPr>
          <w:szCs w:val="22"/>
        </w:rPr>
        <w:t>.</w:t>
      </w:r>
    </w:p>
    <w:p w:rsidR="001B6188" w:rsidRPr="00F16087" w:rsidRDefault="001B6188" w:rsidP="003662EA">
      <w:pPr>
        <w:pStyle w:val="ListParagraph"/>
        <w:widowControl/>
        <w:ind w:left="0"/>
        <w:rPr>
          <w:szCs w:val="22"/>
        </w:rPr>
      </w:pPr>
    </w:p>
    <w:p w:rsidR="00101327" w:rsidRPr="00F16087" w:rsidRDefault="00101327" w:rsidP="003662EA">
      <w:pPr>
        <w:widowControl/>
        <w:ind w:firstLine="720"/>
        <w:rPr>
          <w:bCs/>
          <w:szCs w:val="22"/>
        </w:rPr>
      </w:pPr>
      <w:r w:rsidRPr="00F16087">
        <w:rPr>
          <w:bCs/>
          <w:i/>
          <w:szCs w:val="22"/>
        </w:rPr>
        <w:t>For more detail on PBAC’s view, see section 7 “PBAC outcome”</w:t>
      </w:r>
      <w:r w:rsidR="002346F2">
        <w:rPr>
          <w:bCs/>
          <w:i/>
          <w:szCs w:val="22"/>
        </w:rPr>
        <w:t>.</w:t>
      </w:r>
    </w:p>
    <w:p w:rsidR="00A86BA9" w:rsidRPr="00F16087" w:rsidRDefault="00A86BA9" w:rsidP="003662EA">
      <w:pPr>
        <w:pStyle w:val="ListParagraph"/>
        <w:widowControl/>
        <w:ind w:left="0"/>
        <w:rPr>
          <w:szCs w:val="22"/>
        </w:rPr>
      </w:pPr>
    </w:p>
    <w:p w:rsidR="00101327" w:rsidRPr="00F16087" w:rsidRDefault="00101327" w:rsidP="003662EA">
      <w:pPr>
        <w:pStyle w:val="ListParagraph"/>
        <w:widowControl/>
        <w:ind w:left="0"/>
        <w:rPr>
          <w:szCs w:val="22"/>
        </w:rPr>
      </w:pPr>
    </w:p>
    <w:p w:rsidR="00F338FF" w:rsidRPr="00F16087" w:rsidRDefault="00F338FF" w:rsidP="003662EA">
      <w:pPr>
        <w:pStyle w:val="Heading2"/>
        <w:keepNext/>
      </w:pPr>
      <w:bookmarkStart w:id="6" w:name="_Toc461464566"/>
      <w:r w:rsidRPr="00F16087">
        <w:t>Comparator</w:t>
      </w:r>
      <w:bookmarkEnd w:id="6"/>
    </w:p>
    <w:p w:rsidR="00497F10" w:rsidRPr="00F16087" w:rsidRDefault="00497F10" w:rsidP="003662EA">
      <w:pPr>
        <w:keepNext/>
        <w:widowControl/>
      </w:pPr>
    </w:p>
    <w:p w:rsidR="00497F10" w:rsidRPr="00F16087" w:rsidRDefault="001B43FC" w:rsidP="003662EA">
      <w:pPr>
        <w:pStyle w:val="ListParagraph"/>
        <w:widowControl/>
        <w:numPr>
          <w:ilvl w:val="1"/>
          <w:numId w:val="1"/>
        </w:numPr>
        <w:rPr>
          <w:iCs/>
          <w:szCs w:val="22"/>
        </w:rPr>
      </w:pPr>
      <w:r w:rsidRPr="00F16087">
        <w:t xml:space="preserve">As per the previous submission, the current </w:t>
      </w:r>
      <w:r w:rsidR="00E41050" w:rsidRPr="00F16087">
        <w:t>resub</w:t>
      </w:r>
      <w:r w:rsidRPr="00F16087">
        <w:t>mission nominated c</w:t>
      </w:r>
      <w:r w:rsidR="00FD43C4" w:rsidRPr="00F16087">
        <w:t>yclosporin</w:t>
      </w:r>
      <w:r w:rsidR="009218B7" w:rsidRPr="00F16087">
        <w:t xml:space="preserve"> </w:t>
      </w:r>
      <w:r w:rsidRPr="00F16087">
        <w:t>as the main comparator</w:t>
      </w:r>
      <w:r w:rsidR="00E31218" w:rsidRPr="00F16087">
        <w:t>.</w:t>
      </w:r>
      <w:r w:rsidR="00C5005C" w:rsidRPr="00F16087">
        <w:t xml:space="preserve"> In March 2015, the PBAC accepted this, but noted that acitretin would also be a relevant comparator (apremilast PSD (plaque psoriasis) March 2015).</w:t>
      </w:r>
      <w:r w:rsidR="00D37DEA" w:rsidRPr="00F16087">
        <w:t xml:space="preserve"> </w:t>
      </w:r>
      <w:r w:rsidR="0079275B" w:rsidRPr="00F16087">
        <w:t>A</w:t>
      </w:r>
      <w:r w:rsidR="008B31E1" w:rsidRPr="00F16087">
        <w:t xml:space="preserve">s the </w:t>
      </w:r>
      <w:r w:rsidR="00FB3FFD" w:rsidRPr="00F16087">
        <w:t xml:space="preserve">requested listing </w:t>
      </w:r>
      <w:r w:rsidR="008B31E1" w:rsidRPr="00F16087">
        <w:t xml:space="preserve">no longer </w:t>
      </w:r>
      <w:r w:rsidR="00FB3FFD" w:rsidRPr="00F16087">
        <w:t xml:space="preserve">requires </w:t>
      </w:r>
      <w:r w:rsidR="008B31E1" w:rsidRPr="00F16087">
        <w:t>patients to ‘have previously received and failed to achieve an adequate response to one or more systemic therapies, including methotrexate</w:t>
      </w:r>
      <w:r w:rsidR="00F03175" w:rsidRPr="00F16087">
        <w:t>’</w:t>
      </w:r>
      <w:r w:rsidR="00AC01F9" w:rsidRPr="00F16087">
        <w:rPr>
          <w:iCs/>
        </w:rPr>
        <w:t xml:space="preserve">, the evaluation considered that </w:t>
      </w:r>
      <w:r w:rsidR="00AC01F9" w:rsidRPr="00F16087">
        <w:t>m</w:t>
      </w:r>
      <w:r w:rsidR="004F55DB" w:rsidRPr="00F16087">
        <w:rPr>
          <w:iCs/>
        </w:rPr>
        <w:t>ethotrexate</w:t>
      </w:r>
      <w:r w:rsidR="00DB105A" w:rsidRPr="00F16087">
        <w:rPr>
          <w:iCs/>
        </w:rPr>
        <w:t xml:space="preserve"> </w:t>
      </w:r>
      <w:r w:rsidR="00C5005C" w:rsidRPr="00F16087">
        <w:rPr>
          <w:iCs/>
        </w:rPr>
        <w:t>was</w:t>
      </w:r>
      <w:r w:rsidR="008B31E1" w:rsidRPr="00F16087">
        <w:rPr>
          <w:iCs/>
        </w:rPr>
        <w:t xml:space="preserve"> </w:t>
      </w:r>
      <w:r w:rsidR="009218B7" w:rsidRPr="00F16087">
        <w:rPr>
          <w:iCs/>
        </w:rPr>
        <w:t xml:space="preserve">also </w:t>
      </w:r>
      <w:r w:rsidR="00C5005C" w:rsidRPr="00F16087">
        <w:rPr>
          <w:iCs/>
        </w:rPr>
        <w:t xml:space="preserve">a </w:t>
      </w:r>
      <w:r w:rsidR="009218B7" w:rsidRPr="00F16087">
        <w:rPr>
          <w:iCs/>
        </w:rPr>
        <w:t>relevant comparator.</w:t>
      </w:r>
    </w:p>
    <w:p w:rsidR="00D50D85" w:rsidRPr="00F16087" w:rsidRDefault="00D50D85" w:rsidP="003662EA">
      <w:pPr>
        <w:pStyle w:val="PBACheading1"/>
        <w:numPr>
          <w:ilvl w:val="0"/>
          <w:numId w:val="0"/>
        </w:numPr>
        <w:ind w:left="720" w:hanging="720"/>
      </w:pPr>
    </w:p>
    <w:p w:rsidR="003662EA" w:rsidRPr="00F16087" w:rsidRDefault="00D50D85" w:rsidP="00C25E7F">
      <w:pPr>
        <w:pStyle w:val="ListParagraph"/>
        <w:widowControl/>
        <w:numPr>
          <w:ilvl w:val="1"/>
          <w:numId w:val="1"/>
        </w:numPr>
      </w:pPr>
      <w:r w:rsidRPr="00F16087">
        <w:rPr>
          <w:iCs/>
          <w:szCs w:val="22"/>
        </w:rPr>
        <w:t>The</w:t>
      </w:r>
      <w:r w:rsidR="00685FA6" w:rsidRPr="00F16087">
        <w:rPr>
          <w:iCs/>
          <w:szCs w:val="22"/>
        </w:rPr>
        <w:t xml:space="preserve"> P</w:t>
      </w:r>
      <w:r w:rsidR="00AC01F9" w:rsidRPr="00F16087">
        <w:rPr>
          <w:iCs/>
          <w:szCs w:val="22"/>
        </w:rPr>
        <w:t>re-Sub</w:t>
      </w:r>
      <w:r w:rsidR="00685FA6" w:rsidRPr="00F16087">
        <w:rPr>
          <w:iCs/>
          <w:szCs w:val="22"/>
        </w:rPr>
        <w:t>-Committee Response</w:t>
      </w:r>
      <w:r w:rsidRPr="00F16087">
        <w:rPr>
          <w:iCs/>
          <w:szCs w:val="22"/>
        </w:rPr>
        <w:t xml:space="preserve"> </w:t>
      </w:r>
      <w:r w:rsidR="00685FA6" w:rsidRPr="00F16087">
        <w:rPr>
          <w:iCs/>
          <w:szCs w:val="22"/>
        </w:rPr>
        <w:t>(</w:t>
      </w:r>
      <w:r w:rsidRPr="00F16087">
        <w:rPr>
          <w:iCs/>
          <w:szCs w:val="22"/>
        </w:rPr>
        <w:t>PSCR</w:t>
      </w:r>
      <w:r w:rsidR="00685FA6" w:rsidRPr="00F16087">
        <w:rPr>
          <w:iCs/>
          <w:szCs w:val="22"/>
        </w:rPr>
        <w:t>)</w:t>
      </w:r>
      <w:r w:rsidR="00FB3FFD" w:rsidRPr="00F16087">
        <w:rPr>
          <w:iCs/>
          <w:szCs w:val="22"/>
        </w:rPr>
        <w:t xml:space="preserve"> (p3)</w:t>
      </w:r>
      <w:r w:rsidRPr="00F16087">
        <w:rPr>
          <w:iCs/>
          <w:szCs w:val="22"/>
        </w:rPr>
        <w:t xml:space="preserve"> argued that methotrexate and acitretin were not appropriate comparators a</w:t>
      </w:r>
      <w:r w:rsidR="00B47B43" w:rsidRPr="00F16087">
        <w:rPr>
          <w:iCs/>
          <w:szCs w:val="22"/>
        </w:rPr>
        <w:t>s they would only be displaced and</w:t>
      </w:r>
      <w:r w:rsidR="00685FA6" w:rsidRPr="00F16087">
        <w:rPr>
          <w:iCs/>
          <w:szCs w:val="22"/>
        </w:rPr>
        <w:t xml:space="preserve"> </w:t>
      </w:r>
      <w:r w:rsidRPr="00F16087">
        <w:rPr>
          <w:iCs/>
          <w:szCs w:val="22"/>
        </w:rPr>
        <w:t>not replaced in practice.</w:t>
      </w:r>
      <w:r w:rsidR="003662EA" w:rsidRPr="00F16087">
        <w:rPr>
          <w:iCs/>
          <w:szCs w:val="22"/>
        </w:rPr>
        <w:t xml:space="preserve"> </w:t>
      </w:r>
      <w:r w:rsidR="00D44FC5" w:rsidRPr="00F16087">
        <w:t xml:space="preserve">The ESC considered that </w:t>
      </w:r>
      <w:r w:rsidR="00FB3FFD" w:rsidRPr="00F16087">
        <w:t xml:space="preserve">based on </w:t>
      </w:r>
      <w:r w:rsidR="00A56731" w:rsidRPr="00F16087">
        <w:t>the clinical place</w:t>
      </w:r>
      <w:r w:rsidR="00D44FC5" w:rsidRPr="00F16087">
        <w:t xml:space="preserve"> requested in the </w:t>
      </w:r>
      <w:r w:rsidR="00E41050" w:rsidRPr="00F16087">
        <w:t>resub</w:t>
      </w:r>
      <w:r w:rsidR="00D44FC5" w:rsidRPr="00F16087">
        <w:t>mission</w:t>
      </w:r>
      <w:r w:rsidR="00FB3FFD" w:rsidRPr="00F16087">
        <w:t xml:space="preserve">, </w:t>
      </w:r>
      <w:r w:rsidR="00D44FC5" w:rsidRPr="00F16087">
        <w:t>cyclosporin, methotrexate and acitretin were all relevant comparators</w:t>
      </w:r>
      <w:r w:rsidR="009305F0" w:rsidRPr="00F16087">
        <w:rPr>
          <w:iCs/>
          <w:szCs w:val="22"/>
        </w:rPr>
        <w:t>.</w:t>
      </w:r>
    </w:p>
    <w:p w:rsidR="003662EA" w:rsidRPr="00F16087" w:rsidRDefault="003662EA" w:rsidP="003662EA">
      <w:pPr>
        <w:pStyle w:val="ListParagraph"/>
        <w:rPr>
          <w:iCs/>
          <w:szCs w:val="22"/>
        </w:rPr>
      </w:pPr>
    </w:p>
    <w:p w:rsidR="003662EA" w:rsidRPr="00F16087" w:rsidRDefault="003662EA" w:rsidP="003662EA">
      <w:pPr>
        <w:pStyle w:val="ListParagraph"/>
        <w:widowControl/>
        <w:numPr>
          <w:ilvl w:val="1"/>
          <w:numId w:val="1"/>
        </w:numPr>
        <w:rPr>
          <w:iCs/>
          <w:szCs w:val="22"/>
        </w:rPr>
      </w:pPr>
      <w:r w:rsidRPr="00F16087">
        <w:rPr>
          <w:iCs/>
          <w:szCs w:val="22"/>
        </w:rPr>
        <w:t xml:space="preserve">The PSCR requested that if the PBAC considered methotrexate to be an appropriate comparator, that the </w:t>
      </w:r>
      <w:r w:rsidR="00513A81" w:rsidRPr="00F16087">
        <w:rPr>
          <w:iCs/>
          <w:szCs w:val="22"/>
        </w:rPr>
        <w:t xml:space="preserve">requested PBS listing </w:t>
      </w:r>
      <w:r w:rsidRPr="00F16087">
        <w:rPr>
          <w:iCs/>
          <w:szCs w:val="22"/>
        </w:rPr>
        <w:t>be amended to restrict apremilast to patients who had previously failed treatment with methotrexate.</w:t>
      </w:r>
    </w:p>
    <w:p w:rsidR="006B5F59" w:rsidRPr="00F16087" w:rsidRDefault="006B5F59" w:rsidP="006B5F59">
      <w:pPr>
        <w:widowControl/>
        <w:rPr>
          <w:iCs/>
          <w:szCs w:val="22"/>
        </w:rPr>
      </w:pPr>
    </w:p>
    <w:p w:rsidR="006B5F59" w:rsidRPr="00F16087" w:rsidRDefault="006B5F59" w:rsidP="0071771E">
      <w:pPr>
        <w:pStyle w:val="ListParagraph"/>
        <w:widowControl/>
        <w:numPr>
          <w:ilvl w:val="1"/>
          <w:numId w:val="1"/>
        </w:numPr>
        <w:rPr>
          <w:szCs w:val="22"/>
        </w:rPr>
      </w:pPr>
      <w:r w:rsidRPr="00F16087">
        <w:rPr>
          <w:iCs/>
          <w:szCs w:val="22"/>
        </w:rPr>
        <w:t>The DUSC further considered that cyclosporin may not be an appropriate main comparator as it is generally used for short periods of time to treat disease flare-ups rather than for use as continuing therapy as expected for apremilast.</w:t>
      </w:r>
      <w:r w:rsidR="0071771E" w:rsidRPr="00F16087">
        <w:rPr>
          <w:iCs/>
          <w:szCs w:val="22"/>
        </w:rPr>
        <w:t xml:space="preserve"> </w:t>
      </w:r>
      <w:r w:rsidR="0071771E" w:rsidRPr="00F16087">
        <w:rPr>
          <w:szCs w:val="22"/>
        </w:rPr>
        <w:t>The pre-PBAC response (p2) argued that short-term pulsing of cyclosporin was not appropriate as it “places patients at risk of severe rebound,” and that “cyclosporin is not used intentionally for short-term durations, rather that the high rate of discontinuation is a result of safety considerations requiring intense laboratory and clinical monitoring leading to high treatment burden”.</w:t>
      </w:r>
    </w:p>
    <w:p w:rsidR="006B5F59" w:rsidRPr="00F16087" w:rsidRDefault="006B5F59" w:rsidP="006B5F59">
      <w:pPr>
        <w:pStyle w:val="ListParagraph"/>
        <w:rPr>
          <w:iCs/>
          <w:szCs w:val="22"/>
        </w:rPr>
      </w:pPr>
    </w:p>
    <w:p w:rsidR="006B5F59" w:rsidRPr="00F16087" w:rsidRDefault="006B5F59" w:rsidP="006B5F59">
      <w:pPr>
        <w:pStyle w:val="ListParagraph"/>
        <w:widowControl/>
        <w:numPr>
          <w:ilvl w:val="1"/>
          <w:numId w:val="1"/>
        </w:numPr>
        <w:rPr>
          <w:iCs/>
          <w:szCs w:val="22"/>
        </w:rPr>
      </w:pPr>
      <w:r w:rsidRPr="00F16087">
        <w:rPr>
          <w:iCs/>
          <w:szCs w:val="22"/>
        </w:rPr>
        <w:t xml:space="preserve">The pre-PBAC response </w:t>
      </w:r>
      <w:r w:rsidR="0071771E" w:rsidRPr="00F16087">
        <w:rPr>
          <w:iCs/>
          <w:szCs w:val="22"/>
        </w:rPr>
        <w:t xml:space="preserve">(p1-2) </w:t>
      </w:r>
      <w:r w:rsidRPr="00F16087">
        <w:rPr>
          <w:iCs/>
          <w:szCs w:val="22"/>
        </w:rPr>
        <w:t xml:space="preserve">argued that acitretin is not an appropriate comparator as it is seldom used to control inflammatory psoriasis. The sponsor claimed that acitretin is used in patients with severe recalcitrant skin disease and </w:t>
      </w:r>
      <w:proofErr w:type="spellStart"/>
      <w:r w:rsidRPr="00F16087">
        <w:rPr>
          <w:iCs/>
          <w:szCs w:val="22"/>
        </w:rPr>
        <w:t>hyperkeratotic</w:t>
      </w:r>
      <w:proofErr w:type="spellEnd"/>
      <w:r w:rsidRPr="00F16087">
        <w:rPr>
          <w:iCs/>
          <w:szCs w:val="22"/>
        </w:rPr>
        <w:t xml:space="preserve"> </w:t>
      </w:r>
      <w:proofErr w:type="spellStart"/>
      <w:r w:rsidRPr="00F16087">
        <w:rPr>
          <w:iCs/>
          <w:szCs w:val="22"/>
        </w:rPr>
        <w:t>palmoplantar</w:t>
      </w:r>
      <w:proofErr w:type="spellEnd"/>
      <w:r w:rsidRPr="00F16087">
        <w:rPr>
          <w:iCs/>
          <w:szCs w:val="22"/>
        </w:rPr>
        <w:t xml:space="preserve"> psoriasis; as such, apremilast may not be a clinically appropriate treatment options for these patients.</w:t>
      </w:r>
    </w:p>
    <w:p w:rsidR="001B6188" w:rsidRPr="00F16087" w:rsidRDefault="001B6188" w:rsidP="003662EA">
      <w:pPr>
        <w:widowControl/>
      </w:pPr>
    </w:p>
    <w:p w:rsidR="00101327" w:rsidRPr="00F16087" w:rsidRDefault="00101327" w:rsidP="003662EA">
      <w:pPr>
        <w:widowControl/>
        <w:ind w:firstLine="720"/>
        <w:rPr>
          <w:bCs/>
          <w:szCs w:val="22"/>
        </w:rPr>
      </w:pPr>
      <w:r w:rsidRPr="00F16087">
        <w:rPr>
          <w:bCs/>
          <w:i/>
          <w:szCs w:val="22"/>
        </w:rPr>
        <w:t>For more detail on PBAC’s view, see section 7 “PBAC outcome”</w:t>
      </w:r>
      <w:r w:rsidR="002346F2">
        <w:rPr>
          <w:bCs/>
          <w:i/>
          <w:szCs w:val="22"/>
        </w:rPr>
        <w:t>.</w:t>
      </w:r>
    </w:p>
    <w:p w:rsidR="00101327" w:rsidRPr="00F16087" w:rsidRDefault="00101327" w:rsidP="003662EA">
      <w:pPr>
        <w:widowControl/>
      </w:pPr>
    </w:p>
    <w:p w:rsidR="00D50D85" w:rsidRPr="00F16087" w:rsidRDefault="00D50D85" w:rsidP="003662EA">
      <w:pPr>
        <w:widowControl/>
      </w:pPr>
    </w:p>
    <w:p w:rsidR="00D06FD4" w:rsidRPr="00F16087" w:rsidRDefault="00472359" w:rsidP="003662EA">
      <w:pPr>
        <w:pStyle w:val="Heading2"/>
      </w:pPr>
      <w:bookmarkStart w:id="7" w:name="_Toc461464567"/>
      <w:r w:rsidRPr="00F16087">
        <w:t>C</w:t>
      </w:r>
      <w:r w:rsidR="00D06FD4" w:rsidRPr="00F16087">
        <w:t>onsideration of the evidence</w:t>
      </w:r>
      <w:bookmarkEnd w:id="7"/>
    </w:p>
    <w:p w:rsidR="00B60939" w:rsidRPr="00F16087" w:rsidRDefault="00B60939" w:rsidP="003662EA">
      <w:pPr>
        <w:keepNext/>
        <w:widowControl/>
        <w:rPr>
          <w:b/>
          <w:szCs w:val="22"/>
        </w:rPr>
      </w:pPr>
    </w:p>
    <w:p w:rsidR="00101327" w:rsidRPr="00F16087" w:rsidRDefault="00101327" w:rsidP="003662EA">
      <w:pPr>
        <w:pStyle w:val="Heading3"/>
        <w:widowControl/>
      </w:pPr>
      <w:r w:rsidRPr="00F16087">
        <w:t>Sponsor hearing</w:t>
      </w:r>
    </w:p>
    <w:p w:rsidR="002F7ABB" w:rsidRPr="00F16087" w:rsidRDefault="002F7ABB" w:rsidP="003662EA">
      <w:pPr>
        <w:widowControl/>
        <w:rPr>
          <w:b/>
          <w:bCs/>
          <w:szCs w:val="22"/>
        </w:rPr>
      </w:pPr>
    </w:p>
    <w:p w:rsidR="00101327" w:rsidRPr="00F16087" w:rsidRDefault="00101327" w:rsidP="003662EA">
      <w:pPr>
        <w:widowControl/>
        <w:numPr>
          <w:ilvl w:val="1"/>
          <w:numId w:val="1"/>
        </w:numPr>
        <w:rPr>
          <w:bCs/>
          <w:szCs w:val="22"/>
        </w:rPr>
      </w:pPr>
      <w:r w:rsidRPr="00F16087">
        <w:rPr>
          <w:bCs/>
          <w:szCs w:val="22"/>
        </w:rPr>
        <w:t xml:space="preserve">The </w:t>
      </w:r>
      <w:r w:rsidR="00D678B3" w:rsidRPr="00F16087">
        <w:rPr>
          <w:bCs/>
          <w:szCs w:val="22"/>
        </w:rPr>
        <w:t xml:space="preserve">sponsor requested a hearing for this item.  The clinician presented clinical case studies and discussed the natural history of the disease, how </w:t>
      </w:r>
      <w:r w:rsidR="00DB2AD2" w:rsidRPr="00F16087">
        <w:rPr>
          <w:bCs/>
          <w:szCs w:val="22"/>
        </w:rPr>
        <w:t>apremilast</w:t>
      </w:r>
      <w:r w:rsidR="00D678B3" w:rsidRPr="00F16087">
        <w:rPr>
          <w:bCs/>
          <w:szCs w:val="22"/>
        </w:rPr>
        <w:t xml:space="preserve"> would be used in practice,</w:t>
      </w:r>
      <w:r w:rsidR="00DB2AD2" w:rsidRPr="00F16087">
        <w:rPr>
          <w:bCs/>
          <w:szCs w:val="22"/>
        </w:rPr>
        <w:t xml:space="preserve"> noting the clinical need for an ongoing treatment option. The clinician further discussed</w:t>
      </w:r>
      <w:r w:rsidR="00D678B3" w:rsidRPr="00F16087">
        <w:rPr>
          <w:bCs/>
          <w:szCs w:val="22"/>
        </w:rPr>
        <w:t xml:space="preserve"> issues relating to the safety profiles of other systemic therapies for psoriasis</w:t>
      </w:r>
      <w:r w:rsidR="00DB2AD2" w:rsidRPr="00F16087">
        <w:rPr>
          <w:bCs/>
          <w:szCs w:val="22"/>
        </w:rPr>
        <w:t xml:space="preserve"> (including the limitation of cyclosporin for short-term use</w:t>
      </w:r>
      <w:r w:rsidR="00756390" w:rsidRPr="00F16087">
        <w:rPr>
          <w:bCs/>
          <w:szCs w:val="22"/>
        </w:rPr>
        <w:t xml:space="preserve"> due to toxicity concerns)</w:t>
      </w:r>
      <w:r w:rsidR="00D678B3" w:rsidRPr="00F16087">
        <w:rPr>
          <w:bCs/>
          <w:szCs w:val="22"/>
        </w:rPr>
        <w:t xml:space="preserve"> and addressed other matters in response to the Committee’s questions.</w:t>
      </w:r>
    </w:p>
    <w:p w:rsidR="00101327" w:rsidRPr="00F16087" w:rsidRDefault="00101327" w:rsidP="003662EA">
      <w:pPr>
        <w:widowControl/>
        <w:rPr>
          <w:bCs/>
          <w:szCs w:val="22"/>
        </w:rPr>
      </w:pPr>
    </w:p>
    <w:p w:rsidR="00101327" w:rsidRPr="00F16087" w:rsidRDefault="00101327" w:rsidP="003662EA">
      <w:pPr>
        <w:pStyle w:val="Heading3"/>
        <w:widowControl/>
      </w:pPr>
      <w:r w:rsidRPr="00F16087">
        <w:t>Consumer comments</w:t>
      </w:r>
    </w:p>
    <w:p w:rsidR="002F7ABB" w:rsidRPr="00F16087" w:rsidRDefault="002F7ABB" w:rsidP="003662EA">
      <w:pPr>
        <w:widowControl/>
        <w:rPr>
          <w:b/>
          <w:bCs/>
          <w:szCs w:val="22"/>
        </w:rPr>
      </w:pPr>
    </w:p>
    <w:p w:rsidR="00101327" w:rsidRPr="00F16087" w:rsidRDefault="00101327" w:rsidP="003662EA">
      <w:pPr>
        <w:widowControl/>
        <w:numPr>
          <w:ilvl w:val="1"/>
          <w:numId w:val="1"/>
        </w:numPr>
        <w:rPr>
          <w:bCs/>
          <w:szCs w:val="22"/>
        </w:rPr>
      </w:pPr>
      <w:r w:rsidRPr="00F16087">
        <w:rPr>
          <w:bCs/>
          <w:szCs w:val="22"/>
        </w:rPr>
        <w:t>The PBAC noted and welcomed the input from individuals (</w:t>
      </w:r>
      <w:r w:rsidR="002F7ABB" w:rsidRPr="00F16087">
        <w:rPr>
          <w:bCs/>
          <w:szCs w:val="22"/>
        </w:rPr>
        <w:t>27</w:t>
      </w:r>
      <w:r w:rsidRPr="00F16087">
        <w:rPr>
          <w:bCs/>
          <w:szCs w:val="22"/>
        </w:rPr>
        <w:t>), health care professionals (</w:t>
      </w:r>
      <w:r w:rsidR="002F7ABB" w:rsidRPr="00F16087">
        <w:rPr>
          <w:bCs/>
          <w:szCs w:val="22"/>
        </w:rPr>
        <w:t>62</w:t>
      </w:r>
      <w:r w:rsidRPr="00F16087">
        <w:rPr>
          <w:bCs/>
          <w:szCs w:val="22"/>
        </w:rPr>
        <w:t>) and organisations (</w:t>
      </w:r>
      <w:r w:rsidR="002F7ABB" w:rsidRPr="00F16087">
        <w:rPr>
          <w:bCs/>
          <w:szCs w:val="22"/>
        </w:rPr>
        <w:t>3</w:t>
      </w:r>
      <w:r w:rsidRPr="00F16087">
        <w:rPr>
          <w:bCs/>
          <w:szCs w:val="22"/>
        </w:rPr>
        <w:t xml:space="preserve">) via the Consumer Comments facility on the PBS website. The comments </w:t>
      </w:r>
      <w:r w:rsidR="00A05A56" w:rsidRPr="00F16087">
        <w:rPr>
          <w:bCs/>
          <w:szCs w:val="22"/>
        </w:rPr>
        <w:t xml:space="preserve">(including </w:t>
      </w:r>
      <w:r w:rsidR="00C06861" w:rsidRPr="00F16087">
        <w:rPr>
          <w:bCs/>
          <w:szCs w:val="22"/>
        </w:rPr>
        <w:t>those compiled by</w:t>
      </w:r>
      <w:r w:rsidR="00A05A56" w:rsidRPr="00F16087">
        <w:rPr>
          <w:bCs/>
          <w:szCs w:val="22"/>
        </w:rPr>
        <w:t xml:space="preserve"> Psoriasis Australia) </w:t>
      </w:r>
      <w:r w:rsidRPr="00F16087">
        <w:rPr>
          <w:bCs/>
          <w:szCs w:val="22"/>
        </w:rPr>
        <w:t xml:space="preserve">described a range of benefits of treatment with </w:t>
      </w:r>
      <w:r w:rsidR="002F7ABB" w:rsidRPr="00F16087">
        <w:rPr>
          <w:bCs/>
          <w:szCs w:val="22"/>
        </w:rPr>
        <w:t>apremilast</w:t>
      </w:r>
      <w:r w:rsidRPr="00F16087">
        <w:rPr>
          <w:bCs/>
          <w:szCs w:val="22"/>
        </w:rPr>
        <w:t xml:space="preserve"> including </w:t>
      </w:r>
      <w:r w:rsidR="002F7ABB" w:rsidRPr="00F16087">
        <w:rPr>
          <w:bCs/>
          <w:szCs w:val="22"/>
        </w:rPr>
        <w:t xml:space="preserve">improvements psoriasis symptoms, quality of life, fewer side effects, and reduced burden of </w:t>
      </w:r>
      <w:r w:rsidR="000A0AAF" w:rsidRPr="00F16087">
        <w:rPr>
          <w:bCs/>
          <w:szCs w:val="22"/>
        </w:rPr>
        <w:t>additional clinician attendances</w:t>
      </w:r>
      <w:r w:rsidR="00C06861" w:rsidRPr="00F16087">
        <w:rPr>
          <w:bCs/>
          <w:szCs w:val="22"/>
        </w:rPr>
        <w:t>,</w:t>
      </w:r>
      <w:r w:rsidR="000A0AAF" w:rsidRPr="00F16087">
        <w:rPr>
          <w:bCs/>
          <w:szCs w:val="22"/>
        </w:rPr>
        <w:t xml:space="preserve"> compared with alternative treatments.</w:t>
      </w:r>
    </w:p>
    <w:p w:rsidR="00101327" w:rsidRPr="00F16087" w:rsidRDefault="00101327" w:rsidP="003662EA">
      <w:pPr>
        <w:widowControl/>
        <w:rPr>
          <w:bCs/>
          <w:szCs w:val="22"/>
        </w:rPr>
      </w:pPr>
    </w:p>
    <w:p w:rsidR="000A0AAF" w:rsidRPr="00F16087" w:rsidRDefault="00101327" w:rsidP="003662EA">
      <w:pPr>
        <w:widowControl/>
        <w:numPr>
          <w:ilvl w:val="1"/>
          <w:numId w:val="1"/>
        </w:numPr>
        <w:rPr>
          <w:bCs/>
          <w:szCs w:val="22"/>
        </w:rPr>
      </w:pPr>
      <w:r w:rsidRPr="00F16087">
        <w:rPr>
          <w:bCs/>
          <w:szCs w:val="22"/>
        </w:rPr>
        <w:t xml:space="preserve">The PBAC </w:t>
      </w:r>
      <w:r w:rsidR="00A05A56" w:rsidRPr="00F16087">
        <w:rPr>
          <w:bCs/>
          <w:szCs w:val="22"/>
        </w:rPr>
        <w:t xml:space="preserve">also </w:t>
      </w:r>
      <w:r w:rsidR="000A0AAF" w:rsidRPr="00F16087">
        <w:rPr>
          <w:bCs/>
          <w:szCs w:val="22"/>
        </w:rPr>
        <w:t>noted the advice received from the Austral</w:t>
      </w:r>
      <w:r w:rsidR="00271C35" w:rsidRPr="00F16087">
        <w:rPr>
          <w:bCs/>
          <w:szCs w:val="22"/>
        </w:rPr>
        <w:t>ian College of Dermatologists</w:t>
      </w:r>
      <w:r w:rsidR="00EE75FB" w:rsidRPr="00F16087">
        <w:rPr>
          <w:bCs/>
          <w:szCs w:val="22"/>
        </w:rPr>
        <w:t xml:space="preserve"> (ACD)</w:t>
      </w:r>
      <w:r w:rsidR="00271C35" w:rsidRPr="00F16087">
        <w:rPr>
          <w:bCs/>
          <w:szCs w:val="22"/>
        </w:rPr>
        <w:t xml:space="preserve"> and the</w:t>
      </w:r>
      <w:r w:rsidR="000A0AAF" w:rsidRPr="00F16087">
        <w:rPr>
          <w:bCs/>
          <w:szCs w:val="22"/>
        </w:rPr>
        <w:t xml:space="preserve"> Queensland Institute of Dermatology </w:t>
      </w:r>
      <w:r w:rsidRPr="00F16087">
        <w:rPr>
          <w:bCs/>
          <w:szCs w:val="22"/>
        </w:rPr>
        <w:t xml:space="preserve">clarifying the likely use of </w:t>
      </w:r>
      <w:r w:rsidR="000A0AAF" w:rsidRPr="00F16087">
        <w:rPr>
          <w:bCs/>
          <w:szCs w:val="22"/>
        </w:rPr>
        <w:t>apremilast</w:t>
      </w:r>
      <w:r w:rsidRPr="00F16087">
        <w:rPr>
          <w:bCs/>
          <w:szCs w:val="22"/>
        </w:rPr>
        <w:t xml:space="preserve"> in clinical practice. The PBAC specifically noted the advice</w:t>
      </w:r>
      <w:r w:rsidR="000A0AAF" w:rsidRPr="00F16087">
        <w:rPr>
          <w:bCs/>
          <w:szCs w:val="22"/>
        </w:rPr>
        <w:t xml:space="preserve"> from the </w:t>
      </w:r>
      <w:r w:rsidR="00EE75FB" w:rsidRPr="00F16087">
        <w:rPr>
          <w:bCs/>
          <w:szCs w:val="22"/>
        </w:rPr>
        <w:t>ACD</w:t>
      </w:r>
      <w:r w:rsidR="000A0AAF" w:rsidRPr="00F16087">
        <w:rPr>
          <w:bCs/>
          <w:szCs w:val="22"/>
        </w:rPr>
        <w:t xml:space="preserve"> that </w:t>
      </w:r>
      <w:r w:rsidR="00280BB2" w:rsidRPr="00F16087">
        <w:rPr>
          <w:bCs/>
          <w:szCs w:val="22"/>
        </w:rPr>
        <w:t>there is currently an unmet need in patients with moderate psoriasis</w:t>
      </w:r>
      <w:r w:rsidR="00780825" w:rsidRPr="00F16087">
        <w:rPr>
          <w:bCs/>
          <w:szCs w:val="22"/>
        </w:rPr>
        <w:t xml:space="preserve"> and that </w:t>
      </w:r>
      <w:r w:rsidR="000A0AAF" w:rsidRPr="00F16087">
        <w:rPr>
          <w:bCs/>
          <w:szCs w:val="22"/>
        </w:rPr>
        <w:t xml:space="preserve">apremilast has </w:t>
      </w:r>
      <w:r w:rsidR="00EE75FB" w:rsidRPr="00F16087">
        <w:rPr>
          <w:bCs/>
          <w:szCs w:val="22"/>
        </w:rPr>
        <w:t>“</w:t>
      </w:r>
      <w:r w:rsidR="000A0AAF" w:rsidRPr="00F16087">
        <w:rPr>
          <w:bCs/>
          <w:szCs w:val="22"/>
        </w:rPr>
        <w:t xml:space="preserve">moderate efficacy </w:t>
      </w:r>
      <w:r w:rsidR="00EE75FB" w:rsidRPr="00F16087">
        <w:rPr>
          <w:bCs/>
          <w:szCs w:val="22"/>
        </w:rPr>
        <w:t xml:space="preserve">approximately equivalent </w:t>
      </w:r>
      <w:r w:rsidR="000A0AAF" w:rsidRPr="00F16087">
        <w:rPr>
          <w:bCs/>
          <w:szCs w:val="22"/>
        </w:rPr>
        <w:t>to higher doses of cyclosporin</w:t>
      </w:r>
      <w:r w:rsidR="00EE75FB" w:rsidRPr="00F16087">
        <w:rPr>
          <w:bCs/>
          <w:szCs w:val="22"/>
        </w:rPr>
        <w:t>”</w:t>
      </w:r>
      <w:r w:rsidR="00780825" w:rsidRPr="00F16087">
        <w:rPr>
          <w:bCs/>
          <w:szCs w:val="22"/>
        </w:rPr>
        <w:t xml:space="preserve"> and </w:t>
      </w:r>
      <w:r w:rsidR="00EE75FB" w:rsidRPr="00F16087">
        <w:rPr>
          <w:bCs/>
          <w:szCs w:val="22"/>
        </w:rPr>
        <w:t xml:space="preserve">is </w:t>
      </w:r>
      <w:r w:rsidR="00980E83" w:rsidRPr="00F16087">
        <w:rPr>
          <w:bCs/>
          <w:szCs w:val="22"/>
        </w:rPr>
        <w:t xml:space="preserve">relatively non-toxic and </w:t>
      </w:r>
      <w:r w:rsidR="00EE75FB" w:rsidRPr="00F16087">
        <w:rPr>
          <w:bCs/>
          <w:szCs w:val="22"/>
        </w:rPr>
        <w:t xml:space="preserve">requires </w:t>
      </w:r>
      <w:r w:rsidR="00780825" w:rsidRPr="00F16087">
        <w:rPr>
          <w:bCs/>
          <w:szCs w:val="22"/>
        </w:rPr>
        <w:t>fewer</w:t>
      </w:r>
      <w:r w:rsidR="00EE75FB" w:rsidRPr="00F16087">
        <w:rPr>
          <w:bCs/>
          <w:szCs w:val="22"/>
        </w:rPr>
        <w:t xml:space="preserve"> consultations and pathology investigations, compared </w:t>
      </w:r>
      <w:r w:rsidR="00780825" w:rsidRPr="00F16087">
        <w:rPr>
          <w:bCs/>
          <w:szCs w:val="22"/>
        </w:rPr>
        <w:t>with</w:t>
      </w:r>
      <w:r w:rsidR="00EE75FB" w:rsidRPr="00F16087">
        <w:rPr>
          <w:bCs/>
          <w:szCs w:val="22"/>
        </w:rPr>
        <w:t xml:space="preserve"> other systemic therapies</w:t>
      </w:r>
      <w:r w:rsidR="00780825" w:rsidRPr="00F16087">
        <w:rPr>
          <w:bCs/>
          <w:szCs w:val="22"/>
        </w:rPr>
        <w:t>. The ACD also described the use of phototherapy, cyclosporin, acitretin and methotrexate in clinical practice</w:t>
      </w:r>
      <w:r w:rsidR="00271C35" w:rsidRPr="00F16087">
        <w:rPr>
          <w:bCs/>
          <w:szCs w:val="22"/>
        </w:rPr>
        <w:t>.</w:t>
      </w:r>
      <w:r w:rsidR="00C06861" w:rsidRPr="00F16087" w:rsidDel="00C06861">
        <w:rPr>
          <w:bCs/>
          <w:szCs w:val="22"/>
        </w:rPr>
        <w:t xml:space="preserve"> </w:t>
      </w:r>
    </w:p>
    <w:p w:rsidR="002F7ABB" w:rsidRPr="00F16087" w:rsidRDefault="002F7ABB" w:rsidP="00C06861">
      <w:pPr>
        <w:widowControl/>
        <w:ind w:left="720"/>
      </w:pPr>
    </w:p>
    <w:p w:rsidR="00B60939" w:rsidRPr="00F16087" w:rsidRDefault="00B60939" w:rsidP="00C82182">
      <w:pPr>
        <w:pStyle w:val="Heading3"/>
        <w:keepNext/>
        <w:widowControl/>
      </w:pPr>
      <w:bookmarkStart w:id="8" w:name="_Toc461464568"/>
      <w:r w:rsidRPr="00F16087">
        <w:t>Clinical trials</w:t>
      </w:r>
      <w:bookmarkEnd w:id="8"/>
    </w:p>
    <w:p w:rsidR="00B60939" w:rsidRPr="00F16087" w:rsidRDefault="00B60939" w:rsidP="00C82182">
      <w:pPr>
        <w:keepNext/>
        <w:widowControl/>
        <w:rPr>
          <w:szCs w:val="22"/>
        </w:rPr>
      </w:pPr>
    </w:p>
    <w:p w:rsidR="00246387" w:rsidRPr="00F16087" w:rsidRDefault="004D4937" w:rsidP="003662EA">
      <w:pPr>
        <w:pStyle w:val="ListParagraph"/>
        <w:widowControl/>
        <w:numPr>
          <w:ilvl w:val="1"/>
          <w:numId w:val="1"/>
        </w:numPr>
        <w:rPr>
          <w:szCs w:val="22"/>
        </w:rPr>
      </w:pPr>
      <w:r w:rsidRPr="00F16087">
        <w:rPr>
          <w:u w:val="single"/>
        </w:rPr>
        <w:t>Randomised evidence</w:t>
      </w:r>
      <w:r w:rsidRPr="00F16087">
        <w:t xml:space="preserve">: </w:t>
      </w:r>
      <w:r w:rsidR="001B6188" w:rsidRPr="00F16087">
        <w:t xml:space="preserve">The </w:t>
      </w:r>
      <w:r w:rsidR="00E41050" w:rsidRPr="00F16087">
        <w:t>resub</w:t>
      </w:r>
      <w:r w:rsidR="007F3C6F" w:rsidRPr="00F16087">
        <w:t xml:space="preserve">mission </w:t>
      </w:r>
      <w:r w:rsidR="00B1383B" w:rsidRPr="00F16087">
        <w:t>presented</w:t>
      </w:r>
      <w:r w:rsidR="00A01076" w:rsidRPr="00F16087">
        <w:t xml:space="preserve"> three</w:t>
      </w:r>
      <w:r w:rsidR="001B6188" w:rsidRPr="00F16087">
        <w:t xml:space="preserve"> head-to-head trial</w:t>
      </w:r>
      <w:r w:rsidR="00A01076" w:rsidRPr="00F16087">
        <w:t>s comparing apremilast</w:t>
      </w:r>
      <w:r w:rsidR="00E20237" w:rsidRPr="00F16087">
        <w:t xml:space="preserve"> to </w:t>
      </w:r>
      <w:r w:rsidR="00A01076" w:rsidRPr="00F16087">
        <w:t>placebo</w:t>
      </w:r>
      <w:r w:rsidR="00E20237" w:rsidRPr="00F16087">
        <w:t xml:space="preserve"> (</w:t>
      </w:r>
      <w:r w:rsidR="00D37DEA" w:rsidRPr="00F16087">
        <w:t xml:space="preserve">ESTEEM-1, ESTEEM-2, LIBERATE; </w:t>
      </w:r>
      <w:r w:rsidR="00E20237" w:rsidRPr="00F16087">
        <w:t>n=1,424</w:t>
      </w:r>
      <w:r w:rsidR="001B6188" w:rsidRPr="00F16087">
        <w:t>).</w:t>
      </w:r>
      <w:r w:rsidR="001B6188" w:rsidRPr="00F16087">
        <w:rPr>
          <w:color w:val="3366FF"/>
        </w:rPr>
        <w:t xml:space="preserve"> </w:t>
      </w:r>
      <w:r w:rsidR="00E20237" w:rsidRPr="00F16087">
        <w:rPr>
          <w:color w:val="3366FF"/>
        </w:rPr>
        <w:t xml:space="preserve"> </w:t>
      </w:r>
      <w:r w:rsidR="00E20237" w:rsidRPr="00F16087">
        <w:rPr>
          <w:iCs/>
        </w:rPr>
        <w:t xml:space="preserve">One excluded trial, CORE (n=352), </w:t>
      </w:r>
      <w:r w:rsidR="00D37DEA" w:rsidRPr="00F16087">
        <w:rPr>
          <w:iCs/>
        </w:rPr>
        <w:t>was</w:t>
      </w:r>
      <w:r w:rsidR="00E20237" w:rsidRPr="00F16087">
        <w:rPr>
          <w:iCs/>
        </w:rPr>
        <w:t xml:space="preserve"> included</w:t>
      </w:r>
      <w:r w:rsidR="00D37DEA" w:rsidRPr="00F16087">
        <w:rPr>
          <w:iCs/>
        </w:rPr>
        <w:t xml:space="preserve"> </w:t>
      </w:r>
      <w:r w:rsidR="000C2250" w:rsidRPr="00F16087">
        <w:rPr>
          <w:iCs/>
        </w:rPr>
        <w:t xml:space="preserve">during </w:t>
      </w:r>
      <w:r w:rsidR="00D37DEA" w:rsidRPr="00F16087">
        <w:rPr>
          <w:iCs/>
        </w:rPr>
        <w:t xml:space="preserve">the </w:t>
      </w:r>
      <w:r w:rsidR="000C2250" w:rsidRPr="00F16087">
        <w:rPr>
          <w:iCs/>
        </w:rPr>
        <w:t xml:space="preserve">evaluation </w:t>
      </w:r>
      <w:r w:rsidR="00D37DEA" w:rsidRPr="00F16087">
        <w:rPr>
          <w:iCs/>
        </w:rPr>
        <w:t xml:space="preserve">as the justification for its exclusion was </w:t>
      </w:r>
      <w:r w:rsidR="005801F4" w:rsidRPr="00F16087">
        <w:rPr>
          <w:iCs/>
        </w:rPr>
        <w:t xml:space="preserve">deemed </w:t>
      </w:r>
      <w:r w:rsidR="00D37DEA" w:rsidRPr="00F16087">
        <w:rPr>
          <w:iCs/>
        </w:rPr>
        <w:t>inadequate</w:t>
      </w:r>
      <w:r w:rsidR="00E20237" w:rsidRPr="00F16087">
        <w:rPr>
          <w:iCs/>
        </w:rPr>
        <w:t>.</w:t>
      </w:r>
      <w:r w:rsidR="00425CB2" w:rsidRPr="00F16087">
        <w:t xml:space="preserve"> </w:t>
      </w:r>
      <w:r w:rsidR="00E20237" w:rsidRPr="00F16087">
        <w:t xml:space="preserve">Two of the </w:t>
      </w:r>
      <w:r w:rsidR="007A057B" w:rsidRPr="00F16087">
        <w:t xml:space="preserve">three </w:t>
      </w:r>
      <w:r w:rsidR="00E20237" w:rsidRPr="00F16087">
        <w:t>included trials (ESTEEM-1 and ESTEEM-2), and the excluded CORE trial, were presented in the previous submission</w:t>
      </w:r>
      <w:r w:rsidR="00676B19" w:rsidRPr="00F16087">
        <w:t>.</w:t>
      </w:r>
      <w:r w:rsidR="005801F4" w:rsidRPr="00F16087">
        <w:t xml:space="preserve"> </w:t>
      </w:r>
      <w:r w:rsidR="00676B19" w:rsidRPr="00F16087">
        <w:t xml:space="preserve">The previous submission also included an </w:t>
      </w:r>
      <w:r w:rsidR="00C11928" w:rsidRPr="00F16087">
        <w:t xml:space="preserve">indirect comparison versus cyclosporin </w:t>
      </w:r>
      <w:r w:rsidR="00676B19" w:rsidRPr="00F16087">
        <w:t xml:space="preserve">using the </w:t>
      </w:r>
      <w:proofErr w:type="spellStart"/>
      <w:r w:rsidR="00676B19" w:rsidRPr="00F16087">
        <w:t>Meffert</w:t>
      </w:r>
      <w:proofErr w:type="spellEnd"/>
      <w:r w:rsidR="00676B19" w:rsidRPr="00F16087">
        <w:t xml:space="preserve"> 1997 trial and placebo as the common reference. </w:t>
      </w:r>
      <w:r w:rsidR="00676B19" w:rsidRPr="00F16087">
        <w:rPr>
          <w:iCs/>
        </w:rPr>
        <w:t xml:space="preserve">The </w:t>
      </w:r>
      <w:r w:rsidR="00E41050" w:rsidRPr="00F16087">
        <w:rPr>
          <w:iCs/>
        </w:rPr>
        <w:t>resub</w:t>
      </w:r>
      <w:r w:rsidR="00676B19" w:rsidRPr="00F16087">
        <w:rPr>
          <w:iCs/>
        </w:rPr>
        <w:t xml:space="preserve">mission did not present an indirect comparison of apremilast and cyclosporin, as the </w:t>
      </w:r>
      <w:proofErr w:type="spellStart"/>
      <w:r w:rsidR="00676B19" w:rsidRPr="00F16087">
        <w:rPr>
          <w:iCs/>
        </w:rPr>
        <w:t>Meffert</w:t>
      </w:r>
      <w:proofErr w:type="spellEnd"/>
      <w:r w:rsidR="00676B19" w:rsidRPr="00F16087">
        <w:rPr>
          <w:iCs/>
        </w:rPr>
        <w:t xml:space="preserve"> 1997 trial </w:t>
      </w:r>
      <w:r w:rsidR="004867F2" w:rsidRPr="00F16087">
        <w:rPr>
          <w:iCs/>
        </w:rPr>
        <w:t>was excluded</w:t>
      </w:r>
      <w:r w:rsidR="001B43FC" w:rsidRPr="00F16087">
        <w:rPr>
          <w:iCs/>
        </w:rPr>
        <w:t xml:space="preserve"> by the </w:t>
      </w:r>
      <w:r w:rsidR="00E41050" w:rsidRPr="00F16087">
        <w:rPr>
          <w:iCs/>
        </w:rPr>
        <w:t>resub</w:t>
      </w:r>
      <w:r w:rsidR="00676B19" w:rsidRPr="00F16087">
        <w:rPr>
          <w:iCs/>
        </w:rPr>
        <w:t>mission</w:t>
      </w:r>
      <w:r w:rsidR="00676B19" w:rsidRPr="00F16087">
        <w:t>.</w:t>
      </w:r>
    </w:p>
    <w:p w:rsidR="00246387" w:rsidRPr="00F16087" w:rsidRDefault="00246387" w:rsidP="003662EA">
      <w:pPr>
        <w:pStyle w:val="ListParagraph"/>
        <w:widowControl/>
        <w:rPr>
          <w:szCs w:val="22"/>
        </w:rPr>
      </w:pPr>
    </w:p>
    <w:p w:rsidR="00E96CDE" w:rsidRPr="00F16087" w:rsidRDefault="00E96CDE" w:rsidP="003662EA">
      <w:pPr>
        <w:pStyle w:val="ListParagraph"/>
        <w:widowControl/>
        <w:numPr>
          <w:ilvl w:val="1"/>
          <w:numId w:val="1"/>
        </w:numPr>
        <w:rPr>
          <w:szCs w:val="22"/>
        </w:rPr>
      </w:pPr>
      <w:r w:rsidRPr="00F16087">
        <w:rPr>
          <w:szCs w:val="22"/>
          <w:u w:val="single"/>
        </w:rPr>
        <w:t>Non-randomised evidence</w:t>
      </w:r>
      <w:r w:rsidR="00676B19" w:rsidRPr="00F16087">
        <w:rPr>
          <w:szCs w:val="22"/>
          <w:u w:val="single"/>
        </w:rPr>
        <w:t xml:space="preserve"> (longitudinal claims data)</w:t>
      </w:r>
      <w:r w:rsidRPr="00F16087">
        <w:rPr>
          <w:szCs w:val="22"/>
        </w:rPr>
        <w:t xml:space="preserve">: </w:t>
      </w:r>
      <w:r w:rsidRPr="00F16087">
        <w:t xml:space="preserve">The </w:t>
      </w:r>
      <w:r w:rsidR="00E41050" w:rsidRPr="00F16087">
        <w:t>resub</w:t>
      </w:r>
      <w:r w:rsidRPr="00F16087">
        <w:t xml:space="preserve">mission was </w:t>
      </w:r>
      <w:r w:rsidR="00B1383B" w:rsidRPr="00F16087">
        <w:t xml:space="preserve">largely </w:t>
      </w:r>
      <w:r w:rsidRPr="00F16087">
        <w:t>based on one pivotal real-world US study of claims data comparing apremilast to cyclosporin (</w:t>
      </w:r>
      <w:r w:rsidR="00676B19" w:rsidRPr="00F16087">
        <w:t xml:space="preserve">US </w:t>
      </w:r>
      <w:proofErr w:type="spellStart"/>
      <w:r w:rsidR="00676B19" w:rsidRPr="00F16087">
        <w:t>MarketScan</w:t>
      </w:r>
      <w:proofErr w:type="spellEnd"/>
      <w:r w:rsidR="00676B19" w:rsidRPr="00F16087">
        <w:t xml:space="preserve">® databases; </w:t>
      </w:r>
      <w:r w:rsidRPr="00F16087">
        <w:t>n=5,592), and three supportive apremilast single-arm studies (</w:t>
      </w:r>
      <w:r w:rsidR="00676B19" w:rsidRPr="00F16087">
        <w:t xml:space="preserve">Australian Otezla® Product Familiarisation Program, German IMS longitudinal prescription tracking, and Canadian </w:t>
      </w:r>
      <w:proofErr w:type="spellStart"/>
      <w:r w:rsidR="00676B19" w:rsidRPr="00F16087">
        <w:t>ez</w:t>
      </w:r>
      <w:proofErr w:type="spellEnd"/>
      <w:r w:rsidR="00676B19" w:rsidRPr="00F16087">
        <w:t xml:space="preserve"> Start program; </w:t>
      </w:r>
      <w:r w:rsidRPr="00F16087">
        <w:t>n=3,296).</w:t>
      </w:r>
      <w:r w:rsidR="00676B19" w:rsidRPr="00F16087">
        <w:t xml:space="preserve">  </w:t>
      </w:r>
    </w:p>
    <w:p w:rsidR="00E96CDE" w:rsidRPr="00F16087" w:rsidRDefault="00E96CDE" w:rsidP="003662EA">
      <w:pPr>
        <w:pStyle w:val="ListParagraph"/>
        <w:widowControl/>
        <w:rPr>
          <w:szCs w:val="22"/>
        </w:rPr>
      </w:pPr>
    </w:p>
    <w:p w:rsidR="00E96CDE" w:rsidRPr="00F16087" w:rsidRDefault="00E96CDE" w:rsidP="003662EA">
      <w:pPr>
        <w:pStyle w:val="ListParagraph"/>
        <w:widowControl/>
        <w:numPr>
          <w:ilvl w:val="1"/>
          <w:numId w:val="1"/>
        </w:numPr>
        <w:rPr>
          <w:szCs w:val="22"/>
        </w:rPr>
      </w:pPr>
      <w:r w:rsidRPr="00F16087">
        <w:rPr>
          <w:szCs w:val="22"/>
        </w:rPr>
        <w:t xml:space="preserve">Details of the trials and non-randomised studies presented in the </w:t>
      </w:r>
      <w:r w:rsidR="00E41050" w:rsidRPr="00F16087">
        <w:rPr>
          <w:szCs w:val="22"/>
        </w:rPr>
        <w:t>resub</w:t>
      </w:r>
      <w:r w:rsidRPr="00F16087">
        <w:rPr>
          <w:szCs w:val="22"/>
        </w:rPr>
        <w:t xml:space="preserve">mission are provided in Table </w:t>
      </w:r>
      <w:r w:rsidR="00445862" w:rsidRPr="00F16087">
        <w:rPr>
          <w:szCs w:val="22"/>
        </w:rPr>
        <w:t>2</w:t>
      </w:r>
      <w:r w:rsidRPr="00F16087">
        <w:rPr>
          <w:szCs w:val="22"/>
        </w:rPr>
        <w:t xml:space="preserve">. </w:t>
      </w:r>
    </w:p>
    <w:p w:rsidR="00E96CDE" w:rsidRPr="00F16087" w:rsidRDefault="00E96CDE" w:rsidP="003662EA">
      <w:pPr>
        <w:widowControl/>
        <w:rPr>
          <w:szCs w:val="22"/>
        </w:rPr>
      </w:pPr>
    </w:p>
    <w:p w:rsidR="00A72356" w:rsidRPr="00F16087" w:rsidRDefault="00A72356" w:rsidP="003662EA">
      <w:pPr>
        <w:pStyle w:val="Caption"/>
        <w:keepNext/>
        <w:widowControl/>
        <w:ind w:firstLine="720"/>
      </w:pPr>
      <w:r w:rsidRPr="00F16087">
        <w:t xml:space="preserve">Table </w:t>
      </w:r>
      <w:r w:rsidR="00D209A6" w:rsidRPr="00F16087">
        <w:rPr>
          <w:noProof/>
        </w:rPr>
        <w:t>2</w:t>
      </w:r>
      <w:r w:rsidRPr="00F16087">
        <w:t xml:space="preserve">: Trials and non-randomised studies and associated reports presented in the </w:t>
      </w:r>
      <w:r w:rsidR="00E41050" w:rsidRPr="00F16087">
        <w:t>resub</w:t>
      </w:r>
      <w:r w:rsidRPr="00F16087">
        <w:t>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52"/>
        <w:gridCol w:w="4945"/>
        <w:gridCol w:w="2377"/>
      </w:tblGrid>
      <w:tr w:rsidR="00FD1C33" w:rsidRPr="00F16087" w:rsidTr="00A72356">
        <w:tc>
          <w:tcPr>
            <w:tcW w:w="628" w:type="pct"/>
            <w:vAlign w:val="center"/>
          </w:tcPr>
          <w:p w:rsidR="00FD1C33" w:rsidRPr="00F16087" w:rsidRDefault="00FD1C33" w:rsidP="003662EA">
            <w:pPr>
              <w:pStyle w:val="BodyText"/>
              <w:keepNext/>
              <w:widowControl/>
              <w:rPr>
                <w:rFonts w:ascii="Arial Narrow" w:hAnsi="Arial Narrow"/>
                <w:b/>
                <w:bCs/>
              </w:rPr>
            </w:pPr>
            <w:r w:rsidRPr="00F16087">
              <w:rPr>
                <w:rFonts w:ascii="Arial Narrow" w:hAnsi="Arial Narrow"/>
                <w:b/>
                <w:bCs/>
                <w:sz w:val="20"/>
                <w:szCs w:val="16"/>
              </w:rPr>
              <w:t>Trial ID</w:t>
            </w:r>
          </w:p>
        </w:tc>
        <w:tc>
          <w:tcPr>
            <w:tcW w:w="2953" w:type="pct"/>
            <w:vAlign w:val="center"/>
          </w:tcPr>
          <w:p w:rsidR="00FD1C33" w:rsidRPr="00F16087" w:rsidRDefault="00FD1C33" w:rsidP="003662EA">
            <w:pPr>
              <w:keepNext/>
              <w:widowControl/>
              <w:jc w:val="center"/>
              <w:rPr>
                <w:rFonts w:ascii="Arial Narrow" w:hAnsi="Arial Narrow"/>
                <w:b/>
                <w:sz w:val="20"/>
              </w:rPr>
            </w:pPr>
            <w:r w:rsidRPr="00F16087">
              <w:rPr>
                <w:rFonts w:ascii="Arial Narrow" w:hAnsi="Arial Narrow"/>
                <w:b/>
                <w:sz w:val="20"/>
              </w:rPr>
              <w:t xml:space="preserve">Protocol title/ Publication </w:t>
            </w:r>
            <w:proofErr w:type="spellStart"/>
            <w:r w:rsidRPr="00F16087">
              <w:rPr>
                <w:rFonts w:ascii="Arial Narrow" w:hAnsi="Arial Narrow"/>
                <w:b/>
                <w:sz w:val="20"/>
              </w:rPr>
              <w:t>title</w:t>
            </w:r>
            <w:r w:rsidR="00932832" w:rsidRPr="00F16087">
              <w:rPr>
                <w:rFonts w:ascii="Arial Narrow" w:hAnsi="Arial Narrow"/>
                <w:b/>
                <w:sz w:val="20"/>
                <w:vertAlign w:val="superscript"/>
              </w:rPr>
              <w:t>a</w:t>
            </w:r>
            <w:proofErr w:type="spellEnd"/>
          </w:p>
        </w:tc>
        <w:tc>
          <w:tcPr>
            <w:tcW w:w="1419" w:type="pct"/>
            <w:vAlign w:val="center"/>
          </w:tcPr>
          <w:p w:rsidR="00FD1C33" w:rsidRPr="00F16087" w:rsidRDefault="00FD1C33" w:rsidP="003662EA">
            <w:pPr>
              <w:keepNext/>
              <w:widowControl/>
              <w:jc w:val="center"/>
              <w:rPr>
                <w:rFonts w:ascii="Arial Narrow" w:hAnsi="Arial Narrow"/>
                <w:b/>
                <w:sz w:val="20"/>
              </w:rPr>
            </w:pPr>
            <w:r w:rsidRPr="00F16087">
              <w:rPr>
                <w:rFonts w:ascii="Arial Narrow" w:hAnsi="Arial Narrow"/>
                <w:b/>
                <w:sz w:val="20"/>
              </w:rPr>
              <w:t>Publication citation</w:t>
            </w:r>
          </w:p>
        </w:tc>
      </w:tr>
      <w:tr w:rsidR="00FD1C33" w:rsidRPr="00F16087" w:rsidTr="00354CA6">
        <w:tc>
          <w:tcPr>
            <w:tcW w:w="5000" w:type="pct"/>
            <w:gridSpan w:val="3"/>
            <w:vAlign w:val="center"/>
          </w:tcPr>
          <w:p w:rsidR="00FD1C33" w:rsidRPr="00F16087" w:rsidRDefault="00FD1C33" w:rsidP="003662EA">
            <w:pPr>
              <w:keepNext/>
              <w:widowControl/>
              <w:jc w:val="left"/>
              <w:rPr>
                <w:rFonts w:ascii="Arial Narrow" w:hAnsi="Arial Narrow"/>
                <w:b/>
                <w:sz w:val="20"/>
              </w:rPr>
            </w:pPr>
            <w:r w:rsidRPr="00F16087">
              <w:rPr>
                <w:rFonts w:ascii="Arial Narrow" w:hAnsi="Arial Narrow"/>
                <w:b/>
                <w:sz w:val="20"/>
              </w:rPr>
              <w:t>Randomised trials of apremilast versus placebo</w:t>
            </w:r>
          </w:p>
        </w:tc>
      </w:tr>
      <w:tr w:rsidR="00FD1C33" w:rsidRPr="00F16087" w:rsidTr="00A72356">
        <w:trPr>
          <w:trHeight w:val="675"/>
        </w:trPr>
        <w:tc>
          <w:tcPr>
            <w:tcW w:w="628" w:type="pct"/>
            <w:vMerge w:val="restar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sz w:val="20"/>
              </w:rPr>
              <w:t>ESTEEM-1</w:t>
            </w:r>
          </w:p>
        </w:tc>
        <w:tc>
          <w:tcPr>
            <w:tcW w:w="2953" w:type="pct"/>
            <w:tcBorders>
              <w:bottom w:val="dashed" w:sz="4" w:space="0" w:color="auto"/>
            </w:tcBorders>
            <w:vAlign w:val="center"/>
          </w:tcPr>
          <w:p w:rsidR="00FD1C33" w:rsidRPr="00F16087" w:rsidRDefault="00FD1C33" w:rsidP="003662EA">
            <w:pPr>
              <w:keepNext/>
              <w:widowControl/>
              <w:spacing w:before="40" w:after="40"/>
              <w:jc w:val="left"/>
              <w:rPr>
                <w:rFonts w:ascii="Arial Narrow" w:hAnsi="Arial Narrow"/>
                <w:iCs/>
                <w:sz w:val="20"/>
              </w:rPr>
            </w:pPr>
            <w:r w:rsidRPr="00F16087">
              <w:rPr>
                <w:rFonts w:ascii="Arial Narrow" w:hAnsi="Arial Narrow"/>
                <w:sz w:val="20"/>
              </w:rPr>
              <w:t xml:space="preserve">CC-10004-PSOR-008. A Phase 3, multicentre, </w:t>
            </w:r>
            <w:proofErr w:type="gramStart"/>
            <w:r w:rsidRPr="00F16087">
              <w:rPr>
                <w:rFonts w:ascii="Arial Narrow" w:hAnsi="Arial Narrow"/>
                <w:sz w:val="20"/>
              </w:rPr>
              <w:t>randomised,</w:t>
            </w:r>
            <w:proofErr w:type="gramEnd"/>
            <w:r w:rsidRPr="00F16087">
              <w:rPr>
                <w:rFonts w:ascii="Arial Narrow" w:hAnsi="Arial Narrow"/>
                <w:sz w:val="20"/>
              </w:rPr>
              <w:t xml:space="preserve"> double-blind, placebo-controlled, efficacy and safety study of apremilast (CC-10004) in subjects with moderate to severe plaque psoriasis.</w:t>
            </w:r>
          </w:p>
        </w:tc>
        <w:tc>
          <w:tcPr>
            <w:tcW w:w="1419" w:type="pct"/>
            <w:tcBorders>
              <w:bottom w:val="dashed" w:sz="4" w:space="0" w:color="auto"/>
            </w:tcBorders>
            <w:vAlign w:val="center"/>
          </w:tcPr>
          <w:p w:rsidR="00FD1C33" w:rsidRPr="00F16087" w:rsidRDefault="00FD1C33" w:rsidP="003662EA">
            <w:pPr>
              <w:keepNext/>
              <w:widowControl/>
              <w:spacing w:before="40" w:after="40"/>
              <w:jc w:val="left"/>
              <w:rPr>
                <w:rFonts w:ascii="Arial Narrow" w:hAnsi="Arial Narrow"/>
                <w:b/>
                <w:sz w:val="20"/>
              </w:rPr>
            </w:pPr>
            <w:r w:rsidRPr="00F16087">
              <w:rPr>
                <w:rFonts w:ascii="Arial Narrow" w:hAnsi="Arial Narrow"/>
                <w:sz w:val="20"/>
              </w:rPr>
              <w:t>Clinical Study Report CC-10004-PSOR-008. July 2013.</w:t>
            </w:r>
          </w:p>
        </w:tc>
      </w:tr>
      <w:tr w:rsidR="00FD1C33" w:rsidRPr="00F16087" w:rsidTr="00A72356">
        <w:trPr>
          <w:trHeight w:val="570"/>
        </w:trPr>
        <w:tc>
          <w:tcPr>
            <w:tcW w:w="628" w:type="pct"/>
            <w:vMerge/>
            <w:vAlign w:val="center"/>
          </w:tcPr>
          <w:p w:rsidR="00FD1C33" w:rsidRPr="00F16087" w:rsidRDefault="00FD1C33" w:rsidP="003662EA">
            <w:pPr>
              <w:keepNext/>
              <w:widowControl/>
              <w:jc w:val="left"/>
              <w:rPr>
                <w:rFonts w:ascii="Arial Narrow" w:hAnsi="Arial Narrow"/>
                <w:sz w:val="20"/>
              </w:rPr>
            </w:pPr>
          </w:p>
        </w:tc>
        <w:tc>
          <w:tcPr>
            <w:tcW w:w="2953" w:type="pct"/>
            <w:tcBorders>
              <w:top w:val="dashed" w:sz="4" w:space="0" w:color="auto"/>
              <w:bottom w:val="dashed"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iCs/>
                <w:sz w:val="20"/>
              </w:rPr>
              <w:t xml:space="preserve">Papp K et al. Apremilast, an oral </w:t>
            </w:r>
            <w:proofErr w:type="spellStart"/>
            <w:r w:rsidRPr="00F16087">
              <w:rPr>
                <w:rFonts w:ascii="Arial Narrow" w:hAnsi="Arial Narrow"/>
                <w:iCs/>
                <w:sz w:val="20"/>
              </w:rPr>
              <w:t>phosphodiesterase</w:t>
            </w:r>
            <w:proofErr w:type="spellEnd"/>
            <w:r w:rsidRPr="00F16087">
              <w:rPr>
                <w:rFonts w:ascii="Arial Narrow" w:hAnsi="Arial Narrow"/>
                <w:iCs/>
                <w:sz w:val="20"/>
              </w:rPr>
              <w:t xml:space="preserve"> 4 inhibitor, in patients with moderate to severe plaque psoriasis: Results of a phase III, randomized, controlled trial (efficacy and safety trial evaluating the effects of apremilast in psoriasis [ESTEEM] 1).</w:t>
            </w:r>
          </w:p>
        </w:tc>
        <w:tc>
          <w:tcPr>
            <w:tcW w:w="1419" w:type="pct"/>
            <w:tcBorders>
              <w:top w:val="dashed" w:sz="4" w:space="0" w:color="auto"/>
              <w:bottom w:val="dashed"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cstheme="minorBidi"/>
                <w:iCs/>
                <w:sz w:val="20"/>
                <w:lang w:eastAsia="en-AU"/>
              </w:rPr>
              <w:t xml:space="preserve">Journal of the American Academy of Dermatology, </w:t>
            </w:r>
            <w:r w:rsidRPr="00F16087">
              <w:rPr>
                <w:rFonts w:ascii="Arial Narrow" w:hAnsi="Arial Narrow" w:cstheme="minorBidi"/>
                <w:sz w:val="20"/>
                <w:lang w:eastAsia="en-AU"/>
              </w:rPr>
              <w:t>2015; 73(1): 37-49.</w:t>
            </w:r>
          </w:p>
        </w:tc>
      </w:tr>
      <w:tr w:rsidR="00FD1C33" w:rsidRPr="00F16087" w:rsidTr="00A72356">
        <w:trPr>
          <w:trHeight w:val="720"/>
        </w:trPr>
        <w:tc>
          <w:tcPr>
            <w:tcW w:w="628" w:type="pct"/>
            <w:vMerge w:val="restar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sz w:val="20"/>
              </w:rPr>
              <w:t>ESTEEM-2</w:t>
            </w:r>
          </w:p>
        </w:tc>
        <w:tc>
          <w:tcPr>
            <w:tcW w:w="2953" w:type="pct"/>
            <w:tcBorders>
              <w:top w:val="single" w:sz="4" w:space="0" w:color="auto"/>
              <w:bottom w:val="dashed" w:sz="4" w:space="0" w:color="auto"/>
            </w:tcBorders>
            <w:vAlign w:val="center"/>
          </w:tcPr>
          <w:p w:rsidR="00FD1C33" w:rsidRPr="00F16087" w:rsidRDefault="00FD1C33" w:rsidP="003662EA">
            <w:pPr>
              <w:keepNext/>
              <w:widowControl/>
              <w:spacing w:before="40" w:after="40"/>
              <w:jc w:val="left"/>
              <w:rPr>
                <w:rFonts w:ascii="Arial Narrow" w:hAnsi="Arial Narrow"/>
                <w:iCs/>
                <w:sz w:val="20"/>
              </w:rPr>
            </w:pPr>
            <w:r w:rsidRPr="00F16087">
              <w:rPr>
                <w:rFonts w:ascii="Arial Narrow" w:hAnsi="Arial Narrow"/>
                <w:sz w:val="20"/>
              </w:rPr>
              <w:t xml:space="preserve">CC-10004-PSOR-009. A Phase 3, multicentre, </w:t>
            </w:r>
            <w:proofErr w:type="gramStart"/>
            <w:r w:rsidRPr="00F16087">
              <w:rPr>
                <w:rFonts w:ascii="Arial Narrow" w:hAnsi="Arial Narrow"/>
                <w:sz w:val="20"/>
              </w:rPr>
              <w:t>randomised,</w:t>
            </w:r>
            <w:proofErr w:type="gramEnd"/>
            <w:r w:rsidRPr="00F16087">
              <w:rPr>
                <w:rFonts w:ascii="Arial Narrow" w:hAnsi="Arial Narrow"/>
                <w:sz w:val="20"/>
              </w:rPr>
              <w:t xml:space="preserve"> double-blind, placebo-controlled, efficacy and safety study of apremilast (CC-10004) in subjects with moderate to severe plaque psoriasis.</w:t>
            </w:r>
          </w:p>
        </w:tc>
        <w:tc>
          <w:tcPr>
            <w:tcW w:w="1419" w:type="pct"/>
            <w:tcBorders>
              <w:top w:val="single" w:sz="4" w:space="0" w:color="auto"/>
              <w:bottom w:val="dashed" w:sz="4" w:space="0" w:color="auto"/>
            </w:tcBorders>
            <w:vAlign w:val="center"/>
          </w:tcPr>
          <w:p w:rsidR="00FD1C33" w:rsidRPr="00F16087" w:rsidRDefault="00FD1C33" w:rsidP="003662EA">
            <w:pPr>
              <w:keepNext/>
              <w:widowControl/>
              <w:spacing w:before="40" w:after="40"/>
              <w:jc w:val="left"/>
              <w:rPr>
                <w:rFonts w:ascii="Arial Narrow" w:hAnsi="Arial Narrow" w:cstheme="minorBidi"/>
                <w:sz w:val="20"/>
                <w:lang w:eastAsia="en-AU"/>
              </w:rPr>
            </w:pPr>
            <w:r w:rsidRPr="00F16087">
              <w:rPr>
                <w:rFonts w:ascii="Arial Narrow" w:hAnsi="Arial Narrow"/>
                <w:sz w:val="20"/>
              </w:rPr>
              <w:t>Clinical Study Report CC-10004-PSOR-009. July 2013.</w:t>
            </w:r>
          </w:p>
        </w:tc>
      </w:tr>
      <w:tr w:rsidR="00FD1C33" w:rsidRPr="00F16087" w:rsidTr="00A72356">
        <w:trPr>
          <w:trHeight w:val="359"/>
        </w:trPr>
        <w:tc>
          <w:tcPr>
            <w:tcW w:w="628" w:type="pct"/>
            <w:vMerge/>
            <w:vAlign w:val="center"/>
          </w:tcPr>
          <w:p w:rsidR="00FD1C33" w:rsidRPr="00F16087" w:rsidRDefault="00FD1C33" w:rsidP="003662EA">
            <w:pPr>
              <w:keepNext/>
              <w:widowControl/>
              <w:jc w:val="left"/>
              <w:rPr>
                <w:rFonts w:ascii="Arial Narrow" w:hAnsi="Arial Narrow"/>
                <w:sz w:val="20"/>
              </w:rPr>
            </w:pPr>
          </w:p>
        </w:tc>
        <w:tc>
          <w:tcPr>
            <w:tcW w:w="2953" w:type="pct"/>
            <w:tcBorders>
              <w:top w:val="dashed" w:sz="4" w:space="0" w:color="auto"/>
              <w:bottom w:val="single"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iCs/>
                <w:sz w:val="20"/>
              </w:rPr>
              <w:t xml:space="preserve">Paul C et al. Efficacy and safety of apremilast, an oral </w:t>
            </w:r>
            <w:proofErr w:type="spellStart"/>
            <w:r w:rsidRPr="00F16087">
              <w:rPr>
                <w:rFonts w:ascii="Arial Narrow" w:hAnsi="Arial Narrow"/>
                <w:iCs/>
                <w:sz w:val="20"/>
              </w:rPr>
              <w:t>phosphodiesterase</w:t>
            </w:r>
            <w:proofErr w:type="spellEnd"/>
            <w:r w:rsidRPr="00F16087">
              <w:rPr>
                <w:rFonts w:ascii="Arial Narrow" w:hAnsi="Arial Narrow"/>
                <w:iCs/>
                <w:sz w:val="20"/>
              </w:rPr>
              <w:t xml:space="preserve"> 4 inhibitor, in patients with moderate-to-severe plaque psoriasis over 52 weeks: A phase </w:t>
            </w:r>
            <w:proofErr w:type="gramStart"/>
            <w:r w:rsidRPr="00F16087">
              <w:rPr>
                <w:rFonts w:ascii="Arial Narrow" w:hAnsi="Arial Narrow"/>
                <w:iCs/>
                <w:sz w:val="20"/>
              </w:rPr>
              <w:t>III,</w:t>
            </w:r>
            <w:proofErr w:type="gramEnd"/>
            <w:r w:rsidRPr="00F16087">
              <w:rPr>
                <w:rFonts w:ascii="Arial Narrow" w:hAnsi="Arial Narrow"/>
                <w:iCs/>
                <w:sz w:val="20"/>
              </w:rPr>
              <w:t xml:space="preserve"> randomized controlled trial (ESTEEM-2).</w:t>
            </w:r>
          </w:p>
        </w:tc>
        <w:tc>
          <w:tcPr>
            <w:tcW w:w="1419" w:type="pct"/>
            <w:tcBorders>
              <w:top w:val="dashed" w:sz="4" w:space="0" w:color="auto"/>
              <w:bottom w:val="single"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cstheme="minorBidi"/>
                <w:iCs/>
                <w:sz w:val="20"/>
                <w:lang w:eastAsia="en-AU"/>
              </w:rPr>
              <w:t xml:space="preserve">British Journal of Dermatology, </w:t>
            </w:r>
            <w:r w:rsidRPr="00F16087">
              <w:rPr>
                <w:rFonts w:ascii="Arial Narrow" w:hAnsi="Arial Narrow" w:cstheme="minorBidi"/>
                <w:sz w:val="20"/>
                <w:lang w:eastAsia="en-AU"/>
              </w:rPr>
              <w:t>2015; 173(6): 1387-1399.</w:t>
            </w:r>
          </w:p>
        </w:tc>
      </w:tr>
      <w:tr w:rsidR="00FD1C33" w:rsidRPr="00F16087" w:rsidTr="00A72356">
        <w:trPr>
          <w:trHeight w:val="975"/>
        </w:trPr>
        <w:tc>
          <w:tcPr>
            <w:tcW w:w="628" w:type="pc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sz w:val="20"/>
              </w:rPr>
              <w:t>LIBERATE</w:t>
            </w:r>
          </w:p>
        </w:tc>
        <w:tc>
          <w:tcPr>
            <w:tcW w:w="2953" w:type="pct"/>
            <w:tcBorders>
              <w:top w:val="single" w:sz="4" w:space="0" w:color="auto"/>
              <w:bottom w:val="dashed" w:sz="4" w:space="0" w:color="auto"/>
            </w:tcBorders>
            <w:vAlign w:val="center"/>
          </w:tcPr>
          <w:p w:rsidR="00FD1C33" w:rsidRPr="00F16087" w:rsidRDefault="00FD1C33" w:rsidP="003662EA">
            <w:pPr>
              <w:keepNext/>
              <w:widowControl/>
              <w:spacing w:before="40" w:after="40"/>
              <w:jc w:val="left"/>
              <w:rPr>
                <w:rFonts w:ascii="Arial Narrow" w:hAnsi="Arial Narrow"/>
                <w:iCs/>
                <w:sz w:val="20"/>
              </w:rPr>
            </w:pPr>
            <w:r w:rsidRPr="00F16087">
              <w:rPr>
                <w:rFonts w:ascii="Arial Narrow" w:hAnsi="Arial Narrow"/>
                <w:sz w:val="20"/>
              </w:rPr>
              <w:t>CC-10004-PSOR-010. A Phase 3b, multicentre, randomised, placebo-controlled, double-blind, double-dummy, study of the efficacy and safety of apremilast (CC-10004), etanercept and placebo, in subjects with moderate to severe plaque psoriasis.</w:t>
            </w:r>
          </w:p>
        </w:tc>
        <w:tc>
          <w:tcPr>
            <w:tcW w:w="1419" w:type="pct"/>
            <w:tcBorders>
              <w:top w:val="single" w:sz="4" w:space="0" w:color="auto"/>
              <w:bottom w:val="dashed"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sz w:val="20"/>
              </w:rPr>
              <w:t>Clinical Study Report CC-10004-PSOR-010. October 2014.</w:t>
            </w:r>
          </w:p>
        </w:tc>
      </w:tr>
      <w:tr w:rsidR="00FD1C33" w:rsidRPr="00F16087" w:rsidTr="00A72356">
        <w:trPr>
          <w:trHeight w:val="1155"/>
        </w:trPr>
        <w:tc>
          <w:tcPr>
            <w:tcW w:w="628" w:type="pct"/>
            <w:vMerge w:val="restar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sz w:val="20"/>
              </w:rPr>
              <w:t>CORE</w:t>
            </w:r>
          </w:p>
        </w:tc>
        <w:tc>
          <w:tcPr>
            <w:tcW w:w="2953" w:type="pct"/>
            <w:tcBorders>
              <w:bottom w:val="dashed" w:sz="4" w:space="0" w:color="auto"/>
            </w:tcBorders>
            <w:vAlign w:val="center"/>
          </w:tcPr>
          <w:p w:rsidR="00FD1C33" w:rsidRPr="00F16087" w:rsidRDefault="00FD1C33" w:rsidP="003662EA">
            <w:pPr>
              <w:keepNext/>
              <w:widowControl/>
              <w:spacing w:before="40" w:after="40"/>
              <w:jc w:val="left"/>
              <w:rPr>
                <w:rFonts w:ascii="Arial Narrow" w:hAnsi="Arial Narrow"/>
                <w:iCs/>
                <w:sz w:val="20"/>
              </w:rPr>
            </w:pPr>
            <w:r w:rsidRPr="00F16087">
              <w:rPr>
                <w:rFonts w:ascii="Arial Narrow" w:hAnsi="Arial Narrow"/>
                <w:sz w:val="20"/>
              </w:rPr>
              <w:t xml:space="preserve">CC-10004-PSOR-005-E-LTE. A Phase 2B, multicentre, </w:t>
            </w:r>
            <w:proofErr w:type="gramStart"/>
            <w:r w:rsidRPr="00F16087">
              <w:rPr>
                <w:rFonts w:ascii="Arial Narrow" w:hAnsi="Arial Narrow"/>
                <w:sz w:val="20"/>
              </w:rPr>
              <w:t>randomised,</w:t>
            </w:r>
            <w:proofErr w:type="gramEnd"/>
            <w:r w:rsidRPr="00F16087">
              <w:rPr>
                <w:rFonts w:ascii="Arial Narrow" w:hAnsi="Arial Narrow"/>
                <w:sz w:val="20"/>
              </w:rPr>
              <w:t xml:space="preserve"> double-blind, placebo-controlled, dose-ranging, efficacy and safety study of apremilast (CC-10004) in subjects with moderate-to-severe plaque-type psoriasis (PSOR-005) and two extension studies (PSOR-005E &amp; PSOR-005LTE).</w:t>
            </w:r>
          </w:p>
        </w:tc>
        <w:tc>
          <w:tcPr>
            <w:tcW w:w="1419" w:type="pct"/>
            <w:tcBorders>
              <w:bottom w:val="dashed"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sz w:val="20"/>
              </w:rPr>
              <w:t>Clinical Study Report CC-10004-PSOR-005-E-LTE. December 2012.</w:t>
            </w:r>
          </w:p>
        </w:tc>
      </w:tr>
      <w:tr w:rsidR="00FD1C33" w:rsidRPr="00F16087" w:rsidTr="00A72356">
        <w:trPr>
          <w:trHeight w:val="165"/>
        </w:trPr>
        <w:tc>
          <w:tcPr>
            <w:tcW w:w="628" w:type="pct"/>
            <w:vMerge/>
            <w:vAlign w:val="center"/>
          </w:tcPr>
          <w:p w:rsidR="00FD1C33" w:rsidRPr="00F16087" w:rsidRDefault="00FD1C33" w:rsidP="003662EA">
            <w:pPr>
              <w:keepNext/>
              <w:widowControl/>
              <w:jc w:val="left"/>
              <w:rPr>
                <w:rFonts w:ascii="Arial Narrow" w:hAnsi="Arial Narrow"/>
                <w:sz w:val="20"/>
              </w:rPr>
            </w:pPr>
          </w:p>
        </w:tc>
        <w:tc>
          <w:tcPr>
            <w:tcW w:w="2953" w:type="pct"/>
            <w:tcBorders>
              <w:top w:val="dashed"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iCs/>
                <w:sz w:val="20"/>
              </w:rPr>
              <w:t>Papp K et al. Efficacy of apremilast in the treatment of moderate to severe psoriasis: A randomised controlled trial.</w:t>
            </w:r>
          </w:p>
        </w:tc>
        <w:tc>
          <w:tcPr>
            <w:tcW w:w="1419" w:type="pct"/>
            <w:tcBorders>
              <w:top w:val="dashed" w:sz="4" w:space="0" w:color="auto"/>
            </w:tcBorders>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cstheme="minorBidi"/>
                <w:iCs/>
                <w:sz w:val="20"/>
                <w:lang w:eastAsia="en-AU"/>
              </w:rPr>
              <w:t xml:space="preserve">The Lancet, </w:t>
            </w:r>
            <w:r w:rsidRPr="00F16087">
              <w:rPr>
                <w:rFonts w:ascii="Arial Narrow" w:hAnsi="Arial Narrow" w:cstheme="minorBidi"/>
                <w:sz w:val="20"/>
                <w:lang w:eastAsia="en-AU"/>
              </w:rPr>
              <w:t>2012; 380(9843): 738-746.</w:t>
            </w:r>
          </w:p>
        </w:tc>
      </w:tr>
      <w:tr w:rsidR="00FD1C33" w:rsidRPr="00F16087" w:rsidTr="00354CA6">
        <w:tc>
          <w:tcPr>
            <w:tcW w:w="5000" w:type="pct"/>
            <w:gridSpan w:val="3"/>
            <w:vAlign w:val="center"/>
          </w:tcPr>
          <w:p w:rsidR="00FD1C33" w:rsidRPr="00F16087" w:rsidRDefault="00FD1C33" w:rsidP="003662EA">
            <w:pPr>
              <w:keepNext/>
              <w:widowControl/>
              <w:jc w:val="left"/>
              <w:rPr>
                <w:rFonts w:ascii="Arial Narrow" w:hAnsi="Arial Narrow"/>
                <w:b/>
                <w:iCs/>
                <w:sz w:val="20"/>
              </w:rPr>
            </w:pPr>
            <w:r w:rsidRPr="00F16087">
              <w:rPr>
                <w:rStyle w:val="CommentReference"/>
                <w:iCs/>
              </w:rPr>
              <w:t xml:space="preserve">Non-randomised studies and associated reports presented in the </w:t>
            </w:r>
            <w:r w:rsidR="00E41050" w:rsidRPr="00F16087">
              <w:rPr>
                <w:rStyle w:val="CommentReference"/>
                <w:iCs/>
              </w:rPr>
              <w:t>resub</w:t>
            </w:r>
            <w:r w:rsidRPr="00F16087">
              <w:rPr>
                <w:rStyle w:val="CommentReference"/>
                <w:iCs/>
              </w:rPr>
              <w:t>mission</w:t>
            </w:r>
          </w:p>
        </w:tc>
      </w:tr>
      <w:tr w:rsidR="00FD1C33" w:rsidRPr="00F16087" w:rsidTr="00A72356">
        <w:tc>
          <w:tcPr>
            <w:tcW w:w="628" w:type="pc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iCs/>
                <w:sz w:val="20"/>
              </w:rPr>
              <w:t xml:space="preserve">US </w:t>
            </w:r>
            <w:proofErr w:type="spellStart"/>
            <w:r w:rsidR="00843E20" w:rsidRPr="00F16087">
              <w:rPr>
                <w:rFonts w:ascii="Arial Narrow" w:hAnsi="Arial Narrow"/>
                <w:iCs/>
                <w:sz w:val="20"/>
              </w:rPr>
              <w:t>MarketScan</w:t>
            </w:r>
            <w:proofErr w:type="spellEnd"/>
            <w:r w:rsidRPr="00F16087">
              <w:rPr>
                <w:rFonts w:ascii="Arial Narrow" w:hAnsi="Arial Narrow"/>
                <w:iCs/>
                <w:sz w:val="20"/>
              </w:rPr>
              <w:t>® databases</w:t>
            </w:r>
          </w:p>
        </w:tc>
        <w:tc>
          <w:tcPr>
            <w:tcW w:w="2953" w:type="pct"/>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bCs/>
                <w:iCs/>
                <w:sz w:val="20"/>
              </w:rPr>
              <w:t>Apremilast Study – Cyclosporine – Data Update March 2016</w:t>
            </w:r>
          </w:p>
        </w:tc>
        <w:tc>
          <w:tcPr>
            <w:tcW w:w="1419" w:type="pct"/>
            <w:vAlign w:val="center"/>
          </w:tcPr>
          <w:p w:rsidR="00FD1C33" w:rsidRPr="00F16087" w:rsidRDefault="00967808" w:rsidP="003662EA">
            <w:pPr>
              <w:keepNext/>
              <w:widowControl/>
              <w:spacing w:before="40" w:after="40"/>
              <w:jc w:val="left"/>
              <w:rPr>
                <w:rFonts w:ascii="Arial Narrow" w:hAnsi="Arial Narrow"/>
                <w:iCs/>
                <w:sz w:val="20"/>
              </w:rPr>
            </w:pPr>
            <w:r w:rsidRPr="00F16087">
              <w:rPr>
                <w:rFonts w:ascii="Arial Narrow" w:hAnsi="Arial Narrow"/>
                <w:iCs/>
                <w:sz w:val="20"/>
              </w:rPr>
              <w:t>Not published</w:t>
            </w:r>
          </w:p>
        </w:tc>
      </w:tr>
      <w:tr w:rsidR="00FD1C33" w:rsidRPr="00F16087" w:rsidTr="00A72356">
        <w:tc>
          <w:tcPr>
            <w:tcW w:w="628" w:type="pc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iCs/>
                <w:sz w:val="20"/>
              </w:rPr>
              <w:t>Australian Otezla® PFP</w:t>
            </w:r>
          </w:p>
        </w:tc>
        <w:tc>
          <w:tcPr>
            <w:tcW w:w="2953" w:type="pct"/>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bCs/>
                <w:iCs/>
                <w:sz w:val="20"/>
              </w:rPr>
              <w:t>Otezla PFP Summary Data (EXCEL file)</w:t>
            </w:r>
          </w:p>
        </w:tc>
        <w:tc>
          <w:tcPr>
            <w:tcW w:w="1419" w:type="pct"/>
            <w:vAlign w:val="center"/>
          </w:tcPr>
          <w:p w:rsidR="00FD1C33" w:rsidRPr="00F16087" w:rsidRDefault="00967808" w:rsidP="003662EA">
            <w:pPr>
              <w:keepNext/>
              <w:widowControl/>
              <w:spacing w:before="40" w:after="40"/>
              <w:jc w:val="left"/>
              <w:rPr>
                <w:rFonts w:ascii="Arial Narrow" w:hAnsi="Arial Narrow"/>
                <w:iCs/>
                <w:sz w:val="20"/>
              </w:rPr>
            </w:pPr>
            <w:r w:rsidRPr="00F16087">
              <w:rPr>
                <w:rFonts w:ascii="Arial Narrow" w:hAnsi="Arial Narrow"/>
                <w:iCs/>
                <w:sz w:val="20"/>
              </w:rPr>
              <w:t>Not published</w:t>
            </w:r>
          </w:p>
        </w:tc>
      </w:tr>
      <w:tr w:rsidR="00FD1C33" w:rsidRPr="00F16087" w:rsidTr="00A72356">
        <w:tc>
          <w:tcPr>
            <w:tcW w:w="628" w:type="pc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iCs/>
                <w:sz w:val="20"/>
              </w:rPr>
              <w:t>German longitudinal prescriptions</w:t>
            </w:r>
          </w:p>
        </w:tc>
        <w:tc>
          <w:tcPr>
            <w:tcW w:w="2953" w:type="pct"/>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iCs/>
                <w:sz w:val="20"/>
              </w:rPr>
              <w:t>Persistence Germany May 2016</w:t>
            </w:r>
          </w:p>
        </w:tc>
        <w:tc>
          <w:tcPr>
            <w:tcW w:w="1419" w:type="pct"/>
            <w:vAlign w:val="center"/>
          </w:tcPr>
          <w:p w:rsidR="00FD1C33" w:rsidRPr="00F16087" w:rsidRDefault="00967808" w:rsidP="003662EA">
            <w:pPr>
              <w:keepNext/>
              <w:widowControl/>
              <w:spacing w:before="40" w:after="40"/>
              <w:jc w:val="left"/>
              <w:rPr>
                <w:rFonts w:ascii="Arial Narrow" w:hAnsi="Arial Narrow"/>
                <w:iCs/>
                <w:sz w:val="20"/>
              </w:rPr>
            </w:pPr>
            <w:r w:rsidRPr="00F16087">
              <w:rPr>
                <w:rFonts w:ascii="Arial Narrow" w:hAnsi="Arial Narrow"/>
                <w:iCs/>
                <w:sz w:val="20"/>
              </w:rPr>
              <w:t>Not published</w:t>
            </w:r>
          </w:p>
        </w:tc>
      </w:tr>
      <w:tr w:rsidR="00FD1C33" w:rsidRPr="00F16087" w:rsidTr="00A72356">
        <w:tc>
          <w:tcPr>
            <w:tcW w:w="628" w:type="pct"/>
            <w:vAlign w:val="center"/>
          </w:tcPr>
          <w:p w:rsidR="00FD1C33" w:rsidRPr="00F16087" w:rsidRDefault="00FD1C33" w:rsidP="003662EA">
            <w:pPr>
              <w:keepNext/>
              <w:widowControl/>
              <w:jc w:val="left"/>
              <w:rPr>
                <w:rFonts w:ascii="Arial Narrow" w:hAnsi="Arial Narrow"/>
                <w:sz w:val="20"/>
              </w:rPr>
            </w:pPr>
            <w:r w:rsidRPr="00F16087">
              <w:rPr>
                <w:rFonts w:ascii="Arial Narrow" w:hAnsi="Arial Narrow"/>
                <w:iCs/>
                <w:sz w:val="20"/>
              </w:rPr>
              <w:t xml:space="preserve">Canadian </w:t>
            </w:r>
            <w:proofErr w:type="spellStart"/>
            <w:r w:rsidRPr="00F16087">
              <w:rPr>
                <w:rFonts w:ascii="Arial Narrow" w:hAnsi="Arial Narrow"/>
                <w:iCs/>
                <w:sz w:val="20"/>
              </w:rPr>
              <w:t>ezStart</w:t>
            </w:r>
            <w:proofErr w:type="spellEnd"/>
            <w:r w:rsidRPr="00F16087">
              <w:rPr>
                <w:rFonts w:ascii="Arial Narrow" w:hAnsi="Arial Narrow"/>
                <w:iCs/>
                <w:sz w:val="20"/>
              </w:rPr>
              <w:t xml:space="preserve"> program</w:t>
            </w:r>
          </w:p>
        </w:tc>
        <w:tc>
          <w:tcPr>
            <w:tcW w:w="2953" w:type="pct"/>
            <w:vAlign w:val="center"/>
          </w:tcPr>
          <w:p w:rsidR="00FD1C33" w:rsidRPr="00F16087" w:rsidRDefault="00FD1C33" w:rsidP="003662EA">
            <w:pPr>
              <w:keepNext/>
              <w:widowControl/>
              <w:spacing w:before="40" w:after="40"/>
              <w:jc w:val="left"/>
              <w:rPr>
                <w:rFonts w:ascii="Arial Narrow" w:hAnsi="Arial Narrow"/>
                <w:sz w:val="20"/>
              </w:rPr>
            </w:pPr>
            <w:r w:rsidRPr="00F16087">
              <w:rPr>
                <w:rFonts w:ascii="Arial Narrow" w:hAnsi="Arial Narrow"/>
                <w:iCs/>
                <w:sz w:val="20"/>
              </w:rPr>
              <w:t xml:space="preserve">Patient Persistence on </w:t>
            </w:r>
            <w:proofErr w:type="spellStart"/>
            <w:r w:rsidRPr="00F16087">
              <w:rPr>
                <w:rFonts w:ascii="Arial Narrow" w:hAnsi="Arial Narrow"/>
                <w:iCs/>
                <w:sz w:val="20"/>
              </w:rPr>
              <w:t>Therapy_CAN</w:t>
            </w:r>
            <w:proofErr w:type="spellEnd"/>
          </w:p>
        </w:tc>
        <w:tc>
          <w:tcPr>
            <w:tcW w:w="1419" w:type="pct"/>
            <w:vAlign w:val="center"/>
          </w:tcPr>
          <w:p w:rsidR="00FD1C33" w:rsidRPr="00F16087" w:rsidRDefault="00967808" w:rsidP="003662EA">
            <w:pPr>
              <w:keepNext/>
              <w:widowControl/>
              <w:spacing w:before="40" w:after="40"/>
              <w:jc w:val="left"/>
              <w:rPr>
                <w:rFonts w:ascii="Arial Narrow" w:hAnsi="Arial Narrow"/>
                <w:iCs/>
                <w:sz w:val="20"/>
              </w:rPr>
            </w:pPr>
            <w:r w:rsidRPr="00F16087">
              <w:rPr>
                <w:rFonts w:ascii="Arial Narrow" w:hAnsi="Arial Narrow"/>
                <w:iCs/>
                <w:sz w:val="20"/>
              </w:rPr>
              <w:t>Not published</w:t>
            </w:r>
          </w:p>
        </w:tc>
      </w:tr>
    </w:tbl>
    <w:p w:rsidR="00FD1C33" w:rsidRPr="00F16087" w:rsidRDefault="00FD1C33" w:rsidP="003662EA">
      <w:pPr>
        <w:pStyle w:val="TableFooter"/>
        <w:keepNext/>
        <w:widowControl/>
        <w:ind w:firstLine="720"/>
      </w:pPr>
      <w:r w:rsidRPr="00F16087">
        <w:t>Source: Table B-4, p43 of the submission</w:t>
      </w:r>
    </w:p>
    <w:p w:rsidR="001B6188" w:rsidRPr="00F16087" w:rsidRDefault="00932832" w:rsidP="003662EA">
      <w:pPr>
        <w:pStyle w:val="ListParagraph"/>
        <w:widowControl/>
        <w:tabs>
          <w:tab w:val="left" w:pos="993"/>
        </w:tabs>
        <w:ind w:left="993" w:hanging="273"/>
        <w:rPr>
          <w:rFonts w:ascii="Arial Narrow" w:hAnsi="Arial Narrow"/>
          <w:sz w:val="18"/>
          <w:szCs w:val="18"/>
        </w:rPr>
      </w:pPr>
      <w:proofErr w:type="spellStart"/>
      <w:proofErr w:type="gramStart"/>
      <w:r w:rsidRPr="00F16087">
        <w:rPr>
          <w:sz w:val="18"/>
          <w:szCs w:val="18"/>
          <w:vertAlign w:val="superscript"/>
        </w:rPr>
        <w:t>a</w:t>
      </w:r>
      <w:proofErr w:type="spellEnd"/>
      <w:proofErr w:type="gramEnd"/>
      <w:r w:rsidRPr="00F16087">
        <w:rPr>
          <w:sz w:val="18"/>
          <w:szCs w:val="18"/>
          <w:vertAlign w:val="superscript"/>
        </w:rPr>
        <w:tab/>
      </w:r>
      <w:r w:rsidRPr="00F16087">
        <w:rPr>
          <w:rFonts w:ascii="Arial Narrow" w:hAnsi="Arial Narrow"/>
          <w:iCs/>
          <w:sz w:val="18"/>
          <w:szCs w:val="18"/>
        </w:rPr>
        <w:t>It is noted that there are a number of conference abstracts associated with the apremilast trials but these have not been reported in Table 1.</w:t>
      </w:r>
    </w:p>
    <w:p w:rsidR="002346F2" w:rsidRDefault="002346F2">
      <w:pPr>
        <w:widowControl/>
        <w:jc w:val="left"/>
        <w:rPr>
          <w:szCs w:val="22"/>
        </w:rPr>
      </w:pPr>
      <w:r>
        <w:rPr>
          <w:szCs w:val="22"/>
        </w:rPr>
        <w:br w:type="page"/>
      </w:r>
    </w:p>
    <w:p w:rsidR="00DD1F3E" w:rsidRPr="00F16087" w:rsidRDefault="00DD1F3E" w:rsidP="003662EA">
      <w:pPr>
        <w:pStyle w:val="ListParagraph"/>
        <w:widowControl/>
        <w:numPr>
          <w:ilvl w:val="1"/>
          <w:numId w:val="1"/>
        </w:numPr>
        <w:rPr>
          <w:szCs w:val="22"/>
        </w:rPr>
      </w:pPr>
      <w:r w:rsidRPr="00F16087">
        <w:rPr>
          <w:szCs w:val="22"/>
        </w:rPr>
        <w:t>The key features of the randomised controlled trials are presented in Table 3.</w:t>
      </w:r>
    </w:p>
    <w:p w:rsidR="00DD1F3E" w:rsidRPr="00F16087" w:rsidRDefault="00DD1F3E" w:rsidP="003662EA">
      <w:pPr>
        <w:pStyle w:val="ListParagraph"/>
        <w:widowControl/>
        <w:rPr>
          <w:szCs w:val="22"/>
        </w:rPr>
      </w:pPr>
    </w:p>
    <w:p w:rsidR="00A72356" w:rsidRPr="00F16087" w:rsidRDefault="00A72356" w:rsidP="003662EA">
      <w:pPr>
        <w:pStyle w:val="Caption"/>
        <w:keepNext/>
        <w:widowControl/>
        <w:ind w:firstLine="709"/>
      </w:pPr>
      <w:r w:rsidRPr="00F16087">
        <w:t xml:space="preserve">Table </w:t>
      </w:r>
      <w:r w:rsidR="00D209A6" w:rsidRPr="00F16087">
        <w:rPr>
          <w:noProof/>
        </w:rPr>
        <w:t>3</w:t>
      </w:r>
      <w:r w:rsidRPr="00F16087">
        <w:t>: Key features of ESTEEM-1, ESTEEM-2, LIBERATE and CORE</w:t>
      </w:r>
    </w:p>
    <w:tbl>
      <w:tblPr>
        <w:tblStyle w:val="TableGrid"/>
        <w:tblW w:w="8345" w:type="dxa"/>
        <w:tblInd w:w="737" w:type="dxa"/>
        <w:tblLayout w:type="fixed"/>
        <w:tblCellMar>
          <w:left w:w="28" w:type="dxa"/>
          <w:right w:w="28" w:type="dxa"/>
        </w:tblCellMar>
        <w:tblLook w:val="04A0" w:firstRow="1" w:lastRow="0" w:firstColumn="1" w:lastColumn="0" w:noHBand="0" w:noVBand="1"/>
        <w:tblCaption w:val="Key features of clinical trials"/>
      </w:tblPr>
      <w:tblGrid>
        <w:gridCol w:w="992"/>
        <w:gridCol w:w="426"/>
        <w:gridCol w:w="2835"/>
        <w:gridCol w:w="708"/>
        <w:gridCol w:w="1134"/>
        <w:gridCol w:w="1134"/>
        <w:gridCol w:w="1116"/>
      </w:tblGrid>
      <w:tr w:rsidR="00DD1F3E" w:rsidRPr="00F16087" w:rsidTr="00922993">
        <w:trPr>
          <w:tblHeader/>
        </w:trPr>
        <w:tc>
          <w:tcPr>
            <w:tcW w:w="992" w:type="dxa"/>
            <w:vAlign w:val="center"/>
          </w:tcPr>
          <w:p w:rsidR="00DD1F3E" w:rsidRPr="00F16087" w:rsidRDefault="00DD1F3E" w:rsidP="003662EA">
            <w:pPr>
              <w:keepNext/>
              <w:widowControl/>
              <w:jc w:val="left"/>
              <w:rPr>
                <w:rFonts w:ascii="Arial Narrow" w:hAnsi="Arial Narrow"/>
                <w:b/>
                <w:bCs/>
                <w:sz w:val="20"/>
              </w:rPr>
            </w:pPr>
            <w:r w:rsidRPr="00F16087">
              <w:rPr>
                <w:rFonts w:ascii="Arial Narrow" w:hAnsi="Arial Narrow"/>
                <w:b/>
                <w:bCs/>
                <w:sz w:val="20"/>
              </w:rPr>
              <w:t>Trial</w:t>
            </w:r>
          </w:p>
        </w:tc>
        <w:tc>
          <w:tcPr>
            <w:tcW w:w="426" w:type="dxa"/>
            <w:vAlign w:val="center"/>
          </w:tcPr>
          <w:p w:rsidR="00DD1F3E" w:rsidRPr="00F16087" w:rsidRDefault="00DD1F3E" w:rsidP="003662EA">
            <w:pPr>
              <w:keepNext/>
              <w:widowControl/>
              <w:jc w:val="center"/>
              <w:rPr>
                <w:rFonts w:ascii="Arial Narrow" w:hAnsi="Arial Narrow"/>
                <w:b/>
                <w:bCs/>
                <w:sz w:val="20"/>
              </w:rPr>
            </w:pPr>
            <w:r w:rsidRPr="00F16087">
              <w:rPr>
                <w:rFonts w:ascii="Arial Narrow" w:hAnsi="Arial Narrow"/>
                <w:b/>
                <w:bCs/>
                <w:sz w:val="20"/>
              </w:rPr>
              <w:t>N</w:t>
            </w:r>
          </w:p>
        </w:tc>
        <w:tc>
          <w:tcPr>
            <w:tcW w:w="2835" w:type="dxa"/>
            <w:vAlign w:val="center"/>
          </w:tcPr>
          <w:p w:rsidR="00DD1F3E" w:rsidRPr="00F16087" w:rsidRDefault="00DD1F3E" w:rsidP="003662EA">
            <w:pPr>
              <w:keepNext/>
              <w:widowControl/>
              <w:jc w:val="center"/>
              <w:rPr>
                <w:rFonts w:ascii="Arial Narrow" w:hAnsi="Arial Narrow"/>
                <w:b/>
                <w:bCs/>
                <w:sz w:val="20"/>
              </w:rPr>
            </w:pPr>
            <w:r w:rsidRPr="00F16087">
              <w:rPr>
                <w:rFonts w:ascii="Arial Narrow" w:hAnsi="Arial Narrow"/>
                <w:b/>
                <w:bCs/>
                <w:sz w:val="20"/>
              </w:rPr>
              <w:t>Design / duration</w:t>
            </w:r>
          </w:p>
        </w:tc>
        <w:tc>
          <w:tcPr>
            <w:tcW w:w="708" w:type="dxa"/>
            <w:vAlign w:val="center"/>
          </w:tcPr>
          <w:p w:rsidR="00DD1F3E" w:rsidRPr="00F16087" w:rsidRDefault="00DD1F3E" w:rsidP="003662EA">
            <w:pPr>
              <w:keepNext/>
              <w:widowControl/>
              <w:jc w:val="center"/>
              <w:rPr>
                <w:rFonts w:ascii="Arial Narrow" w:hAnsi="Arial Narrow"/>
                <w:b/>
                <w:bCs/>
                <w:sz w:val="20"/>
              </w:rPr>
            </w:pPr>
            <w:r w:rsidRPr="00F16087">
              <w:rPr>
                <w:rFonts w:ascii="Arial Narrow" w:hAnsi="Arial Narrow"/>
                <w:b/>
                <w:bCs/>
                <w:sz w:val="20"/>
              </w:rPr>
              <w:t>Risk of bias</w:t>
            </w:r>
          </w:p>
        </w:tc>
        <w:tc>
          <w:tcPr>
            <w:tcW w:w="1134" w:type="dxa"/>
            <w:vAlign w:val="center"/>
          </w:tcPr>
          <w:p w:rsidR="00DD1F3E" w:rsidRPr="00F16087" w:rsidRDefault="00DD1F3E" w:rsidP="003662EA">
            <w:pPr>
              <w:keepNext/>
              <w:widowControl/>
              <w:jc w:val="center"/>
              <w:rPr>
                <w:rFonts w:ascii="Arial Narrow" w:hAnsi="Arial Narrow"/>
                <w:b/>
                <w:bCs/>
                <w:sz w:val="20"/>
              </w:rPr>
            </w:pPr>
            <w:r w:rsidRPr="00F16087">
              <w:rPr>
                <w:rFonts w:ascii="Arial Narrow" w:hAnsi="Arial Narrow"/>
                <w:b/>
                <w:bCs/>
                <w:sz w:val="20"/>
              </w:rPr>
              <w:t>Patient population</w:t>
            </w:r>
          </w:p>
        </w:tc>
        <w:tc>
          <w:tcPr>
            <w:tcW w:w="1134" w:type="dxa"/>
            <w:vAlign w:val="center"/>
          </w:tcPr>
          <w:p w:rsidR="00DD1F3E" w:rsidRPr="00F16087" w:rsidRDefault="00DD1F3E" w:rsidP="003662EA">
            <w:pPr>
              <w:keepNext/>
              <w:widowControl/>
              <w:jc w:val="center"/>
              <w:rPr>
                <w:rFonts w:ascii="Arial Narrow" w:hAnsi="Arial Narrow"/>
                <w:b/>
                <w:bCs/>
                <w:sz w:val="20"/>
              </w:rPr>
            </w:pPr>
            <w:r w:rsidRPr="00F16087">
              <w:rPr>
                <w:rFonts w:ascii="Arial Narrow" w:hAnsi="Arial Narrow"/>
                <w:b/>
                <w:bCs/>
                <w:sz w:val="20"/>
              </w:rPr>
              <w:t>Outcome(s)</w:t>
            </w:r>
          </w:p>
        </w:tc>
        <w:tc>
          <w:tcPr>
            <w:tcW w:w="1116" w:type="dxa"/>
            <w:vAlign w:val="center"/>
          </w:tcPr>
          <w:p w:rsidR="00DD1F3E" w:rsidRPr="00F16087" w:rsidRDefault="00DD1F3E" w:rsidP="003662EA">
            <w:pPr>
              <w:keepNext/>
              <w:widowControl/>
              <w:jc w:val="center"/>
              <w:rPr>
                <w:rFonts w:ascii="Arial Narrow" w:hAnsi="Arial Narrow"/>
                <w:b/>
                <w:bCs/>
                <w:sz w:val="20"/>
              </w:rPr>
            </w:pPr>
            <w:r w:rsidRPr="00F16087">
              <w:rPr>
                <w:rFonts w:ascii="Arial Narrow" w:hAnsi="Arial Narrow"/>
                <w:b/>
                <w:bCs/>
                <w:sz w:val="20"/>
              </w:rPr>
              <w:t xml:space="preserve">Use in modelled </w:t>
            </w:r>
            <w:proofErr w:type="spellStart"/>
            <w:r w:rsidRPr="00F16087">
              <w:rPr>
                <w:rFonts w:ascii="Arial Narrow" w:hAnsi="Arial Narrow"/>
                <w:b/>
                <w:bCs/>
                <w:sz w:val="20"/>
              </w:rPr>
              <w:t>evaluation</w:t>
            </w:r>
            <w:r w:rsidRPr="00F16087">
              <w:rPr>
                <w:rFonts w:ascii="Arial Narrow" w:hAnsi="Arial Narrow"/>
                <w:b/>
                <w:bCs/>
                <w:sz w:val="20"/>
                <w:vertAlign w:val="superscript"/>
              </w:rPr>
              <w:t>a</w:t>
            </w:r>
            <w:proofErr w:type="spellEnd"/>
          </w:p>
        </w:tc>
      </w:tr>
      <w:tr w:rsidR="00DD1F3E" w:rsidRPr="00F16087" w:rsidTr="00DD1F3E">
        <w:tc>
          <w:tcPr>
            <w:tcW w:w="8345" w:type="dxa"/>
            <w:gridSpan w:val="7"/>
          </w:tcPr>
          <w:p w:rsidR="00DD1F3E" w:rsidRPr="00F16087" w:rsidRDefault="00DD1F3E" w:rsidP="003662EA">
            <w:pPr>
              <w:keepNext/>
              <w:widowControl/>
              <w:jc w:val="left"/>
              <w:rPr>
                <w:rFonts w:ascii="Arial Narrow" w:hAnsi="Arial Narrow"/>
                <w:b/>
                <w:sz w:val="20"/>
              </w:rPr>
            </w:pPr>
            <w:r w:rsidRPr="00F16087">
              <w:rPr>
                <w:rFonts w:ascii="Arial Narrow" w:hAnsi="Arial Narrow"/>
                <w:b/>
                <w:sz w:val="20"/>
              </w:rPr>
              <w:t>Apremilast versus placebo</w:t>
            </w:r>
          </w:p>
        </w:tc>
      </w:tr>
      <w:tr w:rsidR="00DD1F3E" w:rsidRPr="00F16087" w:rsidTr="00DD1F3E">
        <w:tc>
          <w:tcPr>
            <w:tcW w:w="992"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ESTEEM-1</w:t>
            </w:r>
          </w:p>
        </w:tc>
        <w:tc>
          <w:tcPr>
            <w:tcW w:w="426"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844</w:t>
            </w:r>
          </w:p>
        </w:tc>
        <w:tc>
          <w:tcPr>
            <w:tcW w:w="2835"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Two arm, four phase trial.</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one: (2:1) R,DB,PC (16wk)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two: PX maintenance (16wk)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 xml:space="preserve">Phase three: re-randomisation </w:t>
            </w:r>
            <w:r w:rsidRPr="00F16087">
              <w:rPr>
                <w:rFonts w:ascii="Arial Narrow" w:hAnsi="Arial Narrow"/>
                <w:sz w:val="20"/>
                <w:u w:val="single"/>
              </w:rPr>
              <w:t>PASI75</w:t>
            </w:r>
            <w:r w:rsidRPr="00F16087">
              <w:rPr>
                <w:rFonts w:ascii="Arial Narrow" w:hAnsi="Arial Narrow"/>
                <w:sz w:val="20"/>
              </w:rPr>
              <w:t xml:space="preserve"> treatment withdrawal (20wk)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four: OL extension (to 4yrs)</w:t>
            </w:r>
          </w:p>
        </w:tc>
        <w:tc>
          <w:tcPr>
            <w:tcW w:w="708" w:type="dxa"/>
            <w:vMerge w:val="restart"/>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Phase one: low</w:t>
            </w:r>
          </w:p>
        </w:tc>
        <w:tc>
          <w:tcPr>
            <w:tcW w:w="1134" w:type="dxa"/>
            <w:vMerge w:val="restart"/>
            <w:vAlign w:val="center"/>
          </w:tcPr>
          <w:p w:rsidR="00DD1F3E" w:rsidRPr="00F16087" w:rsidRDefault="00DD1F3E" w:rsidP="003662EA">
            <w:pPr>
              <w:keepNext/>
              <w:widowControl/>
              <w:jc w:val="center"/>
              <w:rPr>
                <w:rFonts w:ascii="Arial Narrow" w:hAnsi="Arial Narrow"/>
                <w:sz w:val="20"/>
                <w:lang w:val="es-ES_tradnl"/>
              </w:rPr>
            </w:pPr>
            <w:r w:rsidRPr="00F16087">
              <w:rPr>
                <w:rFonts w:ascii="Arial Narrow" w:hAnsi="Arial Narrow"/>
                <w:sz w:val="20"/>
                <w:lang w:val="es-ES_tradnl"/>
              </w:rPr>
              <w:t xml:space="preserve">Plaque psoriasis (PASI≥12 + </w:t>
            </w:r>
          </w:p>
          <w:p w:rsidR="00DD1F3E" w:rsidRPr="00F16087" w:rsidRDefault="00DD1F3E" w:rsidP="003662EA">
            <w:pPr>
              <w:keepNext/>
              <w:widowControl/>
              <w:jc w:val="center"/>
              <w:rPr>
                <w:rFonts w:ascii="Arial Narrow" w:hAnsi="Arial Narrow"/>
                <w:sz w:val="20"/>
                <w:lang w:val="es-ES_tradnl"/>
              </w:rPr>
            </w:pPr>
            <w:r w:rsidRPr="00F16087">
              <w:rPr>
                <w:rFonts w:ascii="Arial Narrow" w:hAnsi="Arial Narrow"/>
                <w:sz w:val="20"/>
                <w:lang w:val="es-ES_tradnl"/>
              </w:rPr>
              <w:t xml:space="preserve">BSA≥10% + </w:t>
            </w:r>
          </w:p>
          <w:p w:rsidR="00DD1F3E" w:rsidRPr="00F16087" w:rsidRDefault="00DD1F3E" w:rsidP="003662EA">
            <w:pPr>
              <w:keepNext/>
              <w:widowControl/>
              <w:jc w:val="center"/>
              <w:rPr>
                <w:rFonts w:ascii="Arial Narrow" w:hAnsi="Arial Narrow"/>
                <w:sz w:val="20"/>
                <w:lang w:val="es-ES_tradnl"/>
              </w:rPr>
            </w:pPr>
            <w:r w:rsidRPr="00F16087">
              <w:rPr>
                <w:rFonts w:ascii="Arial Narrow" w:hAnsi="Arial Narrow"/>
                <w:sz w:val="20"/>
                <w:lang w:val="es-ES_tradnl"/>
              </w:rPr>
              <w:t>sPGA≥3)</w:t>
            </w:r>
          </w:p>
        </w:tc>
        <w:tc>
          <w:tcPr>
            <w:tcW w:w="1134" w:type="dxa"/>
            <w:vMerge w:val="restart"/>
            <w:vAlign w:val="center"/>
          </w:tcPr>
          <w:p w:rsidR="00DD1F3E" w:rsidRPr="00F16087" w:rsidRDefault="00DD1F3E" w:rsidP="003662EA">
            <w:pPr>
              <w:keepNext/>
              <w:widowControl/>
              <w:jc w:val="center"/>
              <w:rPr>
                <w:rFonts w:ascii="Arial Narrow" w:hAnsi="Arial Narrow"/>
                <w:sz w:val="20"/>
                <w:szCs w:val="16"/>
                <w:lang w:val="en-US"/>
              </w:rPr>
            </w:pPr>
            <w:r w:rsidRPr="00F16087">
              <w:rPr>
                <w:rFonts w:ascii="Arial Narrow" w:hAnsi="Arial Narrow"/>
                <w:sz w:val="20"/>
                <w:szCs w:val="16"/>
                <w:lang w:val="en-US"/>
              </w:rPr>
              <w:t>1°: PASI75 (wk16)</w:t>
            </w:r>
          </w:p>
          <w:p w:rsidR="00DD1F3E" w:rsidRPr="00F16087" w:rsidRDefault="00DD1F3E" w:rsidP="003662EA">
            <w:pPr>
              <w:keepNext/>
              <w:widowControl/>
              <w:jc w:val="center"/>
              <w:rPr>
                <w:rFonts w:ascii="Arial Narrow" w:hAnsi="Arial Narrow"/>
                <w:sz w:val="20"/>
                <w:szCs w:val="16"/>
                <w:lang w:val="en-US"/>
              </w:rPr>
            </w:pPr>
            <w:r w:rsidRPr="00F16087">
              <w:rPr>
                <w:rFonts w:ascii="Arial Narrow" w:hAnsi="Arial Narrow"/>
                <w:sz w:val="20"/>
                <w:szCs w:val="16"/>
                <w:lang w:val="en-US"/>
              </w:rPr>
              <w:t xml:space="preserve">2°: </w:t>
            </w:r>
            <w:proofErr w:type="spellStart"/>
            <w:r w:rsidRPr="00F16087">
              <w:rPr>
                <w:rFonts w:ascii="Arial Narrow" w:hAnsi="Arial Narrow"/>
                <w:sz w:val="20"/>
                <w:szCs w:val="16"/>
                <w:lang w:val="en-US"/>
              </w:rPr>
              <w:t>sPGA</w:t>
            </w:r>
            <w:proofErr w:type="spellEnd"/>
            <w:r w:rsidRPr="00F16087">
              <w:rPr>
                <w:rFonts w:ascii="Arial Narrow" w:hAnsi="Arial Narrow"/>
                <w:sz w:val="20"/>
                <w:szCs w:val="16"/>
                <w:u w:val="single"/>
                <w:lang w:val="en-US"/>
              </w:rPr>
              <w:t>&lt;</w:t>
            </w:r>
            <w:r w:rsidRPr="00F16087">
              <w:rPr>
                <w:rFonts w:ascii="Arial Narrow" w:hAnsi="Arial Narrow"/>
                <w:sz w:val="20"/>
                <w:szCs w:val="16"/>
                <w:lang w:val="en-US"/>
              </w:rPr>
              <w:t xml:space="preserve">1, PASI change/ response, </w:t>
            </w:r>
            <w:proofErr w:type="spellStart"/>
            <w:r w:rsidRPr="00F16087">
              <w:rPr>
                <w:rFonts w:ascii="Arial Narrow" w:hAnsi="Arial Narrow"/>
                <w:sz w:val="20"/>
                <w:szCs w:val="16"/>
                <w:lang w:val="en-US"/>
              </w:rPr>
              <w:t>QoL</w:t>
            </w:r>
            <w:proofErr w:type="spellEnd"/>
            <w:r w:rsidRPr="00F16087">
              <w:rPr>
                <w:rFonts w:ascii="Arial Narrow" w:hAnsi="Arial Narrow"/>
                <w:sz w:val="20"/>
                <w:szCs w:val="16"/>
                <w:lang w:val="en-US"/>
              </w:rPr>
              <w:t xml:space="preserve"> </w:t>
            </w:r>
          </w:p>
        </w:tc>
        <w:tc>
          <w:tcPr>
            <w:tcW w:w="1116" w:type="dxa"/>
            <w:vMerge w:val="restart"/>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Not used</w:t>
            </w:r>
          </w:p>
        </w:tc>
      </w:tr>
      <w:tr w:rsidR="00DD1F3E" w:rsidRPr="00F16087" w:rsidTr="00DD1F3E">
        <w:tc>
          <w:tcPr>
            <w:tcW w:w="992"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ESTEEM-2</w:t>
            </w:r>
          </w:p>
        </w:tc>
        <w:tc>
          <w:tcPr>
            <w:tcW w:w="426"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413</w:t>
            </w:r>
          </w:p>
        </w:tc>
        <w:tc>
          <w:tcPr>
            <w:tcW w:w="2835"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Two arm, four phase trial.</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one: (2:1) R,DB,PC (16wk)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two: PX maintenance (16wk)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 xml:space="preserve">Phase three: re-randomisation </w:t>
            </w:r>
            <w:r w:rsidRPr="00F16087">
              <w:rPr>
                <w:rFonts w:ascii="Arial Narrow" w:hAnsi="Arial Narrow"/>
                <w:sz w:val="20"/>
                <w:u w:val="single"/>
              </w:rPr>
              <w:t>PASI50</w:t>
            </w:r>
            <w:r w:rsidRPr="00F16087">
              <w:rPr>
                <w:rFonts w:ascii="Arial Narrow" w:hAnsi="Arial Narrow"/>
                <w:sz w:val="20"/>
              </w:rPr>
              <w:t xml:space="preserve"> treatment withdrawal (20wk)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four: OL extension (to 4yrs)</w:t>
            </w:r>
          </w:p>
        </w:tc>
        <w:tc>
          <w:tcPr>
            <w:tcW w:w="708" w:type="dxa"/>
            <w:vMerge/>
            <w:vAlign w:val="center"/>
          </w:tcPr>
          <w:p w:rsidR="00DD1F3E" w:rsidRPr="00F16087" w:rsidRDefault="00DD1F3E" w:rsidP="003662EA">
            <w:pPr>
              <w:keepNext/>
              <w:widowControl/>
              <w:jc w:val="center"/>
              <w:rPr>
                <w:rFonts w:ascii="Arial Narrow" w:hAnsi="Arial Narrow"/>
                <w:sz w:val="20"/>
              </w:rPr>
            </w:pPr>
          </w:p>
        </w:tc>
        <w:tc>
          <w:tcPr>
            <w:tcW w:w="1134" w:type="dxa"/>
            <w:vMerge/>
            <w:vAlign w:val="center"/>
          </w:tcPr>
          <w:p w:rsidR="00DD1F3E" w:rsidRPr="00F16087" w:rsidRDefault="00DD1F3E" w:rsidP="003662EA">
            <w:pPr>
              <w:keepNext/>
              <w:widowControl/>
              <w:jc w:val="center"/>
              <w:rPr>
                <w:rFonts w:ascii="Arial Narrow" w:hAnsi="Arial Narrow"/>
                <w:sz w:val="20"/>
              </w:rPr>
            </w:pPr>
          </w:p>
        </w:tc>
        <w:tc>
          <w:tcPr>
            <w:tcW w:w="1134" w:type="dxa"/>
            <w:vMerge/>
            <w:vAlign w:val="center"/>
          </w:tcPr>
          <w:p w:rsidR="00DD1F3E" w:rsidRPr="00F16087" w:rsidRDefault="00DD1F3E" w:rsidP="003662EA">
            <w:pPr>
              <w:keepNext/>
              <w:widowControl/>
              <w:jc w:val="center"/>
              <w:rPr>
                <w:rFonts w:ascii="Arial Narrow" w:hAnsi="Arial Narrow"/>
                <w:sz w:val="20"/>
              </w:rPr>
            </w:pPr>
          </w:p>
        </w:tc>
        <w:tc>
          <w:tcPr>
            <w:tcW w:w="1116" w:type="dxa"/>
            <w:vMerge/>
            <w:vAlign w:val="center"/>
          </w:tcPr>
          <w:p w:rsidR="00DD1F3E" w:rsidRPr="00F16087" w:rsidRDefault="00DD1F3E" w:rsidP="003662EA">
            <w:pPr>
              <w:keepNext/>
              <w:widowControl/>
              <w:jc w:val="center"/>
              <w:rPr>
                <w:rFonts w:ascii="Arial Narrow" w:hAnsi="Arial Narrow"/>
                <w:sz w:val="20"/>
              </w:rPr>
            </w:pPr>
          </w:p>
        </w:tc>
      </w:tr>
      <w:tr w:rsidR="00DD1F3E" w:rsidRPr="00F16087" w:rsidTr="00DD1F3E">
        <w:tc>
          <w:tcPr>
            <w:tcW w:w="992"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LIBERATE</w:t>
            </w:r>
          </w:p>
        </w:tc>
        <w:tc>
          <w:tcPr>
            <w:tcW w:w="426"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167</w:t>
            </w:r>
          </w:p>
        </w:tc>
        <w:tc>
          <w:tcPr>
            <w:tcW w:w="2835"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Three arm, two phase trial.</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one: (1:1:1) R,DB,PC (16wk)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two: PX maintenance (88wk)</w:t>
            </w:r>
          </w:p>
        </w:tc>
        <w:tc>
          <w:tcPr>
            <w:tcW w:w="708"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Phase one: low</w:t>
            </w:r>
          </w:p>
        </w:tc>
        <w:tc>
          <w:tcPr>
            <w:tcW w:w="1134" w:type="dxa"/>
            <w:vAlign w:val="center"/>
          </w:tcPr>
          <w:p w:rsidR="00DD1F3E" w:rsidRPr="00F16087" w:rsidRDefault="00DD1F3E" w:rsidP="003662EA">
            <w:pPr>
              <w:keepNext/>
              <w:widowControl/>
              <w:jc w:val="center"/>
              <w:rPr>
                <w:rFonts w:ascii="Arial Narrow" w:hAnsi="Arial Narrow"/>
                <w:sz w:val="20"/>
                <w:lang w:val="es-ES_tradnl"/>
              </w:rPr>
            </w:pPr>
            <w:r w:rsidRPr="00F16087">
              <w:rPr>
                <w:rFonts w:ascii="Arial Narrow" w:hAnsi="Arial Narrow"/>
                <w:sz w:val="20"/>
                <w:lang w:val="es-ES_tradnl"/>
              </w:rPr>
              <w:t xml:space="preserve">Plaque psoriasis (PASI≥12 + </w:t>
            </w:r>
          </w:p>
          <w:p w:rsidR="00DD1F3E" w:rsidRPr="00F16087" w:rsidRDefault="00DD1F3E" w:rsidP="003662EA">
            <w:pPr>
              <w:keepNext/>
              <w:widowControl/>
              <w:jc w:val="center"/>
              <w:rPr>
                <w:rFonts w:ascii="Arial Narrow" w:hAnsi="Arial Narrow"/>
                <w:sz w:val="20"/>
                <w:lang w:val="es-ES_tradnl"/>
              </w:rPr>
            </w:pPr>
            <w:r w:rsidRPr="00F16087">
              <w:rPr>
                <w:rFonts w:ascii="Arial Narrow" w:hAnsi="Arial Narrow"/>
                <w:sz w:val="20"/>
                <w:lang w:val="es-ES_tradnl"/>
              </w:rPr>
              <w:t xml:space="preserve">BSA≥10% + </w:t>
            </w:r>
          </w:p>
          <w:p w:rsidR="00DD1F3E" w:rsidRPr="00F16087" w:rsidRDefault="00DD1F3E" w:rsidP="003662EA">
            <w:pPr>
              <w:keepNext/>
              <w:widowControl/>
              <w:jc w:val="center"/>
              <w:rPr>
                <w:rFonts w:ascii="Arial Narrow" w:hAnsi="Arial Narrow"/>
                <w:sz w:val="20"/>
                <w:lang w:val="es-ES_tradnl"/>
              </w:rPr>
            </w:pPr>
            <w:r w:rsidRPr="00F16087">
              <w:rPr>
                <w:rFonts w:ascii="Arial Narrow" w:hAnsi="Arial Narrow"/>
                <w:sz w:val="20"/>
                <w:lang w:val="es-ES_tradnl"/>
              </w:rPr>
              <w:t>sPGA≥3)</w:t>
            </w:r>
          </w:p>
        </w:tc>
        <w:tc>
          <w:tcPr>
            <w:tcW w:w="1134" w:type="dxa"/>
            <w:vAlign w:val="center"/>
          </w:tcPr>
          <w:p w:rsidR="00DD1F3E" w:rsidRPr="00F16087" w:rsidRDefault="00DD1F3E" w:rsidP="003662EA">
            <w:pPr>
              <w:keepNext/>
              <w:widowControl/>
              <w:jc w:val="center"/>
              <w:rPr>
                <w:rFonts w:ascii="Arial Narrow" w:hAnsi="Arial Narrow"/>
                <w:sz w:val="20"/>
                <w:szCs w:val="16"/>
                <w:lang w:val="fr-FR"/>
              </w:rPr>
            </w:pPr>
            <w:r w:rsidRPr="00F16087">
              <w:rPr>
                <w:rFonts w:ascii="Arial Narrow" w:hAnsi="Arial Narrow"/>
                <w:sz w:val="20"/>
                <w:szCs w:val="16"/>
                <w:lang w:val="fr-FR"/>
              </w:rPr>
              <w:t>1°: PASI75 (wk16)</w:t>
            </w:r>
          </w:p>
          <w:p w:rsidR="00DD1F3E" w:rsidRPr="00F16087" w:rsidRDefault="00DD1F3E" w:rsidP="003662EA">
            <w:pPr>
              <w:keepNext/>
              <w:widowControl/>
              <w:jc w:val="center"/>
              <w:rPr>
                <w:rFonts w:ascii="Arial Narrow" w:hAnsi="Arial Narrow"/>
                <w:sz w:val="20"/>
                <w:lang w:val="fr-FR"/>
              </w:rPr>
            </w:pPr>
            <w:r w:rsidRPr="00F16087">
              <w:rPr>
                <w:rFonts w:ascii="Arial Narrow" w:hAnsi="Arial Narrow"/>
                <w:sz w:val="20"/>
                <w:szCs w:val="16"/>
                <w:lang w:val="fr-FR"/>
              </w:rPr>
              <w:t xml:space="preserve">2°: </w:t>
            </w:r>
            <w:proofErr w:type="spellStart"/>
            <w:r w:rsidRPr="00F16087">
              <w:rPr>
                <w:rFonts w:ascii="Arial Narrow" w:hAnsi="Arial Narrow"/>
                <w:sz w:val="20"/>
                <w:szCs w:val="16"/>
                <w:lang w:val="fr-FR"/>
              </w:rPr>
              <w:t>sPGA</w:t>
            </w:r>
            <w:proofErr w:type="spellEnd"/>
            <w:r w:rsidRPr="00F16087">
              <w:rPr>
                <w:rFonts w:ascii="Arial Narrow" w:hAnsi="Arial Narrow"/>
                <w:sz w:val="20"/>
                <w:szCs w:val="16"/>
                <w:u w:val="single"/>
                <w:lang w:val="fr-FR"/>
              </w:rPr>
              <w:t>&lt;</w:t>
            </w:r>
            <w:r w:rsidRPr="00F16087">
              <w:rPr>
                <w:rFonts w:ascii="Arial Narrow" w:hAnsi="Arial Narrow"/>
                <w:sz w:val="20"/>
                <w:szCs w:val="16"/>
                <w:lang w:val="fr-FR"/>
              </w:rPr>
              <w:t>1</w:t>
            </w:r>
            <w:proofErr w:type="gramStart"/>
            <w:r w:rsidRPr="00F16087">
              <w:rPr>
                <w:rFonts w:ascii="Arial Narrow" w:hAnsi="Arial Narrow"/>
                <w:sz w:val="20"/>
                <w:szCs w:val="16"/>
                <w:lang w:val="fr-FR"/>
              </w:rPr>
              <w:t>,QoL</w:t>
            </w:r>
            <w:proofErr w:type="gramEnd"/>
          </w:p>
        </w:tc>
        <w:tc>
          <w:tcPr>
            <w:tcW w:w="1116" w:type="dxa"/>
            <w:vAlign w:val="center"/>
          </w:tcPr>
          <w:p w:rsidR="00DD1F3E" w:rsidRPr="00F16087" w:rsidRDefault="00DD1F3E" w:rsidP="003662EA">
            <w:pPr>
              <w:keepNext/>
              <w:widowControl/>
              <w:jc w:val="center"/>
              <w:rPr>
                <w:rFonts w:ascii="Arial Narrow" w:hAnsi="Arial Narrow"/>
                <w:sz w:val="20"/>
                <w:lang w:val="fr-FR"/>
              </w:rPr>
            </w:pPr>
            <w:r w:rsidRPr="00F16087">
              <w:rPr>
                <w:rFonts w:ascii="Arial Narrow" w:hAnsi="Arial Narrow"/>
                <w:sz w:val="20"/>
                <w:lang w:val="fr-FR"/>
              </w:rPr>
              <w:t xml:space="preserve">Not </w:t>
            </w:r>
            <w:proofErr w:type="spellStart"/>
            <w:r w:rsidRPr="00F16087">
              <w:rPr>
                <w:rFonts w:ascii="Arial Narrow" w:hAnsi="Arial Narrow"/>
                <w:sz w:val="20"/>
                <w:lang w:val="fr-FR"/>
              </w:rPr>
              <w:t>used</w:t>
            </w:r>
            <w:proofErr w:type="spellEnd"/>
          </w:p>
        </w:tc>
      </w:tr>
      <w:tr w:rsidR="00DD1F3E" w:rsidRPr="00F16087" w:rsidTr="00DD1F3E">
        <w:tc>
          <w:tcPr>
            <w:tcW w:w="992"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CORE</w:t>
            </w:r>
          </w:p>
        </w:tc>
        <w:tc>
          <w:tcPr>
            <w:tcW w:w="426"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352</w:t>
            </w:r>
          </w:p>
        </w:tc>
        <w:tc>
          <w:tcPr>
            <w:tcW w:w="2835" w:type="dxa"/>
            <w:vAlign w:val="center"/>
          </w:tcPr>
          <w:p w:rsidR="00DD1F3E" w:rsidRPr="00F16087" w:rsidRDefault="00DD1F3E" w:rsidP="003662EA">
            <w:pPr>
              <w:keepNext/>
              <w:widowControl/>
              <w:jc w:val="left"/>
              <w:rPr>
                <w:rFonts w:ascii="Arial Narrow" w:hAnsi="Arial Narrow"/>
                <w:sz w:val="20"/>
              </w:rPr>
            </w:pPr>
            <w:r w:rsidRPr="00F16087">
              <w:rPr>
                <w:rFonts w:ascii="Arial Narrow" w:hAnsi="Arial Narrow"/>
                <w:sz w:val="20"/>
              </w:rPr>
              <w:t>Four arm, three phase trial.</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one: (1:1:1:1) R,BD,PC (16wk) + PX dose-B (8wk)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two: dose-B extension (28wk)</w:t>
            </w:r>
          </w:p>
          <w:p w:rsidR="00DD1F3E" w:rsidRPr="00F16087" w:rsidRDefault="00DD1F3E" w:rsidP="003662EA">
            <w:pPr>
              <w:keepNext/>
              <w:widowControl/>
              <w:ind w:left="114"/>
              <w:jc w:val="left"/>
              <w:rPr>
                <w:rFonts w:ascii="Arial Narrow" w:hAnsi="Arial Narrow"/>
                <w:sz w:val="20"/>
              </w:rPr>
            </w:pPr>
            <w:r w:rsidRPr="00F16087">
              <w:rPr>
                <w:rFonts w:ascii="Arial Narrow" w:hAnsi="Arial Narrow"/>
                <w:sz w:val="20"/>
              </w:rPr>
              <w:t>Phase three: OL extension (to 4yrs)</w:t>
            </w:r>
          </w:p>
        </w:tc>
        <w:tc>
          <w:tcPr>
            <w:tcW w:w="708"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Phase one: low</w:t>
            </w:r>
          </w:p>
        </w:tc>
        <w:tc>
          <w:tcPr>
            <w:tcW w:w="1134"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 xml:space="preserve">Plaque psoriasis (PASI≥12 + </w:t>
            </w:r>
          </w:p>
          <w:p w:rsidR="00DD1F3E" w:rsidRPr="00F16087" w:rsidRDefault="00DD1F3E" w:rsidP="003662EA">
            <w:pPr>
              <w:keepNext/>
              <w:widowControl/>
              <w:jc w:val="center"/>
              <w:rPr>
                <w:rFonts w:ascii="Arial Narrow" w:hAnsi="Arial Narrow"/>
                <w:sz w:val="20"/>
              </w:rPr>
            </w:pPr>
            <w:r w:rsidRPr="00F16087">
              <w:rPr>
                <w:rFonts w:ascii="Arial Narrow" w:hAnsi="Arial Narrow"/>
                <w:sz w:val="20"/>
              </w:rPr>
              <w:t>BSA≥10%, ≥6months)</w:t>
            </w:r>
          </w:p>
        </w:tc>
        <w:tc>
          <w:tcPr>
            <w:tcW w:w="1134" w:type="dxa"/>
            <w:vAlign w:val="center"/>
          </w:tcPr>
          <w:p w:rsidR="00DD1F3E" w:rsidRPr="00F16087" w:rsidRDefault="00DD1F3E" w:rsidP="003662EA">
            <w:pPr>
              <w:keepNext/>
              <w:widowControl/>
              <w:jc w:val="center"/>
              <w:rPr>
                <w:rFonts w:ascii="Arial Narrow" w:hAnsi="Arial Narrow"/>
                <w:sz w:val="20"/>
                <w:szCs w:val="16"/>
                <w:lang w:val="en-US"/>
              </w:rPr>
            </w:pPr>
            <w:r w:rsidRPr="00F16087">
              <w:rPr>
                <w:rFonts w:ascii="Arial Narrow" w:hAnsi="Arial Narrow"/>
                <w:sz w:val="20"/>
                <w:szCs w:val="16"/>
                <w:lang w:val="en-US"/>
              </w:rPr>
              <w:t xml:space="preserve">1°: PASI75 (wk16) </w:t>
            </w:r>
          </w:p>
          <w:p w:rsidR="00DD1F3E" w:rsidRPr="00F16087" w:rsidRDefault="00DD1F3E" w:rsidP="003662EA">
            <w:pPr>
              <w:keepNext/>
              <w:widowControl/>
              <w:jc w:val="center"/>
              <w:rPr>
                <w:rFonts w:ascii="Arial Narrow" w:hAnsi="Arial Narrow"/>
                <w:sz w:val="20"/>
              </w:rPr>
            </w:pPr>
            <w:r w:rsidRPr="00F16087">
              <w:rPr>
                <w:rFonts w:ascii="Arial Narrow" w:hAnsi="Arial Narrow"/>
                <w:sz w:val="20"/>
                <w:szCs w:val="16"/>
                <w:lang w:val="en-US"/>
              </w:rPr>
              <w:t xml:space="preserve">2°: PASI change/ response, </w:t>
            </w:r>
            <w:proofErr w:type="spellStart"/>
            <w:r w:rsidRPr="00F16087">
              <w:rPr>
                <w:rFonts w:ascii="Arial Narrow" w:hAnsi="Arial Narrow"/>
                <w:sz w:val="20"/>
                <w:szCs w:val="16"/>
                <w:lang w:val="en-US"/>
              </w:rPr>
              <w:t>QoL</w:t>
            </w:r>
            <w:proofErr w:type="spellEnd"/>
          </w:p>
        </w:tc>
        <w:tc>
          <w:tcPr>
            <w:tcW w:w="1116" w:type="dxa"/>
            <w:vAlign w:val="center"/>
          </w:tcPr>
          <w:p w:rsidR="00DD1F3E" w:rsidRPr="00F16087" w:rsidRDefault="00DD1F3E" w:rsidP="003662EA">
            <w:pPr>
              <w:keepNext/>
              <w:widowControl/>
              <w:jc w:val="center"/>
              <w:rPr>
                <w:rFonts w:ascii="Arial Narrow" w:hAnsi="Arial Narrow"/>
                <w:sz w:val="20"/>
              </w:rPr>
            </w:pPr>
            <w:r w:rsidRPr="00F16087">
              <w:rPr>
                <w:rFonts w:ascii="Arial Narrow" w:hAnsi="Arial Narrow"/>
                <w:sz w:val="20"/>
              </w:rPr>
              <w:t>Not used</w:t>
            </w:r>
          </w:p>
        </w:tc>
      </w:tr>
    </w:tbl>
    <w:p w:rsidR="00DD1F3E" w:rsidRPr="00F16087" w:rsidRDefault="00DD1F3E" w:rsidP="003662EA">
      <w:pPr>
        <w:keepNext/>
        <w:widowControl/>
        <w:ind w:left="709"/>
        <w:rPr>
          <w:rFonts w:ascii="Arial Narrow" w:hAnsi="Arial Narrow"/>
          <w:iCs/>
          <w:sz w:val="18"/>
        </w:rPr>
      </w:pPr>
      <w:r w:rsidRPr="00F16087">
        <w:rPr>
          <w:rFonts w:ascii="Arial Narrow" w:hAnsi="Arial Narrow"/>
          <w:iCs/>
          <w:sz w:val="18"/>
        </w:rPr>
        <w:t xml:space="preserve">Abbreviations: R=randomised; DB=double blind; PC=placebo controlled; OL=open label; PX=placebo crossover; dose-B=dose-blinded; PASI=psoriasis area severity index; BSA=body surface area; </w:t>
      </w:r>
      <w:proofErr w:type="spellStart"/>
      <w:r w:rsidRPr="00F16087">
        <w:rPr>
          <w:rFonts w:ascii="Arial Narrow" w:hAnsi="Arial Narrow"/>
          <w:iCs/>
          <w:sz w:val="18"/>
        </w:rPr>
        <w:t>sPGA</w:t>
      </w:r>
      <w:proofErr w:type="spellEnd"/>
      <w:r w:rsidRPr="00F16087">
        <w:rPr>
          <w:rFonts w:ascii="Arial Narrow" w:hAnsi="Arial Narrow"/>
          <w:iCs/>
          <w:sz w:val="18"/>
        </w:rPr>
        <w:t xml:space="preserve">=static physician’s global assessment; </w:t>
      </w:r>
      <w:proofErr w:type="spellStart"/>
      <w:r w:rsidRPr="00F16087">
        <w:rPr>
          <w:rFonts w:ascii="Arial Narrow" w:hAnsi="Arial Narrow"/>
          <w:iCs/>
          <w:sz w:val="18"/>
        </w:rPr>
        <w:t>QoL</w:t>
      </w:r>
      <w:proofErr w:type="spellEnd"/>
      <w:r w:rsidRPr="00F16087">
        <w:rPr>
          <w:rFonts w:ascii="Arial Narrow" w:hAnsi="Arial Narrow"/>
          <w:iCs/>
          <w:sz w:val="18"/>
        </w:rPr>
        <w:t>=quality of life</w:t>
      </w:r>
    </w:p>
    <w:p w:rsidR="00DD1F3E" w:rsidRPr="00F16087" w:rsidRDefault="00DD1F3E" w:rsidP="003662EA">
      <w:pPr>
        <w:keepNext/>
        <w:widowControl/>
        <w:ind w:left="709"/>
        <w:rPr>
          <w:rFonts w:ascii="Arial Narrow" w:hAnsi="Arial Narrow"/>
          <w:iCs/>
          <w:sz w:val="18"/>
        </w:rPr>
      </w:pPr>
      <w:r w:rsidRPr="00F16087">
        <w:rPr>
          <w:rFonts w:ascii="Arial Narrow" w:hAnsi="Arial Narrow"/>
          <w:iCs/>
          <w:sz w:val="18"/>
        </w:rPr>
        <w:t>Source: compiled during the evaluation</w:t>
      </w:r>
    </w:p>
    <w:p w:rsidR="00DD1F3E" w:rsidRPr="00F16087" w:rsidRDefault="00DD1F3E" w:rsidP="003662EA">
      <w:pPr>
        <w:pStyle w:val="ListParagraph"/>
        <w:widowControl/>
        <w:tabs>
          <w:tab w:val="left" w:pos="993"/>
        </w:tabs>
        <w:rPr>
          <w:szCs w:val="22"/>
        </w:rPr>
      </w:pPr>
      <w:proofErr w:type="spellStart"/>
      <w:proofErr w:type="gramStart"/>
      <w:r w:rsidRPr="00F16087">
        <w:rPr>
          <w:rFonts w:ascii="Arial Narrow" w:hAnsi="Arial Narrow"/>
          <w:iCs/>
          <w:sz w:val="18"/>
          <w:vertAlign w:val="superscript"/>
        </w:rPr>
        <w:t>a</w:t>
      </w:r>
      <w:proofErr w:type="spellEnd"/>
      <w:proofErr w:type="gramEnd"/>
      <w:r w:rsidRPr="00F16087">
        <w:rPr>
          <w:rFonts w:ascii="Arial Narrow" w:hAnsi="Arial Narrow"/>
          <w:iCs/>
          <w:sz w:val="18"/>
        </w:rPr>
        <w:tab/>
        <w:t xml:space="preserve">Outcomes in the model based on persistence rates from the non-randomised US persistence analysis.  </w:t>
      </w:r>
    </w:p>
    <w:p w:rsidR="00DD1F3E" w:rsidRPr="00F16087" w:rsidRDefault="00DD1F3E" w:rsidP="003662EA">
      <w:pPr>
        <w:pStyle w:val="ListParagraph"/>
        <w:widowControl/>
        <w:rPr>
          <w:szCs w:val="22"/>
        </w:rPr>
      </w:pPr>
    </w:p>
    <w:p w:rsidR="00A8039B" w:rsidRPr="00F16087" w:rsidRDefault="00961AF9" w:rsidP="003662EA">
      <w:pPr>
        <w:pStyle w:val="ListParagraph"/>
        <w:widowControl/>
        <w:numPr>
          <w:ilvl w:val="1"/>
          <w:numId w:val="1"/>
        </w:numPr>
        <w:rPr>
          <w:szCs w:val="22"/>
        </w:rPr>
      </w:pPr>
      <w:r w:rsidRPr="00F16087">
        <w:rPr>
          <w:szCs w:val="22"/>
        </w:rPr>
        <w:t>The key features</w:t>
      </w:r>
      <w:r w:rsidR="00A44552" w:rsidRPr="00F16087">
        <w:rPr>
          <w:szCs w:val="22"/>
        </w:rPr>
        <w:t xml:space="preserve"> of the </w:t>
      </w:r>
      <w:r w:rsidR="00676B19" w:rsidRPr="00F16087">
        <w:rPr>
          <w:szCs w:val="22"/>
        </w:rPr>
        <w:t xml:space="preserve">non-randomised studies </w:t>
      </w:r>
      <w:r w:rsidRPr="00F16087">
        <w:rPr>
          <w:szCs w:val="22"/>
        </w:rPr>
        <w:t>a</w:t>
      </w:r>
      <w:r w:rsidR="00983F0B" w:rsidRPr="00F16087">
        <w:rPr>
          <w:szCs w:val="22"/>
        </w:rPr>
        <w:t xml:space="preserve">re summarised in Table </w:t>
      </w:r>
      <w:r w:rsidR="00DD1F3E" w:rsidRPr="00F16087">
        <w:rPr>
          <w:szCs w:val="22"/>
        </w:rPr>
        <w:t>4</w:t>
      </w:r>
      <w:r w:rsidRPr="00F16087">
        <w:rPr>
          <w:szCs w:val="22"/>
        </w:rPr>
        <w:t xml:space="preserve">.  </w:t>
      </w:r>
    </w:p>
    <w:p w:rsidR="008A1EEC" w:rsidRPr="00F16087" w:rsidRDefault="008A1EEC" w:rsidP="003662EA">
      <w:pPr>
        <w:widowControl/>
        <w:rPr>
          <w:szCs w:val="22"/>
        </w:rPr>
      </w:pPr>
    </w:p>
    <w:p w:rsidR="00A72356" w:rsidRPr="00F16087" w:rsidRDefault="00A72356" w:rsidP="002346F2">
      <w:pPr>
        <w:pStyle w:val="Caption"/>
        <w:keepNext/>
        <w:widowControl/>
        <w:ind w:firstLine="709"/>
      </w:pPr>
      <w:r w:rsidRPr="00F16087">
        <w:t xml:space="preserve">Table </w:t>
      </w:r>
      <w:r w:rsidR="00D209A6" w:rsidRPr="00F16087">
        <w:rPr>
          <w:noProof/>
        </w:rPr>
        <w:t>4</w:t>
      </w:r>
      <w:r w:rsidRPr="00F16087">
        <w:t>: Key features of the included non-randomised evidence (longitudinal claims data)</w:t>
      </w:r>
    </w:p>
    <w:tbl>
      <w:tblPr>
        <w:tblStyle w:val="TableGrid"/>
        <w:tblW w:w="0" w:type="auto"/>
        <w:tblInd w:w="709" w:type="dxa"/>
        <w:tblCellMar>
          <w:left w:w="28" w:type="dxa"/>
          <w:right w:w="28" w:type="dxa"/>
        </w:tblCellMar>
        <w:tblLook w:val="04A0" w:firstRow="1" w:lastRow="0" w:firstColumn="1" w:lastColumn="0" w:noHBand="0" w:noVBand="1"/>
        <w:tblCaption w:val="Key features of included non-randomised evidence"/>
      </w:tblPr>
      <w:tblGrid>
        <w:gridCol w:w="1662"/>
        <w:gridCol w:w="1661"/>
        <w:gridCol w:w="1661"/>
        <w:gridCol w:w="1661"/>
        <w:gridCol w:w="1662"/>
      </w:tblGrid>
      <w:tr w:rsidR="005801F4" w:rsidRPr="00F16087" w:rsidTr="002346F2">
        <w:trPr>
          <w:tblHeader/>
        </w:trPr>
        <w:tc>
          <w:tcPr>
            <w:tcW w:w="1662" w:type="dxa"/>
          </w:tcPr>
          <w:p w:rsidR="005801F4" w:rsidRPr="00F16087" w:rsidRDefault="005801F4" w:rsidP="003662EA">
            <w:pPr>
              <w:keepNext/>
              <w:widowControl/>
              <w:rPr>
                <w:rFonts w:ascii="Arial Narrow" w:hAnsi="Arial Narrow"/>
                <w:sz w:val="18"/>
                <w:szCs w:val="18"/>
              </w:rPr>
            </w:pP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b/>
                <w:bCs/>
                <w:sz w:val="18"/>
                <w:szCs w:val="18"/>
              </w:rPr>
              <w:t xml:space="preserve">US </w:t>
            </w:r>
            <w:proofErr w:type="spellStart"/>
            <w:r w:rsidR="00843E20" w:rsidRPr="00F16087">
              <w:rPr>
                <w:rFonts w:ascii="Arial Narrow" w:hAnsi="Arial Narrow"/>
                <w:b/>
                <w:bCs/>
                <w:sz w:val="18"/>
                <w:szCs w:val="18"/>
              </w:rPr>
              <w:t>MarketScan</w:t>
            </w:r>
            <w:proofErr w:type="spellEnd"/>
            <w:r w:rsidRPr="00F16087">
              <w:rPr>
                <w:rFonts w:ascii="Arial Narrow" w:hAnsi="Arial Narrow"/>
                <w:b/>
                <w:bCs/>
                <w:sz w:val="18"/>
                <w:szCs w:val="18"/>
              </w:rPr>
              <w:t>® databases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b/>
                <w:bCs/>
                <w:sz w:val="18"/>
                <w:szCs w:val="18"/>
              </w:rPr>
              <w:t>Australian Otezla® PFP</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b/>
                <w:bCs/>
                <w:sz w:val="18"/>
                <w:szCs w:val="18"/>
              </w:rPr>
              <w:t>German IMS</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b/>
                <w:bCs/>
                <w:sz w:val="18"/>
                <w:szCs w:val="18"/>
              </w:rPr>
              <w:t xml:space="preserve">Canadian </w:t>
            </w:r>
            <w:proofErr w:type="spellStart"/>
            <w:r w:rsidRPr="00F16087">
              <w:rPr>
                <w:rFonts w:ascii="Arial Narrow" w:hAnsi="Arial Narrow"/>
                <w:b/>
                <w:bCs/>
                <w:sz w:val="18"/>
                <w:szCs w:val="18"/>
              </w:rPr>
              <w:t>ez</w:t>
            </w:r>
            <w:proofErr w:type="spellEnd"/>
            <w:r w:rsidRPr="00F16087">
              <w:rPr>
                <w:rFonts w:ascii="Arial Narrow" w:hAnsi="Arial Narrow"/>
                <w:b/>
                <w:bCs/>
                <w:sz w:val="18"/>
                <w:szCs w:val="18"/>
              </w:rPr>
              <w:t xml:space="preserve"> Start program</w:t>
            </w:r>
          </w:p>
        </w:tc>
      </w:tr>
      <w:tr w:rsidR="005801F4" w:rsidRPr="00F16087" w:rsidTr="002346F2">
        <w:tc>
          <w:tcPr>
            <w:tcW w:w="8307" w:type="dxa"/>
            <w:gridSpan w:val="5"/>
          </w:tcPr>
          <w:p w:rsidR="005801F4" w:rsidRPr="00F16087" w:rsidRDefault="005801F4" w:rsidP="003662EA">
            <w:pPr>
              <w:keepNext/>
              <w:widowControl/>
              <w:jc w:val="left"/>
              <w:rPr>
                <w:rFonts w:ascii="Arial Narrow" w:hAnsi="Arial Narrow"/>
                <w:b/>
                <w:bCs/>
                <w:sz w:val="18"/>
                <w:szCs w:val="18"/>
              </w:rPr>
            </w:pPr>
            <w:r w:rsidRPr="00F16087">
              <w:rPr>
                <w:rFonts w:ascii="Arial Narrow" w:hAnsi="Arial Narrow"/>
                <w:b/>
                <w:bCs/>
                <w:sz w:val="18"/>
                <w:szCs w:val="18"/>
              </w:rPr>
              <w:t>Inclusion criteria</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iCs/>
                <w:sz w:val="18"/>
                <w:szCs w:val="18"/>
              </w:rPr>
              <w:t xml:space="preserve">Starting </w:t>
            </w:r>
            <w:proofErr w:type="spellStart"/>
            <w:r w:rsidRPr="00F16087">
              <w:rPr>
                <w:rFonts w:ascii="Arial Narrow" w:hAnsi="Arial Narrow"/>
                <w:iCs/>
                <w:sz w:val="18"/>
                <w:szCs w:val="18"/>
              </w:rPr>
              <w:t>date</w:t>
            </w:r>
            <w:r w:rsidRPr="00F16087">
              <w:rPr>
                <w:rFonts w:ascii="Arial Narrow" w:hAnsi="Arial Narrow"/>
                <w:iCs/>
                <w:sz w:val="18"/>
                <w:szCs w:val="18"/>
                <w:vertAlign w:val="superscript"/>
              </w:rPr>
              <w:t>a</w:t>
            </w:r>
            <w:proofErr w:type="spellEnd"/>
            <w:r w:rsidRPr="00F16087">
              <w:rPr>
                <w:rFonts w:ascii="Arial Narrow" w:hAnsi="Arial Narrow"/>
                <w:iCs/>
                <w:sz w:val="18"/>
                <w:szCs w:val="18"/>
              </w:rPr>
              <w:t xml:space="preserve"> </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iCs/>
                <w:sz w:val="18"/>
              </w:rPr>
              <w:t>March 2014</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iCs/>
                <w:sz w:val="18"/>
              </w:rPr>
              <w:t>August 2015</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iCs/>
                <w:sz w:val="18"/>
              </w:rPr>
              <w:t>February 2015</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iCs/>
                <w:sz w:val="18"/>
              </w:rPr>
              <w:t>December 2014</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Males &amp; females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Age</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≥18 years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≥18 years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≥18 years</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≥18 years</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Psoriasis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 (moderate-to-severe)</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Yes (moderate-to-severe)</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Disease severity</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NR</w:t>
            </w:r>
          </w:p>
        </w:tc>
        <w:tc>
          <w:tcPr>
            <w:tcW w:w="1661" w:type="dxa"/>
            <w:vAlign w:val="center"/>
          </w:tcPr>
          <w:p w:rsidR="005801F4" w:rsidRPr="00F16087" w:rsidRDefault="005801F4" w:rsidP="003662EA">
            <w:pPr>
              <w:keepNext/>
              <w:widowControl/>
              <w:jc w:val="center"/>
              <w:rPr>
                <w:rFonts w:ascii="Arial Narrow" w:hAnsi="Arial Narrow"/>
                <w:sz w:val="18"/>
              </w:rPr>
            </w:pPr>
            <w:r w:rsidRPr="00F16087">
              <w:rPr>
                <w:rFonts w:ascii="Arial Narrow" w:hAnsi="Arial Narrow"/>
                <w:sz w:val="18"/>
              </w:rPr>
              <w:t>PASI ≥12; OR</w:t>
            </w:r>
          </w:p>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 xml:space="preserve">BSA ≥10% or </w:t>
            </w:r>
            <w:proofErr w:type="spellStart"/>
            <w:r w:rsidRPr="00F16087">
              <w:rPr>
                <w:rFonts w:ascii="Arial Narrow" w:hAnsi="Arial Narrow"/>
                <w:sz w:val="18"/>
              </w:rPr>
              <w:t>sPGA</w:t>
            </w:r>
            <w:proofErr w:type="spellEnd"/>
            <w:r w:rsidRPr="00F16087">
              <w:rPr>
                <w:rFonts w:ascii="Arial Narrow" w:hAnsi="Arial Narrow"/>
                <w:sz w:val="18"/>
              </w:rPr>
              <w:t xml:space="preserve"> ≥3 (if PASI &lt;12)</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NR</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NR</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Candidate for treatment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Phototherapy and/or systemic therapy</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Restrictions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 xml:space="preserve">Inappropriate for, intolerant or has failed methotrexate therapy.  No concomitant oral </w:t>
            </w:r>
            <w:proofErr w:type="spellStart"/>
            <w:r w:rsidRPr="00F16087">
              <w:rPr>
                <w:rFonts w:ascii="Arial Narrow" w:hAnsi="Arial Narrow"/>
                <w:sz w:val="18"/>
              </w:rPr>
              <w:t>systemics</w:t>
            </w:r>
            <w:proofErr w:type="spellEnd"/>
            <w:r w:rsidRPr="00F16087">
              <w:rPr>
                <w:rFonts w:ascii="Arial Narrow" w:hAnsi="Arial Narrow"/>
                <w:sz w:val="18"/>
              </w:rPr>
              <w:t xml:space="preserve"> or biologics.</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 xml:space="preserve">Failed a topical agent; or at least one systemic </w:t>
            </w:r>
            <w:proofErr w:type="spellStart"/>
            <w:r w:rsidRPr="00F16087">
              <w:rPr>
                <w:rFonts w:ascii="Arial Narrow" w:hAnsi="Arial Narrow"/>
                <w:sz w:val="18"/>
              </w:rPr>
              <w:t>agent</w:t>
            </w:r>
            <w:r w:rsidRPr="00F16087">
              <w:rPr>
                <w:rFonts w:ascii="Arial Narrow" w:hAnsi="Arial Narrow"/>
                <w:sz w:val="18"/>
                <w:vertAlign w:val="superscript"/>
              </w:rPr>
              <w:t>b</w:t>
            </w:r>
            <w:proofErr w:type="spellEnd"/>
          </w:p>
        </w:tc>
      </w:tr>
      <w:tr w:rsidR="005801F4" w:rsidRPr="00F16087" w:rsidTr="002346F2">
        <w:tc>
          <w:tcPr>
            <w:tcW w:w="1662" w:type="dxa"/>
            <w:vAlign w:val="center"/>
          </w:tcPr>
          <w:p w:rsidR="005801F4" w:rsidRPr="00F16087" w:rsidRDefault="005801F4" w:rsidP="003662EA">
            <w:pPr>
              <w:keepNext/>
              <w:widowControl/>
              <w:jc w:val="left"/>
              <w:rPr>
                <w:rFonts w:ascii="Arial Narrow" w:hAnsi="Arial Narrow"/>
                <w:sz w:val="18"/>
                <w:szCs w:val="18"/>
              </w:rPr>
            </w:pPr>
            <w:r w:rsidRPr="00F16087">
              <w:rPr>
                <w:rFonts w:ascii="Arial Narrow" w:hAnsi="Arial Narrow"/>
                <w:sz w:val="18"/>
                <w:szCs w:val="18"/>
              </w:rPr>
              <w:t>Criteria for continuing treatment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 xml:space="preserve">16 weeks: No worsening in disease (PASI) from baseline.  Week 28, 40, 52: Maintenance of response.  All above </w:t>
            </w:r>
            <w:proofErr w:type="spellStart"/>
            <w:r w:rsidRPr="00F16087">
              <w:rPr>
                <w:rFonts w:ascii="Arial Narrow" w:hAnsi="Arial Narrow"/>
                <w:sz w:val="18"/>
              </w:rPr>
              <w:t>timepoints</w:t>
            </w:r>
            <w:proofErr w:type="spellEnd"/>
            <w:r w:rsidRPr="00F16087">
              <w:rPr>
                <w:rFonts w:ascii="Arial Narrow" w:hAnsi="Arial Narrow"/>
                <w:sz w:val="18"/>
              </w:rPr>
              <w:t xml:space="preserve">:  No addition of concomitant oral systemic therapy or biologic </w:t>
            </w:r>
            <w:proofErr w:type="spellStart"/>
            <w:r w:rsidRPr="00F16087">
              <w:rPr>
                <w:rFonts w:ascii="Arial Narrow" w:hAnsi="Arial Narrow"/>
                <w:sz w:val="18"/>
              </w:rPr>
              <w:t>therapy</w:t>
            </w:r>
            <w:r w:rsidRPr="00F16087">
              <w:rPr>
                <w:rFonts w:ascii="Arial Narrow" w:hAnsi="Arial Narrow"/>
                <w:sz w:val="18"/>
                <w:vertAlign w:val="superscript"/>
              </w:rPr>
              <w:t>c</w:t>
            </w:r>
            <w:proofErr w:type="spellEnd"/>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No standard criteria (assessments varying from 6mths to 1yr)</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szCs w:val="18"/>
              </w:rPr>
              <w:t>Other</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 xml:space="preserve">Patients were continuously enrolled in their health plan for </w:t>
            </w:r>
            <w:r w:rsidRPr="00F16087">
              <w:rPr>
                <w:rFonts w:ascii="Arial Narrow" w:hAnsi="Arial Narrow"/>
                <w:sz w:val="18"/>
                <w:u w:val="single"/>
              </w:rPr>
              <w:t>&gt;</w:t>
            </w:r>
            <w:r w:rsidRPr="00F16087">
              <w:rPr>
                <w:rFonts w:ascii="Arial Narrow" w:hAnsi="Arial Narrow"/>
                <w:sz w:val="18"/>
              </w:rPr>
              <w:t>6 months prior to and after the psoriasis treatment initiation.</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Private and public insurance markets</w:t>
            </w:r>
          </w:p>
        </w:tc>
      </w:tr>
      <w:tr w:rsidR="005801F4" w:rsidRPr="00F16087" w:rsidTr="002346F2">
        <w:tc>
          <w:tcPr>
            <w:tcW w:w="8307" w:type="dxa"/>
            <w:gridSpan w:val="5"/>
            <w:vAlign w:val="center"/>
          </w:tcPr>
          <w:p w:rsidR="005801F4" w:rsidRPr="00F16087" w:rsidRDefault="005801F4" w:rsidP="003662EA">
            <w:pPr>
              <w:keepNext/>
              <w:widowControl/>
              <w:jc w:val="left"/>
              <w:rPr>
                <w:rFonts w:ascii="Arial Narrow" w:hAnsi="Arial Narrow"/>
                <w:sz w:val="18"/>
                <w:szCs w:val="18"/>
              </w:rPr>
            </w:pPr>
            <w:r w:rsidRPr="00F16087">
              <w:rPr>
                <w:rFonts w:ascii="Arial Narrow" w:hAnsi="Arial Narrow"/>
                <w:b/>
                <w:bCs/>
                <w:sz w:val="18"/>
              </w:rPr>
              <w:t>Exclusion criteria</w:t>
            </w:r>
          </w:p>
        </w:tc>
      </w:tr>
      <w:tr w:rsidR="005801F4" w:rsidRPr="00F16087" w:rsidTr="002346F2">
        <w:tc>
          <w:tcPr>
            <w:tcW w:w="1662" w:type="dxa"/>
            <w:vAlign w:val="center"/>
          </w:tcPr>
          <w:p w:rsidR="005801F4" w:rsidRPr="00F16087" w:rsidRDefault="005801F4" w:rsidP="003662EA">
            <w:pPr>
              <w:keepNext/>
              <w:widowControl/>
              <w:rPr>
                <w:rFonts w:ascii="Arial Narrow" w:hAnsi="Arial Narrow"/>
                <w:sz w:val="18"/>
                <w:szCs w:val="18"/>
              </w:rPr>
            </w:pPr>
            <w:r w:rsidRPr="00F16087">
              <w:rPr>
                <w:rFonts w:ascii="Arial Narrow" w:hAnsi="Arial Narrow"/>
                <w:sz w:val="18"/>
              </w:rPr>
              <w:t>Exclusion criteria</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w:t>
            </w:r>
          </w:p>
        </w:tc>
        <w:tc>
          <w:tcPr>
            <w:tcW w:w="1661"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Samples/free of charge (titration packs); in-hospital prescriptions/initiations; private health insurance prescriptions</w:t>
            </w:r>
          </w:p>
        </w:tc>
        <w:tc>
          <w:tcPr>
            <w:tcW w:w="1662" w:type="dxa"/>
            <w:vAlign w:val="center"/>
          </w:tcPr>
          <w:p w:rsidR="005801F4" w:rsidRPr="00F16087" w:rsidRDefault="005801F4" w:rsidP="003662EA">
            <w:pPr>
              <w:keepNext/>
              <w:widowControl/>
              <w:jc w:val="center"/>
              <w:rPr>
                <w:rFonts w:ascii="Arial Narrow" w:hAnsi="Arial Narrow"/>
                <w:sz w:val="18"/>
                <w:szCs w:val="18"/>
              </w:rPr>
            </w:pPr>
            <w:r w:rsidRPr="00F16087">
              <w:rPr>
                <w:rFonts w:ascii="Arial Narrow" w:hAnsi="Arial Narrow"/>
                <w:sz w:val="18"/>
              </w:rPr>
              <w:t>Dispensing of apremilast not from a Specialty Pharmacy; dispensing from a retail pharmacy</w:t>
            </w:r>
          </w:p>
        </w:tc>
      </w:tr>
    </w:tbl>
    <w:p w:rsidR="005801F4" w:rsidRPr="00F16087" w:rsidRDefault="005801F4" w:rsidP="003662EA">
      <w:pPr>
        <w:keepNext/>
        <w:widowControl/>
        <w:ind w:left="709"/>
        <w:rPr>
          <w:rFonts w:ascii="Arial Narrow" w:hAnsi="Arial Narrow"/>
          <w:sz w:val="16"/>
          <w:szCs w:val="16"/>
        </w:rPr>
      </w:pPr>
      <w:r w:rsidRPr="00F16087">
        <w:rPr>
          <w:rFonts w:ascii="Arial Narrow" w:hAnsi="Arial Narrow"/>
          <w:sz w:val="16"/>
          <w:szCs w:val="16"/>
        </w:rPr>
        <w:t xml:space="preserve">Abbreviations: PASI=Psoriasis Area Severity Index; BSA=Body Surface Area Involvement; </w:t>
      </w:r>
      <w:proofErr w:type="spellStart"/>
      <w:r w:rsidRPr="00F16087">
        <w:rPr>
          <w:rFonts w:ascii="Arial Narrow" w:hAnsi="Arial Narrow"/>
          <w:sz w:val="16"/>
          <w:szCs w:val="16"/>
        </w:rPr>
        <w:t>sPGA</w:t>
      </w:r>
      <w:proofErr w:type="spellEnd"/>
      <w:r w:rsidRPr="00F16087">
        <w:rPr>
          <w:rFonts w:ascii="Arial Narrow" w:hAnsi="Arial Narrow"/>
          <w:sz w:val="16"/>
          <w:szCs w:val="16"/>
        </w:rPr>
        <w:t>= Static Physician Global Assessment</w:t>
      </w:r>
      <w:r w:rsidR="009F44E4" w:rsidRPr="00F16087">
        <w:rPr>
          <w:rFonts w:ascii="Arial Narrow" w:hAnsi="Arial Narrow"/>
          <w:sz w:val="16"/>
          <w:szCs w:val="16"/>
        </w:rPr>
        <w:t>, PFP = product familiarisation program</w:t>
      </w:r>
      <w:r w:rsidRPr="00F16087">
        <w:rPr>
          <w:rFonts w:ascii="Arial Narrow" w:hAnsi="Arial Narrow"/>
          <w:sz w:val="16"/>
          <w:szCs w:val="16"/>
        </w:rPr>
        <w:t xml:space="preserve">. Source: pp64-69, 95 of the </w:t>
      </w:r>
      <w:r w:rsidR="00E41050" w:rsidRPr="00F16087">
        <w:rPr>
          <w:rFonts w:ascii="Arial Narrow" w:hAnsi="Arial Narrow"/>
          <w:sz w:val="16"/>
          <w:szCs w:val="16"/>
        </w:rPr>
        <w:t>resub</w:t>
      </w:r>
      <w:r w:rsidRPr="00F16087">
        <w:rPr>
          <w:rFonts w:ascii="Arial Narrow" w:hAnsi="Arial Narrow"/>
          <w:sz w:val="16"/>
          <w:szCs w:val="16"/>
        </w:rPr>
        <w:t>mission.</w:t>
      </w:r>
    </w:p>
    <w:p w:rsidR="005801F4" w:rsidRPr="00F16087" w:rsidRDefault="005801F4" w:rsidP="003662EA">
      <w:pPr>
        <w:keepNext/>
        <w:widowControl/>
        <w:tabs>
          <w:tab w:val="left" w:pos="851"/>
        </w:tabs>
        <w:ind w:left="851" w:hanging="142"/>
        <w:rPr>
          <w:rFonts w:ascii="Arial Narrow" w:hAnsi="Arial Narrow"/>
          <w:sz w:val="16"/>
          <w:szCs w:val="16"/>
        </w:rPr>
      </w:pPr>
      <w:proofErr w:type="spellStart"/>
      <w:proofErr w:type="gramStart"/>
      <w:r w:rsidRPr="00F16087">
        <w:rPr>
          <w:rFonts w:ascii="Arial Narrow" w:hAnsi="Arial Narrow"/>
          <w:sz w:val="16"/>
          <w:szCs w:val="16"/>
          <w:vertAlign w:val="superscript"/>
        </w:rPr>
        <w:t>a</w:t>
      </w:r>
      <w:proofErr w:type="spellEnd"/>
      <w:proofErr w:type="gramEnd"/>
      <w:r w:rsidRPr="00F16087">
        <w:rPr>
          <w:rFonts w:ascii="Arial Narrow" w:hAnsi="Arial Narrow"/>
          <w:sz w:val="16"/>
          <w:szCs w:val="16"/>
          <w:vertAlign w:val="superscript"/>
        </w:rPr>
        <w:tab/>
      </w:r>
      <w:r w:rsidRPr="00F16087">
        <w:rPr>
          <w:rFonts w:ascii="Arial Narrow" w:hAnsi="Arial Narrow"/>
          <w:iCs/>
          <w:sz w:val="16"/>
          <w:szCs w:val="16"/>
        </w:rPr>
        <w:t>for patients initiating treatment (apremilast or cyclosporin)</w:t>
      </w:r>
      <w:r w:rsidRPr="00F16087">
        <w:rPr>
          <w:rFonts w:ascii="Arial Narrow" w:hAnsi="Arial Narrow"/>
          <w:sz w:val="16"/>
          <w:szCs w:val="16"/>
          <w:vertAlign w:val="superscript"/>
        </w:rPr>
        <w:t xml:space="preserve"> </w:t>
      </w:r>
      <w:r w:rsidRPr="00F16087">
        <w:rPr>
          <w:rFonts w:ascii="Arial Narrow" w:hAnsi="Arial Narrow"/>
          <w:sz w:val="16"/>
          <w:szCs w:val="16"/>
        </w:rPr>
        <w:t xml:space="preserve">  </w:t>
      </w:r>
    </w:p>
    <w:p w:rsidR="00676B19" w:rsidRPr="00F16087" w:rsidRDefault="005801F4" w:rsidP="003662EA">
      <w:pPr>
        <w:keepNext/>
        <w:widowControl/>
        <w:tabs>
          <w:tab w:val="left" w:pos="851"/>
        </w:tabs>
        <w:ind w:left="851" w:hanging="142"/>
        <w:rPr>
          <w:rFonts w:ascii="Arial Narrow" w:hAnsi="Arial Narrow"/>
          <w:sz w:val="16"/>
          <w:szCs w:val="16"/>
        </w:rPr>
      </w:pPr>
      <w:proofErr w:type="gramStart"/>
      <w:r w:rsidRPr="00F16087">
        <w:rPr>
          <w:rFonts w:ascii="Arial Narrow" w:hAnsi="Arial Narrow"/>
          <w:sz w:val="16"/>
          <w:szCs w:val="16"/>
          <w:vertAlign w:val="superscript"/>
        </w:rPr>
        <w:t>b</w:t>
      </w:r>
      <w:proofErr w:type="gramEnd"/>
      <w:r w:rsidRPr="00F16087">
        <w:rPr>
          <w:rFonts w:ascii="Arial Narrow" w:hAnsi="Arial Narrow"/>
          <w:sz w:val="16"/>
          <w:szCs w:val="16"/>
        </w:rPr>
        <w:tab/>
        <w:t>For private insurance patients. There is no standard criteria for access to apremilast, however this criteria applies to the majority of payers. For public insurance patients</w:t>
      </w:r>
    </w:p>
    <w:p w:rsidR="005801F4" w:rsidRPr="00F16087" w:rsidRDefault="005801F4" w:rsidP="003662EA">
      <w:pPr>
        <w:widowControl/>
        <w:tabs>
          <w:tab w:val="left" w:pos="851"/>
        </w:tabs>
        <w:ind w:left="851" w:hanging="142"/>
      </w:pPr>
      <w:proofErr w:type="gramStart"/>
      <w:r w:rsidRPr="00F16087">
        <w:rPr>
          <w:sz w:val="16"/>
          <w:szCs w:val="16"/>
          <w:vertAlign w:val="superscript"/>
        </w:rPr>
        <w:t>c</w:t>
      </w:r>
      <w:proofErr w:type="gramEnd"/>
      <w:r w:rsidRPr="00F16087">
        <w:rPr>
          <w:sz w:val="16"/>
          <w:szCs w:val="16"/>
          <w:vertAlign w:val="superscript"/>
        </w:rPr>
        <w:tab/>
      </w:r>
      <w:r w:rsidRPr="00F16087">
        <w:rPr>
          <w:rFonts w:ascii="Arial Narrow" w:hAnsi="Arial Narrow"/>
          <w:sz w:val="16"/>
          <w:szCs w:val="16"/>
        </w:rPr>
        <w:t xml:space="preserve">Refer Figure B-2, p67 of the </w:t>
      </w:r>
      <w:r w:rsidR="00E41050" w:rsidRPr="00F16087">
        <w:rPr>
          <w:rFonts w:ascii="Arial Narrow" w:hAnsi="Arial Narrow"/>
          <w:sz w:val="16"/>
          <w:szCs w:val="16"/>
        </w:rPr>
        <w:t>resub</w:t>
      </w:r>
      <w:r w:rsidRPr="00F16087">
        <w:rPr>
          <w:rFonts w:ascii="Arial Narrow" w:hAnsi="Arial Narrow"/>
          <w:sz w:val="16"/>
          <w:szCs w:val="16"/>
        </w:rPr>
        <w:t>mission</w:t>
      </w:r>
    </w:p>
    <w:p w:rsidR="00B60939" w:rsidRPr="00F16087" w:rsidRDefault="00B60939" w:rsidP="003662EA">
      <w:pPr>
        <w:widowControl/>
        <w:rPr>
          <w:szCs w:val="22"/>
        </w:rPr>
      </w:pPr>
    </w:p>
    <w:p w:rsidR="00B60939" w:rsidRPr="00F16087" w:rsidRDefault="00B60939" w:rsidP="003662EA">
      <w:pPr>
        <w:pStyle w:val="Heading3"/>
        <w:widowControl/>
      </w:pPr>
      <w:bookmarkStart w:id="9" w:name="_Toc461464569"/>
      <w:r w:rsidRPr="00F16087">
        <w:t>Comparative effectiveness</w:t>
      </w:r>
      <w:bookmarkEnd w:id="9"/>
    </w:p>
    <w:p w:rsidR="004B6DF8" w:rsidRPr="00F16087" w:rsidRDefault="004B6DF8" w:rsidP="003662EA">
      <w:pPr>
        <w:pStyle w:val="PBACheading1"/>
        <w:numPr>
          <w:ilvl w:val="0"/>
          <w:numId w:val="0"/>
        </w:numPr>
      </w:pPr>
    </w:p>
    <w:p w:rsidR="00977F2C" w:rsidRPr="00F16087" w:rsidRDefault="00FC7D7E" w:rsidP="003662EA">
      <w:pPr>
        <w:pStyle w:val="ListParagraph"/>
        <w:widowControl/>
        <w:numPr>
          <w:ilvl w:val="1"/>
          <w:numId w:val="1"/>
        </w:numPr>
        <w:rPr>
          <w:szCs w:val="22"/>
        </w:rPr>
      </w:pPr>
      <w:r w:rsidRPr="00F16087">
        <w:rPr>
          <w:u w:val="single"/>
        </w:rPr>
        <w:t>Randomised evidence</w:t>
      </w:r>
      <w:r w:rsidRPr="00F16087">
        <w:t xml:space="preserve">: </w:t>
      </w:r>
      <w:r w:rsidR="00977F2C" w:rsidRPr="00F16087">
        <w:t>The results of the apremilast trials are presented in Table 5.</w:t>
      </w:r>
    </w:p>
    <w:p w:rsidR="00977F2C" w:rsidRPr="00F16087" w:rsidRDefault="00977F2C" w:rsidP="003662EA">
      <w:pPr>
        <w:pStyle w:val="ListParagraph"/>
        <w:widowControl/>
      </w:pPr>
    </w:p>
    <w:p w:rsidR="00A72356" w:rsidRPr="00F16087" w:rsidRDefault="00A72356" w:rsidP="003662EA">
      <w:pPr>
        <w:pStyle w:val="Caption"/>
        <w:keepNext/>
        <w:widowControl/>
        <w:ind w:left="720"/>
      </w:pPr>
      <w:r w:rsidRPr="00F16087">
        <w:t xml:space="preserve">Table </w:t>
      </w:r>
      <w:r w:rsidR="00D209A6" w:rsidRPr="00F16087">
        <w:rPr>
          <w:noProof/>
        </w:rPr>
        <w:t>5</w:t>
      </w:r>
      <w:r w:rsidRPr="00F16087">
        <w:t>: Results of PASI 75 and PASI 50 response at the end of the controlled, double-blind phase (16</w:t>
      </w:r>
      <w:r w:rsidR="007A12BD" w:rsidRPr="00F16087">
        <w:t> </w:t>
      </w:r>
      <w:r w:rsidRPr="00F16087">
        <w:t>weeks) of the randomised trials</w:t>
      </w:r>
    </w:p>
    <w:tbl>
      <w:tblPr>
        <w:tblStyle w:val="TableGrid"/>
        <w:tblW w:w="0" w:type="auto"/>
        <w:tblInd w:w="720" w:type="dxa"/>
        <w:tblCellMar>
          <w:left w:w="28" w:type="dxa"/>
          <w:right w:w="28" w:type="dxa"/>
        </w:tblCellMar>
        <w:tblLook w:val="04A0" w:firstRow="1" w:lastRow="0" w:firstColumn="1" w:lastColumn="0" w:noHBand="0" w:noVBand="1"/>
        <w:tblCaption w:val="Summary of results from clinical trials"/>
        <w:tblDescription w:val="Summary of PASI75 and PASI50 response at end of trials presented in the submission"/>
      </w:tblPr>
      <w:tblGrid>
        <w:gridCol w:w="1151"/>
        <w:gridCol w:w="1346"/>
        <w:gridCol w:w="1347"/>
        <w:gridCol w:w="1506"/>
        <w:gridCol w:w="1506"/>
        <w:gridCol w:w="1506"/>
      </w:tblGrid>
      <w:tr w:rsidR="00977F2C" w:rsidRPr="00F16087" w:rsidTr="00922993">
        <w:trPr>
          <w:tblHeader/>
        </w:trPr>
        <w:tc>
          <w:tcPr>
            <w:tcW w:w="1151" w:type="dxa"/>
            <w:vAlign w:val="center"/>
          </w:tcPr>
          <w:p w:rsidR="00977F2C" w:rsidRPr="00F16087" w:rsidRDefault="00977F2C" w:rsidP="003662EA">
            <w:pPr>
              <w:pStyle w:val="ListParagraph"/>
              <w:keepNext/>
              <w:widowControl/>
              <w:ind w:left="0"/>
              <w:rPr>
                <w:rFonts w:ascii="Arial Narrow" w:hAnsi="Arial Narrow"/>
                <w:sz w:val="20"/>
              </w:rPr>
            </w:pPr>
            <w:r w:rsidRPr="00F16087">
              <w:rPr>
                <w:rFonts w:ascii="Arial Narrow" w:hAnsi="Arial Narrow"/>
                <w:b/>
                <w:sz w:val="20"/>
              </w:rPr>
              <w:t>Trial ID</w:t>
            </w:r>
          </w:p>
        </w:tc>
        <w:tc>
          <w:tcPr>
            <w:tcW w:w="1346" w:type="dxa"/>
            <w:vAlign w:val="center"/>
          </w:tcPr>
          <w:p w:rsidR="00977F2C" w:rsidRPr="00F16087" w:rsidRDefault="00977F2C" w:rsidP="003662EA">
            <w:pPr>
              <w:keepNext/>
              <w:widowControl/>
              <w:jc w:val="center"/>
              <w:rPr>
                <w:rFonts w:ascii="Arial Narrow" w:hAnsi="Arial Narrow"/>
                <w:b/>
                <w:sz w:val="20"/>
              </w:rPr>
            </w:pPr>
            <w:r w:rsidRPr="00F16087">
              <w:rPr>
                <w:rFonts w:ascii="Arial Narrow" w:hAnsi="Arial Narrow"/>
                <w:b/>
                <w:sz w:val="20"/>
              </w:rPr>
              <w:t>Apremilast</w:t>
            </w:r>
          </w:p>
          <w:p w:rsidR="00977F2C" w:rsidRPr="00F16087" w:rsidRDefault="00977F2C" w:rsidP="003662EA">
            <w:pPr>
              <w:pStyle w:val="ListParagraph"/>
              <w:keepNext/>
              <w:widowControl/>
              <w:ind w:left="0"/>
              <w:jc w:val="center"/>
              <w:rPr>
                <w:rFonts w:ascii="Arial Narrow" w:hAnsi="Arial Narrow"/>
                <w:sz w:val="20"/>
              </w:rPr>
            </w:pPr>
            <w:proofErr w:type="gramStart"/>
            <w:r w:rsidRPr="00F16087">
              <w:rPr>
                <w:rFonts w:ascii="Arial Narrow" w:hAnsi="Arial Narrow"/>
                <w:b/>
                <w:sz w:val="20"/>
              </w:rPr>
              <w:t>n/N</w:t>
            </w:r>
            <w:proofErr w:type="gramEnd"/>
            <w:r w:rsidRPr="00F16087">
              <w:rPr>
                <w:rFonts w:ascii="Arial Narrow" w:hAnsi="Arial Narrow"/>
                <w:b/>
                <w:sz w:val="20"/>
              </w:rPr>
              <w:t xml:space="preserve"> (%)</w:t>
            </w:r>
          </w:p>
        </w:tc>
        <w:tc>
          <w:tcPr>
            <w:tcW w:w="1347" w:type="dxa"/>
            <w:vAlign w:val="center"/>
          </w:tcPr>
          <w:p w:rsidR="00977F2C" w:rsidRPr="00F16087" w:rsidRDefault="00977F2C" w:rsidP="003662EA">
            <w:pPr>
              <w:keepNext/>
              <w:widowControl/>
              <w:jc w:val="center"/>
              <w:rPr>
                <w:rFonts w:ascii="Arial Narrow" w:hAnsi="Arial Narrow"/>
                <w:b/>
                <w:sz w:val="20"/>
              </w:rPr>
            </w:pPr>
            <w:r w:rsidRPr="00F16087">
              <w:rPr>
                <w:rFonts w:ascii="Arial Narrow" w:hAnsi="Arial Narrow"/>
                <w:b/>
                <w:sz w:val="20"/>
              </w:rPr>
              <w:t>Comparator</w:t>
            </w:r>
          </w:p>
          <w:p w:rsidR="00977F2C" w:rsidRPr="00F16087" w:rsidRDefault="00977F2C" w:rsidP="003662EA">
            <w:pPr>
              <w:pStyle w:val="ListParagraph"/>
              <w:keepNext/>
              <w:widowControl/>
              <w:ind w:left="0"/>
              <w:jc w:val="center"/>
              <w:rPr>
                <w:rFonts w:ascii="Arial Narrow" w:hAnsi="Arial Narrow"/>
                <w:sz w:val="20"/>
              </w:rPr>
            </w:pPr>
            <w:proofErr w:type="gramStart"/>
            <w:r w:rsidRPr="00F16087">
              <w:rPr>
                <w:rFonts w:ascii="Arial Narrow" w:hAnsi="Arial Narrow"/>
                <w:b/>
                <w:sz w:val="20"/>
              </w:rPr>
              <w:t>n/N</w:t>
            </w:r>
            <w:proofErr w:type="gramEnd"/>
            <w:r w:rsidRPr="00F16087">
              <w:rPr>
                <w:rFonts w:ascii="Arial Narrow" w:hAnsi="Arial Narrow"/>
                <w:b/>
                <w:sz w:val="20"/>
              </w:rPr>
              <w:t xml:space="preserve"> (%)</w:t>
            </w:r>
          </w:p>
        </w:tc>
        <w:tc>
          <w:tcPr>
            <w:tcW w:w="1506" w:type="dxa"/>
            <w:vAlign w:val="center"/>
          </w:tcPr>
          <w:p w:rsidR="00977F2C" w:rsidRPr="00F16087" w:rsidRDefault="00977F2C" w:rsidP="003662EA">
            <w:pPr>
              <w:keepNext/>
              <w:widowControl/>
              <w:jc w:val="center"/>
              <w:rPr>
                <w:rFonts w:ascii="Arial Narrow" w:hAnsi="Arial Narrow"/>
                <w:b/>
                <w:sz w:val="20"/>
              </w:rPr>
            </w:pPr>
            <w:r w:rsidRPr="00F16087">
              <w:rPr>
                <w:rFonts w:ascii="Arial Narrow" w:hAnsi="Arial Narrow"/>
                <w:b/>
                <w:sz w:val="20"/>
              </w:rPr>
              <w:t>RD</w:t>
            </w:r>
          </w:p>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 xml:space="preserve"> (95% CI)</w:t>
            </w:r>
          </w:p>
        </w:tc>
        <w:tc>
          <w:tcPr>
            <w:tcW w:w="1506" w:type="dxa"/>
            <w:vAlign w:val="center"/>
          </w:tcPr>
          <w:p w:rsidR="00977F2C" w:rsidRPr="00F16087" w:rsidRDefault="00977F2C" w:rsidP="003662EA">
            <w:pPr>
              <w:keepNext/>
              <w:widowControl/>
              <w:jc w:val="center"/>
              <w:rPr>
                <w:rFonts w:ascii="Arial Narrow" w:hAnsi="Arial Narrow"/>
                <w:b/>
                <w:sz w:val="20"/>
              </w:rPr>
            </w:pPr>
            <w:r w:rsidRPr="00F16087">
              <w:rPr>
                <w:rFonts w:ascii="Arial Narrow" w:hAnsi="Arial Narrow"/>
                <w:b/>
                <w:sz w:val="20"/>
              </w:rPr>
              <w:t>R</w:t>
            </w:r>
            <w:r w:rsidR="00630BF5" w:rsidRPr="00F16087">
              <w:rPr>
                <w:rFonts w:ascii="Arial Narrow" w:hAnsi="Arial Narrow"/>
                <w:b/>
                <w:sz w:val="20"/>
              </w:rPr>
              <w:t>R</w:t>
            </w:r>
          </w:p>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(95% CI)</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 xml:space="preserve">Indirect RR </w:t>
            </w:r>
          </w:p>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(95% CI)</w:t>
            </w:r>
          </w:p>
        </w:tc>
      </w:tr>
      <w:tr w:rsidR="00977F2C" w:rsidRPr="00F16087" w:rsidTr="00977F2C">
        <w:tc>
          <w:tcPr>
            <w:tcW w:w="8362" w:type="dxa"/>
            <w:gridSpan w:val="6"/>
          </w:tcPr>
          <w:p w:rsidR="00977F2C" w:rsidRPr="00F16087" w:rsidRDefault="00977F2C" w:rsidP="003662EA">
            <w:pPr>
              <w:pStyle w:val="ListParagraph"/>
              <w:keepNext/>
              <w:widowControl/>
              <w:ind w:left="0"/>
              <w:jc w:val="left"/>
              <w:rPr>
                <w:rFonts w:ascii="Arial Narrow" w:hAnsi="Arial Narrow"/>
                <w:b/>
                <w:sz w:val="20"/>
              </w:rPr>
            </w:pPr>
            <w:r w:rsidRPr="00F16087">
              <w:rPr>
                <w:rFonts w:ascii="Arial Narrow" w:hAnsi="Arial Narrow"/>
                <w:b/>
                <w:sz w:val="20"/>
              </w:rPr>
              <w:t>PASI 75 at 16 weeks: apremilast versus placebo</w:t>
            </w:r>
          </w:p>
        </w:tc>
      </w:tr>
      <w:tr w:rsidR="00977F2C" w:rsidRPr="00F16087" w:rsidTr="008245C7">
        <w:tc>
          <w:tcPr>
            <w:tcW w:w="1151" w:type="dxa"/>
            <w:vAlign w:val="center"/>
          </w:tcPr>
          <w:p w:rsidR="00977F2C" w:rsidRPr="00F16087" w:rsidRDefault="00977F2C" w:rsidP="003662EA">
            <w:pPr>
              <w:pStyle w:val="ListParagraph"/>
              <w:keepNext/>
              <w:widowControl/>
              <w:ind w:left="0"/>
              <w:rPr>
                <w:rFonts w:ascii="Arial Narrow" w:hAnsi="Arial Narrow"/>
                <w:sz w:val="20"/>
              </w:rPr>
            </w:pPr>
            <w:r w:rsidRPr="00F16087">
              <w:rPr>
                <w:rFonts w:ascii="Arial Narrow" w:hAnsi="Arial Narrow"/>
                <w:sz w:val="20"/>
              </w:rPr>
              <w:t>ESTEEM-1</w:t>
            </w:r>
          </w:p>
        </w:tc>
        <w:tc>
          <w:tcPr>
            <w:tcW w:w="134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sz w:val="20"/>
              </w:rPr>
              <w:t>186/562 (33.1)</w:t>
            </w:r>
          </w:p>
        </w:tc>
        <w:tc>
          <w:tcPr>
            <w:tcW w:w="1347"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sz w:val="20"/>
              </w:rPr>
              <w:t>15/282 (5.3)</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bCs/>
                <w:sz w:val="20"/>
              </w:rPr>
              <w:t>0.28 (0.23, 0.32)</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iCs/>
                <w:sz w:val="20"/>
              </w:rPr>
              <w:t>6.22 (3.75, 10.32)</w:t>
            </w:r>
          </w:p>
        </w:tc>
        <w:tc>
          <w:tcPr>
            <w:tcW w:w="1506" w:type="dxa"/>
            <w:vMerge w:val="restart"/>
            <w:vAlign w:val="center"/>
          </w:tcPr>
          <w:p w:rsidR="00977F2C" w:rsidRPr="00F16087" w:rsidRDefault="00977F2C" w:rsidP="003662EA">
            <w:pPr>
              <w:pStyle w:val="ListParagraph"/>
              <w:keepNext/>
              <w:widowControl/>
              <w:ind w:left="0"/>
              <w:jc w:val="center"/>
              <w:rPr>
                <w:rFonts w:ascii="Arial Narrow" w:hAnsi="Arial Narrow"/>
                <w:sz w:val="20"/>
              </w:rPr>
            </w:pPr>
          </w:p>
        </w:tc>
      </w:tr>
      <w:tr w:rsidR="00977F2C" w:rsidRPr="00F16087" w:rsidTr="008245C7">
        <w:tc>
          <w:tcPr>
            <w:tcW w:w="1151" w:type="dxa"/>
            <w:vAlign w:val="center"/>
          </w:tcPr>
          <w:p w:rsidR="00977F2C" w:rsidRPr="00F16087" w:rsidRDefault="00977F2C" w:rsidP="003662EA">
            <w:pPr>
              <w:pStyle w:val="ListParagraph"/>
              <w:keepNext/>
              <w:widowControl/>
              <w:ind w:left="0"/>
              <w:rPr>
                <w:rFonts w:ascii="Arial Narrow" w:hAnsi="Arial Narrow"/>
                <w:sz w:val="20"/>
              </w:rPr>
            </w:pPr>
            <w:r w:rsidRPr="00F16087">
              <w:rPr>
                <w:rFonts w:ascii="Arial Narrow" w:hAnsi="Arial Narrow"/>
                <w:sz w:val="20"/>
              </w:rPr>
              <w:t>ESTEEM-2</w:t>
            </w:r>
          </w:p>
        </w:tc>
        <w:tc>
          <w:tcPr>
            <w:tcW w:w="134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sz w:val="20"/>
              </w:rPr>
              <w:t>79/274 (28.8)</w:t>
            </w:r>
          </w:p>
        </w:tc>
        <w:tc>
          <w:tcPr>
            <w:tcW w:w="1347"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sz w:val="20"/>
              </w:rPr>
              <w:t>8/137 (5.8)</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bCs/>
                <w:sz w:val="20"/>
              </w:rPr>
              <w:t>0.23 (0.16, 0.30</w:t>
            </w:r>
            <w:r w:rsidRPr="00F16087">
              <w:rPr>
                <w:rFonts w:ascii="Arial Narrow" w:hAnsi="Arial Narrow"/>
                <w:b/>
                <w:iCs/>
                <w:sz w:val="20"/>
              </w:rPr>
              <w:t>)</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iCs/>
                <w:sz w:val="20"/>
              </w:rPr>
              <w:t>4.94 (2.46, 9.92)</w:t>
            </w:r>
          </w:p>
        </w:tc>
        <w:tc>
          <w:tcPr>
            <w:tcW w:w="1506" w:type="dxa"/>
            <w:vMerge/>
            <w:vAlign w:val="center"/>
          </w:tcPr>
          <w:p w:rsidR="00977F2C" w:rsidRPr="00F16087" w:rsidRDefault="00977F2C" w:rsidP="003662EA">
            <w:pPr>
              <w:pStyle w:val="ListParagraph"/>
              <w:keepNext/>
              <w:widowControl/>
              <w:ind w:left="0"/>
              <w:jc w:val="center"/>
              <w:rPr>
                <w:rFonts w:ascii="Arial Narrow" w:hAnsi="Arial Narrow"/>
                <w:sz w:val="20"/>
              </w:rPr>
            </w:pPr>
          </w:p>
        </w:tc>
      </w:tr>
      <w:tr w:rsidR="00977F2C" w:rsidRPr="00F16087" w:rsidTr="008245C7">
        <w:tc>
          <w:tcPr>
            <w:tcW w:w="1151" w:type="dxa"/>
            <w:vAlign w:val="center"/>
          </w:tcPr>
          <w:p w:rsidR="00977F2C" w:rsidRPr="00F16087" w:rsidRDefault="00977F2C" w:rsidP="003662EA">
            <w:pPr>
              <w:pStyle w:val="ListParagraph"/>
              <w:keepNext/>
              <w:widowControl/>
              <w:ind w:left="0"/>
              <w:rPr>
                <w:rFonts w:ascii="Arial Narrow" w:hAnsi="Arial Narrow"/>
                <w:sz w:val="20"/>
              </w:rPr>
            </w:pPr>
            <w:r w:rsidRPr="00F16087">
              <w:rPr>
                <w:rFonts w:ascii="Arial Narrow" w:hAnsi="Arial Narrow"/>
                <w:sz w:val="20"/>
              </w:rPr>
              <w:t>LIBERATE</w:t>
            </w:r>
          </w:p>
        </w:tc>
        <w:tc>
          <w:tcPr>
            <w:tcW w:w="134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sz w:val="20"/>
              </w:rPr>
              <w:t>33/83 (39.8)</w:t>
            </w:r>
          </w:p>
        </w:tc>
        <w:tc>
          <w:tcPr>
            <w:tcW w:w="1347"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sz w:val="20"/>
              </w:rPr>
              <w:t>10/84 (11.9)</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iCs/>
                <w:sz w:val="20"/>
              </w:rPr>
              <w:t>0.28 (0.15, 0.40)</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iCs/>
                <w:sz w:val="20"/>
              </w:rPr>
              <w:t xml:space="preserve">3.34 (1.76, 6.33) </w:t>
            </w:r>
          </w:p>
        </w:tc>
        <w:tc>
          <w:tcPr>
            <w:tcW w:w="1506" w:type="dxa"/>
            <w:vMerge/>
            <w:vAlign w:val="center"/>
          </w:tcPr>
          <w:p w:rsidR="00977F2C" w:rsidRPr="00F16087" w:rsidRDefault="00977F2C" w:rsidP="003662EA">
            <w:pPr>
              <w:pStyle w:val="ListParagraph"/>
              <w:keepNext/>
              <w:widowControl/>
              <w:ind w:left="0"/>
              <w:jc w:val="center"/>
              <w:rPr>
                <w:rFonts w:ascii="Arial Narrow" w:hAnsi="Arial Narrow"/>
                <w:sz w:val="20"/>
              </w:rPr>
            </w:pPr>
          </w:p>
        </w:tc>
      </w:tr>
      <w:tr w:rsidR="00977F2C" w:rsidRPr="00F16087" w:rsidTr="008245C7">
        <w:tc>
          <w:tcPr>
            <w:tcW w:w="1151" w:type="dxa"/>
            <w:vAlign w:val="center"/>
          </w:tcPr>
          <w:p w:rsidR="00977F2C" w:rsidRPr="00F16087" w:rsidRDefault="00977F2C" w:rsidP="003662EA">
            <w:pPr>
              <w:pStyle w:val="ListParagraph"/>
              <w:keepNext/>
              <w:widowControl/>
              <w:ind w:left="0"/>
              <w:rPr>
                <w:rFonts w:ascii="Arial Narrow" w:hAnsi="Arial Narrow"/>
                <w:sz w:val="20"/>
              </w:rPr>
            </w:pPr>
            <w:r w:rsidRPr="00F16087">
              <w:rPr>
                <w:rFonts w:ascii="Arial Narrow" w:hAnsi="Arial Narrow"/>
                <w:iCs/>
                <w:sz w:val="20"/>
              </w:rPr>
              <w:t>CORE</w:t>
            </w:r>
          </w:p>
        </w:tc>
        <w:tc>
          <w:tcPr>
            <w:tcW w:w="134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iCs/>
                <w:sz w:val="20"/>
              </w:rPr>
              <w:t>36/88 (40.1)</w:t>
            </w:r>
          </w:p>
        </w:tc>
        <w:tc>
          <w:tcPr>
            <w:tcW w:w="1347"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iCs/>
                <w:sz w:val="20"/>
              </w:rPr>
              <w:t>5/88 (5.7)</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iCs/>
                <w:sz w:val="20"/>
              </w:rPr>
              <w:t>0.35 (0.24, 0.47)</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iCs/>
                <w:sz w:val="20"/>
              </w:rPr>
              <w:t>7.20 (2.96, 17.49)</w:t>
            </w:r>
          </w:p>
        </w:tc>
        <w:tc>
          <w:tcPr>
            <w:tcW w:w="1506" w:type="dxa"/>
            <w:vMerge/>
            <w:vAlign w:val="center"/>
          </w:tcPr>
          <w:p w:rsidR="00977F2C" w:rsidRPr="00F16087" w:rsidRDefault="00977F2C" w:rsidP="003662EA">
            <w:pPr>
              <w:pStyle w:val="ListParagraph"/>
              <w:keepNext/>
              <w:widowControl/>
              <w:ind w:left="0"/>
              <w:jc w:val="center"/>
              <w:rPr>
                <w:rFonts w:ascii="Arial Narrow" w:hAnsi="Arial Narrow"/>
                <w:sz w:val="20"/>
              </w:rPr>
            </w:pPr>
          </w:p>
        </w:tc>
      </w:tr>
      <w:tr w:rsidR="00977F2C" w:rsidRPr="00F16087" w:rsidTr="008245C7">
        <w:tc>
          <w:tcPr>
            <w:tcW w:w="3844" w:type="dxa"/>
            <w:gridSpan w:val="3"/>
            <w:vAlign w:val="center"/>
          </w:tcPr>
          <w:p w:rsidR="00977F2C" w:rsidRPr="00F16087" w:rsidRDefault="00977F2C" w:rsidP="003662EA">
            <w:pPr>
              <w:pStyle w:val="ListParagraph"/>
              <w:keepNext/>
              <w:widowControl/>
              <w:ind w:left="0"/>
              <w:jc w:val="right"/>
              <w:rPr>
                <w:rFonts w:ascii="Arial Narrow" w:hAnsi="Arial Narrow"/>
                <w:sz w:val="20"/>
              </w:rPr>
            </w:pPr>
            <w:r w:rsidRPr="00F16087">
              <w:rPr>
                <w:rFonts w:ascii="Arial Narrow" w:hAnsi="Arial Narrow"/>
                <w:sz w:val="20"/>
              </w:rPr>
              <w:t xml:space="preserve">Meta-analysis </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0.27 (0.23, 0.31)</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5.16 (3.74, 7.12)</w:t>
            </w:r>
          </w:p>
        </w:tc>
        <w:tc>
          <w:tcPr>
            <w:tcW w:w="1506" w:type="dxa"/>
          </w:tcPr>
          <w:p w:rsidR="00977F2C" w:rsidRPr="00F16087" w:rsidRDefault="00977F2C" w:rsidP="003662EA">
            <w:pPr>
              <w:pStyle w:val="ListParagraph"/>
              <w:keepNext/>
              <w:widowControl/>
              <w:ind w:left="0"/>
              <w:jc w:val="center"/>
              <w:rPr>
                <w:rFonts w:ascii="Arial Narrow" w:hAnsi="Arial Narrow"/>
                <w:sz w:val="20"/>
                <w:vertAlign w:val="superscript"/>
              </w:rPr>
            </w:pPr>
            <w:r w:rsidRPr="00F16087">
              <w:rPr>
                <w:rFonts w:ascii="Arial Narrow" w:hAnsi="Arial Narrow"/>
                <w:sz w:val="20"/>
              </w:rPr>
              <w:t>0.81 (0.19, 3.52)</w:t>
            </w:r>
            <w:r w:rsidR="008245C7" w:rsidRPr="00F16087">
              <w:rPr>
                <w:rFonts w:ascii="Arial Narrow" w:hAnsi="Arial Narrow"/>
                <w:sz w:val="20"/>
                <w:vertAlign w:val="superscript"/>
              </w:rPr>
              <w:t>a</w:t>
            </w:r>
          </w:p>
        </w:tc>
      </w:tr>
      <w:tr w:rsidR="00977F2C" w:rsidRPr="00F16087" w:rsidTr="008245C7">
        <w:tc>
          <w:tcPr>
            <w:tcW w:w="3844" w:type="dxa"/>
            <w:gridSpan w:val="3"/>
            <w:vAlign w:val="center"/>
          </w:tcPr>
          <w:p w:rsidR="00977F2C" w:rsidRPr="00F16087" w:rsidRDefault="00977F2C" w:rsidP="003662EA">
            <w:pPr>
              <w:pStyle w:val="ListParagraph"/>
              <w:keepNext/>
              <w:widowControl/>
              <w:ind w:left="0"/>
              <w:jc w:val="right"/>
              <w:rPr>
                <w:rFonts w:ascii="Arial Narrow" w:hAnsi="Arial Narrow"/>
                <w:sz w:val="20"/>
              </w:rPr>
            </w:pPr>
            <w:r w:rsidRPr="00F16087">
              <w:rPr>
                <w:rFonts w:ascii="Arial Narrow" w:hAnsi="Arial Narrow"/>
                <w:iCs/>
                <w:sz w:val="20"/>
              </w:rPr>
              <w:t>Meta-analysis (excluding CORE</w:t>
            </w:r>
            <w:r w:rsidRPr="00F16087">
              <w:rPr>
                <w:rFonts w:ascii="Arial Narrow" w:hAnsi="Arial Narrow"/>
                <w:sz w:val="20"/>
              </w:rPr>
              <w:t>)</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0.26 (0.23, 0.30)</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4.87 (3.34, 7.08)</w:t>
            </w:r>
          </w:p>
        </w:tc>
        <w:tc>
          <w:tcPr>
            <w:tcW w:w="1506" w:type="dxa"/>
          </w:tcPr>
          <w:p w:rsidR="00977F2C" w:rsidRPr="00F16087" w:rsidRDefault="00977F2C" w:rsidP="003662EA">
            <w:pPr>
              <w:pStyle w:val="ListParagraph"/>
              <w:keepNext/>
              <w:widowControl/>
              <w:ind w:left="0"/>
              <w:jc w:val="center"/>
              <w:rPr>
                <w:rFonts w:ascii="Arial Narrow" w:hAnsi="Arial Narrow"/>
                <w:sz w:val="20"/>
                <w:vertAlign w:val="superscript"/>
              </w:rPr>
            </w:pPr>
            <w:r w:rsidRPr="00F16087">
              <w:rPr>
                <w:rFonts w:ascii="Arial Narrow" w:hAnsi="Arial Narrow"/>
                <w:iCs/>
                <w:sz w:val="20"/>
              </w:rPr>
              <w:t>0.77 (0.18, 3.36)</w:t>
            </w:r>
            <w:r w:rsidR="008245C7" w:rsidRPr="00F16087">
              <w:rPr>
                <w:rFonts w:ascii="Arial Narrow" w:hAnsi="Arial Narrow"/>
                <w:iCs/>
                <w:sz w:val="20"/>
                <w:vertAlign w:val="superscript"/>
              </w:rPr>
              <w:t>a</w:t>
            </w:r>
          </w:p>
        </w:tc>
      </w:tr>
      <w:tr w:rsidR="00977F2C" w:rsidRPr="00F16087" w:rsidTr="008245C7">
        <w:tc>
          <w:tcPr>
            <w:tcW w:w="3844" w:type="dxa"/>
            <w:gridSpan w:val="3"/>
            <w:vAlign w:val="center"/>
          </w:tcPr>
          <w:p w:rsidR="00977F2C" w:rsidRPr="00F16087" w:rsidRDefault="00977F2C" w:rsidP="003662EA">
            <w:pPr>
              <w:pStyle w:val="ListParagraph"/>
              <w:keepNext/>
              <w:widowControl/>
              <w:ind w:left="0"/>
              <w:jc w:val="right"/>
              <w:rPr>
                <w:rFonts w:ascii="Arial Narrow" w:hAnsi="Arial Narrow"/>
                <w:sz w:val="20"/>
              </w:rPr>
            </w:pPr>
            <w:r w:rsidRPr="00F16087">
              <w:rPr>
                <w:rFonts w:ascii="Arial Narrow" w:hAnsi="Arial Narrow"/>
                <w:iCs/>
                <w:sz w:val="20"/>
              </w:rPr>
              <w:t>Meta-analysis (excluding LIBERATE)</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0.27 (0.22, 0.33)</w:t>
            </w:r>
          </w:p>
        </w:tc>
        <w:tc>
          <w:tcPr>
            <w:tcW w:w="1506" w:type="dxa"/>
            <w:vAlign w:val="center"/>
          </w:tcPr>
          <w:p w:rsidR="00977F2C" w:rsidRPr="00F16087" w:rsidRDefault="00977F2C" w:rsidP="003662EA">
            <w:pPr>
              <w:pStyle w:val="ListParagraph"/>
              <w:keepNext/>
              <w:widowControl/>
              <w:ind w:left="0"/>
              <w:jc w:val="center"/>
              <w:rPr>
                <w:rFonts w:ascii="Arial Narrow" w:hAnsi="Arial Narrow"/>
                <w:sz w:val="20"/>
              </w:rPr>
            </w:pPr>
            <w:r w:rsidRPr="00F16087">
              <w:rPr>
                <w:rFonts w:ascii="Arial Narrow" w:hAnsi="Arial Narrow"/>
                <w:b/>
                <w:sz w:val="20"/>
              </w:rPr>
              <w:t>5.98 (4.12, 8.67)</w:t>
            </w:r>
          </w:p>
        </w:tc>
        <w:tc>
          <w:tcPr>
            <w:tcW w:w="1506" w:type="dxa"/>
          </w:tcPr>
          <w:p w:rsidR="00977F2C" w:rsidRPr="00F16087" w:rsidRDefault="00977F2C" w:rsidP="003662EA">
            <w:pPr>
              <w:pStyle w:val="ListParagraph"/>
              <w:keepNext/>
              <w:widowControl/>
              <w:ind w:left="0"/>
              <w:jc w:val="center"/>
              <w:rPr>
                <w:rFonts w:ascii="Arial Narrow" w:hAnsi="Arial Narrow"/>
                <w:sz w:val="20"/>
                <w:vertAlign w:val="superscript"/>
              </w:rPr>
            </w:pPr>
            <w:r w:rsidRPr="00F16087">
              <w:rPr>
                <w:rFonts w:ascii="Arial Narrow" w:hAnsi="Arial Narrow"/>
                <w:iCs/>
                <w:sz w:val="20"/>
              </w:rPr>
              <w:t>0.94 (0.22, 4.12)</w:t>
            </w:r>
            <w:r w:rsidR="008245C7" w:rsidRPr="00F16087">
              <w:rPr>
                <w:rFonts w:ascii="Arial Narrow" w:hAnsi="Arial Narrow"/>
                <w:iCs/>
                <w:sz w:val="20"/>
                <w:vertAlign w:val="superscript"/>
              </w:rPr>
              <w:t>a</w:t>
            </w:r>
          </w:p>
        </w:tc>
      </w:tr>
      <w:tr w:rsidR="00977F2C" w:rsidRPr="00F16087" w:rsidTr="00977F2C">
        <w:tc>
          <w:tcPr>
            <w:tcW w:w="8362" w:type="dxa"/>
            <w:gridSpan w:val="6"/>
            <w:vAlign w:val="center"/>
          </w:tcPr>
          <w:p w:rsidR="00977F2C" w:rsidRPr="00F16087" w:rsidRDefault="00977F2C" w:rsidP="003662EA">
            <w:pPr>
              <w:pStyle w:val="ListParagraph"/>
              <w:keepNext/>
              <w:widowControl/>
              <w:ind w:left="0"/>
              <w:jc w:val="left"/>
              <w:rPr>
                <w:rFonts w:ascii="Arial Narrow" w:hAnsi="Arial Narrow"/>
                <w:iCs/>
                <w:sz w:val="20"/>
              </w:rPr>
            </w:pPr>
            <w:r w:rsidRPr="00F16087">
              <w:rPr>
                <w:rFonts w:ascii="Arial Narrow" w:hAnsi="Arial Narrow"/>
                <w:b/>
                <w:sz w:val="20"/>
              </w:rPr>
              <w:t>PASI 50 at 16 weeks: apremilast versus placebo</w:t>
            </w:r>
          </w:p>
        </w:tc>
      </w:tr>
      <w:tr w:rsidR="00977F2C" w:rsidRPr="00F16087" w:rsidTr="008245C7">
        <w:tc>
          <w:tcPr>
            <w:tcW w:w="1151" w:type="dxa"/>
            <w:vAlign w:val="center"/>
          </w:tcPr>
          <w:p w:rsidR="00977F2C" w:rsidRPr="00F16087" w:rsidRDefault="00977F2C" w:rsidP="003662EA">
            <w:pPr>
              <w:pStyle w:val="ListParagraph"/>
              <w:keepNext/>
              <w:widowControl/>
              <w:ind w:left="0"/>
              <w:jc w:val="left"/>
              <w:rPr>
                <w:rFonts w:ascii="Arial Narrow" w:hAnsi="Arial Narrow"/>
                <w:iCs/>
                <w:sz w:val="20"/>
              </w:rPr>
            </w:pPr>
            <w:r w:rsidRPr="00F16087">
              <w:rPr>
                <w:rFonts w:ascii="Arial Narrow" w:hAnsi="Arial Narrow"/>
                <w:sz w:val="20"/>
              </w:rPr>
              <w:t>ESTEEM-1</w:t>
            </w:r>
          </w:p>
        </w:tc>
        <w:tc>
          <w:tcPr>
            <w:tcW w:w="1346"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330/562 (58.7)</w:t>
            </w:r>
          </w:p>
        </w:tc>
        <w:tc>
          <w:tcPr>
            <w:tcW w:w="1347"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48/282 (17.0)</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bCs/>
                <w:sz w:val="20"/>
              </w:rPr>
              <w:t>0.42 (0.36, 0.48)</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bCs/>
                <w:sz w:val="20"/>
              </w:rPr>
              <w:t>3.45 (2.64, 4.50)</w:t>
            </w:r>
          </w:p>
        </w:tc>
        <w:tc>
          <w:tcPr>
            <w:tcW w:w="1506" w:type="dxa"/>
            <w:vMerge w:val="restart"/>
          </w:tcPr>
          <w:p w:rsidR="00977F2C" w:rsidRPr="00F16087" w:rsidRDefault="00977F2C" w:rsidP="003662EA">
            <w:pPr>
              <w:pStyle w:val="ListParagraph"/>
              <w:keepNext/>
              <w:widowControl/>
              <w:ind w:left="0"/>
              <w:jc w:val="center"/>
              <w:rPr>
                <w:rFonts w:ascii="Arial Narrow" w:hAnsi="Arial Narrow"/>
                <w:iCs/>
                <w:sz w:val="20"/>
              </w:rPr>
            </w:pPr>
          </w:p>
        </w:tc>
      </w:tr>
      <w:tr w:rsidR="00977F2C" w:rsidRPr="00F16087" w:rsidTr="008245C7">
        <w:tc>
          <w:tcPr>
            <w:tcW w:w="1151" w:type="dxa"/>
            <w:vAlign w:val="center"/>
          </w:tcPr>
          <w:p w:rsidR="00977F2C" w:rsidRPr="00F16087" w:rsidRDefault="00977F2C" w:rsidP="003662EA">
            <w:pPr>
              <w:pStyle w:val="ListParagraph"/>
              <w:keepNext/>
              <w:widowControl/>
              <w:ind w:left="0"/>
              <w:jc w:val="left"/>
              <w:rPr>
                <w:rFonts w:ascii="Arial Narrow" w:hAnsi="Arial Narrow"/>
                <w:iCs/>
                <w:sz w:val="20"/>
              </w:rPr>
            </w:pPr>
            <w:r w:rsidRPr="00F16087">
              <w:rPr>
                <w:rFonts w:ascii="Arial Narrow" w:hAnsi="Arial Narrow"/>
                <w:sz w:val="20"/>
              </w:rPr>
              <w:t>ESTEEM-2</w:t>
            </w:r>
          </w:p>
        </w:tc>
        <w:tc>
          <w:tcPr>
            <w:tcW w:w="1346"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152/274 (55.5)</w:t>
            </w:r>
          </w:p>
        </w:tc>
        <w:tc>
          <w:tcPr>
            <w:tcW w:w="1347"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27/137 (19.7)</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bCs/>
                <w:sz w:val="20"/>
              </w:rPr>
              <w:t>0.36 (0.27, 0.45)</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bCs/>
                <w:sz w:val="20"/>
              </w:rPr>
              <w:t>2.81 (1.98, 4.01)</w:t>
            </w:r>
          </w:p>
        </w:tc>
        <w:tc>
          <w:tcPr>
            <w:tcW w:w="1506" w:type="dxa"/>
            <w:vMerge/>
          </w:tcPr>
          <w:p w:rsidR="00977F2C" w:rsidRPr="00F16087" w:rsidRDefault="00977F2C" w:rsidP="003662EA">
            <w:pPr>
              <w:pStyle w:val="ListParagraph"/>
              <w:keepNext/>
              <w:widowControl/>
              <w:ind w:left="0"/>
              <w:jc w:val="center"/>
              <w:rPr>
                <w:rFonts w:ascii="Arial Narrow" w:hAnsi="Arial Narrow"/>
                <w:iCs/>
                <w:sz w:val="20"/>
              </w:rPr>
            </w:pPr>
          </w:p>
        </w:tc>
      </w:tr>
      <w:tr w:rsidR="00977F2C" w:rsidRPr="00F16087" w:rsidTr="008245C7">
        <w:tc>
          <w:tcPr>
            <w:tcW w:w="1151" w:type="dxa"/>
            <w:vAlign w:val="center"/>
          </w:tcPr>
          <w:p w:rsidR="00977F2C" w:rsidRPr="00F16087" w:rsidRDefault="00977F2C" w:rsidP="003662EA">
            <w:pPr>
              <w:pStyle w:val="ListParagraph"/>
              <w:keepNext/>
              <w:widowControl/>
              <w:ind w:left="0"/>
              <w:jc w:val="left"/>
              <w:rPr>
                <w:rFonts w:ascii="Arial Narrow" w:hAnsi="Arial Narrow"/>
                <w:iCs/>
                <w:sz w:val="20"/>
              </w:rPr>
            </w:pPr>
            <w:r w:rsidRPr="00F16087">
              <w:rPr>
                <w:rFonts w:ascii="Arial Narrow" w:hAnsi="Arial Narrow"/>
                <w:sz w:val="20"/>
              </w:rPr>
              <w:t>LIBERATE</w:t>
            </w:r>
          </w:p>
        </w:tc>
        <w:tc>
          <w:tcPr>
            <w:tcW w:w="1346"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52/83 (62.7)</w:t>
            </w:r>
          </w:p>
        </w:tc>
        <w:tc>
          <w:tcPr>
            <w:tcW w:w="1347"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28/84 (33.3)</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iCs/>
                <w:sz w:val="20"/>
              </w:rPr>
              <w:t>0.29 (0.15, 0.44)</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iCs/>
                <w:sz w:val="20"/>
              </w:rPr>
              <w:t>1.88 (1.33, 2.65)</w:t>
            </w:r>
          </w:p>
        </w:tc>
        <w:tc>
          <w:tcPr>
            <w:tcW w:w="1506" w:type="dxa"/>
            <w:vMerge/>
          </w:tcPr>
          <w:p w:rsidR="00977F2C" w:rsidRPr="00F16087" w:rsidRDefault="00977F2C" w:rsidP="003662EA">
            <w:pPr>
              <w:pStyle w:val="ListParagraph"/>
              <w:keepNext/>
              <w:widowControl/>
              <w:ind w:left="0"/>
              <w:jc w:val="center"/>
              <w:rPr>
                <w:rFonts w:ascii="Arial Narrow" w:hAnsi="Arial Narrow"/>
                <w:iCs/>
                <w:sz w:val="20"/>
              </w:rPr>
            </w:pPr>
          </w:p>
        </w:tc>
      </w:tr>
      <w:tr w:rsidR="00977F2C" w:rsidRPr="00F16087" w:rsidTr="008245C7">
        <w:tc>
          <w:tcPr>
            <w:tcW w:w="1151" w:type="dxa"/>
            <w:vAlign w:val="center"/>
          </w:tcPr>
          <w:p w:rsidR="00977F2C" w:rsidRPr="00F16087" w:rsidRDefault="00977F2C" w:rsidP="003662EA">
            <w:pPr>
              <w:pStyle w:val="ListParagraph"/>
              <w:keepNext/>
              <w:widowControl/>
              <w:ind w:left="0"/>
              <w:jc w:val="left"/>
              <w:rPr>
                <w:rFonts w:ascii="Arial Narrow" w:hAnsi="Arial Narrow"/>
                <w:iCs/>
                <w:sz w:val="20"/>
              </w:rPr>
            </w:pPr>
            <w:r w:rsidRPr="00F16087">
              <w:rPr>
                <w:rFonts w:ascii="Arial Narrow" w:hAnsi="Arial Narrow"/>
                <w:iCs/>
                <w:sz w:val="20"/>
              </w:rPr>
              <w:t>CORE</w:t>
            </w:r>
          </w:p>
        </w:tc>
        <w:tc>
          <w:tcPr>
            <w:tcW w:w="1346"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53/88 (60.2)</w:t>
            </w:r>
          </w:p>
        </w:tc>
        <w:tc>
          <w:tcPr>
            <w:tcW w:w="1347" w:type="dxa"/>
            <w:vAlign w:val="center"/>
          </w:tcPr>
          <w:p w:rsidR="00977F2C" w:rsidRPr="00F16087" w:rsidRDefault="00977F2C" w:rsidP="003662EA">
            <w:pPr>
              <w:pStyle w:val="ListParagraph"/>
              <w:keepNext/>
              <w:widowControl/>
              <w:ind w:left="0"/>
              <w:jc w:val="center"/>
              <w:rPr>
                <w:rFonts w:ascii="Arial Narrow" w:hAnsi="Arial Narrow"/>
                <w:iCs/>
                <w:sz w:val="20"/>
              </w:rPr>
            </w:pPr>
            <w:r w:rsidRPr="00F16087">
              <w:rPr>
                <w:rFonts w:ascii="Arial Narrow" w:hAnsi="Arial Narrow"/>
                <w:sz w:val="20"/>
              </w:rPr>
              <w:t>22/88 (25.0)</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bCs/>
                <w:sz w:val="20"/>
              </w:rPr>
              <w:t>0.35 (0.22, 0.49)</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bCs/>
                <w:sz w:val="20"/>
              </w:rPr>
              <w:t>2.41 (1.62, 3.59)</w:t>
            </w:r>
          </w:p>
        </w:tc>
        <w:tc>
          <w:tcPr>
            <w:tcW w:w="1506" w:type="dxa"/>
            <w:vMerge/>
          </w:tcPr>
          <w:p w:rsidR="00977F2C" w:rsidRPr="00F16087" w:rsidRDefault="00977F2C" w:rsidP="003662EA">
            <w:pPr>
              <w:pStyle w:val="ListParagraph"/>
              <w:keepNext/>
              <w:widowControl/>
              <w:ind w:left="0"/>
              <w:jc w:val="center"/>
              <w:rPr>
                <w:rFonts w:ascii="Arial Narrow" w:hAnsi="Arial Narrow"/>
                <w:iCs/>
                <w:sz w:val="20"/>
              </w:rPr>
            </w:pPr>
          </w:p>
        </w:tc>
      </w:tr>
      <w:tr w:rsidR="00977F2C" w:rsidRPr="00F16087" w:rsidTr="008245C7">
        <w:tc>
          <w:tcPr>
            <w:tcW w:w="3844" w:type="dxa"/>
            <w:gridSpan w:val="3"/>
            <w:vAlign w:val="center"/>
          </w:tcPr>
          <w:p w:rsidR="00977F2C" w:rsidRPr="00F16087" w:rsidRDefault="00977F2C" w:rsidP="003662EA">
            <w:pPr>
              <w:pStyle w:val="ListParagraph"/>
              <w:keepNext/>
              <w:widowControl/>
              <w:ind w:left="0"/>
              <w:jc w:val="right"/>
              <w:rPr>
                <w:rFonts w:ascii="Arial Narrow" w:hAnsi="Arial Narrow"/>
                <w:iCs/>
                <w:sz w:val="20"/>
              </w:rPr>
            </w:pPr>
            <w:r w:rsidRPr="00F16087">
              <w:rPr>
                <w:rFonts w:ascii="Arial Narrow" w:hAnsi="Arial Narrow"/>
                <w:sz w:val="20"/>
              </w:rPr>
              <w:t xml:space="preserve">Meta-analysis </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0.38 (0.33, 0.43)</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2.61 (1.97, 3.46)</w:t>
            </w:r>
          </w:p>
        </w:tc>
        <w:tc>
          <w:tcPr>
            <w:tcW w:w="1506" w:type="dxa"/>
          </w:tcPr>
          <w:p w:rsidR="00977F2C" w:rsidRPr="00F16087" w:rsidRDefault="00977F2C" w:rsidP="003662EA">
            <w:pPr>
              <w:pStyle w:val="ListParagraph"/>
              <w:keepNext/>
              <w:widowControl/>
              <w:ind w:left="0"/>
              <w:jc w:val="center"/>
              <w:rPr>
                <w:rFonts w:ascii="Arial Narrow" w:hAnsi="Arial Narrow"/>
                <w:iCs/>
                <w:sz w:val="20"/>
                <w:vertAlign w:val="superscript"/>
              </w:rPr>
            </w:pPr>
            <w:r w:rsidRPr="00F16087">
              <w:rPr>
                <w:rFonts w:ascii="Arial Narrow" w:hAnsi="Arial Narrow"/>
                <w:sz w:val="20"/>
              </w:rPr>
              <w:t>0.41 (0.15, 1.12)</w:t>
            </w:r>
            <w:r w:rsidR="008245C7" w:rsidRPr="00F16087">
              <w:rPr>
                <w:rFonts w:ascii="Arial Narrow" w:hAnsi="Arial Narrow"/>
                <w:sz w:val="20"/>
                <w:vertAlign w:val="superscript"/>
              </w:rPr>
              <w:t>b</w:t>
            </w:r>
          </w:p>
        </w:tc>
      </w:tr>
      <w:tr w:rsidR="00977F2C" w:rsidRPr="00F16087" w:rsidTr="008245C7">
        <w:tc>
          <w:tcPr>
            <w:tcW w:w="3844" w:type="dxa"/>
            <w:gridSpan w:val="3"/>
            <w:vAlign w:val="center"/>
          </w:tcPr>
          <w:p w:rsidR="00977F2C" w:rsidRPr="00F16087" w:rsidRDefault="00977F2C" w:rsidP="003662EA">
            <w:pPr>
              <w:pStyle w:val="ListParagraph"/>
              <w:keepNext/>
              <w:widowControl/>
              <w:ind w:left="0"/>
              <w:jc w:val="right"/>
              <w:rPr>
                <w:rFonts w:ascii="Arial Narrow" w:hAnsi="Arial Narrow"/>
                <w:iCs/>
                <w:sz w:val="20"/>
              </w:rPr>
            </w:pPr>
            <w:r w:rsidRPr="00F16087">
              <w:rPr>
                <w:rFonts w:ascii="Arial Narrow" w:hAnsi="Arial Narrow"/>
                <w:iCs/>
                <w:sz w:val="20"/>
              </w:rPr>
              <w:t>Meta-analysis (excluding CORE</w:t>
            </w:r>
            <w:r w:rsidRPr="00F16087">
              <w:rPr>
                <w:rFonts w:ascii="Arial Narrow" w:hAnsi="Arial Narrow"/>
                <w:sz w:val="20"/>
              </w:rPr>
              <w:t>)</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0.38 (0.31, 0.44)</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2.66 (1.84, 3.84)</w:t>
            </w:r>
          </w:p>
        </w:tc>
        <w:tc>
          <w:tcPr>
            <w:tcW w:w="1506" w:type="dxa"/>
          </w:tcPr>
          <w:p w:rsidR="00977F2C" w:rsidRPr="00F16087" w:rsidRDefault="00977F2C" w:rsidP="003662EA">
            <w:pPr>
              <w:pStyle w:val="ListParagraph"/>
              <w:keepNext/>
              <w:widowControl/>
              <w:ind w:left="0"/>
              <w:jc w:val="center"/>
              <w:rPr>
                <w:rFonts w:ascii="Arial Narrow" w:hAnsi="Arial Narrow"/>
                <w:iCs/>
                <w:sz w:val="20"/>
                <w:vertAlign w:val="superscript"/>
              </w:rPr>
            </w:pPr>
            <w:r w:rsidRPr="00F16087">
              <w:rPr>
                <w:rFonts w:ascii="Arial Narrow" w:hAnsi="Arial Narrow"/>
                <w:iCs/>
                <w:sz w:val="20"/>
              </w:rPr>
              <w:t>0.42 (0.15, 1.18)</w:t>
            </w:r>
            <w:r w:rsidR="008245C7" w:rsidRPr="00F16087">
              <w:rPr>
                <w:rFonts w:ascii="Arial Narrow" w:hAnsi="Arial Narrow"/>
                <w:iCs/>
                <w:sz w:val="20"/>
                <w:vertAlign w:val="superscript"/>
              </w:rPr>
              <w:t>b</w:t>
            </w:r>
          </w:p>
        </w:tc>
      </w:tr>
      <w:tr w:rsidR="00977F2C" w:rsidRPr="00F16087" w:rsidTr="008245C7">
        <w:tc>
          <w:tcPr>
            <w:tcW w:w="3844" w:type="dxa"/>
            <w:gridSpan w:val="3"/>
            <w:vAlign w:val="center"/>
          </w:tcPr>
          <w:p w:rsidR="00977F2C" w:rsidRPr="00F16087" w:rsidRDefault="00977F2C" w:rsidP="003662EA">
            <w:pPr>
              <w:pStyle w:val="ListParagraph"/>
              <w:keepNext/>
              <w:widowControl/>
              <w:ind w:left="0"/>
              <w:jc w:val="right"/>
              <w:rPr>
                <w:rFonts w:ascii="Arial Narrow" w:hAnsi="Arial Narrow"/>
                <w:iCs/>
                <w:sz w:val="20"/>
              </w:rPr>
            </w:pPr>
            <w:r w:rsidRPr="00F16087">
              <w:rPr>
                <w:rFonts w:ascii="Arial Narrow" w:hAnsi="Arial Narrow"/>
                <w:iCs/>
                <w:sz w:val="20"/>
              </w:rPr>
              <w:t>Meta-analysis (excluding LIBERATE)</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0.39 (0.35, 0.44)</w:t>
            </w:r>
          </w:p>
        </w:tc>
        <w:tc>
          <w:tcPr>
            <w:tcW w:w="1506" w:type="dxa"/>
            <w:vAlign w:val="center"/>
          </w:tcPr>
          <w:p w:rsidR="00977F2C" w:rsidRPr="00F16087" w:rsidRDefault="00977F2C" w:rsidP="003662EA">
            <w:pPr>
              <w:pStyle w:val="ListParagraph"/>
              <w:keepNext/>
              <w:widowControl/>
              <w:ind w:left="0"/>
              <w:jc w:val="center"/>
              <w:rPr>
                <w:rFonts w:ascii="Arial Narrow" w:hAnsi="Arial Narrow"/>
                <w:b/>
                <w:sz w:val="20"/>
              </w:rPr>
            </w:pPr>
            <w:r w:rsidRPr="00F16087">
              <w:rPr>
                <w:rFonts w:ascii="Arial Narrow" w:hAnsi="Arial Narrow"/>
                <w:b/>
                <w:sz w:val="20"/>
              </w:rPr>
              <w:t>2.98 (2.42, 3.67)</w:t>
            </w:r>
          </w:p>
        </w:tc>
        <w:tc>
          <w:tcPr>
            <w:tcW w:w="1506" w:type="dxa"/>
          </w:tcPr>
          <w:p w:rsidR="00977F2C" w:rsidRPr="00F16087" w:rsidRDefault="00977F2C" w:rsidP="003662EA">
            <w:pPr>
              <w:pStyle w:val="ListParagraph"/>
              <w:keepNext/>
              <w:widowControl/>
              <w:ind w:left="0"/>
              <w:jc w:val="center"/>
              <w:rPr>
                <w:rFonts w:ascii="Arial Narrow" w:hAnsi="Arial Narrow"/>
                <w:iCs/>
                <w:sz w:val="20"/>
                <w:vertAlign w:val="superscript"/>
              </w:rPr>
            </w:pPr>
            <w:r w:rsidRPr="00F16087">
              <w:rPr>
                <w:rFonts w:ascii="Arial Narrow" w:hAnsi="Arial Narrow"/>
                <w:iCs/>
                <w:sz w:val="20"/>
              </w:rPr>
              <w:t>0.47 (0.18, 1.26)</w:t>
            </w:r>
            <w:r w:rsidR="008245C7" w:rsidRPr="00F16087">
              <w:rPr>
                <w:rFonts w:ascii="Arial Narrow" w:hAnsi="Arial Narrow"/>
                <w:iCs/>
                <w:sz w:val="20"/>
                <w:vertAlign w:val="superscript"/>
              </w:rPr>
              <w:t>b</w:t>
            </w:r>
          </w:p>
        </w:tc>
      </w:tr>
      <w:tr w:rsidR="008245C7" w:rsidRPr="00F16087" w:rsidTr="008245C7">
        <w:tc>
          <w:tcPr>
            <w:tcW w:w="8362" w:type="dxa"/>
            <w:gridSpan w:val="6"/>
            <w:vAlign w:val="center"/>
          </w:tcPr>
          <w:p w:rsidR="008245C7" w:rsidRPr="00F16087" w:rsidRDefault="008245C7" w:rsidP="003662EA">
            <w:pPr>
              <w:pStyle w:val="ListParagraph"/>
              <w:keepNext/>
              <w:widowControl/>
              <w:ind w:left="0"/>
              <w:jc w:val="left"/>
              <w:rPr>
                <w:rFonts w:ascii="Arial Narrow" w:hAnsi="Arial Narrow"/>
                <w:b/>
                <w:iCs/>
                <w:sz w:val="20"/>
              </w:rPr>
            </w:pPr>
            <w:r w:rsidRPr="00F16087">
              <w:rPr>
                <w:rFonts w:ascii="Arial Narrow" w:hAnsi="Arial Narrow"/>
                <w:b/>
                <w:iCs/>
                <w:sz w:val="20"/>
              </w:rPr>
              <w:t>PASI 75 at 16 weeks: apremilast versus etanercept</w:t>
            </w:r>
          </w:p>
        </w:tc>
      </w:tr>
      <w:tr w:rsidR="008245C7" w:rsidRPr="00F16087" w:rsidTr="008245C7">
        <w:tc>
          <w:tcPr>
            <w:tcW w:w="1151" w:type="dxa"/>
            <w:vAlign w:val="center"/>
          </w:tcPr>
          <w:p w:rsidR="008245C7" w:rsidRPr="00F16087" w:rsidRDefault="008245C7" w:rsidP="003662EA">
            <w:pPr>
              <w:pStyle w:val="ListParagraph"/>
              <w:keepNext/>
              <w:widowControl/>
              <w:ind w:left="0"/>
              <w:jc w:val="left"/>
              <w:rPr>
                <w:rFonts w:ascii="Arial Narrow" w:hAnsi="Arial Narrow"/>
                <w:iCs/>
                <w:sz w:val="20"/>
              </w:rPr>
            </w:pPr>
            <w:r w:rsidRPr="00F16087">
              <w:rPr>
                <w:rFonts w:ascii="Arial Narrow" w:hAnsi="Arial Narrow"/>
                <w:sz w:val="20"/>
              </w:rPr>
              <w:t>LIBERATE</w:t>
            </w:r>
          </w:p>
        </w:tc>
        <w:tc>
          <w:tcPr>
            <w:tcW w:w="1346" w:type="dxa"/>
            <w:vAlign w:val="center"/>
          </w:tcPr>
          <w:p w:rsidR="008245C7" w:rsidRPr="00F16087" w:rsidRDefault="008245C7" w:rsidP="003662EA">
            <w:pPr>
              <w:pStyle w:val="ListParagraph"/>
              <w:keepNext/>
              <w:widowControl/>
              <w:ind w:left="0"/>
              <w:jc w:val="center"/>
              <w:rPr>
                <w:rFonts w:ascii="Arial Narrow" w:hAnsi="Arial Narrow"/>
                <w:iCs/>
                <w:sz w:val="20"/>
              </w:rPr>
            </w:pPr>
            <w:r w:rsidRPr="00F16087">
              <w:rPr>
                <w:rFonts w:ascii="Arial Narrow" w:hAnsi="Arial Narrow"/>
                <w:iCs/>
                <w:sz w:val="20"/>
              </w:rPr>
              <w:t>33/83 (39.8)</w:t>
            </w:r>
          </w:p>
        </w:tc>
        <w:tc>
          <w:tcPr>
            <w:tcW w:w="1347" w:type="dxa"/>
            <w:vAlign w:val="center"/>
          </w:tcPr>
          <w:p w:rsidR="008245C7" w:rsidRPr="00F16087" w:rsidRDefault="008245C7" w:rsidP="003662EA">
            <w:pPr>
              <w:pStyle w:val="ListParagraph"/>
              <w:keepNext/>
              <w:widowControl/>
              <w:ind w:left="0"/>
              <w:jc w:val="center"/>
              <w:rPr>
                <w:rFonts w:ascii="Arial Narrow" w:hAnsi="Arial Narrow"/>
                <w:iCs/>
                <w:sz w:val="20"/>
              </w:rPr>
            </w:pPr>
            <w:r w:rsidRPr="00F16087">
              <w:rPr>
                <w:rFonts w:ascii="Arial Narrow" w:hAnsi="Arial Narrow"/>
                <w:iCs/>
                <w:sz w:val="20"/>
              </w:rPr>
              <w:t>40/83 (48.2)</w:t>
            </w:r>
          </w:p>
        </w:tc>
        <w:tc>
          <w:tcPr>
            <w:tcW w:w="1506" w:type="dxa"/>
            <w:vAlign w:val="center"/>
          </w:tcPr>
          <w:p w:rsidR="008245C7" w:rsidRPr="00F16087" w:rsidRDefault="008245C7" w:rsidP="003662EA">
            <w:pPr>
              <w:pStyle w:val="ListParagraph"/>
              <w:keepNext/>
              <w:widowControl/>
              <w:ind w:left="0"/>
              <w:jc w:val="center"/>
              <w:rPr>
                <w:rFonts w:ascii="Arial Narrow" w:hAnsi="Arial Narrow"/>
                <w:b/>
                <w:sz w:val="20"/>
              </w:rPr>
            </w:pPr>
            <w:r w:rsidRPr="00F16087">
              <w:rPr>
                <w:rFonts w:ascii="Arial Narrow" w:hAnsi="Arial Narrow"/>
                <w:iCs/>
                <w:sz w:val="18"/>
                <w:szCs w:val="18"/>
              </w:rPr>
              <w:t>-0.08 (-0.23, 0.07)</w:t>
            </w:r>
          </w:p>
        </w:tc>
        <w:tc>
          <w:tcPr>
            <w:tcW w:w="1506" w:type="dxa"/>
            <w:vAlign w:val="center"/>
          </w:tcPr>
          <w:p w:rsidR="008245C7" w:rsidRPr="00F16087" w:rsidRDefault="008245C7" w:rsidP="003662EA">
            <w:pPr>
              <w:pStyle w:val="ListParagraph"/>
              <w:keepNext/>
              <w:widowControl/>
              <w:ind w:left="0"/>
              <w:jc w:val="center"/>
              <w:rPr>
                <w:rFonts w:ascii="Arial Narrow" w:hAnsi="Arial Narrow"/>
                <w:b/>
                <w:sz w:val="20"/>
              </w:rPr>
            </w:pPr>
            <w:r w:rsidRPr="00F16087">
              <w:rPr>
                <w:rFonts w:ascii="Arial Narrow" w:hAnsi="Arial Narrow"/>
                <w:iCs/>
                <w:sz w:val="18"/>
              </w:rPr>
              <w:t>0.82 (0.58, 1.17)</w:t>
            </w:r>
          </w:p>
        </w:tc>
        <w:tc>
          <w:tcPr>
            <w:tcW w:w="1506" w:type="dxa"/>
          </w:tcPr>
          <w:p w:rsidR="008245C7" w:rsidRPr="00F16087" w:rsidRDefault="008245C7" w:rsidP="003662EA">
            <w:pPr>
              <w:pStyle w:val="ListParagraph"/>
              <w:keepNext/>
              <w:widowControl/>
              <w:ind w:left="0"/>
              <w:jc w:val="center"/>
              <w:rPr>
                <w:rFonts w:ascii="Arial Narrow" w:hAnsi="Arial Narrow"/>
                <w:iCs/>
                <w:sz w:val="20"/>
              </w:rPr>
            </w:pPr>
            <w:r w:rsidRPr="00F16087">
              <w:rPr>
                <w:rFonts w:ascii="Arial Narrow" w:hAnsi="Arial Narrow"/>
                <w:iCs/>
                <w:sz w:val="20"/>
              </w:rPr>
              <w:t>N/A</w:t>
            </w:r>
          </w:p>
        </w:tc>
      </w:tr>
      <w:tr w:rsidR="008245C7" w:rsidRPr="00F16087" w:rsidTr="008245C7">
        <w:tc>
          <w:tcPr>
            <w:tcW w:w="8362" w:type="dxa"/>
            <w:gridSpan w:val="6"/>
            <w:vAlign w:val="center"/>
          </w:tcPr>
          <w:p w:rsidR="008245C7" w:rsidRPr="00F16087" w:rsidRDefault="008245C7" w:rsidP="003662EA">
            <w:pPr>
              <w:pStyle w:val="ListParagraph"/>
              <w:keepNext/>
              <w:widowControl/>
              <w:ind w:left="0"/>
              <w:jc w:val="left"/>
              <w:rPr>
                <w:rFonts w:ascii="Arial Narrow" w:hAnsi="Arial Narrow"/>
                <w:iCs/>
                <w:sz w:val="20"/>
              </w:rPr>
            </w:pPr>
            <w:r w:rsidRPr="00F16087">
              <w:rPr>
                <w:rFonts w:ascii="Arial Narrow" w:hAnsi="Arial Narrow"/>
                <w:b/>
                <w:iCs/>
                <w:sz w:val="20"/>
              </w:rPr>
              <w:t>PASI 50 at 16 weeks: apremilast versus etanercept</w:t>
            </w:r>
          </w:p>
        </w:tc>
      </w:tr>
      <w:tr w:rsidR="008245C7" w:rsidRPr="00F16087" w:rsidTr="008245C7">
        <w:tc>
          <w:tcPr>
            <w:tcW w:w="1151" w:type="dxa"/>
            <w:vAlign w:val="center"/>
          </w:tcPr>
          <w:p w:rsidR="008245C7" w:rsidRPr="00F16087" w:rsidRDefault="008245C7" w:rsidP="003662EA">
            <w:pPr>
              <w:pStyle w:val="ListParagraph"/>
              <w:keepNext/>
              <w:widowControl/>
              <w:ind w:left="0"/>
              <w:jc w:val="left"/>
              <w:rPr>
                <w:rFonts w:ascii="Arial Narrow" w:hAnsi="Arial Narrow"/>
                <w:iCs/>
                <w:sz w:val="20"/>
              </w:rPr>
            </w:pPr>
            <w:r w:rsidRPr="00F16087">
              <w:rPr>
                <w:rFonts w:ascii="Arial Narrow" w:hAnsi="Arial Narrow"/>
                <w:sz w:val="20"/>
              </w:rPr>
              <w:t>LIBERATE</w:t>
            </w:r>
          </w:p>
        </w:tc>
        <w:tc>
          <w:tcPr>
            <w:tcW w:w="1346" w:type="dxa"/>
            <w:vAlign w:val="center"/>
          </w:tcPr>
          <w:p w:rsidR="008245C7" w:rsidRPr="00F16087" w:rsidRDefault="008245C7" w:rsidP="003662EA">
            <w:pPr>
              <w:pStyle w:val="ListParagraph"/>
              <w:keepNext/>
              <w:widowControl/>
              <w:ind w:left="0"/>
              <w:jc w:val="center"/>
              <w:rPr>
                <w:rFonts w:ascii="Arial Narrow" w:hAnsi="Arial Narrow"/>
                <w:iCs/>
                <w:sz w:val="20"/>
              </w:rPr>
            </w:pPr>
            <w:r w:rsidRPr="00F16087">
              <w:rPr>
                <w:rFonts w:ascii="Arial Narrow" w:hAnsi="Arial Narrow"/>
                <w:iCs/>
                <w:sz w:val="20"/>
              </w:rPr>
              <w:t>52/83 (62.7)</w:t>
            </w:r>
          </w:p>
        </w:tc>
        <w:tc>
          <w:tcPr>
            <w:tcW w:w="1347" w:type="dxa"/>
            <w:vAlign w:val="center"/>
          </w:tcPr>
          <w:p w:rsidR="008245C7" w:rsidRPr="00F16087" w:rsidRDefault="008245C7" w:rsidP="003662EA">
            <w:pPr>
              <w:pStyle w:val="ListParagraph"/>
              <w:keepNext/>
              <w:widowControl/>
              <w:ind w:left="0"/>
              <w:jc w:val="center"/>
              <w:rPr>
                <w:rFonts w:ascii="Arial Narrow" w:hAnsi="Arial Narrow"/>
                <w:iCs/>
                <w:sz w:val="20"/>
              </w:rPr>
            </w:pPr>
            <w:r w:rsidRPr="00F16087">
              <w:rPr>
                <w:rFonts w:ascii="Arial Narrow" w:hAnsi="Arial Narrow"/>
                <w:iCs/>
                <w:sz w:val="20"/>
              </w:rPr>
              <w:t>69/83 (83.1)</w:t>
            </w:r>
          </w:p>
        </w:tc>
        <w:tc>
          <w:tcPr>
            <w:tcW w:w="1506" w:type="dxa"/>
            <w:vAlign w:val="center"/>
          </w:tcPr>
          <w:p w:rsidR="008245C7" w:rsidRPr="00F16087" w:rsidRDefault="008245C7" w:rsidP="003662EA">
            <w:pPr>
              <w:pStyle w:val="ListParagraph"/>
              <w:keepNext/>
              <w:widowControl/>
              <w:ind w:left="0"/>
              <w:jc w:val="center"/>
              <w:rPr>
                <w:rFonts w:ascii="Arial Narrow" w:hAnsi="Arial Narrow"/>
                <w:b/>
                <w:sz w:val="20"/>
              </w:rPr>
            </w:pPr>
            <w:r w:rsidRPr="00F16087">
              <w:rPr>
                <w:rFonts w:ascii="Arial Narrow" w:hAnsi="Arial Narrow"/>
                <w:b/>
                <w:bCs/>
                <w:iCs/>
                <w:sz w:val="20"/>
                <w:szCs w:val="16"/>
              </w:rPr>
              <w:t>-0.20 (-0.34, -0.07)</w:t>
            </w:r>
          </w:p>
        </w:tc>
        <w:tc>
          <w:tcPr>
            <w:tcW w:w="1506" w:type="dxa"/>
            <w:vAlign w:val="center"/>
          </w:tcPr>
          <w:p w:rsidR="008245C7" w:rsidRPr="00F16087" w:rsidRDefault="008245C7" w:rsidP="003662EA">
            <w:pPr>
              <w:pStyle w:val="ListParagraph"/>
              <w:keepNext/>
              <w:widowControl/>
              <w:ind w:left="0"/>
              <w:jc w:val="center"/>
              <w:rPr>
                <w:rFonts w:ascii="Arial Narrow" w:hAnsi="Arial Narrow"/>
                <w:b/>
                <w:sz w:val="20"/>
              </w:rPr>
            </w:pPr>
            <w:r w:rsidRPr="00F16087">
              <w:rPr>
                <w:rFonts w:ascii="Arial Narrow" w:hAnsi="Arial Narrow"/>
                <w:b/>
                <w:iCs/>
                <w:sz w:val="18"/>
              </w:rPr>
              <w:t>0.75 (0.62, 0.91)</w:t>
            </w:r>
          </w:p>
        </w:tc>
        <w:tc>
          <w:tcPr>
            <w:tcW w:w="1506" w:type="dxa"/>
          </w:tcPr>
          <w:p w:rsidR="008245C7" w:rsidRPr="00F16087" w:rsidRDefault="008245C7" w:rsidP="003662EA">
            <w:pPr>
              <w:pStyle w:val="ListParagraph"/>
              <w:keepNext/>
              <w:widowControl/>
              <w:ind w:left="0"/>
              <w:jc w:val="center"/>
              <w:rPr>
                <w:rFonts w:ascii="Arial Narrow" w:hAnsi="Arial Narrow"/>
                <w:iCs/>
                <w:sz w:val="20"/>
              </w:rPr>
            </w:pPr>
            <w:r w:rsidRPr="00F16087">
              <w:rPr>
                <w:rFonts w:ascii="Arial Narrow" w:hAnsi="Arial Narrow"/>
                <w:iCs/>
                <w:sz w:val="20"/>
              </w:rPr>
              <w:t>N/A</w:t>
            </w:r>
          </w:p>
        </w:tc>
      </w:tr>
    </w:tbl>
    <w:p w:rsidR="00977F2C" w:rsidRPr="00F16087" w:rsidRDefault="008245C7" w:rsidP="003662EA">
      <w:pPr>
        <w:pStyle w:val="ListParagraph"/>
        <w:widowControl/>
        <w:tabs>
          <w:tab w:val="left" w:pos="993"/>
        </w:tabs>
        <w:rPr>
          <w:rFonts w:ascii="Arial Narrow" w:hAnsi="Arial Narrow"/>
          <w:sz w:val="18"/>
          <w:szCs w:val="18"/>
          <w:vertAlign w:val="superscript"/>
        </w:rPr>
      </w:pPr>
      <w:proofErr w:type="gramStart"/>
      <w:r w:rsidRPr="00F16087">
        <w:rPr>
          <w:rFonts w:ascii="Arial Narrow" w:hAnsi="Arial Narrow"/>
          <w:sz w:val="18"/>
          <w:szCs w:val="18"/>
          <w:vertAlign w:val="superscript"/>
        </w:rPr>
        <w:t>a</w:t>
      </w:r>
      <w:proofErr w:type="gramEnd"/>
      <w:r w:rsidRPr="00F16087">
        <w:rPr>
          <w:rFonts w:ascii="Arial Narrow" w:hAnsi="Arial Narrow"/>
          <w:sz w:val="18"/>
          <w:szCs w:val="18"/>
          <w:vertAlign w:val="superscript"/>
        </w:rPr>
        <w:tab/>
      </w:r>
      <w:proofErr w:type="spellStart"/>
      <w:r w:rsidRPr="00F16087">
        <w:rPr>
          <w:rFonts w:ascii="Arial Narrow" w:hAnsi="Arial Narrow"/>
          <w:sz w:val="18"/>
          <w:szCs w:val="18"/>
        </w:rPr>
        <w:t>Meffert</w:t>
      </w:r>
      <w:proofErr w:type="spellEnd"/>
      <w:r w:rsidRPr="00F16087">
        <w:rPr>
          <w:rFonts w:ascii="Arial Narrow" w:hAnsi="Arial Narrow"/>
          <w:sz w:val="18"/>
          <w:szCs w:val="18"/>
        </w:rPr>
        <w:t xml:space="preserve"> 1997 reported a RR=6.35 (95% CI: 1.52, 26.5) for PASI 75 response at 10 weeks</w:t>
      </w:r>
    </w:p>
    <w:p w:rsidR="008245C7" w:rsidRPr="00F16087" w:rsidRDefault="008245C7" w:rsidP="003662EA">
      <w:pPr>
        <w:pStyle w:val="ListParagraph"/>
        <w:widowControl/>
        <w:tabs>
          <w:tab w:val="left" w:pos="993"/>
        </w:tabs>
        <w:rPr>
          <w:rFonts w:ascii="Arial Narrow" w:hAnsi="Arial Narrow"/>
          <w:sz w:val="18"/>
          <w:szCs w:val="18"/>
        </w:rPr>
      </w:pPr>
      <w:proofErr w:type="gramStart"/>
      <w:r w:rsidRPr="00F16087">
        <w:rPr>
          <w:rFonts w:ascii="Arial Narrow" w:hAnsi="Arial Narrow"/>
          <w:sz w:val="18"/>
          <w:szCs w:val="18"/>
          <w:vertAlign w:val="superscript"/>
        </w:rPr>
        <w:t>b</w:t>
      </w:r>
      <w:proofErr w:type="gramEnd"/>
      <w:r w:rsidRPr="00F16087">
        <w:rPr>
          <w:rFonts w:ascii="Arial Narrow" w:hAnsi="Arial Narrow"/>
          <w:sz w:val="18"/>
          <w:szCs w:val="18"/>
          <w:vertAlign w:val="superscript"/>
        </w:rPr>
        <w:tab/>
      </w:r>
      <w:proofErr w:type="spellStart"/>
      <w:r w:rsidRPr="00F16087">
        <w:rPr>
          <w:rFonts w:ascii="Arial Narrow" w:hAnsi="Arial Narrow"/>
          <w:sz w:val="18"/>
          <w:szCs w:val="18"/>
        </w:rPr>
        <w:t>Meffert</w:t>
      </w:r>
      <w:proofErr w:type="spellEnd"/>
      <w:r w:rsidRPr="00F16087">
        <w:rPr>
          <w:rFonts w:ascii="Arial Narrow" w:hAnsi="Arial Narrow"/>
          <w:sz w:val="18"/>
          <w:szCs w:val="18"/>
        </w:rPr>
        <w:t xml:space="preserve"> 1997 reported a RR=6.35 (95% CI: 2.42, 16.7) for PASI 50 response at 10 weeks</w:t>
      </w:r>
    </w:p>
    <w:p w:rsidR="009D0937" w:rsidRPr="00F16087" w:rsidRDefault="009D0937" w:rsidP="003662EA">
      <w:pPr>
        <w:pStyle w:val="TableFooter"/>
        <w:widowControl/>
        <w:ind w:left="709"/>
        <w:rPr>
          <w:szCs w:val="18"/>
        </w:rPr>
      </w:pPr>
      <w:r w:rsidRPr="00F16087">
        <w:rPr>
          <w:szCs w:val="18"/>
        </w:rPr>
        <w:t xml:space="preserve">Source: Tables B.12-13, p50 and Tables B.14-15, p51 of the </w:t>
      </w:r>
      <w:r w:rsidR="00E41050" w:rsidRPr="00F16087">
        <w:rPr>
          <w:szCs w:val="18"/>
        </w:rPr>
        <w:t>resub</w:t>
      </w:r>
      <w:r w:rsidRPr="00F16087">
        <w:rPr>
          <w:szCs w:val="18"/>
        </w:rPr>
        <w:t xml:space="preserve">mission, Apremilast March 2015 PSD and </w:t>
      </w:r>
      <w:r w:rsidRPr="00F16087">
        <w:rPr>
          <w:iCs/>
          <w:szCs w:val="18"/>
        </w:rPr>
        <w:t>Table 18, p87 and Table 28, p98 of the LIBERATE CSR</w:t>
      </w:r>
    </w:p>
    <w:p w:rsidR="009D0937" w:rsidRPr="00F16087" w:rsidRDefault="009D0937" w:rsidP="003662EA">
      <w:pPr>
        <w:pStyle w:val="ListParagraph"/>
        <w:widowControl/>
        <w:tabs>
          <w:tab w:val="left" w:pos="993"/>
        </w:tabs>
        <w:rPr>
          <w:rFonts w:ascii="Arial Narrow" w:hAnsi="Arial Narrow"/>
          <w:sz w:val="18"/>
          <w:szCs w:val="18"/>
          <w:vertAlign w:val="superscript"/>
        </w:rPr>
      </w:pPr>
      <w:r w:rsidRPr="00F16087">
        <w:rPr>
          <w:rFonts w:ascii="Arial Narrow" w:hAnsi="Arial Narrow"/>
          <w:sz w:val="18"/>
          <w:szCs w:val="18"/>
        </w:rPr>
        <w:t>Bold typography indicates statistically significant differences</w:t>
      </w:r>
    </w:p>
    <w:p w:rsidR="00977F2C" w:rsidRPr="00F16087" w:rsidRDefault="00977F2C" w:rsidP="003662EA">
      <w:pPr>
        <w:pStyle w:val="ListParagraph"/>
        <w:widowControl/>
      </w:pPr>
    </w:p>
    <w:p w:rsidR="005801F4" w:rsidRPr="00F16087" w:rsidRDefault="004B6DF8" w:rsidP="003662EA">
      <w:pPr>
        <w:pStyle w:val="ListParagraph"/>
        <w:widowControl/>
        <w:numPr>
          <w:ilvl w:val="1"/>
          <w:numId w:val="1"/>
        </w:numPr>
        <w:rPr>
          <w:szCs w:val="22"/>
        </w:rPr>
      </w:pPr>
      <w:r w:rsidRPr="00F16087">
        <w:t>The apremilast versus placebo trials demonstrated that a statistically significantly greater proportion of patients treated with apremilast achieved PASI 75 response at</w:t>
      </w:r>
      <w:r w:rsidR="00A426EF" w:rsidRPr="00F16087">
        <w:t xml:space="preserve"> 16 weeks compared with placebo</w:t>
      </w:r>
      <w:r w:rsidRPr="00F16087">
        <w:t>.</w:t>
      </w:r>
    </w:p>
    <w:p w:rsidR="005801F4" w:rsidRPr="00F16087" w:rsidRDefault="005801F4" w:rsidP="003662EA">
      <w:pPr>
        <w:pStyle w:val="ListParagraph"/>
        <w:widowControl/>
      </w:pPr>
    </w:p>
    <w:p w:rsidR="005801F4" w:rsidRPr="00F16087" w:rsidRDefault="004B6DF8" w:rsidP="003662EA">
      <w:pPr>
        <w:pStyle w:val="ListParagraph"/>
        <w:widowControl/>
        <w:numPr>
          <w:ilvl w:val="1"/>
          <w:numId w:val="1"/>
        </w:numPr>
        <w:rPr>
          <w:szCs w:val="22"/>
        </w:rPr>
      </w:pPr>
      <w:r w:rsidRPr="00F16087">
        <w:rPr>
          <w:iCs/>
        </w:rPr>
        <w:t>Based on the approach taken in the previous submission (with an indirect comparison of apremilast versus cyclosporin (</w:t>
      </w:r>
      <w:proofErr w:type="spellStart"/>
      <w:r w:rsidRPr="00F16087">
        <w:rPr>
          <w:iCs/>
        </w:rPr>
        <w:t>Meffert</w:t>
      </w:r>
      <w:proofErr w:type="spellEnd"/>
      <w:r w:rsidRPr="00F16087">
        <w:rPr>
          <w:iCs/>
        </w:rPr>
        <w:t xml:space="preserve"> 1997), using placebo as the common reference), no statistically significant differences between apremilast and cyclosporin were observed in the proportion of patients achieving PASI 75 response at 16 weeks for apremilast versus 10 weeks for cyclosporin.</w:t>
      </w:r>
      <w:r w:rsidR="00C26ECA" w:rsidRPr="00F16087">
        <w:t xml:space="preserve"> </w:t>
      </w:r>
      <w:r w:rsidRPr="00F16087">
        <w:rPr>
          <w:iCs/>
        </w:rPr>
        <w:t>The PBAC considered (paragraph 7.4</w:t>
      </w:r>
      <w:r w:rsidR="00C26ECA" w:rsidRPr="00F16087">
        <w:rPr>
          <w:iCs/>
        </w:rPr>
        <w:t>,</w:t>
      </w:r>
      <w:r w:rsidRPr="00F16087">
        <w:rPr>
          <w:iCs/>
        </w:rPr>
        <w:t xml:space="preserve"> </w:t>
      </w:r>
      <w:r w:rsidR="00C26ECA" w:rsidRPr="00F16087">
        <w:rPr>
          <w:iCs/>
        </w:rPr>
        <w:t>a</w:t>
      </w:r>
      <w:r w:rsidRPr="00F16087">
        <w:rPr>
          <w:iCs/>
        </w:rPr>
        <w:t xml:space="preserve">premilast </w:t>
      </w:r>
      <w:r w:rsidR="00C26ECA" w:rsidRPr="00F16087">
        <w:rPr>
          <w:iCs/>
        </w:rPr>
        <w:t>(plaque psoriasis)</w:t>
      </w:r>
      <w:r w:rsidR="00C550FF" w:rsidRPr="00F16087">
        <w:rPr>
          <w:iCs/>
        </w:rPr>
        <w:t>,</w:t>
      </w:r>
      <w:r w:rsidR="00C26ECA" w:rsidRPr="00F16087">
        <w:rPr>
          <w:iCs/>
        </w:rPr>
        <w:t xml:space="preserve"> </w:t>
      </w:r>
      <w:r w:rsidRPr="00F16087">
        <w:rPr>
          <w:iCs/>
        </w:rPr>
        <w:t>March 2015 PSD) that “</w:t>
      </w:r>
      <w:r w:rsidRPr="00F16087">
        <w:rPr>
          <w:bCs/>
          <w:iCs/>
        </w:rPr>
        <w:t>non-inferiority in terms of comparative effectiveness [of apremilast compared with cyclosporin], had not been established</w:t>
      </w:r>
      <w:r w:rsidRPr="00F16087">
        <w:rPr>
          <w:iCs/>
        </w:rPr>
        <w:t>”, noting that the indirect comparison of PASI 50 response at 16</w:t>
      </w:r>
      <w:r w:rsidR="007A12BD" w:rsidRPr="00F16087">
        <w:rPr>
          <w:iCs/>
        </w:rPr>
        <w:t> </w:t>
      </w:r>
      <w:r w:rsidRPr="00F16087">
        <w:rPr>
          <w:iCs/>
        </w:rPr>
        <w:t>weeks favoured cyclosporin and that cyclosporin dosing</w:t>
      </w:r>
      <w:r w:rsidR="00C26ECA" w:rsidRPr="00F16087">
        <w:rPr>
          <w:iCs/>
        </w:rPr>
        <w:t xml:space="preserve"> (fixed dose of cyclosporin 2.5 </w:t>
      </w:r>
      <w:r w:rsidRPr="00F16087">
        <w:rPr>
          <w:iCs/>
        </w:rPr>
        <w:t xml:space="preserve">mg/kg/day for 10 weeks) in the </w:t>
      </w:r>
      <w:proofErr w:type="spellStart"/>
      <w:r w:rsidRPr="00F16087">
        <w:rPr>
          <w:iCs/>
        </w:rPr>
        <w:t>Meffert</w:t>
      </w:r>
      <w:proofErr w:type="spellEnd"/>
      <w:r w:rsidRPr="00F16087">
        <w:rPr>
          <w:iCs/>
        </w:rPr>
        <w:t xml:space="preserve"> 1997 trial may have been sub-optimal.</w:t>
      </w:r>
    </w:p>
    <w:p w:rsidR="005801F4" w:rsidRPr="00F16087" w:rsidRDefault="005801F4" w:rsidP="003662EA">
      <w:pPr>
        <w:pStyle w:val="ListParagraph"/>
        <w:widowControl/>
      </w:pPr>
    </w:p>
    <w:p w:rsidR="004B6DF8" w:rsidRPr="00F16087" w:rsidRDefault="00246387" w:rsidP="003662EA">
      <w:pPr>
        <w:pStyle w:val="ListParagraph"/>
        <w:widowControl/>
        <w:numPr>
          <w:ilvl w:val="1"/>
          <w:numId w:val="1"/>
        </w:numPr>
        <w:rPr>
          <w:szCs w:val="22"/>
        </w:rPr>
      </w:pPr>
      <w:r w:rsidRPr="00F16087">
        <w:rPr>
          <w:iCs/>
        </w:rPr>
        <w:t>T</w:t>
      </w:r>
      <w:r w:rsidR="004B6DF8" w:rsidRPr="00F16087">
        <w:rPr>
          <w:iCs/>
        </w:rPr>
        <w:t>he LIBERATE trial provided a head-to-head comparison of apremi</w:t>
      </w:r>
      <w:r w:rsidRPr="00F16087">
        <w:rPr>
          <w:iCs/>
        </w:rPr>
        <w:t xml:space="preserve">last and etanercept. </w:t>
      </w:r>
      <w:r w:rsidR="004B6DF8" w:rsidRPr="00F16087">
        <w:rPr>
          <w:iCs/>
        </w:rPr>
        <w:t>Although this was not a primary compariso</w:t>
      </w:r>
      <w:r w:rsidR="00C26ECA" w:rsidRPr="00F16087">
        <w:rPr>
          <w:iCs/>
        </w:rPr>
        <w:t>n nominated in the trial, at 16 </w:t>
      </w:r>
      <w:r w:rsidR="004B6DF8" w:rsidRPr="00F16087">
        <w:rPr>
          <w:iCs/>
        </w:rPr>
        <w:t xml:space="preserve">weeks no statistically significant differences were observed between treatments with respect to the proportion of patients achieving a PASI 75 response, however a statistically significantly lower proportion of patients treated with apremilast achieved </w:t>
      </w:r>
      <w:r w:rsidR="008B31E1" w:rsidRPr="00F16087">
        <w:rPr>
          <w:iCs/>
        </w:rPr>
        <w:t xml:space="preserve">a </w:t>
      </w:r>
      <w:r w:rsidR="004B6DF8" w:rsidRPr="00F16087">
        <w:rPr>
          <w:iCs/>
        </w:rPr>
        <w:t xml:space="preserve">PASI 50 response compared with </w:t>
      </w:r>
      <w:r w:rsidR="00901C88" w:rsidRPr="00F16087">
        <w:rPr>
          <w:iCs/>
        </w:rPr>
        <w:t>those treated with etanercept.</w:t>
      </w:r>
    </w:p>
    <w:p w:rsidR="00BB7A03" w:rsidRPr="00F16087" w:rsidRDefault="00BB7A03" w:rsidP="003662EA">
      <w:pPr>
        <w:widowControl/>
        <w:ind w:firstLine="720"/>
        <w:rPr>
          <w:szCs w:val="22"/>
        </w:rPr>
      </w:pPr>
    </w:p>
    <w:p w:rsidR="00B815D9" w:rsidRPr="00F16087" w:rsidRDefault="00901C88" w:rsidP="003662EA">
      <w:pPr>
        <w:pStyle w:val="ListParagraph"/>
        <w:widowControl/>
        <w:numPr>
          <w:ilvl w:val="1"/>
          <w:numId w:val="1"/>
        </w:numPr>
        <w:rPr>
          <w:szCs w:val="22"/>
        </w:rPr>
      </w:pPr>
      <w:r w:rsidRPr="00F16087">
        <w:rPr>
          <w:u w:val="single"/>
        </w:rPr>
        <w:t xml:space="preserve">Non-randomised evidence – US </w:t>
      </w:r>
      <w:proofErr w:type="spellStart"/>
      <w:r w:rsidRPr="00F16087">
        <w:rPr>
          <w:u w:val="single"/>
        </w:rPr>
        <w:t>MarketScan</w:t>
      </w:r>
      <w:proofErr w:type="spellEnd"/>
      <w:r w:rsidRPr="00F16087">
        <w:rPr>
          <w:u w:val="single"/>
        </w:rPr>
        <w:t>® databases</w:t>
      </w:r>
      <w:r w:rsidRPr="00F16087">
        <w:t xml:space="preserve">: </w:t>
      </w:r>
      <w:r w:rsidR="004B6DF8" w:rsidRPr="00F16087">
        <w:t xml:space="preserve">The results of comparative persistence rates in the pivotal non-randomised study </w:t>
      </w:r>
      <w:r w:rsidR="00287F09" w:rsidRPr="00F16087">
        <w:t xml:space="preserve">(US </w:t>
      </w:r>
      <w:proofErr w:type="spellStart"/>
      <w:r w:rsidR="00843E20" w:rsidRPr="00F16087">
        <w:t>MarketScan</w:t>
      </w:r>
      <w:proofErr w:type="spellEnd"/>
      <w:r w:rsidR="00287F09" w:rsidRPr="00F16087">
        <w:t xml:space="preserve">® databases) </w:t>
      </w:r>
      <w:r w:rsidR="004B6DF8" w:rsidRPr="00F16087">
        <w:t>are presented in Table</w:t>
      </w:r>
      <w:r w:rsidR="00B303B3" w:rsidRPr="00F16087">
        <w:t> </w:t>
      </w:r>
      <w:r w:rsidR="009D0937" w:rsidRPr="00F16087">
        <w:t>6 and Figure 1</w:t>
      </w:r>
      <w:r w:rsidR="004B6DF8" w:rsidRPr="00F16087">
        <w:t xml:space="preserve">. </w:t>
      </w:r>
      <w:r w:rsidR="00A33F01" w:rsidRPr="00F16087">
        <w:t xml:space="preserve">The </w:t>
      </w:r>
      <w:r w:rsidR="00E41050" w:rsidRPr="00F16087">
        <w:t>resub</w:t>
      </w:r>
      <w:r w:rsidR="00A33F01" w:rsidRPr="00F16087">
        <w:t xml:space="preserve">mission considered persistence to therapy to be a highly relevant outcome measure to assess the comparative effectiveness, safety and tolerability of apremilast and cyclosporin. Data from the </w:t>
      </w:r>
      <w:r w:rsidR="00A33F01" w:rsidRPr="00F16087">
        <w:rPr>
          <w:szCs w:val="22"/>
        </w:rPr>
        <w:t xml:space="preserve">US </w:t>
      </w:r>
      <w:proofErr w:type="spellStart"/>
      <w:r w:rsidR="00A33F01" w:rsidRPr="00F16087">
        <w:rPr>
          <w:szCs w:val="22"/>
        </w:rPr>
        <w:t>MarketScan</w:t>
      </w:r>
      <w:proofErr w:type="spellEnd"/>
      <w:r w:rsidR="00A33F01" w:rsidRPr="00F16087">
        <w:rPr>
          <w:szCs w:val="22"/>
        </w:rPr>
        <w:t>® databases</w:t>
      </w:r>
      <w:r w:rsidR="00A33F01" w:rsidRPr="00F16087">
        <w:t xml:space="preserve"> indicated that a</w:t>
      </w:r>
      <w:r w:rsidR="00D844D3" w:rsidRPr="00F16087">
        <w:t xml:space="preserve"> greater proportion of</w:t>
      </w:r>
      <w:r w:rsidR="004B6DF8" w:rsidRPr="00F16087">
        <w:rPr>
          <w:szCs w:val="22"/>
        </w:rPr>
        <w:t xml:space="preserve"> patients persist</w:t>
      </w:r>
      <w:r w:rsidR="00A33F01" w:rsidRPr="00F16087">
        <w:rPr>
          <w:szCs w:val="22"/>
        </w:rPr>
        <w:t>ed</w:t>
      </w:r>
      <w:r w:rsidR="004B6DF8" w:rsidRPr="00F16087">
        <w:rPr>
          <w:szCs w:val="22"/>
        </w:rPr>
        <w:t xml:space="preserve"> with apremilast compared with cyclosporin</w:t>
      </w:r>
      <w:r w:rsidR="00A33F01" w:rsidRPr="00F16087">
        <w:rPr>
          <w:szCs w:val="22"/>
        </w:rPr>
        <w:t xml:space="preserve">, but </w:t>
      </w:r>
      <w:r w:rsidR="00E166DA" w:rsidRPr="00F16087">
        <w:rPr>
          <w:szCs w:val="22"/>
        </w:rPr>
        <w:t xml:space="preserve">the ESC noted that it </w:t>
      </w:r>
      <w:r w:rsidR="00287F09" w:rsidRPr="00F16087">
        <w:rPr>
          <w:szCs w:val="22"/>
        </w:rPr>
        <w:t>did not report any final health outcomes relevant to psoriasis.</w:t>
      </w:r>
    </w:p>
    <w:p w:rsidR="00B815D9" w:rsidRPr="00F16087" w:rsidRDefault="00B815D9" w:rsidP="003662EA">
      <w:pPr>
        <w:pStyle w:val="ListParagraph"/>
        <w:widowControl/>
        <w:rPr>
          <w:iCs/>
          <w:szCs w:val="22"/>
        </w:rPr>
      </w:pPr>
    </w:p>
    <w:p w:rsidR="00A72356" w:rsidRPr="00F16087" w:rsidRDefault="00A72356" w:rsidP="003662EA">
      <w:pPr>
        <w:pStyle w:val="Caption"/>
        <w:keepNext/>
        <w:widowControl/>
      </w:pPr>
      <w:r w:rsidRPr="00F16087">
        <w:tab/>
        <w:t xml:space="preserve">Table </w:t>
      </w:r>
      <w:r w:rsidR="00D209A6" w:rsidRPr="00F16087">
        <w:rPr>
          <w:noProof/>
        </w:rPr>
        <w:t>6</w:t>
      </w:r>
      <w:r w:rsidRPr="00F16087">
        <w:t xml:space="preserve">: Results of persistence rates – US </w:t>
      </w:r>
      <w:proofErr w:type="spellStart"/>
      <w:r w:rsidRPr="00F16087">
        <w:t>MarketScan</w:t>
      </w:r>
      <w:proofErr w:type="spellEnd"/>
      <w:r w:rsidRPr="00F16087">
        <w:t>® claims databases (overall cohort)</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8"/>
        <w:gridCol w:w="1018"/>
        <w:gridCol w:w="2740"/>
        <w:gridCol w:w="1087"/>
        <w:gridCol w:w="2671"/>
      </w:tblGrid>
      <w:tr w:rsidR="00821CC5" w:rsidRPr="00F16087" w:rsidTr="009D0937">
        <w:tc>
          <w:tcPr>
            <w:tcW w:w="512" w:type="pct"/>
            <w:vMerge w:val="restart"/>
            <w:vAlign w:val="center"/>
          </w:tcPr>
          <w:p w:rsidR="00821CC5" w:rsidRPr="00F16087" w:rsidRDefault="009F44E4" w:rsidP="003662EA">
            <w:pPr>
              <w:keepNext/>
              <w:widowControl/>
              <w:jc w:val="left"/>
              <w:rPr>
                <w:rFonts w:ascii="Arial Narrow" w:hAnsi="Arial Narrow"/>
                <w:b/>
                <w:bCs/>
                <w:sz w:val="20"/>
              </w:rPr>
            </w:pPr>
            <w:r w:rsidRPr="00F16087">
              <w:rPr>
                <w:rFonts w:ascii="Arial Narrow" w:hAnsi="Arial Narrow"/>
                <w:b/>
                <w:bCs/>
                <w:sz w:val="20"/>
              </w:rPr>
              <w:t>Time (months)</w:t>
            </w:r>
          </w:p>
        </w:tc>
        <w:tc>
          <w:tcPr>
            <w:tcW w:w="2244" w:type="pct"/>
            <w:gridSpan w:val="2"/>
          </w:tcPr>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Apremilast</w:t>
            </w:r>
          </w:p>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N=1902</w:t>
            </w:r>
          </w:p>
        </w:tc>
        <w:tc>
          <w:tcPr>
            <w:tcW w:w="2244" w:type="pct"/>
            <w:gridSpan w:val="2"/>
          </w:tcPr>
          <w:p w:rsidR="00821CC5" w:rsidRPr="00F16087" w:rsidRDefault="00821CC5" w:rsidP="003662EA">
            <w:pPr>
              <w:keepNext/>
              <w:widowControl/>
              <w:jc w:val="center"/>
              <w:rPr>
                <w:rFonts w:ascii="Arial Narrow" w:hAnsi="Arial Narrow"/>
                <w:b/>
                <w:sz w:val="20"/>
              </w:rPr>
            </w:pPr>
            <w:proofErr w:type="spellStart"/>
            <w:r w:rsidRPr="00F16087">
              <w:rPr>
                <w:rFonts w:ascii="Arial Narrow" w:hAnsi="Arial Narrow"/>
                <w:b/>
                <w:sz w:val="20"/>
              </w:rPr>
              <w:t>Cyclosporin</w:t>
            </w:r>
            <w:r w:rsidR="009F44E4" w:rsidRPr="00F16087">
              <w:rPr>
                <w:rFonts w:ascii="Arial Narrow" w:hAnsi="Arial Narrow"/>
                <w:bCs/>
                <w:sz w:val="20"/>
                <w:vertAlign w:val="superscript"/>
              </w:rPr>
              <w:t>a</w:t>
            </w:r>
            <w:proofErr w:type="spellEnd"/>
            <w:r w:rsidRPr="00F16087">
              <w:rPr>
                <w:rFonts w:ascii="Arial Narrow" w:hAnsi="Arial Narrow"/>
                <w:b/>
                <w:sz w:val="20"/>
              </w:rPr>
              <w:t xml:space="preserve"> </w:t>
            </w:r>
          </w:p>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N=538</w:t>
            </w:r>
          </w:p>
        </w:tc>
      </w:tr>
      <w:tr w:rsidR="00821CC5" w:rsidRPr="00F16087" w:rsidTr="009D0937">
        <w:tc>
          <w:tcPr>
            <w:tcW w:w="512" w:type="pct"/>
            <w:vMerge/>
            <w:vAlign w:val="center"/>
          </w:tcPr>
          <w:p w:rsidR="00821CC5" w:rsidRPr="00F16087" w:rsidRDefault="00821CC5" w:rsidP="003662EA">
            <w:pPr>
              <w:keepNext/>
              <w:widowControl/>
              <w:jc w:val="left"/>
              <w:rPr>
                <w:rFonts w:ascii="Arial Narrow" w:hAnsi="Arial Narrow"/>
                <w:sz w:val="20"/>
              </w:rPr>
            </w:pPr>
          </w:p>
        </w:tc>
        <w:tc>
          <w:tcPr>
            <w:tcW w:w="608" w:type="pct"/>
          </w:tcPr>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N</w:t>
            </w:r>
          </w:p>
        </w:tc>
        <w:tc>
          <w:tcPr>
            <w:tcW w:w="1636" w:type="pct"/>
            <w:vAlign w:val="center"/>
          </w:tcPr>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Rate (95%CI)</w:t>
            </w:r>
          </w:p>
        </w:tc>
        <w:tc>
          <w:tcPr>
            <w:tcW w:w="649" w:type="pct"/>
          </w:tcPr>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N</w:t>
            </w:r>
          </w:p>
        </w:tc>
        <w:tc>
          <w:tcPr>
            <w:tcW w:w="1595" w:type="pct"/>
            <w:vAlign w:val="center"/>
          </w:tcPr>
          <w:p w:rsidR="00821CC5" w:rsidRPr="00F16087" w:rsidRDefault="00821CC5" w:rsidP="003662EA">
            <w:pPr>
              <w:keepNext/>
              <w:widowControl/>
              <w:jc w:val="center"/>
              <w:rPr>
                <w:rFonts w:ascii="Arial Narrow" w:hAnsi="Arial Narrow"/>
                <w:b/>
                <w:sz w:val="20"/>
              </w:rPr>
            </w:pPr>
            <w:r w:rsidRPr="00F16087">
              <w:rPr>
                <w:rFonts w:ascii="Arial Narrow" w:hAnsi="Arial Narrow"/>
                <w:b/>
                <w:sz w:val="20"/>
              </w:rPr>
              <w:t>Rate (95%CI)</w:t>
            </w:r>
          </w:p>
        </w:tc>
      </w:tr>
      <w:tr w:rsidR="00821CC5" w:rsidRPr="00F16087" w:rsidTr="009D0937">
        <w:tc>
          <w:tcPr>
            <w:tcW w:w="512" w:type="pct"/>
            <w:vAlign w:val="center"/>
          </w:tcPr>
          <w:p w:rsidR="00821CC5" w:rsidRPr="00F16087" w:rsidRDefault="00821CC5" w:rsidP="003662EA">
            <w:pPr>
              <w:keepNext/>
              <w:widowControl/>
              <w:jc w:val="left"/>
              <w:rPr>
                <w:rFonts w:ascii="Arial Narrow" w:hAnsi="Arial Narrow"/>
                <w:sz w:val="20"/>
              </w:rPr>
            </w:pPr>
            <w:r w:rsidRPr="00F16087">
              <w:rPr>
                <w:rFonts w:ascii="Arial Narrow" w:hAnsi="Arial Narrow"/>
                <w:sz w:val="20"/>
              </w:rPr>
              <w:t>1</w:t>
            </w:r>
          </w:p>
        </w:tc>
        <w:tc>
          <w:tcPr>
            <w:tcW w:w="608"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6"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649"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95"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821CC5" w:rsidRPr="00F16087" w:rsidTr="009D0937">
        <w:tc>
          <w:tcPr>
            <w:tcW w:w="512" w:type="pct"/>
            <w:vAlign w:val="center"/>
          </w:tcPr>
          <w:p w:rsidR="00821CC5" w:rsidRPr="00F16087" w:rsidRDefault="00821CC5" w:rsidP="003662EA">
            <w:pPr>
              <w:keepNext/>
              <w:widowControl/>
              <w:jc w:val="left"/>
              <w:rPr>
                <w:rFonts w:ascii="Arial Narrow" w:hAnsi="Arial Narrow"/>
                <w:sz w:val="20"/>
              </w:rPr>
            </w:pPr>
            <w:r w:rsidRPr="00F16087">
              <w:rPr>
                <w:rFonts w:ascii="Arial Narrow" w:hAnsi="Arial Narrow"/>
                <w:sz w:val="20"/>
              </w:rPr>
              <w:t>4</w:t>
            </w:r>
          </w:p>
        </w:tc>
        <w:tc>
          <w:tcPr>
            <w:tcW w:w="608"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6"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649"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95"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821CC5" w:rsidRPr="00F16087" w:rsidTr="009D0937">
        <w:tc>
          <w:tcPr>
            <w:tcW w:w="512" w:type="pct"/>
            <w:vAlign w:val="center"/>
          </w:tcPr>
          <w:p w:rsidR="00821CC5" w:rsidRPr="00F16087" w:rsidRDefault="00821CC5" w:rsidP="003662EA">
            <w:pPr>
              <w:keepNext/>
              <w:widowControl/>
              <w:jc w:val="left"/>
              <w:rPr>
                <w:rFonts w:ascii="Arial Narrow" w:hAnsi="Arial Narrow"/>
                <w:sz w:val="20"/>
              </w:rPr>
            </w:pPr>
            <w:r w:rsidRPr="00F16087">
              <w:rPr>
                <w:rFonts w:ascii="Arial Narrow" w:hAnsi="Arial Narrow"/>
                <w:sz w:val="20"/>
              </w:rPr>
              <w:t>6</w:t>
            </w:r>
          </w:p>
        </w:tc>
        <w:tc>
          <w:tcPr>
            <w:tcW w:w="608"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6"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649"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95"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821CC5" w:rsidRPr="00F16087" w:rsidTr="009D0937">
        <w:tc>
          <w:tcPr>
            <w:tcW w:w="512" w:type="pct"/>
            <w:vAlign w:val="center"/>
          </w:tcPr>
          <w:p w:rsidR="00821CC5" w:rsidRPr="00F16087" w:rsidRDefault="00821CC5" w:rsidP="003662EA">
            <w:pPr>
              <w:keepNext/>
              <w:widowControl/>
              <w:ind w:right="-108"/>
              <w:jc w:val="left"/>
              <w:rPr>
                <w:rFonts w:ascii="Arial Narrow" w:hAnsi="Arial Narrow"/>
                <w:sz w:val="20"/>
              </w:rPr>
            </w:pPr>
            <w:r w:rsidRPr="00F16087">
              <w:rPr>
                <w:rFonts w:ascii="Arial Narrow" w:hAnsi="Arial Narrow"/>
                <w:sz w:val="20"/>
              </w:rPr>
              <w:t>9</w:t>
            </w:r>
          </w:p>
        </w:tc>
        <w:tc>
          <w:tcPr>
            <w:tcW w:w="608"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6"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649"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95"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821CC5" w:rsidRPr="00F16087" w:rsidTr="009D0937">
        <w:tc>
          <w:tcPr>
            <w:tcW w:w="512" w:type="pct"/>
            <w:vAlign w:val="center"/>
          </w:tcPr>
          <w:p w:rsidR="00821CC5" w:rsidRPr="00F16087" w:rsidRDefault="00821CC5" w:rsidP="003662EA">
            <w:pPr>
              <w:keepNext/>
              <w:widowControl/>
              <w:ind w:right="-108"/>
              <w:jc w:val="left"/>
              <w:rPr>
                <w:rFonts w:ascii="Arial Narrow" w:hAnsi="Arial Narrow"/>
                <w:sz w:val="20"/>
              </w:rPr>
            </w:pPr>
            <w:r w:rsidRPr="00F16087">
              <w:rPr>
                <w:rFonts w:ascii="Arial Narrow" w:hAnsi="Arial Narrow"/>
                <w:sz w:val="20"/>
              </w:rPr>
              <w:t>12</w:t>
            </w:r>
          </w:p>
        </w:tc>
        <w:tc>
          <w:tcPr>
            <w:tcW w:w="608"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36"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649" w:type="pct"/>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95" w:type="pct"/>
            <w:vAlign w:val="center"/>
          </w:tcPr>
          <w:p w:rsidR="00821CC5" w:rsidRPr="00EF4316" w:rsidRDefault="00EF4316" w:rsidP="003662EA">
            <w:pPr>
              <w:keepNext/>
              <w:widowControl/>
              <w:jc w:val="center"/>
              <w:rPr>
                <w:rFonts w:ascii="Arial Narrow" w:hAnsi="Arial Narrow"/>
                <w:sz w:val="20"/>
                <w:highlight w:val="black"/>
              </w:rPr>
            </w:pPr>
            <w:r>
              <w:rPr>
                <w:rFonts w:ascii="Arial Narrow" w:hAnsi="Arial Narrow"/>
                <w:noProof/>
                <w:color w:val="000000"/>
                <w:sz w:val="20"/>
                <w:highlight w:val="black"/>
              </w:rPr>
              <w:t>''''''''''' ''''''''''''''' ''''''''''''''''</w:t>
            </w:r>
          </w:p>
        </w:tc>
      </w:tr>
    </w:tbl>
    <w:p w:rsidR="00821CC5" w:rsidRPr="00F16087" w:rsidRDefault="00821CC5" w:rsidP="003662EA">
      <w:pPr>
        <w:pStyle w:val="TableFooter"/>
        <w:keepNext/>
        <w:widowControl/>
        <w:ind w:left="720"/>
      </w:pPr>
      <w:r w:rsidRPr="00F16087">
        <w:t xml:space="preserve">Source: Tables B-36; p73 of the </w:t>
      </w:r>
      <w:r w:rsidR="00E41050" w:rsidRPr="00F16087">
        <w:t>resub</w:t>
      </w:r>
      <w:r w:rsidRPr="00F16087">
        <w:t>mission.</w:t>
      </w:r>
    </w:p>
    <w:p w:rsidR="00821CC5" w:rsidRPr="00F16087" w:rsidRDefault="00821CC5" w:rsidP="003662EA">
      <w:pPr>
        <w:keepNext/>
        <w:widowControl/>
        <w:tabs>
          <w:tab w:val="left" w:pos="284"/>
        </w:tabs>
        <w:ind w:left="993" w:hanging="284"/>
        <w:rPr>
          <w:rFonts w:ascii="Arial Narrow" w:hAnsi="Arial Narrow"/>
          <w:sz w:val="18"/>
        </w:rPr>
      </w:pPr>
      <w:proofErr w:type="spellStart"/>
      <w:proofErr w:type="gramStart"/>
      <w:r w:rsidRPr="00F16087">
        <w:rPr>
          <w:sz w:val="20"/>
          <w:vertAlign w:val="superscript"/>
        </w:rPr>
        <w:t>a</w:t>
      </w:r>
      <w:proofErr w:type="spellEnd"/>
      <w:proofErr w:type="gramEnd"/>
      <w:r w:rsidRPr="00F16087">
        <w:rPr>
          <w:sz w:val="20"/>
          <w:vertAlign w:val="superscript"/>
        </w:rPr>
        <w:tab/>
      </w:r>
      <w:r w:rsidRPr="00F16087">
        <w:rPr>
          <w:rFonts w:ascii="Arial Narrow" w:hAnsi="Arial Narrow"/>
          <w:sz w:val="18"/>
        </w:rPr>
        <w:t>The cyclosporin subgroup included patients who were initiated on cyclosporin before or after apremilast launch to increase the sample size.</w:t>
      </w:r>
    </w:p>
    <w:p w:rsidR="00821CC5" w:rsidRPr="00F16087" w:rsidRDefault="00821CC5" w:rsidP="003662EA">
      <w:pPr>
        <w:pStyle w:val="ListParagraph"/>
        <w:widowControl/>
        <w:rPr>
          <w:iCs/>
          <w:szCs w:val="22"/>
        </w:rPr>
      </w:pPr>
    </w:p>
    <w:p w:rsidR="00A72356" w:rsidRPr="00F16087" w:rsidRDefault="00A72356" w:rsidP="003662EA">
      <w:pPr>
        <w:pStyle w:val="Caption"/>
        <w:keepNext/>
        <w:widowControl/>
        <w:ind w:firstLine="720"/>
      </w:pPr>
      <w:r w:rsidRPr="00F16087">
        <w:t xml:space="preserve">Figure </w:t>
      </w:r>
      <w:r w:rsidR="00D209A6" w:rsidRPr="00F16087">
        <w:rPr>
          <w:noProof/>
        </w:rPr>
        <w:t>1</w:t>
      </w:r>
      <w:r w:rsidRPr="00F16087">
        <w:t xml:space="preserve">: Persistence to therapy – US </w:t>
      </w:r>
      <w:proofErr w:type="spellStart"/>
      <w:r w:rsidRPr="00F16087">
        <w:t>MarketScan</w:t>
      </w:r>
      <w:proofErr w:type="spellEnd"/>
      <w:r w:rsidRPr="00F16087">
        <w:t>® claims databases (overall cohort)</w:t>
      </w:r>
    </w:p>
    <w:p w:rsidR="009D0937" w:rsidRPr="00F16087" w:rsidRDefault="00EF4316" w:rsidP="003662EA">
      <w:pPr>
        <w:pStyle w:val="ListParagraph"/>
        <w:widowControl/>
        <w:rPr>
          <w:iCs/>
          <w:szCs w:val="22"/>
        </w:rPr>
      </w:pPr>
      <w:r>
        <w:rPr>
          <w:iCs/>
          <w:noProof/>
          <w:snapToGrid/>
          <w:szCs w:val="22"/>
          <w:lang w:eastAsia="en-AU"/>
        </w:rPr>
        <w:drawing>
          <wp:inline distT="0" distB="0" distL="0" distR="0">
            <wp:extent cx="5231765" cy="2985770"/>
            <wp:effectExtent l="0" t="0" r="6985" b="5080"/>
            <wp:docPr id="1" name="Picture 1" title="[Redacted] Persistence to therapy – US MarketScan® claims databases (overall cohor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31765" cy="2985770"/>
                    </a:xfrm>
                    <a:prstGeom prst="rect">
                      <a:avLst/>
                    </a:prstGeom>
                  </pic:spPr>
                </pic:pic>
              </a:graphicData>
            </a:graphic>
          </wp:inline>
        </w:drawing>
      </w:r>
    </w:p>
    <w:p w:rsidR="009D0937" w:rsidRPr="00F16087" w:rsidRDefault="009D0937" w:rsidP="003662EA">
      <w:pPr>
        <w:pStyle w:val="ListParagraph"/>
        <w:widowControl/>
        <w:rPr>
          <w:rFonts w:ascii="Arial Narrow" w:hAnsi="Arial Narrow"/>
          <w:iCs/>
          <w:sz w:val="18"/>
          <w:szCs w:val="22"/>
        </w:rPr>
      </w:pPr>
      <w:r w:rsidRPr="00F16087">
        <w:rPr>
          <w:rFonts w:ascii="Arial Narrow" w:hAnsi="Arial Narrow"/>
          <w:sz w:val="18"/>
        </w:rPr>
        <w:t xml:space="preserve">Source: Figure 2, p8 of Executive Summary to </w:t>
      </w:r>
      <w:r w:rsidR="00E41050" w:rsidRPr="00F16087">
        <w:rPr>
          <w:rFonts w:ascii="Arial Narrow" w:hAnsi="Arial Narrow"/>
          <w:sz w:val="18"/>
        </w:rPr>
        <w:t>resub</w:t>
      </w:r>
      <w:r w:rsidRPr="00F16087">
        <w:rPr>
          <w:rFonts w:ascii="Arial Narrow" w:hAnsi="Arial Narrow"/>
          <w:sz w:val="18"/>
        </w:rPr>
        <w:t>mission</w:t>
      </w:r>
    </w:p>
    <w:p w:rsidR="009D0937" w:rsidRPr="00F16087" w:rsidRDefault="009D0937" w:rsidP="003662EA">
      <w:pPr>
        <w:pStyle w:val="ListParagraph"/>
        <w:widowControl/>
        <w:rPr>
          <w:iCs/>
          <w:szCs w:val="22"/>
        </w:rPr>
      </w:pPr>
    </w:p>
    <w:p w:rsidR="00F15277" w:rsidRPr="00F16087" w:rsidRDefault="00105FEC" w:rsidP="003662EA">
      <w:pPr>
        <w:pStyle w:val="ListParagraph"/>
        <w:widowControl/>
        <w:numPr>
          <w:ilvl w:val="1"/>
          <w:numId w:val="1"/>
        </w:numPr>
      </w:pPr>
      <w:r w:rsidRPr="00F16087">
        <w:t xml:space="preserve">The evaluation </w:t>
      </w:r>
      <w:r w:rsidR="00F15277" w:rsidRPr="00F16087">
        <w:t xml:space="preserve">considered that as </w:t>
      </w:r>
      <w:r w:rsidRPr="00F16087">
        <w:t>t</w:t>
      </w:r>
      <w:r w:rsidR="00BD44FF" w:rsidRPr="00F16087">
        <w:t xml:space="preserve">here were no reported criteria for initiating and continuing apremilast or cyclosporin treatment in the US </w:t>
      </w:r>
      <w:proofErr w:type="spellStart"/>
      <w:r w:rsidR="00BD44FF" w:rsidRPr="00F16087">
        <w:t>MarketScan</w:t>
      </w:r>
      <w:proofErr w:type="spellEnd"/>
      <w:r w:rsidR="00BD44FF" w:rsidRPr="00F16087">
        <w:t xml:space="preserve">® databases, it </w:t>
      </w:r>
      <w:r w:rsidR="00F15277" w:rsidRPr="00F16087">
        <w:t>wa</w:t>
      </w:r>
      <w:r w:rsidR="00BD44FF" w:rsidRPr="00F16087">
        <w:t xml:space="preserve">s not known whether the data </w:t>
      </w:r>
      <w:r w:rsidR="002F41B1" w:rsidRPr="00F16087">
        <w:t xml:space="preserve">are </w:t>
      </w:r>
      <w:r w:rsidR="00BD44FF" w:rsidRPr="00F16087">
        <w:t>applicable to the likely PBS use of apremilast or cyclosporin.</w:t>
      </w:r>
      <w:r w:rsidR="00F15277" w:rsidRPr="00F16087">
        <w:t xml:space="preserve"> The PSCR (p2) argued that the US </w:t>
      </w:r>
      <w:proofErr w:type="spellStart"/>
      <w:r w:rsidR="00F15277" w:rsidRPr="00F16087">
        <w:t>MarketScan</w:t>
      </w:r>
      <w:proofErr w:type="spellEnd"/>
      <w:r w:rsidR="00F15277" w:rsidRPr="00F16087">
        <w:t>® data are applicable to the Australian population, noting the FDA and TGA indications are identical for apremilast and comparable for cyclosporin. The PSCR stated that persistence with apremilast in Australia is expected to have more of a correlation with PBS initiation and continu</w:t>
      </w:r>
      <w:r w:rsidR="009D1F70" w:rsidRPr="00F16087">
        <w:t>ation</w:t>
      </w:r>
      <w:r w:rsidR="00F15277" w:rsidRPr="00F16087">
        <w:t xml:space="preserve"> criteria while the US data are highly reflective of clinical effectiveness. The ESC considered the claim that US persistence data were highly reflective of clinical effectiveness </w:t>
      </w:r>
      <w:r w:rsidR="00482012" w:rsidRPr="00F16087">
        <w:t xml:space="preserve">was unsubstantiated and specifically noted that apremilast was not FDA approved for </w:t>
      </w:r>
      <w:r w:rsidR="004B6BF8" w:rsidRPr="00F16087">
        <w:t xml:space="preserve">plaque psoriasis </w:t>
      </w:r>
      <w:r w:rsidR="00CA5CC8" w:rsidRPr="00F16087">
        <w:t xml:space="preserve">until 23 </w:t>
      </w:r>
      <w:r w:rsidR="0098345D" w:rsidRPr="00F16087">
        <w:t>September</w:t>
      </w:r>
      <w:r w:rsidR="00CA5CC8" w:rsidRPr="00F16087">
        <w:t xml:space="preserve"> 2014</w:t>
      </w:r>
      <w:r w:rsidR="004B6BF8" w:rsidRPr="00F16087">
        <w:rPr>
          <w:vertAlign w:val="superscript"/>
        </w:rPr>
        <w:footnoteReference w:id="3"/>
      </w:r>
      <w:r w:rsidR="004B6BF8" w:rsidRPr="00F16087">
        <w:t>, while the persistence study period began in March 2014</w:t>
      </w:r>
      <w:r w:rsidR="00482012" w:rsidRPr="00F16087">
        <w:t>.</w:t>
      </w:r>
      <w:r w:rsidR="00CA5CC8" w:rsidRPr="00F16087">
        <w:t xml:space="preserve"> </w:t>
      </w:r>
      <w:r w:rsidR="004B6BF8" w:rsidRPr="00F16087">
        <w:t>Accordingly, any use of apremilast for plaque psoriasis during the first six months of the persistence study was off-label.</w:t>
      </w:r>
    </w:p>
    <w:p w:rsidR="00F15277" w:rsidRPr="00F16087" w:rsidRDefault="00F15277" w:rsidP="003662EA">
      <w:pPr>
        <w:pStyle w:val="ListParagraph"/>
        <w:widowControl/>
        <w:rPr>
          <w:iCs/>
        </w:rPr>
      </w:pPr>
    </w:p>
    <w:p w:rsidR="00497EA5" w:rsidRPr="00F16087" w:rsidRDefault="00497EA5" w:rsidP="003662EA">
      <w:pPr>
        <w:pStyle w:val="ListParagraph"/>
        <w:widowControl/>
        <w:numPr>
          <w:ilvl w:val="1"/>
          <w:numId w:val="1"/>
        </w:numPr>
        <w:rPr>
          <w:szCs w:val="22"/>
        </w:rPr>
      </w:pPr>
      <w:r w:rsidRPr="00F16087">
        <w:t xml:space="preserve">The </w:t>
      </w:r>
      <w:r w:rsidR="00046483" w:rsidRPr="00F16087">
        <w:t>p</w:t>
      </w:r>
      <w:r w:rsidRPr="00F16087">
        <w:t>re-</w:t>
      </w:r>
      <w:r w:rsidR="00890AC6" w:rsidRPr="00F16087">
        <w:t xml:space="preserve">PBAC </w:t>
      </w:r>
      <w:r w:rsidR="00046483" w:rsidRPr="00F16087">
        <w:t>r</w:t>
      </w:r>
      <w:r w:rsidR="00890AC6" w:rsidRPr="00F16087">
        <w:t xml:space="preserve">esponse (p2) acknowledged that approximately 5% </w:t>
      </w:r>
      <w:r w:rsidR="00CA272E" w:rsidRPr="00F16087">
        <w:t xml:space="preserve">of </w:t>
      </w:r>
      <w:r w:rsidR="00890AC6" w:rsidRPr="00F16087">
        <w:t xml:space="preserve">patients treated with apremilast in the </w:t>
      </w:r>
      <w:proofErr w:type="spellStart"/>
      <w:r w:rsidR="00890AC6" w:rsidRPr="00F16087">
        <w:t>MarketScan</w:t>
      </w:r>
      <w:proofErr w:type="spellEnd"/>
      <w:r w:rsidR="00890AC6" w:rsidRPr="00F16087">
        <w:t xml:space="preserve">® dataset initiated treatment for plaque psoriasis prior to the FDA approval date for that indication, but argued that it does not jeopardise the validity of </w:t>
      </w:r>
      <w:r w:rsidR="00CA272E" w:rsidRPr="00F16087">
        <w:t xml:space="preserve">the results </w:t>
      </w:r>
      <w:r w:rsidR="00890AC6" w:rsidRPr="00F16087">
        <w:t>as all patients with a diagnosis of psoriatic arthritis were excluded from the analysis.</w:t>
      </w:r>
    </w:p>
    <w:p w:rsidR="00497EA5" w:rsidRPr="00F16087" w:rsidRDefault="00497EA5" w:rsidP="003662EA">
      <w:pPr>
        <w:pStyle w:val="ListParagraph"/>
        <w:widowControl/>
        <w:rPr>
          <w:iCs/>
        </w:rPr>
      </w:pPr>
    </w:p>
    <w:p w:rsidR="00212DA1" w:rsidRPr="00F16087" w:rsidRDefault="00F15277" w:rsidP="003662EA">
      <w:pPr>
        <w:pStyle w:val="ListParagraph"/>
        <w:widowControl/>
        <w:numPr>
          <w:ilvl w:val="1"/>
          <w:numId w:val="1"/>
        </w:numPr>
      </w:pPr>
      <w:r w:rsidRPr="00F16087">
        <w:t xml:space="preserve">The </w:t>
      </w:r>
      <w:proofErr w:type="spellStart"/>
      <w:r w:rsidRPr="00F16087">
        <w:t>MarketScan</w:t>
      </w:r>
      <w:proofErr w:type="spellEnd"/>
      <w:r w:rsidRPr="00F16087">
        <w:t>® databases are a combination of claims databases which comprised de-identified service-level claims for inpatient and outpatient services</w:t>
      </w:r>
      <w:r w:rsidR="00CA272E" w:rsidRPr="00F16087">
        <w:t>,</w:t>
      </w:r>
      <w:r w:rsidRPr="00F16087">
        <w:t xml:space="preserve"> and outpatient prescription drugs</w:t>
      </w:r>
      <w:r w:rsidR="00CA272E" w:rsidRPr="00F16087">
        <w:t>,</w:t>
      </w:r>
      <w:r w:rsidRPr="00F16087">
        <w:t xml:space="preserve"> submitted by large employers, managed care organisations, hospitals, and Medicare programs.</w:t>
      </w:r>
      <w:r w:rsidR="00BD44FF" w:rsidRPr="00F16087">
        <w:t xml:space="preserve"> </w:t>
      </w:r>
      <w:r w:rsidRPr="00F16087">
        <w:t xml:space="preserve">The evaluation considered there were difficulties in applying the </w:t>
      </w:r>
      <w:proofErr w:type="spellStart"/>
      <w:r w:rsidRPr="00F16087">
        <w:t>MarketScan</w:t>
      </w:r>
      <w:proofErr w:type="spellEnd"/>
      <w:r w:rsidRPr="00F16087">
        <w:t>® data</w:t>
      </w:r>
      <w:r w:rsidR="00E31218" w:rsidRPr="00F16087">
        <w:t xml:space="preserve">bases to the Australian context, particularly noting the range of </w:t>
      </w:r>
      <w:r w:rsidRPr="00F16087">
        <w:t>health care setting</w:t>
      </w:r>
      <w:r w:rsidR="00E31218" w:rsidRPr="00F16087">
        <w:t>s</w:t>
      </w:r>
      <w:r w:rsidRPr="00F16087">
        <w:t xml:space="preserve"> </w:t>
      </w:r>
      <w:r w:rsidR="00E31218" w:rsidRPr="00F16087">
        <w:t xml:space="preserve">which may </w:t>
      </w:r>
      <w:r w:rsidRPr="00F16087">
        <w:t>affect persistence rates (A3, p13 of Compliance to Medicines Working Group (CMWG) Report to PBAC; April 2010</w:t>
      </w:r>
      <w:r w:rsidRPr="00F16087">
        <w:rPr>
          <w:vertAlign w:val="superscript"/>
        </w:rPr>
        <w:footnoteReference w:id="4"/>
      </w:r>
      <w:r w:rsidRPr="00F16087">
        <w:t xml:space="preserve">). </w:t>
      </w:r>
      <w:r w:rsidR="00C26D83" w:rsidRPr="00F16087">
        <w:t>The PSCR argued that this reference to persistence relates to ‘compliance’ of which persistence is only one aspect along with ‘acceptance’ and ‘adherence’.</w:t>
      </w:r>
      <w:r w:rsidRPr="00F16087">
        <w:t xml:space="preserve"> </w:t>
      </w:r>
      <w:r w:rsidR="00A16997" w:rsidRPr="00F16087">
        <w:t xml:space="preserve">The ESC agreed with the evaluation </w:t>
      </w:r>
      <w:r w:rsidRPr="00F16087">
        <w:t xml:space="preserve">and </w:t>
      </w:r>
      <w:r w:rsidR="00CE5B06" w:rsidRPr="00F16087">
        <w:t>noted the CMWG Report (p</w:t>
      </w:r>
      <w:r w:rsidR="00212DA1" w:rsidRPr="00F16087">
        <w:t>36) regarding the applicability of overseas studies of compliance, specifically:</w:t>
      </w:r>
    </w:p>
    <w:p w:rsidR="00212DA1" w:rsidRPr="00F16087" w:rsidRDefault="002E1F54" w:rsidP="0079344C">
      <w:pPr>
        <w:pStyle w:val="ListParagraph"/>
        <w:widowControl/>
        <w:numPr>
          <w:ilvl w:val="0"/>
          <w:numId w:val="11"/>
        </w:numPr>
        <w:ind w:left="993" w:hanging="284"/>
        <w:rPr>
          <w:i/>
        </w:rPr>
      </w:pPr>
      <w:r w:rsidRPr="00F16087">
        <w:rPr>
          <w:i/>
        </w:rPr>
        <w:t>“</w:t>
      </w:r>
      <w:r w:rsidR="00212DA1" w:rsidRPr="00F16087">
        <w:rPr>
          <w:i/>
        </w:rPr>
        <w:t>Descriptive studies which measure the level of compliance in different populations are unlikely to be directly transferable between countries with different health-care systems and methods of funding pharmaceuticals.</w:t>
      </w:r>
    </w:p>
    <w:p w:rsidR="00212DA1" w:rsidRPr="00F16087" w:rsidRDefault="00212DA1" w:rsidP="0079344C">
      <w:pPr>
        <w:pStyle w:val="ListParagraph"/>
        <w:widowControl/>
        <w:numPr>
          <w:ilvl w:val="0"/>
          <w:numId w:val="11"/>
        </w:numPr>
        <w:ind w:left="993" w:hanging="284"/>
        <w:rPr>
          <w:i/>
        </w:rPr>
      </w:pPr>
      <w:r w:rsidRPr="00F16087">
        <w:rPr>
          <w:i/>
        </w:rPr>
        <w:t>Comparative studies of compliance are likely to be informative when interpreted in light of the characteristics of the health care settings within which they were done.</w:t>
      </w:r>
    </w:p>
    <w:p w:rsidR="00212DA1" w:rsidRPr="00F16087" w:rsidRDefault="00212DA1" w:rsidP="0079344C">
      <w:pPr>
        <w:pStyle w:val="ListParagraph"/>
        <w:widowControl/>
        <w:numPr>
          <w:ilvl w:val="0"/>
          <w:numId w:val="11"/>
        </w:numPr>
        <w:ind w:left="993" w:hanging="284"/>
        <w:rPr>
          <w:i/>
        </w:rPr>
      </w:pPr>
      <w:r w:rsidRPr="00F16087">
        <w:rPr>
          <w:i/>
        </w:rPr>
        <w:t>Ideally, evidence on comparative compliance to medicines should be based on data collected in the Australian health care setting. Overseas studies may provide complementary evidence to some decisions.</w:t>
      </w:r>
      <w:r w:rsidR="002E1F54" w:rsidRPr="00F16087">
        <w:rPr>
          <w:i/>
        </w:rPr>
        <w:t>”</w:t>
      </w:r>
    </w:p>
    <w:p w:rsidR="00497EA5" w:rsidRPr="00F16087" w:rsidRDefault="00497EA5" w:rsidP="003662EA">
      <w:pPr>
        <w:pStyle w:val="PBACheading1"/>
        <w:numPr>
          <w:ilvl w:val="0"/>
          <w:numId w:val="0"/>
        </w:numPr>
      </w:pPr>
    </w:p>
    <w:p w:rsidR="002E1F54" w:rsidRPr="00F16087" w:rsidRDefault="002E1F54" w:rsidP="002E1F54">
      <w:pPr>
        <w:pStyle w:val="ListParagraph"/>
        <w:widowControl/>
        <w:numPr>
          <w:ilvl w:val="1"/>
          <w:numId w:val="1"/>
        </w:numPr>
      </w:pPr>
      <w:r w:rsidRPr="00F16087">
        <w:t>The pre-PBAC response (p2-3) argued that the evidence presented in the resubmission is comparative, not descriptive, and that the US data is applicable to PBAC decision-making on the basis of the additional guidance in the CMWG report:</w:t>
      </w:r>
    </w:p>
    <w:p w:rsidR="002E1F54" w:rsidRPr="00F16087" w:rsidRDefault="002E1F54" w:rsidP="0079344C">
      <w:pPr>
        <w:pStyle w:val="ListParagraph"/>
        <w:widowControl/>
        <w:ind w:left="1134" w:right="379"/>
        <w:rPr>
          <w:i/>
        </w:rPr>
      </w:pPr>
      <w:r w:rsidRPr="00F16087">
        <w:rPr>
          <w:i/>
        </w:rPr>
        <w:t>“In some circumstances, it may be reasonable to consider results from comparative studies of compliance to medicines from other countries when evidence for a particular medicine is not available in Australia.  However, the health care setting and the variables measured should be examined in detail to assess their applicability to the Australia population for whom the treatment is intended.</w:t>
      </w:r>
    </w:p>
    <w:p w:rsidR="002E1F54" w:rsidRPr="00F16087" w:rsidRDefault="002E1F54" w:rsidP="0079344C">
      <w:pPr>
        <w:pStyle w:val="ListParagraph"/>
        <w:widowControl/>
        <w:ind w:left="1134" w:right="379"/>
        <w:rPr>
          <w:i/>
        </w:rPr>
      </w:pPr>
    </w:p>
    <w:p w:rsidR="0088307D" w:rsidRPr="00F16087" w:rsidRDefault="002E1F54" w:rsidP="0079344C">
      <w:pPr>
        <w:pStyle w:val="ListParagraph"/>
        <w:widowControl/>
        <w:ind w:left="1134" w:right="379"/>
        <w:rPr>
          <w:i/>
        </w:rPr>
      </w:pPr>
      <w:r w:rsidRPr="00F16087">
        <w:rPr>
          <w:i/>
        </w:rPr>
        <w:t>The results of overseas studies of compliance may also be useful when considered in conjun</w:t>
      </w:r>
      <w:r w:rsidR="0088307D" w:rsidRPr="00F16087">
        <w:rPr>
          <w:i/>
        </w:rPr>
        <w:t>ction with Australian findings.</w:t>
      </w:r>
      <w:r w:rsidRPr="00F16087">
        <w:rPr>
          <w:i/>
        </w:rPr>
        <w:t xml:space="preserve"> Indeed, overseas studies may reinforce the results of Australian studies if their findings are in the same direction, particularly where Australian studies may have been subject to biases that overseas studies have apparently been able to control because of the availability of data on potential confounding variables.”</w:t>
      </w:r>
    </w:p>
    <w:p w:rsidR="002E1F54" w:rsidRPr="00F16087" w:rsidRDefault="002E1F54" w:rsidP="003662EA">
      <w:pPr>
        <w:pStyle w:val="PBACheading1"/>
        <w:numPr>
          <w:ilvl w:val="0"/>
          <w:numId w:val="0"/>
        </w:numPr>
      </w:pPr>
    </w:p>
    <w:p w:rsidR="009B2F16" w:rsidRPr="00F16087" w:rsidRDefault="009B2F16" w:rsidP="003662EA">
      <w:pPr>
        <w:pStyle w:val="ListParagraph"/>
        <w:widowControl/>
        <w:numPr>
          <w:ilvl w:val="1"/>
          <w:numId w:val="1"/>
        </w:numPr>
        <w:rPr>
          <w:szCs w:val="22"/>
        </w:rPr>
      </w:pPr>
      <w:r w:rsidRPr="00F16087">
        <w:rPr>
          <w:szCs w:val="22"/>
        </w:rPr>
        <w:t>The ESC</w:t>
      </w:r>
      <w:r w:rsidR="00212DA1" w:rsidRPr="00F16087">
        <w:rPr>
          <w:szCs w:val="22"/>
        </w:rPr>
        <w:t xml:space="preserve"> </w:t>
      </w:r>
      <w:r w:rsidRPr="00F16087">
        <w:rPr>
          <w:szCs w:val="22"/>
        </w:rPr>
        <w:t xml:space="preserve">considered there were substantial </w:t>
      </w:r>
      <w:r w:rsidR="006818BE" w:rsidRPr="00F16087">
        <w:rPr>
          <w:szCs w:val="22"/>
        </w:rPr>
        <w:t>conceptual, translation</w:t>
      </w:r>
      <w:r w:rsidR="005F333C" w:rsidRPr="00F16087">
        <w:rPr>
          <w:szCs w:val="22"/>
        </w:rPr>
        <w:t>al</w:t>
      </w:r>
      <w:r w:rsidR="006818BE" w:rsidRPr="00F16087">
        <w:rPr>
          <w:szCs w:val="22"/>
        </w:rPr>
        <w:t xml:space="preserve"> and methodological </w:t>
      </w:r>
      <w:r w:rsidRPr="00F16087">
        <w:rPr>
          <w:szCs w:val="22"/>
        </w:rPr>
        <w:t>issues in comparing persistence data for apremilast and cyclosporin</w:t>
      </w:r>
      <w:r w:rsidR="00B473D8" w:rsidRPr="00F16087">
        <w:rPr>
          <w:szCs w:val="22"/>
        </w:rPr>
        <w:t xml:space="preserve"> and </w:t>
      </w:r>
      <w:r w:rsidR="006818BE" w:rsidRPr="00F16087">
        <w:rPr>
          <w:szCs w:val="22"/>
        </w:rPr>
        <w:t>the way these data were used in the submission</w:t>
      </w:r>
      <w:r w:rsidRPr="00F16087">
        <w:rPr>
          <w:szCs w:val="22"/>
        </w:rPr>
        <w:t xml:space="preserve">. The ESC noted that cyclosporin </w:t>
      </w:r>
      <w:r w:rsidR="00AF0693" w:rsidRPr="00F16087">
        <w:rPr>
          <w:szCs w:val="22"/>
        </w:rPr>
        <w:t xml:space="preserve">is recommended for intermittent </w:t>
      </w:r>
      <w:r w:rsidRPr="00F16087">
        <w:rPr>
          <w:szCs w:val="22"/>
        </w:rPr>
        <w:t>short durations (</w:t>
      </w:r>
      <w:r w:rsidR="00AF0693" w:rsidRPr="00F16087">
        <w:rPr>
          <w:szCs w:val="22"/>
        </w:rPr>
        <w:t xml:space="preserve">average of </w:t>
      </w:r>
      <w:r w:rsidRPr="00F16087">
        <w:rPr>
          <w:szCs w:val="22"/>
        </w:rPr>
        <w:t>12 weeks</w:t>
      </w:r>
      <w:r w:rsidR="00AF0693" w:rsidRPr="00F16087">
        <w:rPr>
          <w:szCs w:val="22"/>
        </w:rPr>
        <w:t xml:space="preserve"> duration</w:t>
      </w:r>
      <w:r w:rsidRPr="00F16087">
        <w:rPr>
          <w:szCs w:val="22"/>
        </w:rPr>
        <w:t>)</w:t>
      </w:r>
      <w:r w:rsidR="009813B6" w:rsidRPr="00F16087">
        <w:rPr>
          <w:rStyle w:val="FootnoteReference"/>
          <w:szCs w:val="22"/>
        </w:rPr>
        <w:footnoteReference w:id="5"/>
      </w:r>
      <w:r w:rsidR="00396C7A" w:rsidRPr="00F16087">
        <w:rPr>
          <w:szCs w:val="22"/>
          <w:vertAlign w:val="superscript"/>
        </w:rPr>
        <w:t>,</w:t>
      </w:r>
      <w:r w:rsidR="00396C7A" w:rsidRPr="00F16087">
        <w:rPr>
          <w:rStyle w:val="FootnoteReference"/>
          <w:szCs w:val="22"/>
        </w:rPr>
        <w:footnoteReference w:id="6"/>
      </w:r>
      <w:proofErr w:type="gramStart"/>
      <w:r w:rsidRPr="00F16087">
        <w:rPr>
          <w:szCs w:val="22"/>
        </w:rPr>
        <w:t>,</w:t>
      </w:r>
      <w:proofErr w:type="gramEnd"/>
      <w:r w:rsidRPr="00F16087">
        <w:rPr>
          <w:szCs w:val="22"/>
        </w:rPr>
        <w:t xml:space="preserve"> and that long term continuous cyclosporin</w:t>
      </w:r>
      <w:r w:rsidR="009813B6" w:rsidRPr="00F16087">
        <w:rPr>
          <w:szCs w:val="22"/>
        </w:rPr>
        <w:t xml:space="preserve"> use</w:t>
      </w:r>
      <w:r w:rsidRPr="00F16087">
        <w:rPr>
          <w:szCs w:val="22"/>
        </w:rPr>
        <w:t xml:space="preserve"> may only be appropriate for a sub</w:t>
      </w:r>
      <w:r w:rsidR="00AF0693" w:rsidRPr="00F16087">
        <w:rPr>
          <w:szCs w:val="22"/>
        </w:rPr>
        <w:t>group of</w:t>
      </w:r>
      <w:r w:rsidRPr="00F16087">
        <w:rPr>
          <w:szCs w:val="22"/>
        </w:rPr>
        <w:t xml:space="preserve"> patients</w:t>
      </w:r>
      <w:r w:rsidR="0098345D" w:rsidRPr="00F16087">
        <w:rPr>
          <w:szCs w:val="22"/>
        </w:rPr>
        <w:t xml:space="preserve"> (kept below two</w:t>
      </w:r>
      <w:r w:rsidR="00AF0693" w:rsidRPr="00F16087">
        <w:rPr>
          <w:szCs w:val="22"/>
        </w:rPr>
        <w:t xml:space="preserve"> years whenever possible)</w:t>
      </w:r>
      <w:r w:rsidRPr="00F16087">
        <w:rPr>
          <w:szCs w:val="22"/>
        </w:rPr>
        <w:t>. The ESC therefore considered it was possible that the high</w:t>
      </w:r>
      <w:r w:rsidR="00AF0693" w:rsidRPr="00F16087">
        <w:rPr>
          <w:szCs w:val="22"/>
        </w:rPr>
        <w:t>er</w:t>
      </w:r>
      <w:r w:rsidRPr="00F16087">
        <w:rPr>
          <w:szCs w:val="22"/>
        </w:rPr>
        <w:t xml:space="preserve"> rates of discontinuation observed in cyclosporin</w:t>
      </w:r>
      <w:r w:rsidR="00B47B43" w:rsidRPr="00F16087">
        <w:rPr>
          <w:szCs w:val="22"/>
        </w:rPr>
        <w:t xml:space="preserve"> patients</w:t>
      </w:r>
      <w:r w:rsidR="00AF0693" w:rsidRPr="00F16087">
        <w:rPr>
          <w:szCs w:val="22"/>
        </w:rPr>
        <w:t>, compared with apremilast,</w:t>
      </w:r>
      <w:r w:rsidRPr="00F16087">
        <w:rPr>
          <w:szCs w:val="22"/>
        </w:rPr>
        <w:t xml:space="preserve"> may be reflective of appropriate clinical practice rather than the premise of withdrawal for either efficacy or safety </w:t>
      </w:r>
      <w:r w:rsidR="009E1FA2" w:rsidRPr="00F16087">
        <w:rPr>
          <w:szCs w:val="22"/>
        </w:rPr>
        <w:t>reasons</w:t>
      </w:r>
      <w:r w:rsidR="00676200" w:rsidRPr="00F16087">
        <w:rPr>
          <w:szCs w:val="22"/>
        </w:rPr>
        <w:t>, as</w:t>
      </w:r>
      <w:r w:rsidR="009E1FA2" w:rsidRPr="00F16087">
        <w:rPr>
          <w:szCs w:val="22"/>
        </w:rPr>
        <w:t xml:space="preserve"> </w:t>
      </w:r>
      <w:r w:rsidRPr="00F16087">
        <w:rPr>
          <w:szCs w:val="22"/>
        </w:rPr>
        <w:t xml:space="preserve">argued in the submission. </w:t>
      </w:r>
      <w:r w:rsidR="00676200" w:rsidRPr="00F16087">
        <w:t>The ESC therefore considered that the study, by design, may be conceptually flawed and inherently favour apremilast.</w:t>
      </w:r>
    </w:p>
    <w:p w:rsidR="00E00628" w:rsidRPr="00F16087" w:rsidRDefault="00E00628" w:rsidP="00E00628">
      <w:pPr>
        <w:pStyle w:val="ListParagraph"/>
        <w:widowControl/>
        <w:rPr>
          <w:szCs w:val="22"/>
        </w:rPr>
      </w:pPr>
    </w:p>
    <w:p w:rsidR="00E00628" w:rsidRPr="00F16087" w:rsidRDefault="00E00628" w:rsidP="00E00628">
      <w:pPr>
        <w:pStyle w:val="ListParagraph"/>
        <w:widowControl/>
        <w:numPr>
          <w:ilvl w:val="1"/>
          <w:numId w:val="1"/>
        </w:numPr>
        <w:rPr>
          <w:szCs w:val="22"/>
        </w:rPr>
      </w:pPr>
      <w:r w:rsidRPr="00F16087">
        <w:rPr>
          <w:szCs w:val="22"/>
        </w:rPr>
        <w:t>As discussed in paragraph 5.4, the pre-PBAC response (p2) argued that short-term pulsing of cyclosporin was not appropriate as it “places patients at risk of severe rebound,” and that “cyclosporin is not used intentionally for short-term durations, rather that the high rate of discontinuation is a result of safety considerations requiring intense laboratory and clinical monitoring leading to high treatment burden”.</w:t>
      </w:r>
    </w:p>
    <w:p w:rsidR="0089353A" w:rsidRPr="00F16087" w:rsidRDefault="0089353A" w:rsidP="003662EA">
      <w:pPr>
        <w:pStyle w:val="PBACheading1"/>
        <w:numPr>
          <w:ilvl w:val="0"/>
          <w:numId w:val="0"/>
        </w:numPr>
      </w:pPr>
    </w:p>
    <w:p w:rsidR="0089353A" w:rsidRPr="00F16087" w:rsidRDefault="00646D0F" w:rsidP="003662EA">
      <w:pPr>
        <w:pStyle w:val="ListParagraph"/>
        <w:widowControl/>
        <w:numPr>
          <w:ilvl w:val="1"/>
          <w:numId w:val="1"/>
        </w:numPr>
        <w:rPr>
          <w:szCs w:val="22"/>
        </w:rPr>
      </w:pPr>
      <w:r w:rsidRPr="00F16087">
        <w:rPr>
          <w:szCs w:val="22"/>
        </w:rPr>
        <w:t>T</w:t>
      </w:r>
      <w:r w:rsidR="0089353A" w:rsidRPr="00F16087">
        <w:rPr>
          <w:szCs w:val="22"/>
        </w:rPr>
        <w:t>he ESC</w:t>
      </w:r>
      <w:r w:rsidRPr="00F16087">
        <w:rPr>
          <w:szCs w:val="22"/>
        </w:rPr>
        <w:t xml:space="preserve"> also</w:t>
      </w:r>
      <w:r w:rsidR="0089353A" w:rsidRPr="00F16087">
        <w:rPr>
          <w:szCs w:val="22"/>
        </w:rPr>
        <w:t xml:space="preserve"> considered that the definition of discontinuation in the study</w:t>
      </w:r>
      <w:r w:rsidR="009813B6" w:rsidRPr="00F16087">
        <w:rPr>
          <w:szCs w:val="22"/>
        </w:rPr>
        <w:t xml:space="preserve"> (greater than 60 days with no re-supply)</w:t>
      </w:r>
      <w:r w:rsidR="0089353A" w:rsidRPr="00F16087">
        <w:rPr>
          <w:szCs w:val="22"/>
        </w:rPr>
        <w:t xml:space="preserve"> was not consistent with the use </w:t>
      </w:r>
      <w:r w:rsidR="009813B6" w:rsidRPr="00F16087">
        <w:rPr>
          <w:szCs w:val="22"/>
        </w:rPr>
        <w:t>of cyclosporin in practice</w:t>
      </w:r>
      <w:r w:rsidR="005F333C" w:rsidRPr="00F16087">
        <w:rPr>
          <w:szCs w:val="22"/>
        </w:rPr>
        <w:t xml:space="preserve"> and may have inappropriately censored cyclosporin patients given the intermittent nature of its use </w:t>
      </w:r>
      <w:r w:rsidR="0032736C" w:rsidRPr="00F16087">
        <w:rPr>
          <w:szCs w:val="22"/>
        </w:rPr>
        <w:t xml:space="preserve">and that the </w:t>
      </w:r>
      <w:r w:rsidR="009813B6" w:rsidRPr="00F16087">
        <w:rPr>
          <w:szCs w:val="22"/>
        </w:rPr>
        <w:t>data presented in</w:t>
      </w:r>
      <w:r w:rsidR="0089353A" w:rsidRPr="00F16087">
        <w:rPr>
          <w:szCs w:val="22"/>
        </w:rPr>
        <w:t xml:space="preserve"> </w:t>
      </w:r>
      <w:r w:rsidR="009813B6" w:rsidRPr="00F16087">
        <w:rPr>
          <w:szCs w:val="22"/>
        </w:rPr>
        <w:t xml:space="preserve">Griffiths </w:t>
      </w:r>
      <w:r w:rsidR="00AD02AE" w:rsidRPr="00F16087">
        <w:rPr>
          <w:szCs w:val="22"/>
        </w:rPr>
        <w:t>et al</w:t>
      </w:r>
      <w:r w:rsidR="00053215" w:rsidRPr="00F16087">
        <w:rPr>
          <w:szCs w:val="22"/>
        </w:rPr>
        <w:t xml:space="preserve"> 2004</w:t>
      </w:r>
      <w:r w:rsidR="00AD02AE" w:rsidRPr="00F16087">
        <w:rPr>
          <w:szCs w:val="22"/>
        </w:rPr>
        <w:t xml:space="preserve"> reported a median time to relapse of 109 days after the end of the first treatment period</w:t>
      </w:r>
      <w:r w:rsidR="00B473D8" w:rsidRPr="00F16087">
        <w:rPr>
          <w:szCs w:val="22"/>
          <w:vertAlign w:val="superscript"/>
        </w:rPr>
        <w:t>4</w:t>
      </w:r>
      <w:r w:rsidR="005F333C" w:rsidRPr="00F16087">
        <w:rPr>
          <w:szCs w:val="22"/>
        </w:rPr>
        <w:t>.</w:t>
      </w:r>
    </w:p>
    <w:p w:rsidR="00A56731" w:rsidRPr="00F16087" w:rsidRDefault="00A56731" w:rsidP="003662EA">
      <w:pPr>
        <w:pStyle w:val="ListParagraph"/>
        <w:widowControl/>
        <w:rPr>
          <w:szCs w:val="22"/>
        </w:rPr>
      </w:pPr>
    </w:p>
    <w:p w:rsidR="00A56731" w:rsidRPr="00F16087" w:rsidRDefault="00A56731" w:rsidP="003662EA">
      <w:pPr>
        <w:pStyle w:val="ListParagraph"/>
        <w:widowControl/>
        <w:numPr>
          <w:ilvl w:val="1"/>
          <w:numId w:val="1"/>
        </w:numPr>
        <w:rPr>
          <w:szCs w:val="22"/>
        </w:rPr>
      </w:pPr>
      <w:r w:rsidRPr="00F16087">
        <w:rPr>
          <w:szCs w:val="22"/>
        </w:rPr>
        <w:t>The ESC considered it was difficult to assess the comparative efficacy of apremilast and cyclosporin from the presented evidence as disease severity was not known for either treatment, and</w:t>
      </w:r>
      <w:r w:rsidR="00B47B43" w:rsidRPr="00F16087">
        <w:rPr>
          <w:szCs w:val="22"/>
        </w:rPr>
        <w:t xml:space="preserve"> patients in</w:t>
      </w:r>
      <w:r w:rsidRPr="00F16087">
        <w:rPr>
          <w:szCs w:val="22"/>
        </w:rPr>
        <w:t xml:space="preserve"> the apremilast arm could receive other systemic therapies whils</w:t>
      </w:r>
      <w:r w:rsidR="00646D0F" w:rsidRPr="00F16087">
        <w:rPr>
          <w:szCs w:val="22"/>
        </w:rPr>
        <w:t>t</w:t>
      </w:r>
      <w:r w:rsidR="00B473D8" w:rsidRPr="00F16087">
        <w:rPr>
          <w:szCs w:val="22"/>
        </w:rPr>
        <w:t xml:space="preserve"> those in</w:t>
      </w:r>
      <w:r w:rsidR="00646D0F" w:rsidRPr="00F16087">
        <w:rPr>
          <w:szCs w:val="22"/>
        </w:rPr>
        <w:t xml:space="preserve"> the cyclosporin arm could not</w:t>
      </w:r>
      <w:r w:rsidRPr="00F16087">
        <w:rPr>
          <w:szCs w:val="22"/>
        </w:rPr>
        <w:t>.</w:t>
      </w:r>
      <w:r w:rsidR="00970335" w:rsidRPr="00F16087">
        <w:rPr>
          <w:szCs w:val="22"/>
        </w:rPr>
        <w:t xml:space="preserve"> </w:t>
      </w:r>
    </w:p>
    <w:p w:rsidR="00497EA5" w:rsidRPr="00F16087" w:rsidRDefault="00497EA5" w:rsidP="003662EA">
      <w:pPr>
        <w:pStyle w:val="ListParagraph"/>
        <w:widowControl/>
        <w:rPr>
          <w:szCs w:val="22"/>
        </w:rPr>
      </w:pPr>
    </w:p>
    <w:p w:rsidR="009612F9" w:rsidRPr="00F16087" w:rsidRDefault="00901C88" w:rsidP="003662EA">
      <w:pPr>
        <w:pStyle w:val="ListParagraph"/>
        <w:widowControl/>
        <w:numPr>
          <w:ilvl w:val="1"/>
          <w:numId w:val="1"/>
        </w:numPr>
        <w:rPr>
          <w:szCs w:val="22"/>
        </w:rPr>
      </w:pPr>
      <w:r w:rsidRPr="00F16087">
        <w:rPr>
          <w:iCs/>
          <w:szCs w:val="22"/>
          <w:u w:val="single"/>
        </w:rPr>
        <w:t>Non-randomised evidence – supportive persistence studies</w:t>
      </w:r>
      <w:r w:rsidRPr="00F16087">
        <w:rPr>
          <w:iCs/>
          <w:szCs w:val="22"/>
        </w:rPr>
        <w:t xml:space="preserve">: </w:t>
      </w:r>
      <w:r w:rsidR="009612F9" w:rsidRPr="00F16087">
        <w:rPr>
          <w:iCs/>
          <w:szCs w:val="22"/>
        </w:rPr>
        <w:t xml:space="preserve">The results of the supportive non-randomised persistence studies (Australian Otezla® PFP, German longitudinal prescriptions and Canadian </w:t>
      </w:r>
      <w:proofErr w:type="spellStart"/>
      <w:r w:rsidR="009612F9" w:rsidRPr="00F16087">
        <w:rPr>
          <w:iCs/>
          <w:szCs w:val="22"/>
        </w:rPr>
        <w:t>ezStart</w:t>
      </w:r>
      <w:proofErr w:type="spellEnd"/>
      <w:r w:rsidR="009612F9" w:rsidRPr="00F16087">
        <w:rPr>
          <w:iCs/>
          <w:szCs w:val="22"/>
        </w:rPr>
        <w:t xml:space="preserve"> program) demonstrated a declining trend in apremilast persistence rates over time</w:t>
      </w:r>
      <w:r w:rsidR="00A45436" w:rsidRPr="00F16087">
        <w:rPr>
          <w:iCs/>
          <w:szCs w:val="22"/>
        </w:rPr>
        <w:t xml:space="preserve"> following </w:t>
      </w:r>
      <w:r w:rsidR="000B4D52" w:rsidRPr="00F16087">
        <w:rPr>
          <w:iCs/>
          <w:szCs w:val="22"/>
        </w:rPr>
        <w:t>initiation of therapy,</w:t>
      </w:r>
      <w:r w:rsidR="009612F9" w:rsidRPr="00F16087">
        <w:rPr>
          <w:iCs/>
          <w:szCs w:val="22"/>
        </w:rPr>
        <w:t xml:space="preserve"> similar to the US data in Table 6. </w:t>
      </w:r>
      <w:r w:rsidR="009612F9" w:rsidRPr="00F16087">
        <w:t xml:space="preserve">The persistence to apremilast therapy in the Australian Otezla® PFP cohorts was greater than in the US persistence analysis. </w:t>
      </w:r>
      <w:r w:rsidR="009612F9" w:rsidRPr="00F16087">
        <w:rPr>
          <w:iCs/>
        </w:rPr>
        <w:t xml:space="preserve">The German persistence rates were higher than those in the Australian cohorts in the initial months of </w:t>
      </w:r>
      <w:proofErr w:type="gramStart"/>
      <w:r w:rsidR="009612F9" w:rsidRPr="00F16087">
        <w:rPr>
          <w:iCs/>
        </w:rPr>
        <w:t>treatment,</w:t>
      </w:r>
      <w:proofErr w:type="gramEnd"/>
      <w:r w:rsidR="009612F9" w:rsidRPr="00F16087">
        <w:rPr>
          <w:iCs/>
        </w:rPr>
        <w:t xml:space="preserve"> and similar to the Australian rate at 4 months</w:t>
      </w:r>
      <w:r w:rsidR="009612F9" w:rsidRPr="00F16087">
        <w:t xml:space="preserve"> (limited inference can be drawn from the German analysis beyond 4 months). </w:t>
      </w:r>
      <w:r w:rsidR="009612F9" w:rsidRPr="00F16087">
        <w:rPr>
          <w:iCs/>
        </w:rPr>
        <w:t>The Canadian persistence rates were higher than the Australian rates and converged with the Australian rates at 9</w:t>
      </w:r>
      <w:r w:rsidR="00D84EBB" w:rsidRPr="00F16087">
        <w:rPr>
          <w:iCs/>
        </w:rPr>
        <w:noBreakHyphen/>
      </w:r>
      <w:r w:rsidR="009612F9" w:rsidRPr="00F16087">
        <w:rPr>
          <w:iCs/>
        </w:rPr>
        <w:t>10</w:t>
      </w:r>
      <w:r w:rsidR="00D84EBB" w:rsidRPr="00F16087">
        <w:rPr>
          <w:iCs/>
        </w:rPr>
        <w:t> </w:t>
      </w:r>
      <w:r w:rsidR="009612F9" w:rsidRPr="00F16087">
        <w:rPr>
          <w:iCs/>
        </w:rPr>
        <w:t>months. The</w:t>
      </w:r>
      <w:r w:rsidR="00FC00B1" w:rsidRPr="00F16087">
        <w:rPr>
          <w:iCs/>
        </w:rPr>
        <w:t xml:space="preserve"> validity </w:t>
      </w:r>
      <w:r w:rsidR="009612F9" w:rsidRPr="00F16087">
        <w:rPr>
          <w:iCs/>
        </w:rPr>
        <w:t xml:space="preserve">of comparing across these studies </w:t>
      </w:r>
      <w:r w:rsidR="00FC00B1" w:rsidRPr="00F16087">
        <w:rPr>
          <w:iCs/>
        </w:rPr>
        <w:t xml:space="preserve">is limited </w:t>
      </w:r>
      <w:r w:rsidR="009612F9" w:rsidRPr="00F16087">
        <w:rPr>
          <w:iCs/>
        </w:rPr>
        <w:t>due to differences in inclusion criteria (as outlined in Table 4).</w:t>
      </w:r>
    </w:p>
    <w:p w:rsidR="00B815D9" w:rsidRPr="00F16087" w:rsidRDefault="00B815D9" w:rsidP="003662EA">
      <w:pPr>
        <w:widowControl/>
        <w:rPr>
          <w:iCs/>
          <w:szCs w:val="22"/>
        </w:rPr>
      </w:pPr>
    </w:p>
    <w:p w:rsidR="00047BE2" w:rsidRPr="00F16087" w:rsidRDefault="002F1D32" w:rsidP="003662EA">
      <w:pPr>
        <w:pStyle w:val="ListParagraph"/>
        <w:widowControl/>
        <w:numPr>
          <w:ilvl w:val="1"/>
          <w:numId w:val="1"/>
        </w:numPr>
        <w:rPr>
          <w:szCs w:val="22"/>
        </w:rPr>
      </w:pPr>
      <w:r w:rsidRPr="00F16087">
        <w:rPr>
          <w:rFonts w:asciiTheme="minorBidi" w:hAnsiTheme="minorBidi" w:cstheme="minorBidi"/>
          <w:iCs/>
          <w:szCs w:val="22"/>
        </w:rPr>
        <w:t>For the Australian Otezla® PFP, outcomes of PASI 75 response and per</w:t>
      </w:r>
      <w:r w:rsidR="00B41DA2" w:rsidRPr="00F16087">
        <w:rPr>
          <w:rFonts w:asciiTheme="minorBidi" w:hAnsiTheme="minorBidi" w:cstheme="minorBidi"/>
          <w:iCs/>
          <w:szCs w:val="22"/>
        </w:rPr>
        <w:t xml:space="preserve"> </w:t>
      </w:r>
      <w:r w:rsidRPr="00F16087">
        <w:rPr>
          <w:rFonts w:asciiTheme="minorBidi" w:hAnsiTheme="minorBidi" w:cstheme="minorBidi"/>
          <w:iCs/>
          <w:szCs w:val="22"/>
        </w:rPr>
        <w:t>cent mean PASI change from baseline were also reported.</w:t>
      </w:r>
      <w:r w:rsidR="00132A33" w:rsidRPr="00F16087">
        <w:rPr>
          <w:rFonts w:asciiTheme="minorBidi" w:hAnsiTheme="minorBidi" w:cstheme="minorBidi"/>
          <w:iCs/>
          <w:szCs w:val="22"/>
        </w:rPr>
        <w:t xml:space="preserve"> </w:t>
      </w:r>
      <w:r w:rsidR="00D844D3" w:rsidRPr="00F16087">
        <w:rPr>
          <w:rFonts w:asciiTheme="minorBidi" w:hAnsiTheme="minorBidi" w:cstheme="minorBidi"/>
          <w:szCs w:val="22"/>
        </w:rPr>
        <w:t xml:space="preserve">The </w:t>
      </w:r>
      <w:r w:rsidR="00E41050" w:rsidRPr="00F16087">
        <w:rPr>
          <w:rFonts w:asciiTheme="minorBidi" w:hAnsiTheme="minorBidi" w:cstheme="minorBidi"/>
          <w:szCs w:val="22"/>
        </w:rPr>
        <w:t>resub</w:t>
      </w:r>
      <w:r w:rsidR="00D844D3" w:rsidRPr="00F16087">
        <w:rPr>
          <w:rFonts w:asciiTheme="minorBidi" w:hAnsiTheme="minorBidi" w:cstheme="minorBidi"/>
          <w:szCs w:val="22"/>
        </w:rPr>
        <w:t xml:space="preserve">mission stated that “the pronounced difference between the </w:t>
      </w:r>
      <w:r w:rsidR="00B41DA2" w:rsidRPr="00F16087">
        <w:rPr>
          <w:rFonts w:asciiTheme="minorBidi" w:hAnsiTheme="minorBidi" w:cstheme="minorBidi"/>
          <w:szCs w:val="22"/>
        </w:rPr>
        <w:t>n</w:t>
      </w:r>
      <w:r w:rsidR="00D844D3" w:rsidRPr="00F16087">
        <w:rPr>
          <w:rFonts w:asciiTheme="minorBidi" w:hAnsiTheme="minorBidi" w:cstheme="minorBidi"/>
          <w:szCs w:val="22"/>
        </w:rPr>
        <w:t>on-</w:t>
      </w:r>
      <w:r w:rsidR="00B41DA2" w:rsidRPr="00F16087">
        <w:rPr>
          <w:rFonts w:asciiTheme="minorBidi" w:hAnsiTheme="minorBidi" w:cstheme="minorBidi"/>
          <w:szCs w:val="22"/>
        </w:rPr>
        <w:t>r</w:t>
      </w:r>
      <w:r w:rsidR="00D844D3" w:rsidRPr="00F16087">
        <w:rPr>
          <w:rFonts w:asciiTheme="minorBidi" w:hAnsiTheme="minorBidi" w:cstheme="minorBidi"/>
          <w:szCs w:val="22"/>
        </w:rPr>
        <w:t xml:space="preserve">esponder </w:t>
      </w:r>
      <w:r w:rsidR="00B41DA2" w:rsidRPr="00F16087">
        <w:rPr>
          <w:rFonts w:asciiTheme="minorBidi" w:hAnsiTheme="minorBidi" w:cstheme="minorBidi"/>
          <w:szCs w:val="22"/>
        </w:rPr>
        <w:t>i</w:t>
      </w:r>
      <w:r w:rsidR="00D844D3" w:rsidRPr="00F16087">
        <w:rPr>
          <w:rFonts w:asciiTheme="minorBidi" w:hAnsiTheme="minorBidi" w:cstheme="minorBidi"/>
          <w:szCs w:val="22"/>
        </w:rPr>
        <w:t>mputed (NRI) and observed data validates the a priori assumption that patients remain on therapy due to a perceived clinical benefit”.</w:t>
      </w:r>
      <w:r w:rsidR="00D844D3" w:rsidRPr="00F16087">
        <w:rPr>
          <w:rFonts w:asciiTheme="minorBidi" w:hAnsiTheme="minorBidi" w:cstheme="minorBidi"/>
          <w:iCs/>
          <w:szCs w:val="22"/>
        </w:rPr>
        <w:t xml:space="preserve"> </w:t>
      </w:r>
      <w:r w:rsidR="00132A33" w:rsidRPr="00F16087">
        <w:rPr>
          <w:rFonts w:asciiTheme="minorBidi" w:hAnsiTheme="minorBidi" w:cstheme="minorBidi"/>
          <w:szCs w:val="22"/>
        </w:rPr>
        <w:t xml:space="preserve">The </w:t>
      </w:r>
      <w:r w:rsidR="00D84EBB" w:rsidRPr="00F16087">
        <w:rPr>
          <w:rFonts w:asciiTheme="minorBidi" w:hAnsiTheme="minorBidi" w:cstheme="minorBidi"/>
          <w:szCs w:val="22"/>
        </w:rPr>
        <w:t xml:space="preserve">evaluation considered that the </w:t>
      </w:r>
      <w:r w:rsidR="00132A33" w:rsidRPr="00F16087">
        <w:rPr>
          <w:rFonts w:asciiTheme="minorBidi" w:hAnsiTheme="minorBidi" w:cstheme="minorBidi"/>
          <w:szCs w:val="22"/>
        </w:rPr>
        <w:t xml:space="preserve">observed correlation between persistence with apremilast and “perceived clinical benefit” observed in the Australian Otezla® PFP may in fact be a result of the aim of the program </w:t>
      </w:r>
      <w:r w:rsidR="00B41DA2" w:rsidRPr="00F16087">
        <w:rPr>
          <w:rFonts w:asciiTheme="minorBidi" w:hAnsiTheme="minorBidi" w:cstheme="minorBidi"/>
          <w:szCs w:val="22"/>
        </w:rPr>
        <w:t>i.e.</w:t>
      </w:r>
      <w:r w:rsidR="00132A33" w:rsidRPr="00F16087">
        <w:rPr>
          <w:rFonts w:asciiTheme="minorBidi" w:hAnsiTheme="minorBidi" w:cstheme="minorBidi"/>
          <w:szCs w:val="22"/>
        </w:rPr>
        <w:t xml:space="preserve">, that patients “who continue to meet the eligibility criteria [no PASI worsening at week 16 or maintenance of response at assessments &gt;16 weeks and no addition of </w:t>
      </w:r>
      <w:proofErr w:type="spellStart"/>
      <w:r w:rsidR="00132A33" w:rsidRPr="00F16087">
        <w:rPr>
          <w:rFonts w:asciiTheme="minorBidi" w:hAnsiTheme="minorBidi" w:cstheme="minorBidi"/>
          <w:szCs w:val="22"/>
        </w:rPr>
        <w:t>systemics</w:t>
      </w:r>
      <w:proofErr w:type="spellEnd"/>
      <w:r w:rsidR="00132A33" w:rsidRPr="00F16087">
        <w:rPr>
          <w:rFonts w:asciiTheme="minorBidi" w:hAnsiTheme="minorBidi" w:cstheme="minorBidi"/>
          <w:szCs w:val="22"/>
        </w:rPr>
        <w:t xml:space="preserve"> and biologics at all assessments] for ongoing treatment will be supplied apremilast for up to 3 years from commencement of therapy, or until PBS listing”.  </w:t>
      </w:r>
    </w:p>
    <w:p w:rsidR="00047BE2" w:rsidRPr="00F16087" w:rsidRDefault="00E166DA" w:rsidP="003662EA">
      <w:pPr>
        <w:pStyle w:val="ListParagraph"/>
        <w:widowControl/>
        <w:numPr>
          <w:ilvl w:val="2"/>
          <w:numId w:val="1"/>
        </w:numPr>
        <w:ind w:left="993" w:hanging="284"/>
        <w:rPr>
          <w:szCs w:val="22"/>
        </w:rPr>
      </w:pPr>
      <w:r w:rsidRPr="00F16087">
        <w:rPr>
          <w:rFonts w:asciiTheme="minorBidi" w:hAnsiTheme="minorBidi" w:cstheme="minorBidi"/>
          <w:szCs w:val="22"/>
        </w:rPr>
        <w:t xml:space="preserve">The PSCR (p1) stated that the correlation between persistence and PASI response was not inevitable.  The PSCR also stated that continuation of treatment with apremilast under the Australian Otezla® PFP was governed by clinical judgement and patient preference, and that patients were not required to demonstrate a minimum response to treatment </w:t>
      </w:r>
      <w:r w:rsidR="00047BE2" w:rsidRPr="00F16087">
        <w:rPr>
          <w:rFonts w:asciiTheme="minorBidi" w:hAnsiTheme="minorBidi" w:cstheme="minorBidi"/>
          <w:szCs w:val="22"/>
        </w:rPr>
        <w:t xml:space="preserve">in order to remain on the PFP. </w:t>
      </w:r>
    </w:p>
    <w:p w:rsidR="00B815D9" w:rsidRPr="00F16087" w:rsidRDefault="00047BE2" w:rsidP="003662EA">
      <w:pPr>
        <w:pStyle w:val="ListParagraph"/>
        <w:widowControl/>
        <w:numPr>
          <w:ilvl w:val="2"/>
          <w:numId w:val="1"/>
        </w:numPr>
        <w:ind w:left="993" w:hanging="284"/>
        <w:rPr>
          <w:szCs w:val="22"/>
        </w:rPr>
      </w:pPr>
      <w:r w:rsidRPr="00F16087">
        <w:rPr>
          <w:rFonts w:asciiTheme="minorBidi" w:hAnsiTheme="minorBidi" w:cstheme="minorBidi"/>
          <w:szCs w:val="22"/>
        </w:rPr>
        <w:t>The ESC considered that this appeared</w:t>
      </w:r>
      <w:r w:rsidR="00E166DA" w:rsidRPr="00F16087">
        <w:rPr>
          <w:rFonts w:asciiTheme="minorBidi" w:hAnsiTheme="minorBidi" w:cstheme="minorBidi"/>
          <w:szCs w:val="22"/>
        </w:rPr>
        <w:t xml:space="preserve"> to contradi</w:t>
      </w:r>
      <w:r w:rsidRPr="00F16087">
        <w:rPr>
          <w:rFonts w:asciiTheme="minorBidi" w:hAnsiTheme="minorBidi" w:cstheme="minorBidi"/>
          <w:szCs w:val="22"/>
        </w:rPr>
        <w:t>ct what was presented in the re</w:t>
      </w:r>
      <w:r w:rsidR="00E166DA" w:rsidRPr="00F16087">
        <w:rPr>
          <w:rFonts w:asciiTheme="minorBidi" w:hAnsiTheme="minorBidi" w:cstheme="minorBidi"/>
          <w:szCs w:val="22"/>
        </w:rPr>
        <w:t xml:space="preserve">submission (Figure B-2, p67 of the re-submission), which showed that that patients were deemed eligible to continue apremilast treatment at 16 weeks if the following criteria were met: no PASI worsening of disease from baseline; and no addition of concomitant oral </w:t>
      </w:r>
      <w:r w:rsidRPr="00F16087">
        <w:rPr>
          <w:rFonts w:asciiTheme="minorBidi" w:hAnsiTheme="minorBidi" w:cstheme="minorBidi"/>
          <w:szCs w:val="22"/>
        </w:rPr>
        <w:t xml:space="preserve">systemic, or biologic therapy. </w:t>
      </w:r>
      <w:r w:rsidR="00E166DA" w:rsidRPr="00F16087">
        <w:rPr>
          <w:rFonts w:asciiTheme="minorBidi" w:hAnsiTheme="minorBidi" w:cstheme="minorBidi"/>
          <w:szCs w:val="22"/>
        </w:rPr>
        <w:t>The PASI is an objective and quantitative assessmen</w:t>
      </w:r>
      <w:r w:rsidRPr="00F16087">
        <w:rPr>
          <w:rFonts w:asciiTheme="minorBidi" w:hAnsiTheme="minorBidi" w:cstheme="minorBidi"/>
          <w:szCs w:val="22"/>
        </w:rPr>
        <w:t xml:space="preserve">t of psoriasis </w:t>
      </w:r>
      <w:proofErr w:type="spellStart"/>
      <w:r w:rsidRPr="00F16087">
        <w:rPr>
          <w:rFonts w:asciiTheme="minorBidi" w:hAnsiTheme="minorBidi" w:cstheme="minorBidi"/>
          <w:szCs w:val="22"/>
        </w:rPr>
        <w:t>lesional</w:t>
      </w:r>
      <w:proofErr w:type="spellEnd"/>
      <w:r w:rsidRPr="00F16087">
        <w:rPr>
          <w:rFonts w:asciiTheme="minorBidi" w:hAnsiTheme="minorBidi" w:cstheme="minorBidi"/>
          <w:szCs w:val="22"/>
        </w:rPr>
        <w:t xml:space="preserve"> burden.</w:t>
      </w:r>
      <w:r w:rsidR="00E166DA" w:rsidRPr="00F16087">
        <w:rPr>
          <w:rFonts w:asciiTheme="minorBidi" w:hAnsiTheme="minorBidi" w:cstheme="minorBidi"/>
          <w:szCs w:val="22"/>
        </w:rPr>
        <w:t xml:space="preserve"> Hence, if the PASI was used to assess response at 16 weeks, treatment continuation under the PFP was not governed by clinical judgement.</w:t>
      </w:r>
    </w:p>
    <w:p w:rsidR="00D84EBB" w:rsidRPr="00F16087" w:rsidRDefault="00D84EBB" w:rsidP="003662EA">
      <w:pPr>
        <w:pStyle w:val="ListParagraph"/>
        <w:widowControl/>
        <w:numPr>
          <w:ilvl w:val="2"/>
          <w:numId w:val="1"/>
        </w:numPr>
        <w:ind w:left="993" w:hanging="284"/>
        <w:rPr>
          <w:szCs w:val="22"/>
        </w:rPr>
      </w:pPr>
      <w:r w:rsidRPr="00F16087">
        <w:rPr>
          <w:rFonts w:asciiTheme="minorBidi" w:hAnsiTheme="minorBidi" w:cstheme="minorBidi"/>
          <w:szCs w:val="22"/>
        </w:rPr>
        <w:t xml:space="preserve">The pre-PBAC response </w:t>
      </w:r>
      <w:r w:rsidR="00DE4A5F" w:rsidRPr="00F16087">
        <w:rPr>
          <w:rFonts w:asciiTheme="minorBidi" w:hAnsiTheme="minorBidi" w:cstheme="minorBidi"/>
          <w:szCs w:val="22"/>
        </w:rPr>
        <w:t xml:space="preserve">(p3) </w:t>
      </w:r>
      <w:r w:rsidRPr="00F16087">
        <w:rPr>
          <w:rFonts w:asciiTheme="minorBidi" w:hAnsiTheme="minorBidi" w:cstheme="minorBidi"/>
          <w:szCs w:val="22"/>
        </w:rPr>
        <w:t>acknowledged the “perceived contradiction between the resubmission and PSCR noted by the ESC</w:t>
      </w:r>
      <w:r w:rsidR="00DE4A5F" w:rsidRPr="00F16087">
        <w:rPr>
          <w:rFonts w:asciiTheme="minorBidi" w:hAnsiTheme="minorBidi" w:cstheme="minorBidi"/>
          <w:szCs w:val="22"/>
        </w:rPr>
        <w:t>”</w:t>
      </w:r>
      <w:r w:rsidR="00673075" w:rsidRPr="00F16087">
        <w:rPr>
          <w:rFonts w:asciiTheme="minorBidi" w:hAnsiTheme="minorBidi" w:cstheme="minorBidi"/>
          <w:szCs w:val="22"/>
        </w:rPr>
        <w:t xml:space="preserve">. The pre-PBAC response claimed, however, that the response criteria noted by the ESC was to “enable a degree of medical visibility of judicious prescribing” and the sponsor </w:t>
      </w:r>
      <w:r w:rsidR="00630E1B" w:rsidRPr="00F16087">
        <w:rPr>
          <w:rFonts w:asciiTheme="minorBidi" w:hAnsiTheme="minorBidi" w:cstheme="minorBidi"/>
          <w:szCs w:val="22"/>
        </w:rPr>
        <w:t>maintained</w:t>
      </w:r>
      <w:r w:rsidRPr="00F16087">
        <w:rPr>
          <w:rFonts w:asciiTheme="minorBidi" w:hAnsiTheme="minorBidi" w:cstheme="minorBidi"/>
          <w:szCs w:val="22"/>
        </w:rPr>
        <w:t xml:space="preserve"> </w:t>
      </w:r>
      <w:r w:rsidR="00DE4A5F" w:rsidRPr="00F16087">
        <w:rPr>
          <w:rFonts w:asciiTheme="minorBidi" w:hAnsiTheme="minorBidi" w:cstheme="minorBidi"/>
          <w:szCs w:val="22"/>
        </w:rPr>
        <w:t xml:space="preserve">that </w:t>
      </w:r>
      <w:r w:rsidR="00630E1B" w:rsidRPr="00F16087">
        <w:rPr>
          <w:rFonts w:asciiTheme="minorBidi" w:hAnsiTheme="minorBidi" w:cstheme="minorBidi"/>
          <w:szCs w:val="22"/>
        </w:rPr>
        <w:t>“</w:t>
      </w:r>
      <w:r w:rsidR="00DE4A5F" w:rsidRPr="00F16087">
        <w:rPr>
          <w:rFonts w:asciiTheme="minorBidi" w:hAnsiTheme="minorBidi" w:cstheme="minorBidi"/>
          <w:szCs w:val="22"/>
        </w:rPr>
        <w:t>the PASI is not the only final health outcome of relevance to the patient and that the decision to continue a treatment is a joint clinical decision between the clinician and the patient</w:t>
      </w:r>
      <w:r w:rsidRPr="00F16087">
        <w:rPr>
          <w:rFonts w:asciiTheme="minorBidi" w:hAnsiTheme="minorBidi" w:cstheme="minorBidi"/>
          <w:szCs w:val="22"/>
        </w:rPr>
        <w:t>.</w:t>
      </w:r>
      <w:r w:rsidR="00DE4A5F" w:rsidRPr="00F16087">
        <w:rPr>
          <w:rFonts w:asciiTheme="minorBidi" w:hAnsiTheme="minorBidi" w:cstheme="minorBidi"/>
          <w:szCs w:val="22"/>
        </w:rPr>
        <w:t>”</w:t>
      </w:r>
    </w:p>
    <w:p w:rsidR="00E166DA" w:rsidRPr="00F16087" w:rsidRDefault="00E166DA" w:rsidP="003662EA">
      <w:pPr>
        <w:widowControl/>
        <w:rPr>
          <w:iCs/>
        </w:rPr>
      </w:pPr>
    </w:p>
    <w:p w:rsidR="00B60939" w:rsidRPr="00F16087" w:rsidRDefault="00B60939" w:rsidP="00936877">
      <w:pPr>
        <w:pStyle w:val="Heading3"/>
        <w:keepNext/>
        <w:widowControl/>
      </w:pPr>
      <w:bookmarkStart w:id="10" w:name="_Toc461464570"/>
      <w:r w:rsidRPr="00F16087">
        <w:t>Comparative harms</w:t>
      </w:r>
      <w:bookmarkEnd w:id="10"/>
    </w:p>
    <w:p w:rsidR="00B60939" w:rsidRPr="00F16087" w:rsidRDefault="00B60939" w:rsidP="00936877">
      <w:pPr>
        <w:keepNext/>
        <w:widowControl/>
        <w:ind w:left="720" w:hanging="720"/>
        <w:rPr>
          <w:szCs w:val="22"/>
        </w:rPr>
      </w:pPr>
    </w:p>
    <w:p w:rsidR="00CF14E3" w:rsidRPr="00F16087" w:rsidRDefault="00287F09" w:rsidP="003662EA">
      <w:pPr>
        <w:pStyle w:val="ListParagraph"/>
        <w:widowControl/>
        <w:numPr>
          <w:ilvl w:val="1"/>
          <w:numId w:val="1"/>
        </w:numPr>
      </w:pPr>
      <w:r w:rsidRPr="00F16087">
        <w:rPr>
          <w:rFonts w:asciiTheme="minorBidi" w:hAnsiTheme="minorBidi" w:cstheme="minorBidi"/>
          <w:szCs w:val="22"/>
        </w:rPr>
        <w:t>Treatment</w:t>
      </w:r>
      <w:r w:rsidRPr="00F16087">
        <w:t xml:space="preserve"> emergent adverse events (TEAEs) that occurred in the placebo-controlled phases (0</w:t>
      </w:r>
      <w:r w:rsidR="00B41DA2" w:rsidRPr="00F16087">
        <w:t>-</w:t>
      </w:r>
      <w:r w:rsidRPr="00F16087">
        <w:t xml:space="preserve">16 weeks) of ESTEEM-1, ESTEEM-2, LIBERATE and CORE demonstrated that a </w:t>
      </w:r>
      <w:r w:rsidRPr="00F16087">
        <w:rPr>
          <w:iCs/>
        </w:rPr>
        <w:t xml:space="preserve">significantly greater </w:t>
      </w:r>
      <w:r w:rsidR="00B41DA2" w:rsidRPr="00F16087">
        <w:rPr>
          <w:iCs/>
        </w:rPr>
        <w:t xml:space="preserve">number of </w:t>
      </w:r>
      <w:r w:rsidRPr="00F16087">
        <w:rPr>
          <w:iCs/>
        </w:rPr>
        <w:t xml:space="preserve">any TEAEs (RR=1.21, 95% CI: 1.12, 1.31) and drug-related TEAEs (RR=1.86, 95% CI: 1.46, 2.36) were reported with apremilast compared with placebo. </w:t>
      </w:r>
      <w:r w:rsidRPr="00F16087">
        <w:t>Most were predominately mild or moderate in severity</w:t>
      </w:r>
      <w:r w:rsidR="00B41DA2" w:rsidRPr="00F16087">
        <w:t xml:space="preserve">. </w:t>
      </w:r>
      <w:r w:rsidRPr="00F16087">
        <w:t>The most common TEAEs in either arm included headache (including tension headache), gastrointestinal events (diarrhoea and nausea), and infections (upper respiratory tract i</w:t>
      </w:r>
      <w:r w:rsidR="00936877" w:rsidRPr="00F16087">
        <w:t>nfection and nasopharyngitis).</w:t>
      </w:r>
    </w:p>
    <w:p w:rsidR="00287F09" w:rsidRPr="00F16087" w:rsidRDefault="00287F09" w:rsidP="003662EA">
      <w:pPr>
        <w:pStyle w:val="ListParagraph"/>
        <w:keepNext/>
        <w:keepLines/>
        <w:widowControl/>
      </w:pPr>
    </w:p>
    <w:p w:rsidR="004D58FE" w:rsidRPr="00F16087" w:rsidRDefault="00CF14E3" w:rsidP="003662EA">
      <w:pPr>
        <w:pStyle w:val="ListParagraph"/>
        <w:widowControl/>
        <w:numPr>
          <w:ilvl w:val="1"/>
          <w:numId w:val="1"/>
        </w:numPr>
      </w:pPr>
      <w:r w:rsidRPr="00F16087">
        <w:t xml:space="preserve">No </w:t>
      </w:r>
      <w:r w:rsidRPr="00F16087">
        <w:rPr>
          <w:rFonts w:asciiTheme="minorBidi" w:hAnsiTheme="minorBidi" w:cstheme="minorBidi"/>
          <w:szCs w:val="22"/>
        </w:rPr>
        <w:t>increase</w:t>
      </w:r>
      <w:r w:rsidRPr="00F16087">
        <w:t xml:space="preserve"> in rates of serious AEs and discontinuation rates due to AEs were reported with long-term exposure of apremilast.</w:t>
      </w:r>
    </w:p>
    <w:p w:rsidR="00BA3AD6" w:rsidRPr="00F16087" w:rsidRDefault="00BA3AD6" w:rsidP="003662EA">
      <w:pPr>
        <w:pStyle w:val="ListParagraph"/>
        <w:widowControl/>
      </w:pPr>
    </w:p>
    <w:p w:rsidR="00BA3AD6" w:rsidRPr="00F16087" w:rsidRDefault="00BA3AD6" w:rsidP="003662EA">
      <w:pPr>
        <w:pStyle w:val="ListParagraph"/>
        <w:widowControl/>
        <w:numPr>
          <w:ilvl w:val="1"/>
          <w:numId w:val="1"/>
        </w:numPr>
      </w:pPr>
      <w:r w:rsidRPr="00F16087">
        <w:rPr>
          <w:rFonts w:asciiTheme="minorBidi" w:hAnsiTheme="minorBidi" w:cstheme="minorBidi"/>
          <w:szCs w:val="22"/>
        </w:rPr>
        <w:t>The</w:t>
      </w:r>
      <w:r w:rsidRPr="00F16087">
        <w:t xml:space="preserve"> </w:t>
      </w:r>
      <w:r w:rsidR="00E41050" w:rsidRPr="00F16087">
        <w:t>resub</w:t>
      </w:r>
      <w:r w:rsidRPr="00F16087">
        <w:t xml:space="preserve">mission did not present </w:t>
      </w:r>
      <w:r w:rsidR="00287F09" w:rsidRPr="00F16087">
        <w:t>any</w:t>
      </w:r>
      <w:r w:rsidRPr="00F16087">
        <w:t xml:space="preserve"> comparison</w:t>
      </w:r>
      <w:r w:rsidR="00287F09" w:rsidRPr="00F16087">
        <w:t>s</w:t>
      </w:r>
      <w:r w:rsidRPr="00F16087">
        <w:t xml:space="preserve"> between apremilast and c</w:t>
      </w:r>
      <w:r w:rsidR="00897D56" w:rsidRPr="00F16087">
        <w:t>yclosporin for safety outcomes.</w:t>
      </w:r>
      <w:r w:rsidRPr="00F16087">
        <w:t xml:space="preserve"> </w:t>
      </w:r>
      <w:r w:rsidRPr="00F16087">
        <w:rPr>
          <w:iCs/>
        </w:rPr>
        <w:t>The safety profil</w:t>
      </w:r>
      <w:r w:rsidR="00936877" w:rsidRPr="00F16087">
        <w:rPr>
          <w:iCs/>
        </w:rPr>
        <w:t>e of cyclosporin is well known.</w:t>
      </w:r>
      <w:r w:rsidRPr="00F16087">
        <w:rPr>
          <w:iCs/>
        </w:rPr>
        <w:t xml:space="preserve"> Very common adverse events reported in the </w:t>
      </w:r>
      <w:r w:rsidR="000B4D52" w:rsidRPr="00F16087">
        <w:rPr>
          <w:iCs/>
        </w:rPr>
        <w:t xml:space="preserve">TGA approved product information (PI) </w:t>
      </w:r>
      <w:r w:rsidRPr="00F16087">
        <w:rPr>
          <w:iCs/>
        </w:rPr>
        <w:t xml:space="preserve">include: hypertension, </w:t>
      </w:r>
      <w:proofErr w:type="spellStart"/>
      <w:r w:rsidRPr="00F16087">
        <w:rPr>
          <w:iCs/>
        </w:rPr>
        <w:t>hirsutism</w:t>
      </w:r>
      <w:proofErr w:type="spellEnd"/>
      <w:r w:rsidRPr="00F16087">
        <w:rPr>
          <w:iCs/>
        </w:rPr>
        <w:t>, impaired renal function, gingival hypertrophy, gastrointestinal disturbances, tremor an</w:t>
      </w:r>
      <w:r w:rsidR="00936877" w:rsidRPr="00F16087">
        <w:rPr>
          <w:iCs/>
        </w:rPr>
        <w:t>d fatigue, and hyperlipidaemia.</w:t>
      </w:r>
    </w:p>
    <w:p w:rsidR="00990649" w:rsidRPr="00F16087" w:rsidRDefault="00990649" w:rsidP="003662EA">
      <w:pPr>
        <w:widowControl/>
        <w:contextualSpacing/>
        <w:rPr>
          <w:szCs w:val="22"/>
        </w:rPr>
      </w:pPr>
    </w:p>
    <w:p w:rsidR="00990649" w:rsidRPr="00F16087" w:rsidRDefault="00990649" w:rsidP="003662EA">
      <w:pPr>
        <w:pStyle w:val="Heading3"/>
        <w:widowControl/>
        <w:rPr>
          <w:szCs w:val="22"/>
        </w:rPr>
      </w:pPr>
      <w:r w:rsidRPr="00F16087">
        <w:t>Benefits/harms</w:t>
      </w:r>
    </w:p>
    <w:p w:rsidR="00990649" w:rsidRPr="00F16087" w:rsidRDefault="00990649" w:rsidP="003662EA">
      <w:pPr>
        <w:widowControl/>
        <w:rPr>
          <w:szCs w:val="22"/>
        </w:rPr>
      </w:pPr>
    </w:p>
    <w:p w:rsidR="00587404" w:rsidRPr="00F16087" w:rsidRDefault="00587404" w:rsidP="003662EA">
      <w:pPr>
        <w:widowControl/>
        <w:numPr>
          <w:ilvl w:val="1"/>
          <w:numId w:val="1"/>
        </w:numPr>
        <w:contextualSpacing/>
        <w:rPr>
          <w:szCs w:val="22"/>
        </w:rPr>
      </w:pPr>
      <w:r w:rsidRPr="00F16087">
        <w:rPr>
          <w:iCs/>
          <w:kern w:val="16"/>
        </w:rPr>
        <w:t xml:space="preserve">The modelled economic evaluation and financial estimates presented in the </w:t>
      </w:r>
      <w:r w:rsidR="00E41050" w:rsidRPr="00F16087">
        <w:rPr>
          <w:iCs/>
          <w:kern w:val="16"/>
        </w:rPr>
        <w:t>resub</w:t>
      </w:r>
      <w:r w:rsidR="00897D56" w:rsidRPr="00F16087">
        <w:rPr>
          <w:iCs/>
          <w:kern w:val="16"/>
        </w:rPr>
        <w:t>mission were based on the non</w:t>
      </w:r>
      <w:r w:rsidR="00897D56" w:rsidRPr="00F16087">
        <w:rPr>
          <w:iCs/>
          <w:kern w:val="16"/>
        </w:rPr>
        <w:noBreakHyphen/>
      </w:r>
      <w:r w:rsidRPr="00F16087">
        <w:rPr>
          <w:iCs/>
          <w:kern w:val="16"/>
        </w:rPr>
        <w:t xml:space="preserve">randomised studies reporting persistence, drug survival and retention for apremilast and cyclosporin (primarily the US </w:t>
      </w:r>
      <w:proofErr w:type="spellStart"/>
      <w:r w:rsidR="00843E20" w:rsidRPr="00F16087">
        <w:rPr>
          <w:iCs/>
          <w:kern w:val="16"/>
        </w:rPr>
        <w:t>MarketScan</w:t>
      </w:r>
      <w:proofErr w:type="spellEnd"/>
      <w:r w:rsidR="00897D56" w:rsidRPr="00F16087">
        <w:rPr>
          <w:iCs/>
          <w:kern w:val="16"/>
        </w:rPr>
        <w:t>® databases).</w:t>
      </w:r>
      <w:r w:rsidRPr="00F16087">
        <w:rPr>
          <w:iCs/>
          <w:kern w:val="16"/>
        </w:rPr>
        <w:t xml:space="preserve"> The randomised apremilast trials are versus placebo, and an indirect comparison of apremilast versus the nominated comparator of cyclosporin </w:t>
      </w:r>
      <w:r w:rsidR="009D0937" w:rsidRPr="00F16087">
        <w:rPr>
          <w:iCs/>
          <w:kern w:val="16"/>
        </w:rPr>
        <w:t>was not conducted by</w:t>
      </w:r>
      <w:r w:rsidRPr="00F16087">
        <w:rPr>
          <w:iCs/>
          <w:kern w:val="16"/>
        </w:rPr>
        <w:t xml:space="preserve"> the </w:t>
      </w:r>
      <w:r w:rsidR="00E41050" w:rsidRPr="00F16087">
        <w:rPr>
          <w:iCs/>
          <w:kern w:val="16"/>
        </w:rPr>
        <w:t>resub</w:t>
      </w:r>
      <w:r w:rsidRPr="00F16087">
        <w:rPr>
          <w:iCs/>
          <w:kern w:val="16"/>
        </w:rPr>
        <w:t>mission.</w:t>
      </w:r>
      <w:r w:rsidR="00936877" w:rsidRPr="00F16087">
        <w:rPr>
          <w:iCs/>
          <w:kern w:val="16"/>
        </w:rPr>
        <w:t xml:space="preserve"> </w:t>
      </w:r>
      <w:r w:rsidR="00936877" w:rsidRPr="00F16087">
        <w:rPr>
          <w:iCs/>
        </w:rPr>
        <w:t>Accordingly, a benefits/harms table has not been presented.</w:t>
      </w:r>
    </w:p>
    <w:p w:rsidR="00B60939" w:rsidRPr="00F16087" w:rsidRDefault="00B60939" w:rsidP="003662EA">
      <w:pPr>
        <w:widowControl/>
        <w:rPr>
          <w:szCs w:val="22"/>
        </w:rPr>
      </w:pPr>
    </w:p>
    <w:p w:rsidR="00B60939" w:rsidRPr="00F16087" w:rsidRDefault="00B60939" w:rsidP="001824D9">
      <w:pPr>
        <w:pStyle w:val="Heading3"/>
        <w:keepNext/>
        <w:widowControl/>
      </w:pPr>
      <w:bookmarkStart w:id="11" w:name="_Toc461464571"/>
      <w:r w:rsidRPr="00F16087">
        <w:t>Clinical claim</w:t>
      </w:r>
      <w:bookmarkEnd w:id="11"/>
    </w:p>
    <w:p w:rsidR="000449B4" w:rsidRPr="00F16087" w:rsidRDefault="000449B4" w:rsidP="001824D9">
      <w:pPr>
        <w:keepNext/>
        <w:widowControl/>
        <w:rPr>
          <w:iCs/>
        </w:rPr>
      </w:pPr>
    </w:p>
    <w:p w:rsidR="00F756F8" w:rsidRPr="00F16087" w:rsidRDefault="00F756F8" w:rsidP="003662EA">
      <w:pPr>
        <w:pStyle w:val="ListParagraph"/>
        <w:widowControl/>
        <w:numPr>
          <w:ilvl w:val="1"/>
          <w:numId w:val="1"/>
        </w:numPr>
      </w:pPr>
      <w:r w:rsidRPr="00F16087">
        <w:t>Based on randomised evidence, t</w:t>
      </w:r>
      <w:r w:rsidR="000449B4" w:rsidRPr="00F16087">
        <w:t xml:space="preserve">he </w:t>
      </w:r>
      <w:r w:rsidR="00E41050" w:rsidRPr="00F16087">
        <w:t>resub</w:t>
      </w:r>
      <w:r w:rsidR="000449B4" w:rsidRPr="00F16087">
        <w:t xml:space="preserve">mission describes apremilast as superior in terms of comparative effectiveness and inferior in terms of safety, over </w:t>
      </w:r>
      <w:r w:rsidR="000449B4" w:rsidRPr="00F16087">
        <w:rPr>
          <w:u w:val="single"/>
        </w:rPr>
        <w:t>placebo</w:t>
      </w:r>
      <w:r w:rsidR="00901C88" w:rsidRPr="00F16087">
        <w:t>.</w:t>
      </w:r>
      <w:r w:rsidR="000449B4" w:rsidRPr="00F16087">
        <w:t xml:space="preserve"> </w:t>
      </w:r>
      <w:r w:rsidR="00901C88" w:rsidRPr="00F16087">
        <w:rPr>
          <w:iCs/>
        </w:rPr>
        <w:t>The evaluation</w:t>
      </w:r>
      <w:r w:rsidR="00936877" w:rsidRPr="00F16087">
        <w:rPr>
          <w:iCs/>
        </w:rPr>
        <w:t>,</w:t>
      </w:r>
      <w:r w:rsidR="00901C88" w:rsidRPr="00F16087">
        <w:rPr>
          <w:iCs/>
        </w:rPr>
        <w:t xml:space="preserve"> </w:t>
      </w:r>
      <w:r w:rsidR="00851B1A" w:rsidRPr="00F16087">
        <w:rPr>
          <w:iCs/>
        </w:rPr>
        <w:t xml:space="preserve">ESC </w:t>
      </w:r>
      <w:r w:rsidR="00936877" w:rsidRPr="00F16087">
        <w:rPr>
          <w:iCs/>
        </w:rPr>
        <w:t xml:space="preserve">and the PBAC </w:t>
      </w:r>
      <w:r w:rsidR="00901C88" w:rsidRPr="00F16087">
        <w:rPr>
          <w:iCs/>
        </w:rPr>
        <w:t>considered that this</w:t>
      </w:r>
      <w:r w:rsidR="000449B4" w:rsidRPr="00F16087">
        <w:rPr>
          <w:iCs/>
        </w:rPr>
        <w:t xml:space="preserve"> conclusion </w:t>
      </w:r>
      <w:r w:rsidR="0003532D" w:rsidRPr="00F16087">
        <w:rPr>
          <w:iCs/>
        </w:rPr>
        <w:t>wa</w:t>
      </w:r>
      <w:r w:rsidR="000449B4" w:rsidRPr="00F16087">
        <w:rPr>
          <w:iCs/>
        </w:rPr>
        <w:t xml:space="preserve">s supported in terms of randomised </w:t>
      </w:r>
      <w:r w:rsidR="00901C88" w:rsidRPr="00F16087">
        <w:rPr>
          <w:iCs/>
        </w:rPr>
        <w:t>trial evidence up to 16 weeks.</w:t>
      </w:r>
    </w:p>
    <w:p w:rsidR="00F756F8" w:rsidRPr="00F16087" w:rsidRDefault="00F756F8" w:rsidP="003662EA">
      <w:pPr>
        <w:widowControl/>
      </w:pPr>
    </w:p>
    <w:p w:rsidR="00901C88" w:rsidRPr="00F16087" w:rsidRDefault="00287F09" w:rsidP="003662EA">
      <w:pPr>
        <w:pStyle w:val="ListParagraph"/>
        <w:widowControl/>
        <w:numPr>
          <w:ilvl w:val="1"/>
          <w:numId w:val="1"/>
        </w:numPr>
      </w:pPr>
      <w:r w:rsidRPr="00F16087">
        <w:t xml:space="preserve">The </w:t>
      </w:r>
      <w:r w:rsidR="00E41050" w:rsidRPr="00F16087">
        <w:t>resub</w:t>
      </w:r>
      <w:r w:rsidRPr="00F16087">
        <w:t xml:space="preserve">mission described apremilast as superior in terms of comparative effectiveness and superior in terms of comparative safety over </w:t>
      </w:r>
      <w:r w:rsidRPr="00F16087">
        <w:rPr>
          <w:u w:val="single"/>
        </w:rPr>
        <w:t>cyclosporin</w:t>
      </w:r>
      <w:r w:rsidRPr="00F16087">
        <w:t xml:space="preserve">, based on </w:t>
      </w:r>
      <w:r w:rsidR="009D0937" w:rsidRPr="00F16087">
        <w:t>claims (</w:t>
      </w:r>
      <w:r w:rsidRPr="00F16087">
        <w:t>persistence</w:t>
      </w:r>
      <w:r w:rsidR="009D0937" w:rsidRPr="00F16087">
        <w:t>)</w:t>
      </w:r>
      <w:r w:rsidRPr="00F16087">
        <w:t xml:space="preserve"> data from the </w:t>
      </w:r>
      <w:r w:rsidR="00897D56" w:rsidRPr="00F16087">
        <w:t>US.</w:t>
      </w:r>
      <w:r w:rsidRPr="00F16087">
        <w:t xml:space="preserve"> </w:t>
      </w:r>
    </w:p>
    <w:p w:rsidR="00676200" w:rsidRPr="00F16087" w:rsidRDefault="00190DD7" w:rsidP="003662EA">
      <w:pPr>
        <w:pStyle w:val="ListParagraph"/>
        <w:widowControl/>
        <w:numPr>
          <w:ilvl w:val="2"/>
          <w:numId w:val="1"/>
        </w:numPr>
        <w:ind w:left="1134" w:hanging="425"/>
      </w:pPr>
      <w:r w:rsidRPr="00F16087">
        <w:t xml:space="preserve">The ESC noted that this </w:t>
      </w:r>
      <w:r w:rsidR="00287F09" w:rsidRPr="00F16087">
        <w:rPr>
          <w:iCs/>
        </w:rPr>
        <w:t xml:space="preserve">differed from the clinical claim made in the previous submission </w:t>
      </w:r>
      <w:r w:rsidRPr="00F16087">
        <w:rPr>
          <w:iCs/>
        </w:rPr>
        <w:t xml:space="preserve">(which was based on randomised evidence) </w:t>
      </w:r>
      <w:r w:rsidR="00287F09" w:rsidRPr="00F16087">
        <w:rPr>
          <w:iCs/>
        </w:rPr>
        <w:t>where: “</w:t>
      </w:r>
      <w:r w:rsidR="00287F09" w:rsidRPr="00F16087">
        <w:t xml:space="preserve">The submission described apremilast as </w:t>
      </w:r>
      <w:r w:rsidR="00287F09" w:rsidRPr="00F16087">
        <w:rPr>
          <w:u w:val="single"/>
        </w:rPr>
        <w:t>non-inferior</w:t>
      </w:r>
      <w:r w:rsidR="00287F09" w:rsidRPr="00F16087">
        <w:t xml:space="preserve"> in terms of comparative effectiveness and superior in terms of safety (</w:t>
      </w:r>
      <w:r w:rsidR="00287F09" w:rsidRPr="00F16087">
        <w:rPr>
          <w:u w:val="single"/>
        </w:rPr>
        <w:t>“comparable”</w:t>
      </w:r>
      <w:r w:rsidR="00287F09" w:rsidRPr="00F16087">
        <w:t xml:space="preserve"> in terms of short-term safety but </w:t>
      </w:r>
      <w:r w:rsidR="00287F09" w:rsidRPr="00F16087">
        <w:rPr>
          <w:u w:val="single"/>
        </w:rPr>
        <w:t>“favourable”</w:t>
      </w:r>
      <w:r w:rsidR="00897D56" w:rsidRPr="00F16087">
        <w:t xml:space="preserve"> in terms of long</w:t>
      </w:r>
      <w:r w:rsidR="00897D56" w:rsidRPr="00F16087">
        <w:noBreakHyphen/>
      </w:r>
      <w:r w:rsidR="00287F09" w:rsidRPr="00F16087">
        <w:t>term safety), over cyclosporin.</w:t>
      </w:r>
      <w:r w:rsidR="00287F09" w:rsidRPr="00F16087">
        <w:rPr>
          <w:iCs/>
        </w:rPr>
        <w:t>”</w:t>
      </w:r>
    </w:p>
    <w:p w:rsidR="00901C88" w:rsidRPr="00F16087" w:rsidRDefault="00676200" w:rsidP="003662EA">
      <w:pPr>
        <w:pStyle w:val="ListParagraph"/>
        <w:widowControl/>
        <w:numPr>
          <w:ilvl w:val="2"/>
          <w:numId w:val="1"/>
        </w:numPr>
        <w:ind w:left="1134" w:hanging="425"/>
      </w:pPr>
      <w:r w:rsidRPr="00F16087">
        <w:t xml:space="preserve">The ESC considered that </w:t>
      </w:r>
      <w:r w:rsidRPr="00F16087">
        <w:rPr>
          <w:iCs/>
        </w:rPr>
        <w:t>the resubmission’s approach to establishing a therapeutic claim of apremilast compared with cyclosporin on the basis of longitudinal claims data (which were not linked to any final health outcomes associated with plaque psoriasis) rather than on an indirect comparison of randomised controlled trials was inadequately supported in this instance (see paragraphs 6.1</w:t>
      </w:r>
      <w:r w:rsidR="00936877" w:rsidRPr="00F16087">
        <w:rPr>
          <w:iCs/>
        </w:rPr>
        <w:t>4</w:t>
      </w:r>
      <w:r w:rsidR="00E00628" w:rsidRPr="00F16087">
        <w:rPr>
          <w:iCs/>
        </w:rPr>
        <w:t>-6.21</w:t>
      </w:r>
      <w:r w:rsidRPr="00F16087">
        <w:rPr>
          <w:iCs/>
        </w:rPr>
        <w:t>).</w:t>
      </w:r>
    </w:p>
    <w:p w:rsidR="00901C88" w:rsidRPr="00F16087" w:rsidRDefault="00901C88" w:rsidP="003662EA">
      <w:pPr>
        <w:pStyle w:val="ListParagraph"/>
        <w:widowControl/>
        <w:rPr>
          <w:iCs/>
        </w:rPr>
      </w:pPr>
    </w:p>
    <w:p w:rsidR="00101327" w:rsidRPr="00F16087" w:rsidRDefault="00101327" w:rsidP="003662EA">
      <w:pPr>
        <w:pStyle w:val="ListParagraph"/>
        <w:widowControl/>
        <w:numPr>
          <w:ilvl w:val="1"/>
          <w:numId w:val="1"/>
        </w:numPr>
        <w:jc w:val="left"/>
        <w:rPr>
          <w:bCs/>
        </w:rPr>
      </w:pPr>
      <w:r w:rsidRPr="00F16087">
        <w:rPr>
          <w:bCs/>
          <w:szCs w:val="22"/>
        </w:rPr>
        <w:t>The PBAC considered that the claim of superior comparative effectiveness</w:t>
      </w:r>
      <w:r w:rsidR="00E9577D" w:rsidRPr="00F16087">
        <w:rPr>
          <w:bCs/>
          <w:szCs w:val="22"/>
        </w:rPr>
        <w:t xml:space="preserve"> and safety</w:t>
      </w:r>
      <w:r w:rsidRPr="00F16087">
        <w:rPr>
          <w:bCs/>
          <w:szCs w:val="22"/>
        </w:rPr>
        <w:t xml:space="preserve"> was not adequately supported by the data.</w:t>
      </w:r>
    </w:p>
    <w:p w:rsidR="00101327" w:rsidRPr="00F16087" w:rsidRDefault="00101327" w:rsidP="003662EA">
      <w:pPr>
        <w:pStyle w:val="ListParagraph"/>
        <w:widowControl/>
        <w:rPr>
          <w:iCs/>
        </w:rPr>
      </w:pPr>
    </w:p>
    <w:p w:rsidR="00B60939" w:rsidRPr="00F16087" w:rsidRDefault="00B60939" w:rsidP="00682F46">
      <w:pPr>
        <w:pStyle w:val="Heading3"/>
        <w:keepNext/>
        <w:widowControl/>
      </w:pPr>
      <w:bookmarkStart w:id="12" w:name="_Toc461464572"/>
      <w:r w:rsidRPr="00F16087">
        <w:t>Economic analysis</w:t>
      </w:r>
      <w:bookmarkEnd w:id="12"/>
      <w:r w:rsidR="00491B3A" w:rsidRPr="00F16087">
        <w:t xml:space="preserve"> </w:t>
      </w:r>
    </w:p>
    <w:p w:rsidR="00B60939" w:rsidRPr="00F16087" w:rsidRDefault="00B60939" w:rsidP="00682F46">
      <w:pPr>
        <w:keepNext/>
        <w:widowControl/>
        <w:ind w:left="720" w:hanging="720"/>
        <w:rPr>
          <w:szCs w:val="22"/>
        </w:rPr>
      </w:pPr>
    </w:p>
    <w:p w:rsidR="00EC7293" w:rsidRPr="00F16087" w:rsidRDefault="00665243" w:rsidP="003662EA">
      <w:pPr>
        <w:pStyle w:val="ListParagraph"/>
        <w:widowControl/>
        <w:numPr>
          <w:ilvl w:val="1"/>
          <w:numId w:val="1"/>
        </w:numPr>
        <w:rPr>
          <w:szCs w:val="22"/>
        </w:rPr>
      </w:pPr>
      <w:r w:rsidRPr="00F16087">
        <w:t xml:space="preserve">The </w:t>
      </w:r>
      <w:r w:rsidR="00E41050" w:rsidRPr="00F16087">
        <w:t>resub</w:t>
      </w:r>
      <w:r w:rsidRPr="00F16087">
        <w:t>mission presented a modelled evaluation of apremilast versus cyclosporin.</w:t>
      </w:r>
      <w:r w:rsidR="00EC7293" w:rsidRPr="00F16087">
        <w:t xml:space="preserve"> </w:t>
      </w:r>
      <w:r w:rsidR="00EC7293" w:rsidRPr="00F16087">
        <w:rPr>
          <w:szCs w:val="22"/>
        </w:rPr>
        <w:t xml:space="preserve">Table </w:t>
      </w:r>
      <w:r w:rsidR="005A44FC" w:rsidRPr="00F16087">
        <w:rPr>
          <w:szCs w:val="22"/>
        </w:rPr>
        <w:t>7</w:t>
      </w:r>
      <w:r w:rsidR="00EC7293" w:rsidRPr="00F16087">
        <w:rPr>
          <w:szCs w:val="22"/>
        </w:rPr>
        <w:t xml:space="preserve"> summarises </w:t>
      </w:r>
      <w:r w:rsidR="00EC7293" w:rsidRPr="00F16087">
        <w:t>the model structure and rationale of the economic evaluation</w:t>
      </w:r>
      <w:r w:rsidR="00EC7293" w:rsidRPr="00F16087">
        <w:rPr>
          <w:szCs w:val="22"/>
        </w:rPr>
        <w:t>.</w:t>
      </w:r>
      <w:r w:rsidR="00431242" w:rsidRPr="00F16087">
        <w:rPr>
          <w:szCs w:val="22"/>
        </w:rPr>
        <w:t xml:space="preserve"> </w:t>
      </w:r>
    </w:p>
    <w:p w:rsidR="0033243E" w:rsidRPr="00F16087" w:rsidRDefault="0033243E" w:rsidP="003662EA">
      <w:pPr>
        <w:pStyle w:val="ListParagraph"/>
        <w:widowControl/>
        <w:rPr>
          <w:szCs w:val="22"/>
        </w:rPr>
      </w:pPr>
    </w:p>
    <w:p w:rsidR="00A72356" w:rsidRPr="00F16087" w:rsidRDefault="00A72356" w:rsidP="001F436A">
      <w:pPr>
        <w:pStyle w:val="Caption"/>
        <w:keepNext/>
        <w:widowControl/>
      </w:pPr>
      <w:r w:rsidRPr="00F16087">
        <w:tab/>
        <w:t xml:space="preserve">Table </w:t>
      </w:r>
      <w:r w:rsidR="00D209A6" w:rsidRPr="00F16087">
        <w:rPr>
          <w:noProof/>
        </w:rPr>
        <w:t>7</w:t>
      </w:r>
      <w:r w:rsidRPr="00F16087">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7059"/>
      </w:tblGrid>
      <w:tr w:rsidR="00936877" w:rsidRPr="00F16087" w:rsidTr="00E96865">
        <w:trPr>
          <w:trHeight w:val="240"/>
          <w:tblHeader/>
        </w:trPr>
        <w:tc>
          <w:tcPr>
            <w:tcW w:w="1276" w:type="dxa"/>
            <w:shd w:val="clear" w:color="auto" w:fill="auto"/>
            <w:vAlign w:val="center"/>
          </w:tcPr>
          <w:p w:rsidR="00936877" w:rsidRPr="00F16087" w:rsidRDefault="00936877" w:rsidP="001F436A">
            <w:pPr>
              <w:keepNext/>
              <w:widowControl/>
              <w:jc w:val="center"/>
              <w:rPr>
                <w:rFonts w:ascii="Arial Narrow" w:hAnsi="Arial Narrow"/>
                <w:b/>
                <w:sz w:val="20"/>
              </w:rPr>
            </w:pPr>
            <w:r w:rsidRPr="00F16087">
              <w:rPr>
                <w:rFonts w:ascii="Arial Narrow" w:hAnsi="Arial Narrow"/>
                <w:b/>
                <w:sz w:val="20"/>
              </w:rPr>
              <w:t>Component</w:t>
            </w:r>
          </w:p>
        </w:tc>
        <w:tc>
          <w:tcPr>
            <w:tcW w:w="7059" w:type="dxa"/>
            <w:shd w:val="clear" w:color="auto" w:fill="auto"/>
            <w:vAlign w:val="center"/>
          </w:tcPr>
          <w:p w:rsidR="00936877" w:rsidRPr="00F16087" w:rsidRDefault="00936877" w:rsidP="001F436A">
            <w:pPr>
              <w:keepNext/>
              <w:widowControl/>
              <w:jc w:val="center"/>
              <w:rPr>
                <w:rFonts w:ascii="Arial Narrow" w:hAnsi="Arial Narrow"/>
                <w:b/>
                <w:sz w:val="20"/>
              </w:rPr>
            </w:pPr>
            <w:r w:rsidRPr="00F16087">
              <w:rPr>
                <w:rFonts w:ascii="Arial Narrow" w:hAnsi="Arial Narrow"/>
                <w:b/>
                <w:sz w:val="20"/>
              </w:rPr>
              <w:t>Summary</w:t>
            </w:r>
          </w:p>
        </w:tc>
      </w:tr>
      <w:tr w:rsidR="00EC7293" w:rsidRPr="00F16087" w:rsidTr="00E96865">
        <w:trPr>
          <w:trHeight w:val="240"/>
        </w:trPr>
        <w:tc>
          <w:tcPr>
            <w:tcW w:w="1276" w:type="dxa"/>
            <w:shd w:val="clear" w:color="auto" w:fill="auto"/>
            <w:vAlign w:val="center"/>
          </w:tcPr>
          <w:p w:rsidR="00EC7293" w:rsidRPr="00F16087" w:rsidRDefault="00EC7293" w:rsidP="001F436A">
            <w:pPr>
              <w:keepNext/>
              <w:widowControl/>
              <w:jc w:val="left"/>
              <w:rPr>
                <w:rFonts w:ascii="Arial Narrow" w:hAnsi="Arial Narrow"/>
                <w:sz w:val="20"/>
              </w:rPr>
            </w:pPr>
            <w:r w:rsidRPr="00F16087">
              <w:rPr>
                <w:rFonts w:ascii="Arial Narrow" w:hAnsi="Arial Narrow"/>
                <w:sz w:val="20"/>
              </w:rPr>
              <w:t>Model type and structure</w:t>
            </w:r>
          </w:p>
        </w:tc>
        <w:tc>
          <w:tcPr>
            <w:tcW w:w="7059" w:type="dxa"/>
            <w:shd w:val="clear" w:color="auto" w:fill="auto"/>
          </w:tcPr>
          <w:p w:rsidR="00EC7293" w:rsidRPr="00F16087" w:rsidRDefault="005A44FC" w:rsidP="001F436A">
            <w:pPr>
              <w:keepNext/>
              <w:widowControl/>
              <w:jc w:val="left"/>
              <w:rPr>
                <w:rFonts w:ascii="Arial Narrow" w:hAnsi="Arial Narrow"/>
                <w:sz w:val="20"/>
              </w:rPr>
            </w:pPr>
            <w:r w:rsidRPr="00F16087">
              <w:rPr>
                <w:rFonts w:ascii="Arial Narrow" w:hAnsi="Arial Narrow"/>
                <w:sz w:val="20"/>
              </w:rPr>
              <w:t xml:space="preserve">State transition model with two health states: ‘Treatment with index agent’ and ‘Discontinued from index agent’.  Only one possible transition to the ‘Discontinued from index agent’ health state.  </w:t>
            </w:r>
            <w:r w:rsidRPr="00F16087">
              <w:rPr>
                <w:rFonts w:ascii="Arial Narrow" w:hAnsi="Arial Narrow"/>
                <w:iCs/>
                <w:sz w:val="20"/>
              </w:rPr>
              <w:t>This assumption of one-directional movement appeared to be reasonable</w:t>
            </w:r>
            <w:r w:rsidRPr="00F16087">
              <w:rPr>
                <w:rFonts w:ascii="Arial Narrow" w:hAnsi="Arial Narrow"/>
                <w:sz w:val="20"/>
              </w:rPr>
              <w:t xml:space="preserve"> given the treatment algorithm for psoriasis and the multiple alternative treatments </w:t>
            </w:r>
            <w:r w:rsidR="006E0E24" w:rsidRPr="00F16087">
              <w:rPr>
                <w:rFonts w:ascii="Arial Narrow" w:hAnsi="Arial Narrow"/>
                <w:sz w:val="20"/>
              </w:rPr>
              <w:t>available;</w:t>
            </w:r>
            <w:r w:rsidRPr="00F16087">
              <w:rPr>
                <w:rFonts w:ascii="Arial Narrow" w:hAnsi="Arial Narrow"/>
                <w:sz w:val="20"/>
              </w:rPr>
              <w:t xml:space="preserve"> however there is no restriction on </w:t>
            </w:r>
            <w:proofErr w:type="gramStart"/>
            <w:r w:rsidRPr="00F16087">
              <w:rPr>
                <w:rFonts w:ascii="Arial Narrow" w:hAnsi="Arial Narrow"/>
                <w:sz w:val="20"/>
              </w:rPr>
              <w:t>patients</w:t>
            </w:r>
            <w:proofErr w:type="gramEnd"/>
            <w:r w:rsidRPr="00F16087">
              <w:rPr>
                <w:rFonts w:ascii="Arial Narrow" w:hAnsi="Arial Narrow"/>
                <w:sz w:val="20"/>
              </w:rPr>
              <w:t xml:space="preserve"> re-trialling any of the available therapies on the PBS.  </w:t>
            </w:r>
            <w:r w:rsidR="006A4210" w:rsidRPr="00F16087">
              <w:rPr>
                <w:rFonts w:ascii="Arial Narrow" w:hAnsi="Arial Narrow"/>
                <w:sz w:val="20"/>
              </w:rPr>
              <w:t>The ESC noted the model did not include a</w:t>
            </w:r>
            <w:r w:rsidR="00BD7942" w:rsidRPr="00F16087">
              <w:rPr>
                <w:rFonts w:ascii="Arial Narrow" w:hAnsi="Arial Narrow"/>
                <w:sz w:val="20"/>
              </w:rPr>
              <w:t>n all-cause</w:t>
            </w:r>
            <w:r w:rsidR="006A4210" w:rsidRPr="00F16087">
              <w:rPr>
                <w:rFonts w:ascii="Arial Narrow" w:hAnsi="Arial Narrow"/>
                <w:sz w:val="20"/>
              </w:rPr>
              <w:t xml:space="preserve"> death state which may not have been appropriate, particularly given the </w:t>
            </w:r>
            <w:r w:rsidR="000C7018" w:rsidRPr="00F16087">
              <w:rPr>
                <w:rFonts w:ascii="Arial Narrow" w:hAnsi="Arial Narrow"/>
                <w:sz w:val="20"/>
              </w:rPr>
              <w:t xml:space="preserve">older </w:t>
            </w:r>
            <w:r w:rsidR="006A4210" w:rsidRPr="00F16087">
              <w:rPr>
                <w:rFonts w:ascii="Arial Narrow" w:hAnsi="Arial Narrow"/>
                <w:sz w:val="20"/>
              </w:rPr>
              <w:t>age of the patient population</w:t>
            </w:r>
            <w:r w:rsidR="00D958D3" w:rsidRPr="00F16087">
              <w:rPr>
                <w:rFonts w:ascii="Arial Narrow" w:hAnsi="Arial Narrow"/>
                <w:sz w:val="20"/>
              </w:rPr>
              <w:t xml:space="preserve"> </w:t>
            </w:r>
            <w:r w:rsidR="000C7018" w:rsidRPr="00F16087">
              <w:rPr>
                <w:rFonts w:ascii="Arial Narrow" w:hAnsi="Arial Narrow"/>
                <w:sz w:val="20"/>
              </w:rPr>
              <w:t xml:space="preserve">(45-50 years at the start of the model) </w:t>
            </w:r>
            <w:r w:rsidR="00D958D3" w:rsidRPr="00F16087">
              <w:rPr>
                <w:rFonts w:ascii="Arial Narrow" w:hAnsi="Arial Narrow"/>
                <w:sz w:val="20"/>
              </w:rPr>
              <w:t xml:space="preserve">and the 10 year time </w:t>
            </w:r>
            <w:r w:rsidR="000C7018" w:rsidRPr="00F16087">
              <w:rPr>
                <w:rFonts w:ascii="Arial Narrow" w:hAnsi="Arial Narrow"/>
                <w:sz w:val="20"/>
              </w:rPr>
              <w:t>horizon</w:t>
            </w:r>
            <w:r w:rsidR="006A4210" w:rsidRPr="00F16087">
              <w:rPr>
                <w:rFonts w:ascii="Arial Narrow" w:hAnsi="Arial Narrow"/>
                <w:sz w:val="20"/>
              </w:rPr>
              <w:t>.</w:t>
            </w:r>
          </w:p>
        </w:tc>
      </w:tr>
      <w:tr w:rsidR="005A44FC" w:rsidRPr="00F16087" w:rsidTr="00E96865">
        <w:trPr>
          <w:trHeight w:val="240"/>
        </w:trPr>
        <w:tc>
          <w:tcPr>
            <w:tcW w:w="1276"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Model population</w:t>
            </w:r>
          </w:p>
        </w:tc>
        <w:tc>
          <w:tcPr>
            <w:tcW w:w="7059" w:type="dxa"/>
            <w:shd w:val="clear" w:color="auto" w:fill="auto"/>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 xml:space="preserve">Based on the population in the US persistence analysis without any adjustments. </w:t>
            </w:r>
            <w:r w:rsidRPr="00F16087">
              <w:rPr>
                <w:rFonts w:ascii="Arial Narrow" w:hAnsi="Arial Narrow" w:cs="Times New Roman"/>
                <w:sz w:val="20"/>
              </w:rPr>
              <w:t xml:space="preserve">Overall, there is insufficient data to conclude whether patients in the US </w:t>
            </w:r>
            <w:proofErr w:type="spellStart"/>
            <w:r w:rsidRPr="00F16087">
              <w:rPr>
                <w:rFonts w:ascii="Arial Narrow" w:hAnsi="Arial Narrow" w:cs="Times New Roman"/>
                <w:sz w:val="20"/>
              </w:rPr>
              <w:t>MarketScan</w:t>
            </w:r>
            <w:proofErr w:type="spellEnd"/>
            <w:r w:rsidRPr="00F16087">
              <w:rPr>
                <w:rFonts w:ascii="Arial Narrow" w:hAnsi="Arial Narrow" w:cs="Times New Roman"/>
                <w:sz w:val="20"/>
              </w:rPr>
              <w:t>® databases were representative of the likely PBS population who would be eligible for therapy with apremilast.</w:t>
            </w:r>
          </w:p>
        </w:tc>
      </w:tr>
      <w:tr w:rsidR="00EC7293" w:rsidRPr="00F16087" w:rsidTr="00E96865">
        <w:trPr>
          <w:trHeight w:val="240"/>
        </w:trPr>
        <w:tc>
          <w:tcPr>
            <w:tcW w:w="1276" w:type="dxa"/>
            <w:shd w:val="clear" w:color="auto" w:fill="auto"/>
            <w:vAlign w:val="center"/>
          </w:tcPr>
          <w:p w:rsidR="00EC7293" w:rsidRPr="00F16087" w:rsidRDefault="00EC7293" w:rsidP="001F436A">
            <w:pPr>
              <w:keepNext/>
              <w:widowControl/>
              <w:jc w:val="left"/>
              <w:rPr>
                <w:rFonts w:ascii="Arial Narrow" w:hAnsi="Arial Narrow"/>
                <w:sz w:val="20"/>
              </w:rPr>
            </w:pPr>
            <w:r w:rsidRPr="00F16087">
              <w:rPr>
                <w:rFonts w:ascii="Arial Narrow" w:hAnsi="Arial Narrow"/>
                <w:sz w:val="20"/>
              </w:rPr>
              <w:t>Time horizon</w:t>
            </w:r>
          </w:p>
        </w:tc>
        <w:tc>
          <w:tcPr>
            <w:tcW w:w="7059" w:type="dxa"/>
            <w:shd w:val="clear" w:color="auto" w:fill="auto"/>
          </w:tcPr>
          <w:p w:rsidR="00EC7293" w:rsidRPr="00F16087" w:rsidRDefault="00EC7293" w:rsidP="001F436A">
            <w:pPr>
              <w:keepNext/>
              <w:widowControl/>
              <w:rPr>
                <w:rFonts w:ascii="Arial Narrow" w:hAnsi="Arial Narrow"/>
                <w:sz w:val="20"/>
              </w:rPr>
            </w:pPr>
            <w:r w:rsidRPr="00F16087">
              <w:rPr>
                <w:rFonts w:ascii="Arial Narrow" w:hAnsi="Arial Narrow"/>
                <w:sz w:val="20"/>
              </w:rPr>
              <w:t xml:space="preserve">10 years in the model base case versus 12 months in US persistence analysis </w:t>
            </w:r>
          </w:p>
          <w:p w:rsidR="00EC7293" w:rsidRPr="00F16087" w:rsidRDefault="00EC7293" w:rsidP="001F436A">
            <w:pPr>
              <w:keepNext/>
              <w:widowControl/>
              <w:jc w:val="left"/>
              <w:rPr>
                <w:rFonts w:ascii="Arial Narrow" w:hAnsi="Arial Narrow"/>
                <w:sz w:val="20"/>
              </w:rPr>
            </w:pPr>
            <w:r w:rsidRPr="00F16087">
              <w:rPr>
                <w:rFonts w:ascii="Arial Narrow" w:hAnsi="Arial Narrow"/>
                <w:iCs/>
                <w:sz w:val="20"/>
              </w:rPr>
              <w:t>(up to 651 days and 673 days of drug survival data for apremilast and cyclosporin, respectively)</w:t>
            </w:r>
          </w:p>
        </w:tc>
      </w:tr>
      <w:tr w:rsidR="00EC7293" w:rsidRPr="00F16087" w:rsidTr="00E96865">
        <w:trPr>
          <w:trHeight w:val="255"/>
        </w:trPr>
        <w:tc>
          <w:tcPr>
            <w:tcW w:w="1276" w:type="dxa"/>
            <w:shd w:val="clear" w:color="auto" w:fill="auto"/>
            <w:vAlign w:val="center"/>
          </w:tcPr>
          <w:p w:rsidR="00EC7293" w:rsidRPr="00F16087" w:rsidRDefault="00EC7293" w:rsidP="001F436A">
            <w:pPr>
              <w:keepNext/>
              <w:widowControl/>
              <w:jc w:val="left"/>
              <w:rPr>
                <w:rFonts w:ascii="Arial Narrow" w:hAnsi="Arial Narrow"/>
                <w:sz w:val="20"/>
              </w:rPr>
            </w:pPr>
            <w:r w:rsidRPr="00F16087">
              <w:rPr>
                <w:rFonts w:ascii="Arial Narrow" w:hAnsi="Arial Narrow"/>
                <w:sz w:val="20"/>
              </w:rPr>
              <w:t>Outcomes</w:t>
            </w:r>
          </w:p>
        </w:tc>
        <w:tc>
          <w:tcPr>
            <w:tcW w:w="7059" w:type="dxa"/>
            <w:shd w:val="clear" w:color="auto" w:fill="auto"/>
          </w:tcPr>
          <w:p w:rsidR="00EC7293" w:rsidRPr="00F16087" w:rsidRDefault="00EC7293" w:rsidP="001F436A">
            <w:pPr>
              <w:keepNext/>
              <w:widowControl/>
              <w:rPr>
                <w:rFonts w:ascii="Arial Narrow" w:hAnsi="Arial Narrow"/>
                <w:sz w:val="20"/>
              </w:rPr>
            </w:pPr>
            <w:r w:rsidRPr="00F16087">
              <w:rPr>
                <w:rFonts w:ascii="Arial Narrow" w:hAnsi="Arial Narrow"/>
                <w:sz w:val="20"/>
              </w:rPr>
              <w:t>Patients continuing treatment and QALYs</w:t>
            </w:r>
          </w:p>
        </w:tc>
      </w:tr>
      <w:tr w:rsidR="00EC7293" w:rsidRPr="00F16087" w:rsidTr="00E96865">
        <w:trPr>
          <w:trHeight w:val="70"/>
        </w:trPr>
        <w:tc>
          <w:tcPr>
            <w:tcW w:w="1276" w:type="dxa"/>
            <w:shd w:val="clear" w:color="auto" w:fill="auto"/>
            <w:vAlign w:val="center"/>
          </w:tcPr>
          <w:p w:rsidR="00EC7293" w:rsidRPr="00F16087" w:rsidRDefault="00EC7293" w:rsidP="001F436A">
            <w:pPr>
              <w:keepNext/>
              <w:widowControl/>
              <w:jc w:val="left"/>
              <w:rPr>
                <w:rFonts w:ascii="Arial Narrow" w:hAnsi="Arial Narrow"/>
                <w:sz w:val="20"/>
              </w:rPr>
            </w:pPr>
            <w:r w:rsidRPr="00F16087">
              <w:rPr>
                <w:rFonts w:ascii="Arial Narrow" w:hAnsi="Arial Narrow"/>
                <w:sz w:val="20"/>
              </w:rPr>
              <w:t>Methods used to generate results</w:t>
            </w:r>
          </w:p>
        </w:tc>
        <w:tc>
          <w:tcPr>
            <w:tcW w:w="7059" w:type="dxa"/>
            <w:shd w:val="clear" w:color="auto" w:fill="auto"/>
            <w:vAlign w:val="center"/>
          </w:tcPr>
          <w:p w:rsidR="00EC7293" w:rsidRPr="00F16087" w:rsidRDefault="00EC7293" w:rsidP="001F436A">
            <w:pPr>
              <w:keepNext/>
              <w:widowControl/>
              <w:jc w:val="left"/>
              <w:rPr>
                <w:rFonts w:ascii="Arial Narrow" w:hAnsi="Arial Narrow"/>
                <w:sz w:val="20"/>
              </w:rPr>
            </w:pPr>
            <w:r w:rsidRPr="00F16087">
              <w:rPr>
                <w:rFonts w:ascii="Arial Narrow" w:hAnsi="Arial Narrow"/>
                <w:sz w:val="20"/>
              </w:rPr>
              <w:t>Cohort expected value analysis</w:t>
            </w:r>
          </w:p>
        </w:tc>
      </w:tr>
      <w:tr w:rsidR="00EC7293" w:rsidRPr="00F16087" w:rsidTr="00E96865">
        <w:trPr>
          <w:trHeight w:val="225"/>
        </w:trPr>
        <w:tc>
          <w:tcPr>
            <w:tcW w:w="1276" w:type="dxa"/>
            <w:shd w:val="clear" w:color="auto" w:fill="auto"/>
            <w:vAlign w:val="center"/>
          </w:tcPr>
          <w:p w:rsidR="00EC7293" w:rsidRPr="00F16087" w:rsidRDefault="00EC7293" w:rsidP="001F436A">
            <w:pPr>
              <w:keepNext/>
              <w:widowControl/>
              <w:jc w:val="left"/>
              <w:rPr>
                <w:rFonts w:ascii="Arial Narrow" w:hAnsi="Arial Narrow"/>
                <w:sz w:val="20"/>
              </w:rPr>
            </w:pPr>
            <w:r w:rsidRPr="00F16087">
              <w:rPr>
                <w:rFonts w:ascii="Arial Narrow" w:hAnsi="Arial Narrow"/>
                <w:sz w:val="20"/>
              </w:rPr>
              <w:t>Cycle length</w:t>
            </w:r>
          </w:p>
        </w:tc>
        <w:tc>
          <w:tcPr>
            <w:tcW w:w="7059" w:type="dxa"/>
            <w:shd w:val="clear" w:color="auto" w:fill="auto"/>
          </w:tcPr>
          <w:p w:rsidR="00EC7293" w:rsidRPr="00F16087" w:rsidRDefault="00EC7293" w:rsidP="001F436A">
            <w:pPr>
              <w:keepNext/>
              <w:widowControl/>
              <w:rPr>
                <w:rFonts w:ascii="Arial Narrow" w:hAnsi="Arial Narrow"/>
                <w:sz w:val="20"/>
              </w:rPr>
            </w:pPr>
            <w:r w:rsidRPr="00F16087">
              <w:rPr>
                <w:rFonts w:ascii="Arial Narrow" w:hAnsi="Arial Narrow"/>
                <w:sz w:val="20"/>
              </w:rPr>
              <w:t>One day</w:t>
            </w:r>
          </w:p>
        </w:tc>
      </w:tr>
      <w:tr w:rsidR="005A44FC" w:rsidRPr="00F16087" w:rsidTr="00E96865">
        <w:trPr>
          <w:trHeight w:val="225"/>
        </w:trPr>
        <w:tc>
          <w:tcPr>
            <w:tcW w:w="1276"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Treatment costs</w:t>
            </w:r>
          </w:p>
        </w:tc>
        <w:tc>
          <w:tcPr>
            <w:tcW w:w="7059"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 xml:space="preserve">Apremilast dosage based on PI and dosage derived from US persistence analysis; cyclosporin dosage derived from US persistence analysis.  </w:t>
            </w:r>
            <w:r w:rsidRPr="00F16087">
              <w:rPr>
                <w:rFonts w:ascii="Arial Narrow" w:hAnsi="Arial Narrow" w:cs="Times New Roman"/>
                <w:sz w:val="20"/>
              </w:rPr>
              <w:t xml:space="preserve">Overall, there is insufficient data to conclude whether apremilast and cyclosporin dosing for patients in the US </w:t>
            </w:r>
            <w:proofErr w:type="spellStart"/>
            <w:r w:rsidRPr="00F16087">
              <w:rPr>
                <w:rFonts w:ascii="Arial Narrow" w:hAnsi="Arial Narrow" w:cs="Times New Roman"/>
                <w:sz w:val="20"/>
              </w:rPr>
              <w:t>MarketScan</w:t>
            </w:r>
            <w:proofErr w:type="spellEnd"/>
            <w:r w:rsidRPr="00F16087">
              <w:rPr>
                <w:rFonts w:ascii="Arial Narrow" w:hAnsi="Arial Narrow" w:cs="Times New Roman"/>
                <w:sz w:val="20"/>
              </w:rPr>
              <w:t>® databases were representative of the likely doses in the PBS population.</w:t>
            </w:r>
          </w:p>
        </w:tc>
      </w:tr>
      <w:tr w:rsidR="005A44FC" w:rsidRPr="00F16087" w:rsidTr="00E96865">
        <w:trPr>
          <w:trHeight w:val="225"/>
        </w:trPr>
        <w:tc>
          <w:tcPr>
            <w:tcW w:w="1276" w:type="dxa"/>
            <w:shd w:val="clear" w:color="auto" w:fill="auto"/>
            <w:vAlign w:val="center"/>
          </w:tcPr>
          <w:p w:rsidR="005A44FC" w:rsidRPr="00F16087" w:rsidRDefault="00CF5855" w:rsidP="001F436A">
            <w:pPr>
              <w:keepNext/>
              <w:widowControl/>
              <w:jc w:val="left"/>
              <w:rPr>
                <w:rFonts w:ascii="Arial Narrow" w:hAnsi="Arial Narrow"/>
                <w:sz w:val="20"/>
              </w:rPr>
            </w:pPr>
            <w:r w:rsidRPr="00F16087">
              <w:rPr>
                <w:rFonts w:ascii="Arial Narrow" w:hAnsi="Arial Narrow"/>
                <w:sz w:val="20"/>
              </w:rPr>
              <w:t xml:space="preserve">Adverse event and physician costs </w:t>
            </w:r>
          </w:p>
        </w:tc>
        <w:tc>
          <w:tcPr>
            <w:tcW w:w="7059" w:type="dxa"/>
            <w:shd w:val="clear" w:color="auto" w:fill="auto"/>
            <w:vAlign w:val="center"/>
          </w:tcPr>
          <w:p w:rsidR="005A44FC" w:rsidRPr="00F16087" w:rsidRDefault="00CF5855" w:rsidP="001F436A">
            <w:pPr>
              <w:keepNext/>
              <w:widowControl/>
              <w:jc w:val="left"/>
              <w:rPr>
                <w:rFonts w:ascii="Arial Narrow" w:hAnsi="Arial Narrow"/>
                <w:sz w:val="20"/>
              </w:rPr>
            </w:pPr>
            <w:r w:rsidRPr="00F16087">
              <w:rPr>
                <w:rFonts w:ascii="Arial Narrow" w:hAnsi="Arial Narrow"/>
                <w:sz w:val="20"/>
              </w:rPr>
              <w:t>No adverse events were included in the model and the</w:t>
            </w:r>
            <w:r w:rsidR="005A44FC" w:rsidRPr="00F16087">
              <w:rPr>
                <w:rFonts w:ascii="Arial Narrow" w:hAnsi="Arial Narrow"/>
                <w:sz w:val="20"/>
              </w:rPr>
              <w:t xml:space="preserve"> costs of physician visits </w:t>
            </w:r>
            <w:r w:rsidRPr="00F16087">
              <w:rPr>
                <w:rFonts w:ascii="Arial Narrow" w:hAnsi="Arial Narrow"/>
                <w:sz w:val="20"/>
              </w:rPr>
              <w:t>(for initiation of treatment) were omitted</w:t>
            </w:r>
            <w:r w:rsidR="005A44FC" w:rsidRPr="00F16087">
              <w:rPr>
                <w:rFonts w:ascii="Arial Narrow" w:hAnsi="Arial Narrow"/>
                <w:sz w:val="20"/>
              </w:rPr>
              <w:t xml:space="preserve"> for apremilast in the base case.  </w:t>
            </w:r>
            <w:r w:rsidR="005A44FC" w:rsidRPr="00F16087">
              <w:rPr>
                <w:rFonts w:ascii="Arial Narrow" w:hAnsi="Arial Narrow"/>
                <w:iCs/>
                <w:sz w:val="20"/>
              </w:rPr>
              <w:t>This assumption did not appear to be reasonable.</w:t>
            </w:r>
          </w:p>
        </w:tc>
      </w:tr>
      <w:tr w:rsidR="005A44FC" w:rsidRPr="00F16087" w:rsidTr="00E96865">
        <w:trPr>
          <w:trHeight w:val="225"/>
        </w:trPr>
        <w:tc>
          <w:tcPr>
            <w:tcW w:w="1276"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Costs of subsequent therapy</w:t>
            </w:r>
          </w:p>
        </w:tc>
        <w:tc>
          <w:tcPr>
            <w:tcW w:w="7059"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 xml:space="preserve">Patients discontinuing from index treatment moved onto subsequent therapy with a fixed proportion assumed to move on to particular therapies (58% of patients discontinuing cyclosporin received biologics (40% ustekinumab, 15% adalimumab, 2% etanercept, 1% infliximab) and 42% received no PBS treatment or other treatment (23%), methotrexate (12%) or acitretin (7%)) and continued with that subsequent therapy for the remainder of the time horizon of the model.  </w:t>
            </w:r>
            <w:r w:rsidRPr="00F16087">
              <w:rPr>
                <w:rFonts w:ascii="Arial Narrow" w:hAnsi="Arial Narrow"/>
                <w:iCs/>
                <w:sz w:val="20"/>
              </w:rPr>
              <w:t xml:space="preserve">This assumption did not appear to be reasonable.  The data used by </w:t>
            </w:r>
            <w:proofErr w:type="spellStart"/>
            <w:r w:rsidRPr="00F16087">
              <w:rPr>
                <w:rFonts w:ascii="Arial Narrow" w:hAnsi="Arial Narrow"/>
                <w:iCs/>
                <w:sz w:val="20"/>
              </w:rPr>
              <w:t>NostraData</w:t>
            </w:r>
            <w:proofErr w:type="spellEnd"/>
            <w:r w:rsidRPr="00F16087">
              <w:rPr>
                <w:rFonts w:ascii="Arial Narrow" w:hAnsi="Arial Narrow"/>
                <w:iCs/>
                <w:sz w:val="20"/>
              </w:rPr>
              <w:t xml:space="preserve"> in arriving at these results have not been reported in sufficient detail by the </w:t>
            </w:r>
            <w:r w:rsidR="00E41050" w:rsidRPr="00F16087">
              <w:rPr>
                <w:rFonts w:ascii="Arial Narrow" w:hAnsi="Arial Narrow"/>
                <w:iCs/>
                <w:sz w:val="20"/>
              </w:rPr>
              <w:t>resub</w:t>
            </w:r>
            <w:r w:rsidRPr="00F16087">
              <w:rPr>
                <w:rFonts w:ascii="Arial Narrow" w:hAnsi="Arial Narrow"/>
                <w:iCs/>
                <w:sz w:val="20"/>
              </w:rPr>
              <w:t xml:space="preserve">mission.  </w:t>
            </w:r>
          </w:p>
        </w:tc>
      </w:tr>
      <w:tr w:rsidR="005A44FC" w:rsidRPr="00F16087" w:rsidTr="00E96865">
        <w:trPr>
          <w:trHeight w:val="70"/>
        </w:trPr>
        <w:tc>
          <w:tcPr>
            <w:tcW w:w="1276"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Transition probabilities</w:t>
            </w:r>
          </w:p>
        </w:tc>
        <w:tc>
          <w:tcPr>
            <w:tcW w:w="7059" w:type="dxa"/>
            <w:shd w:val="clear" w:color="auto" w:fill="auto"/>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 xml:space="preserve">Persistence analyses from US </w:t>
            </w:r>
            <w:proofErr w:type="spellStart"/>
            <w:r w:rsidRPr="00F16087">
              <w:rPr>
                <w:rFonts w:ascii="Arial Narrow" w:hAnsi="Arial Narrow"/>
                <w:sz w:val="20"/>
              </w:rPr>
              <w:t>MarketScan</w:t>
            </w:r>
            <w:proofErr w:type="spellEnd"/>
            <w:r w:rsidRPr="00F16087">
              <w:rPr>
                <w:rFonts w:ascii="Arial Narrow" w:hAnsi="Arial Narrow"/>
                <w:sz w:val="20"/>
              </w:rPr>
              <w:t>® databases and parametric survival analyses</w:t>
            </w:r>
            <w:r w:rsidR="00444BF7" w:rsidRPr="00F16087">
              <w:rPr>
                <w:rFonts w:ascii="Arial Narrow" w:hAnsi="Arial Narrow"/>
                <w:sz w:val="20"/>
              </w:rPr>
              <w:t xml:space="preserve">. The parametric fits were extended to a 10-year follow-up. All the parametric modelling was done conditional on persisting for more than 36 days, to deal with a problem of a pronounced drop in the Kaplan-Meier curve at 30 days. The base case assumed the log-Normal model.  </w:t>
            </w:r>
            <w:r w:rsidR="00444BF7" w:rsidRPr="00F16087">
              <w:rPr>
                <w:rFonts w:ascii="Arial Narrow" w:hAnsi="Arial Narrow" w:cstheme="minorBidi"/>
                <w:iCs/>
                <w:sz w:val="20"/>
              </w:rPr>
              <w:t xml:space="preserve">Log-logistic and </w:t>
            </w:r>
            <w:proofErr w:type="spellStart"/>
            <w:r w:rsidR="00444BF7" w:rsidRPr="00F16087">
              <w:rPr>
                <w:rFonts w:ascii="Arial Narrow" w:hAnsi="Arial Narrow" w:cstheme="minorBidi"/>
                <w:iCs/>
                <w:sz w:val="20"/>
              </w:rPr>
              <w:t>Gompertz</w:t>
            </w:r>
            <w:proofErr w:type="spellEnd"/>
            <w:r w:rsidR="00444BF7" w:rsidRPr="00F16087">
              <w:rPr>
                <w:rFonts w:ascii="Arial Narrow" w:hAnsi="Arial Narrow" w:cstheme="minorBidi"/>
                <w:iCs/>
                <w:sz w:val="20"/>
              </w:rPr>
              <w:t xml:space="preserve"> models used in sensitivity analyses</w:t>
            </w:r>
            <w:r w:rsidR="00444BF7" w:rsidRPr="00F16087">
              <w:rPr>
                <w:rFonts w:ascii="Arial Narrow" w:hAnsi="Arial Narrow" w:cs="Times New Roman"/>
                <w:sz w:val="20"/>
              </w:rPr>
              <w:t xml:space="preserve">. </w:t>
            </w:r>
            <w:r w:rsidR="00444BF7" w:rsidRPr="00F16087">
              <w:rPr>
                <w:rFonts w:ascii="Arial Narrow" w:hAnsi="Arial Narrow" w:cs="Times New Roman"/>
                <w:iCs/>
                <w:sz w:val="20"/>
              </w:rPr>
              <w:t xml:space="preserve">These extrapolations are uncertain as </w:t>
            </w:r>
            <w:r w:rsidR="00444BF7" w:rsidRPr="00F16087">
              <w:rPr>
                <w:rFonts w:ascii="Arial Narrow" w:hAnsi="Arial Narrow"/>
                <w:iCs/>
                <w:sz w:val="20"/>
              </w:rPr>
              <w:t>in reality, the persistence curves could behave in a variety of ways beyond the observed follow-up times.</w:t>
            </w:r>
          </w:p>
        </w:tc>
      </w:tr>
      <w:tr w:rsidR="005A44FC" w:rsidRPr="00F16087" w:rsidTr="00E96865">
        <w:trPr>
          <w:trHeight w:val="240"/>
        </w:trPr>
        <w:tc>
          <w:tcPr>
            <w:tcW w:w="1276"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Discount rate</w:t>
            </w:r>
          </w:p>
        </w:tc>
        <w:tc>
          <w:tcPr>
            <w:tcW w:w="7059" w:type="dxa"/>
            <w:shd w:val="clear" w:color="auto" w:fill="auto"/>
          </w:tcPr>
          <w:p w:rsidR="005A44FC" w:rsidRPr="00F16087" w:rsidRDefault="005A44FC" w:rsidP="001F436A">
            <w:pPr>
              <w:keepNext/>
              <w:widowControl/>
              <w:rPr>
                <w:rFonts w:ascii="Arial Narrow" w:hAnsi="Arial Narrow"/>
                <w:sz w:val="20"/>
              </w:rPr>
            </w:pPr>
            <w:r w:rsidRPr="00F16087">
              <w:rPr>
                <w:rFonts w:ascii="Arial Narrow" w:hAnsi="Arial Narrow"/>
                <w:sz w:val="20"/>
              </w:rPr>
              <w:t>5% per annum for costs and outcomes</w:t>
            </w:r>
          </w:p>
        </w:tc>
      </w:tr>
      <w:tr w:rsidR="005A44FC" w:rsidRPr="00F16087" w:rsidTr="00E96865">
        <w:trPr>
          <w:trHeight w:val="225"/>
        </w:trPr>
        <w:tc>
          <w:tcPr>
            <w:tcW w:w="1276" w:type="dxa"/>
            <w:shd w:val="clear" w:color="auto" w:fill="auto"/>
            <w:vAlign w:val="center"/>
          </w:tcPr>
          <w:p w:rsidR="005A44FC" w:rsidRPr="00F16087" w:rsidRDefault="005A44FC" w:rsidP="001F436A">
            <w:pPr>
              <w:keepNext/>
              <w:widowControl/>
              <w:jc w:val="left"/>
              <w:rPr>
                <w:rFonts w:ascii="Arial Narrow" w:hAnsi="Arial Narrow"/>
                <w:sz w:val="20"/>
              </w:rPr>
            </w:pPr>
            <w:r w:rsidRPr="00F16087">
              <w:rPr>
                <w:rFonts w:ascii="Arial Narrow" w:hAnsi="Arial Narrow"/>
                <w:sz w:val="20"/>
              </w:rPr>
              <w:t>Software package</w:t>
            </w:r>
          </w:p>
        </w:tc>
        <w:tc>
          <w:tcPr>
            <w:tcW w:w="7059" w:type="dxa"/>
            <w:shd w:val="clear" w:color="auto" w:fill="auto"/>
          </w:tcPr>
          <w:p w:rsidR="005A44FC" w:rsidRPr="00F16087" w:rsidRDefault="005A44FC" w:rsidP="001F436A">
            <w:pPr>
              <w:keepNext/>
              <w:widowControl/>
              <w:rPr>
                <w:rFonts w:ascii="Arial Narrow" w:hAnsi="Arial Narrow"/>
                <w:sz w:val="20"/>
              </w:rPr>
            </w:pPr>
            <w:r w:rsidRPr="00F16087">
              <w:rPr>
                <w:rFonts w:ascii="Arial Narrow" w:hAnsi="Arial Narrow"/>
                <w:sz w:val="20"/>
              </w:rPr>
              <w:t>Excel 2010</w:t>
            </w:r>
          </w:p>
        </w:tc>
      </w:tr>
    </w:tbl>
    <w:p w:rsidR="00EC7293" w:rsidRPr="00F16087" w:rsidRDefault="00EC7293" w:rsidP="00682F46">
      <w:pPr>
        <w:pStyle w:val="TableFooter"/>
        <w:widowControl/>
        <w:ind w:firstLine="709"/>
      </w:pPr>
      <w:r w:rsidRPr="00F16087">
        <w:t>Source: constructed during the evaluation</w:t>
      </w:r>
    </w:p>
    <w:p w:rsidR="00275C5A" w:rsidRPr="00F16087" w:rsidRDefault="00275C5A" w:rsidP="003662EA">
      <w:pPr>
        <w:widowControl/>
        <w:rPr>
          <w:szCs w:val="22"/>
        </w:rPr>
      </w:pPr>
    </w:p>
    <w:p w:rsidR="00F17603" w:rsidRPr="00F16087" w:rsidRDefault="00F17603" w:rsidP="003662EA">
      <w:pPr>
        <w:pStyle w:val="ListParagraph"/>
        <w:widowControl/>
        <w:numPr>
          <w:ilvl w:val="1"/>
          <w:numId w:val="1"/>
        </w:numPr>
      </w:pPr>
      <w:r w:rsidRPr="00F16087">
        <w:t>Table 8 summarises the key drivers of the model.</w:t>
      </w:r>
    </w:p>
    <w:p w:rsidR="00F17603" w:rsidRPr="00F16087" w:rsidRDefault="00F17603" w:rsidP="003662EA">
      <w:pPr>
        <w:pStyle w:val="PBACheading1"/>
        <w:numPr>
          <w:ilvl w:val="0"/>
          <w:numId w:val="0"/>
        </w:numPr>
        <w:ind w:left="720"/>
      </w:pPr>
    </w:p>
    <w:p w:rsidR="00F17603" w:rsidRPr="00F16087" w:rsidRDefault="00F17603" w:rsidP="003662EA">
      <w:pPr>
        <w:pStyle w:val="PBACheading1"/>
        <w:keepNext/>
        <w:numPr>
          <w:ilvl w:val="0"/>
          <w:numId w:val="0"/>
        </w:numPr>
        <w:ind w:left="720"/>
        <w:rPr>
          <w:rFonts w:ascii="Arial Narrow" w:hAnsi="Arial Narrow"/>
          <w:b/>
        </w:rPr>
      </w:pPr>
      <w:r w:rsidRPr="00F16087">
        <w:rPr>
          <w:rFonts w:ascii="Arial Narrow" w:hAnsi="Arial Narrow"/>
          <w:b/>
        </w:rPr>
        <w:t>Table 8: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4820"/>
        <w:gridCol w:w="1682"/>
      </w:tblGrid>
      <w:tr w:rsidR="00F17603" w:rsidRPr="00F16087" w:rsidTr="00254A2B">
        <w:trPr>
          <w:tblHeader/>
        </w:trPr>
        <w:tc>
          <w:tcPr>
            <w:tcW w:w="1104" w:type="pct"/>
            <w:shd w:val="clear" w:color="auto" w:fill="auto"/>
            <w:vAlign w:val="center"/>
          </w:tcPr>
          <w:p w:rsidR="00F17603" w:rsidRPr="00F16087" w:rsidRDefault="00F17603" w:rsidP="003662EA">
            <w:pPr>
              <w:keepNext/>
              <w:widowControl/>
              <w:jc w:val="left"/>
              <w:rPr>
                <w:rFonts w:ascii="Arial Narrow" w:hAnsi="Arial Narrow"/>
                <w:b/>
                <w:sz w:val="20"/>
                <w:lang w:val="en-US"/>
              </w:rPr>
            </w:pPr>
            <w:r w:rsidRPr="00F16087">
              <w:rPr>
                <w:rFonts w:ascii="Arial Narrow" w:hAnsi="Arial Narrow"/>
                <w:b/>
                <w:sz w:val="20"/>
                <w:lang w:val="en-US"/>
              </w:rPr>
              <w:t>Description</w:t>
            </w:r>
          </w:p>
        </w:tc>
        <w:tc>
          <w:tcPr>
            <w:tcW w:w="2888" w:type="pct"/>
            <w:shd w:val="clear" w:color="auto" w:fill="auto"/>
            <w:vAlign w:val="center"/>
          </w:tcPr>
          <w:p w:rsidR="00F17603" w:rsidRPr="00F16087" w:rsidRDefault="00F17603" w:rsidP="003662EA">
            <w:pPr>
              <w:keepNext/>
              <w:widowControl/>
              <w:jc w:val="center"/>
              <w:rPr>
                <w:rFonts w:ascii="Arial Narrow" w:hAnsi="Arial Narrow"/>
                <w:b/>
                <w:sz w:val="20"/>
                <w:lang w:val="en-US"/>
              </w:rPr>
            </w:pPr>
            <w:r w:rsidRPr="00F16087">
              <w:rPr>
                <w:rFonts w:ascii="Arial Narrow" w:hAnsi="Arial Narrow"/>
                <w:b/>
                <w:sz w:val="20"/>
                <w:lang w:val="en-US"/>
              </w:rPr>
              <w:t>Method/Value</w:t>
            </w:r>
          </w:p>
        </w:tc>
        <w:tc>
          <w:tcPr>
            <w:tcW w:w="1008" w:type="pct"/>
            <w:shd w:val="clear" w:color="auto" w:fill="auto"/>
            <w:vAlign w:val="center"/>
          </w:tcPr>
          <w:p w:rsidR="00F17603" w:rsidRPr="00F16087" w:rsidRDefault="00F17603" w:rsidP="003662EA">
            <w:pPr>
              <w:keepNext/>
              <w:widowControl/>
              <w:jc w:val="center"/>
              <w:rPr>
                <w:rFonts w:ascii="Arial Narrow" w:hAnsi="Arial Narrow"/>
                <w:b/>
                <w:sz w:val="20"/>
                <w:lang w:val="en-US"/>
              </w:rPr>
            </w:pPr>
            <w:r w:rsidRPr="00F16087">
              <w:rPr>
                <w:rFonts w:ascii="Arial Narrow" w:hAnsi="Arial Narrow"/>
                <w:b/>
                <w:sz w:val="20"/>
                <w:lang w:val="en-US"/>
              </w:rPr>
              <w:t>Impact</w:t>
            </w:r>
          </w:p>
        </w:tc>
      </w:tr>
      <w:tr w:rsidR="00F17603" w:rsidRPr="00F16087" w:rsidTr="00254A2B">
        <w:tc>
          <w:tcPr>
            <w:tcW w:w="1104" w:type="pct"/>
            <w:shd w:val="clear" w:color="auto" w:fill="auto"/>
            <w:vAlign w:val="center"/>
          </w:tcPr>
          <w:p w:rsidR="00F17603" w:rsidRPr="00F16087" w:rsidRDefault="00F17603" w:rsidP="003662EA">
            <w:pPr>
              <w:keepNext/>
              <w:widowControl/>
              <w:jc w:val="left"/>
              <w:rPr>
                <w:rFonts w:ascii="Arial Narrow" w:hAnsi="Arial Narrow"/>
                <w:sz w:val="20"/>
                <w:lang w:val="en-US"/>
              </w:rPr>
            </w:pPr>
            <w:r w:rsidRPr="00F16087">
              <w:rPr>
                <w:rFonts w:ascii="Arial Narrow" w:hAnsi="Arial Narrow"/>
                <w:sz w:val="20"/>
                <w:lang w:val="en-US"/>
              </w:rPr>
              <w:t>Utility values</w:t>
            </w:r>
          </w:p>
        </w:tc>
        <w:tc>
          <w:tcPr>
            <w:tcW w:w="2888" w:type="pct"/>
            <w:shd w:val="clear" w:color="auto" w:fill="auto"/>
            <w:vAlign w:val="center"/>
          </w:tcPr>
          <w:p w:rsidR="00B60A9D" w:rsidRPr="00F16087" w:rsidRDefault="00254A2B" w:rsidP="003662EA">
            <w:pPr>
              <w:keepNext/>
              <w:widowControl/>
              <w:jc w:val="left"/>
              <w:rPr>
                <w:rFonts w:ascii="Arial Narrow" w:hAnsi="Arial Narrow"/>
                <w:iCs/>
                <w:sz w:val="20"/>
              </w:rPr>
            </w:pPr>
            <w:r w:rsidRPr="00F16087">
              <w:rPr>
                <w:rFonts w:ascii="Arial Narrow" w:hAnsi="Arial Narrow"/>
                <w:sz w:val="20"/>
              </w:rPr>
              <w:t>Applied to patients based on the treatment received rather than a health st</w:t>
            </w:r>
            <w:r w:rsidR="00B60A9D" w:rsidRPr="00F16087">
              <w:rPr>
                <w:rFonts w:ascii="Arial Narrow" w:hAnsi="Arial Narrow"/>
                <w:sz w:val="20"/>
              </w:rPr>
              <w:t>ate defined by PASI and/or DLQI.</w:t>
            </w:r>
          </w:p>
          <w:p w:rsidR="003953ED" w:rsidRPr="00F16087" w:rsidRDefault="00254A2B" w:rsidP="003662EA">
            <w:pPr>
              <w:pStyle w:val="PBACheading1"/>
              <w:keepNext/>
              <w:numPr>
                <w:ilvl w:val="0"/>
                <w:numId w:val="16"/>
              </w:numPr>
              <w:ind w:left="255" w:hanging="255"/>
              <w:rPr>
                <w:rFonts w:ascii="Arial Narrow" w:hAnsi="Arial Narrow"/>
                <w:sz w:val="20"/>
                <w:szCs w:val="20"/>
              </w:rPr>
            </w:pPr>
            <w:r w:rsidRPr="00F16087">
              <w:rPr>
                <w:rFonts w:ascii="Arial Narrow" w:hAnsi="Arial Narrow"/>
                <w:sz w:val="20"/>
                <w:szCs w:val="20"/>
              </w:rPr>
              <w:t>0.84 for apremil</w:t>
            </w:r>
            <w:r w:rsidR="00B60A9D" w:rsidRPr="00F16087">
              <w:rPr>
                <w:rFonts w:ascii="Arial Narrow" w:hAnsi="Arial Narrow"/>
                <w:sz w:val="20"/>
                <w:szCs w:val="20"/>
              </w:rPr>
              <w:t>ast and 0.73 for discontinued and on no other treatment</w:t>
            </w:r>
            <w:r w:rsidR="003953ED" w:rsidRPr="00F16087">
              <w:rPr>
                <w:rFonts w:ascii="Arial Narrow" w:hAnsi="Arial Narrow"/>
                <w:sz w:val="20"/>
                <w:szCs w:val="20"/>
              </w:rPr>
              <w:t xml:space="preserve"> </w:t>
            </w:r>
            <w:r w:rsidR="00B60A9D" w:rsidRPr="00F16087">
              <w:rPr>
                <w:rFonts w:ascii="Arial Narrow" w:hAnsi="Arial Narrow"/>
                <w:sz w:val="20"/>
                <w:szCs w:val="20"/>
              </w:rPr>
              <w:t xml:space="preserve">– </w:t>
            </w:r>
            <w:r w:rsidR="009A6F09" w:rsidRPr="00F16087">
              <w:rPr>
                <w:rFonts w:ascii="Arial Narrow" w:hAnsi="Arial Narrow"/>
                <w:sz w:val="20"/>
                <w:szCs w:val="20"/>
              </w:rPr>
              <w:t xml:space="preserve">inappropriately using the EQ-5D results for </w:t>
            </w:r>
            <w:r w:rsidR="003953ED" w:rsidRPr="00F16087">
              <w:rPr>
                <w:rFonts w:ascii="Arial Narrow" w:hAnsi="Arial Narrow"/>
                <w:sz w:val="20"/>
                <w:szCs w:val="20"/>
              </w:rPr>
              <w:t>‘responders’ and ‘non-responders’</w:t>
            </w:r>
            <w:r w:rsidR="000B18BC" w:rsidRPr="00F16087">
              <w:rPr>
                <w:rFonts w:ascii="Arial Narrow" w:hAnsi="Arial Narrow"/>
                <w:sz w:val="20"/>
                <w:szCs w:val="20"/>
              </w:rPr>
              <w:t>, respectively,</w:t>
            </w:r>
            <w:r w:rsidR="003953ED" w:rsidRPr="00F16087">
              <w:rPr>
                <w:rFonts w:ascii="Arial Narrow" w:hAnsi="Arial Narrow"/>
                <w:sz w:val="20"/>
                <w:szCs w:val="20"/>
              </w:rPr>
              <w:t xml:space="preserve"> </w:t>
            </w:r>
            <w:r w:rsidR="009A6F09" w:rsidRPr="00F16087">
              <w:rPr>
                <w:rFonts w:ascii="Arial Narrow" w:hAnsi="Arial Narrow"/>
                <w:sz w:val="20"/>
                <w:szCs w:val="20"/>
              </w:rPr>
              <w:t xml:space="preserve">based on </w:t>
            </w:r>
            <w:r w:rsidR="003953ED" w:rsidRPr="00F16087">
              <w:rPr>
                <w:rFonts w:ascii="Arial Narrow" w:hAnsi="Arial Narrow"/>
                <w:sz w:val="20"/>
                <w:szCs w:val="20"/>
              </w:rPr>
              <w:t xml:space="preserve">PASI response and DLQI, from the </w:t>
            </w:r>
            <w:r w:rsidR="009A6F09" w:rsidRPr="00F16087">
              <w:rPr>
                <w:rFonts w:ascii="Arial Narrow" w:hAnsi="Arial Narrow"/>
                <w:sz w:val="20"/>
                <w:szCs w:val="20"/>
              </w:rPr>
              <w:t xml:space="preserve">pooled </w:t>
            </w:r>
            <w:r w:rsidR="00B60A9D" w:rsidRPr="00F16087">
              <w:rPr>
                <w:rFonts w:ascii="Arial Narrow" w:hAnsi="Arial Narrow"/>
                <w:sz w:val="20"/>
                <w:szCs w:val="20"/>
              </w:rPr>
              <w:t>ESTEEM trials.</w:t>
            </w:r>
          </w:p>
          <w:p w:rsidR="002B0585" w:rsidRPr="00F16087" w:rsidRDefault="00B60A9D" w:rsidP="003662EA">
            <w:pPr>
              <w:pStyle w:val="PBACheading1"/>
              <w:keepNext/>
              <w:numPr>
                <w:ilvl w:val="0"/>
                <w:numId w:val="16"/>
              </w:numPr>
              <w:ind w:left="255" w:hanging="255"/>
              <w:rPr>
                <w:rFonts w:ascii="Arial Narrow" w:hAnsi="Arial Narrow"/>
                <w:sz w:val="20"/>
                <w:szCs w:val="20"/>
              </w:rPr>
            </w:pPr>
            <w:r w:rsidRPr="00F16087">
              <w:rPr>
                <w:rFonts w:ascii="Arial Narrow" w:hAnsi="Arial Narrow"/>
                <w:sz w:val="20"/>
                <w:szCs w:val="20"/>
              </w:rPr>
              <w:t xml:space="preserve">0.76 </w:t>
            </w:r>
            <w:proofErr w:type="gramStart"/>
            <w:r w:rsidRPr="00F16087">
              <w:rPr>
                <w:rFonts w:ascii="Arial Narrow" w:hAnsi="Arial Narrow"/>
                <w:sz w:val="20"/>
                <w:szCs w:val="20"/>
              </w:rPr>
              <w:t>for</w:t>
            </w:r>
            <w:proofErr w:type="gramEnd"/>
            <w:r w:rsidRPr="00F16087">
              <w:rPr>
                <w:rFonts w:ascii="Arial Narrow" w:hAnsi="Arial Narrow"/>
                <w:sz w:val="20"/>
                <w:szCs w:val="20"/>
              </w:rPr>
              <w:t xml:space="preserve"> treatment with cyclosporin, methotrexate or acitretin; and 0.80 for treatment with </w:t>
            </w:r>
            <w:r w:rsidR="00D40091" w:rsidRPr="00F16087">
              <w:rPr>
                <w:rFonts w:ascii="Arial Narrow" w:hAnsi="Arial Narrow"/>
                <w:sz w:val="20"/>
                <w:szCs w:val="20"/>
              </w:rPr>
              <w:t xml:space="preserve">biologics – </w:t>
            </w:r>
            <w:proofErr w:type="spellStart"/>
            <w:r w:rsidR="00D40091" w:rsidRPr="00F16087">
              <w:rPr>
                <w:rFonts w:ascii="Arial Narrow" w:hAnsi="Arial Narrow"/>
                <w:sz w:val="20"/>
                <w:szCs w:val="20"/>
              </w:rPr>
              <w:t>Norlin</w:t>
            </w:r>
            <w:proofErr w:type="spellEnd"/>
            <w:r w:rsidR="00D40091" w:rsidRPr="00F16087">
              <w:rPr>
                <w:rFonts w:ascii="Arial Narrow" w:hAnsi="Arial Narrow"/>
                <w:sz w:val="20"/>
                <w:szCs w:val="20"/>
              </w:rPr>
              <w:t xml:space="preserve"> et al., 2012a; 2012b</w:t>
            </w:r>
            <w:r w:rsidRPr="00F16087">
              <w:rPr>
                <w:rFonts w:ascii="Arial Narrow" w:hAnsi="Arial Narrow"/>
                <w:sz w:val="20"/>
                <w:szCs w:val="20"/>
              </w:rPr>
              <w:t>.</w:t>
            </w:r>
          </w:p>
          <w:p w:rsidR="00BD7942" w:rsidRPr="00F16087" w:rsidRDefault="00BD7942" w:rsidP="001F436A">
            <w:pPr>
              <w:pStyle w:val="PBACheading1"/>
              <w:keepNext/>
              <w:numPr>
                <w:ilvl w:val="0"/>
                <w:numId w:val="0"/>
              </w:numPr>
              <w:rPr>
                <w:rFonts w:ascii="Arial Narrow" w:hAnsi="Arial Narrow"/>
                <w:sz w:val="18"/>
                <w:szCs w:val="18"/>
              </w:rPr>
            </w:pPr>
            <w:r w:rsidRPr="00F16087">
              <w:rPr>
                <w:rFonts w:ascii="Arial Narrow" w:hAnsi="Arial Narrow"/>
                <w:sz w:val="20"/>
                <w:szCs w:val="20"/>
              </w:rPr>
              <w:t>The ESC queried the face validity of the relative utility scores, particularly that between the apremilast and biologics arms.</w:t>
            </w:r>
          </w:p>
        </w:tc>
        <w:tc>
          <w:tcPr>
            <w:tcW w:w="1008" w:type="pct"/>
            <w:shd w:val="clear" w:color="auto" w:fill="auto"/>
            <w:vAlign w:val="center"/>
          </w:tcPr>
          <w:p w:rsidR="00F17603" w:rsidRPr="00F16087" w:rsidRDefault="00F17603" w:rsidP="003662EA">
            <w:pPr>
              <w:keepNext/>
              <w:widowControl/>
              <w:jc w:val="center"/>
              <w:rPr>
                <w:rFonts w:ascii="Arial Narrow" w:hAnsi="Arial Narrow"/>
                <w:sz w:val="20"/>
                <w:lang w:val="en-US"/>
              </w:rPr>
            </w:pPr>
            <w:r w:rsidRPr="00F16087">
              <w:rPr>
                <w:rFonts w:ascii="Arial Narrow" w:hAnsi="Arial Narrow"/>
                <w:sz w:val="20"/>
                <w:lang w:val="en-US"/>
              </w:rPr>
              <w:t>High, favours apremilast</w:t>
            </w:r>
          </w:p>
        </w:tc>
      </w:tr>
      <w:tr w:rsidR="00F17603" w:rsidRPr="00F16087" w:rsidTr="00254A2B">
        <w:tc>
          <w:tcPr>
            <w:tcW w:w="1104" w:type="pct"/>
            <w:shd w:val="clear" w:color="auto" w:fill="auto"/>
            <w:vAlign w:val="center"/>
          </w:tcPr>
          <w:p w:rsidR="00F17603" w:rsidRPr="00F16087" w:rsidRDefault="00F17603" w:rsidP="003662EA">
            <w:pPr>
              <w:widowControl/>
              <w:jc w:val="left"/>
              <w:rPr>
                <w:rFonts w:ascii="Arial Narrow" w:hAnsi="Arial Narrow"/>
                <w:sz w:val="20"/>
                <w:lang w:val="en-US"/>
              </w:rPr>
            </w:pPr>
            <w:r w:rsidRPr="00F16087">
              <w:rPr>
                <w:rFonts w:ascii="Arial Narrow" w:hAnsi="Arial Narrow"/>
                <w:sz w:val="20"/>
                <w:lang w:val="en-US"/>
              </w:rPr>
              <w:t>Costs of subsequent therapy</w:t>
            </w:r>
          </w:p>
        </w:tc>
        <w:tc>
          <w:tcPr>
            <w:tcW w:w="2888" w:type="pct"/>
            <w:shd w:val="clear" w:color="auto" w:fill="auto"/>
            <w:vAlign w:val="center"/>
          </w:tcPr>
          <w:p w:rsidR="00F17603" w:rsidRPr="00F16087" w:rsidRDefault="00F17603" w:rsidP="003662EA">
            <w:pPr>
              <w:widowControl/>
              <w:jc w:val="left"/>
              <w:rPr>
                <w:rFonts w:ascii="Arial Narrow" w:hAnsi="Arial Narrow"/>
                <w:sz w:val="20"/>
                <w:lang w:val="en-US"/>
              </w:rPr>
            </w:pPr>
            <w:r w:rsidRPr="00F16087">
              <w:rPr>
                <w:rFonts w:ascii="Arial Narrow" w:hAnsi="Arial Narrow"/>
                <w:sz w:val="20"/>
                <w:lang w:val="en-US"/>
              </w:rPr>
              <w:t>%</w:t>
            </w:r>
            <w:r w:rsidR="0034780D" w:rsidRPr="00F16087">
              <w:rPr>
                <w:rFonts w:ascii="Arial Narrow" w:hAnsi="Arial Narrow"/>
                <w:sz w:val="20"/>
                <w:lang w:val="en-US"/>
              </w:rPr>
              <w:t>’</w:t>
            </w:r>
            <w:r w:rsidRPr="00F16087">
              <w:rPr>
                <w:rFonts w:ascii="Arial Narrow" w:hAnsi="Arial Narrow"/>
                <w:sz w:val="20"/>
                <w:lang w:val="en-US"/>
              </w:rPr>
              <w:t xml:space="preserve">s derived from </w:t>
            </w:r>
            <w:proofErr w:type="spellStart"/>
            <w:r w:rsidRPr="00F16087">
              <w:rPr>
                <w:rFonts w:ascii="Arial Narrow" w:hAnsi="Arial Narrow"/>
                <w:sz w:val="20"/>
                <w:lang w:val="en-US"/>
              </w:rPr>
              <w:t>NostraData</w:t>
            </w:r>
            <w:proofErr w:type="spellEnd"/>
            <w:r w:rsidRPr="00F16087">
              <w:rPr>
                <w:rFonts w:ascii="Arial Narrow" w:hAnsi="Arial Narrow"/>
                <w:sz w:val="20"/>
                <w:lang w:val="en-US"/>
              </w:rPr>
              <w:t xml:space="preserve"> analysis</w:t>
            </w:r>
          </w:p>
        </w:tc>
        <w:tc>
          <w:tcPr>
            <w:tcW w:w="1008" w:type="pct"/>
            <w:shd w:val="clear" w:color="auto" w:fill="auto"/>
            <w:vAlign w:val="center"/>
          </w:tcPr>
          <w:p w:rsidR="00F17603" w:rsidRPr="00F16087" w:rsidRDefault="00BD7942" w:rsidP="003662EA">
            <w:pPr>
              <w:widowControl/>
              <w:jc w:val="center"/>
              <w:rPr>
                <w:rFonts w:ascii="Arial Narrow" w:hAnsi="Arial Narrow"/>
                <w:sz w:val="20"/>
                <w:lang w:val="en-US"/>
              </w:rPr>
            </w:pPr>
            <w:r w:rsidRPr="00F16087">
              <w:rPr>
                <w:rFonts w:ascii="Arial Narrow" w:hAnsi="Arial Narrow"/>
                <w:sz w:val="20"/>
                <w:lang w:val="en-US"/>
              </w:rPr>
              <w:t>Moderate</w:t>
            </w:r>
            <w:r w:rsidR="00F17603" w:rsidRPr="00F16087">
              <w:rPr>
                <w:rFonts w:ascii="Arial Narrow" w:hAnsi="Arial Narrow"/>
                <w:sz w:val="20"/>
                <w:lang w:val="en-US"/>
              </w:rPr>
              <w:t>, favours apremilast</w:t>
            </w:r>
          </w:p>
        </w:tc>
      </w:tr>
      <w:tr w:rsidR="00F17603" w:rsidRPr="00F16087" w:rsidTr="00254A2B">
        <w:tc>
          <w:tcPr>
            <w:tcW w:w="1104" w:type="pct"/>
            <w:shd w:val="clear" w:color="auto" w:fill="auto"/>
            <w:vAlign w:val="center"/>
          </w:tcPr>
          <w:p w:rsidR="00F17603" w:rsidRPr="00F16087" w:rsidRDefault="00F17603" w:rsidP="003662EA">
            <w:pPr>
              <w:widowControl/>
              <w:jc w:val="left"/>
              <w:rPr>
                <w:rFonts w:ascii="Arial Narrow" w:hAnsi="Arial Narrow"/>
                <w:sz w:val="20"/>
                <w:lang w:val="en-US"/>
              </w:rPr>
            </w:pPr>
            <w:r w:rsidRPr="00F16087">
              <w:rPr>
                <w:rFonts w:ascii="Arial Narrow" w:hAnsi="Arial Narrow"/>
                <w:sz w:val="20"/>
                <w:lang w:val="en-US"/>
              </w:rPr>
              <w:t>Prices of bDMARDs</w:t>
            </w:r>
          </w:p>
        </w:tc>
        <w:tc>
          <w:tcPr>
            <w:tcW w:w="2888" w:type="pct"/>
            <w:shd w:val="clear" w:color="auto" w:fill="auto"/>
            <w:vAlign w:val="center"/>
          </w:tcPr>
          <w:p w:rsidR="00F17603" w:rsidRPr="00F16087" w:rsidRDefault="00F17603" w:rsidP="003662EA">
            <w:pPr>
              <w:widowControl/>
              <w:jc w:val="left"/>
              <w:rPr>
                <w:rFonts w:ascii="Arial Narrow" w:hAnsi="Arial Narrow"/>
                <w:sz w:val="20"/>
                <w:lang w:val="en-US"/>
              </w:rPr>
            </w:pPr>
            <w:r w:rsidRPr="00F16087">
              <w:rPr>
                <w:rFonts w:ascii="Arial Narrow" w:hAnsi="Arial Narrow"/>
                <w:sz w:val="20"/>
                <w:lang w:val="en-US"/>
              </w:rPr>
              <w:t>Published prices</w:t>
            </w:r>
            <w:r w:rsidR="00254A2B" w:rsidRPr="00F16087">
              <w:rPr>
                <w:rFonts w:ascii="Arial Narrow" w:hAnsi="Arial Narrow"/>
                <w:sz w:val="20"/>
                <w:lang w:val="en-US"/>
              </w:rPr>
              <w:t xml:space="preserve">. Special Pricing Arrangements are in place for </w:t>
            </w:r>
            <w:r w:rsidR="00BD4831" w:rsidRPr="00F16087">
              <w:rPr>
                <w:rFonts w:ascii="Arial Narrow" w:hAnsi="Arial Narrow"/>
                <w:sz w:val="20"/>
                <w:lang w:val="en-US"/>
              </w:rPr>
              <w:t>ustekinumab, adalimumab, secukinumab and etanercept.</w:t>
            </w:r>
            <w:r w:rsidRPr="00F16087">
              <w:rPr>
                <w:rFonts w:ascii="Arial Narrow" w:hAnsi="Arial Narrow"/>
                <w:sz w:val="20"/>
                <w:lang w:val="en-US"/>
              </w:rPr>
              <w:t xml:space="preserve"> </w:t>
            </w:r>
          </w:p>
        </w:tc>
        <w:tc>
          <w:tcPr>
            <w:tcW w:w="1008" w:type="pct"/>
            <w:shd w:val="clear" w:color="auto" w:fill="auto"/>
            <w:vAlign w:val="center"/>
          </w:tcPr>
          <w:p w:rsidR="00F17603" w:rsidRPr="00F16087" w:rsidRDefault="00F17603" w:rsidP="00C94921">
            <w:pPr>
              <w:widowControl/>
              <w:jc w:val="center"/>
              <w:rPr>
                <w:rFonts w:ascii="Arial Narrow" w:hAnsi="Arial Narrow"/>
                <w:sz w:val="20"/>
                <w:lang w:val="en-US"/>
              </w:rPr>
            </w:pPr>
            <w:r w:rsidRPr="00F16087">
              <w:rPr>
                <w:rFonts w:ascii="Arial Narrow" w:hAnsi="Arial Narrow"/>
                <w:sz w:val="20"/>
                <w:lang w:val="en-US"/>
              </w:rPr>
              <w:t xml:space="preserve">Moderate, favours apremilast </w:t>
            </w:r>
          </w:p>
        </w:tc>
      </w:tr>
    </w:tbl>
    <w:p w:rsidR="00F17603" w:rsidRPr="00F16087" w:rsidRDefault="00F17603" w:rsidP="003662EA">
      <w:pPr>
        <w:pStyle w:val="PBACheading1"/>
        <w:numPr>
          <w:ilvl w:val="0"/>
          <w:numId w:val="0"/>
        </w:numPr>
        <w:ind w:left="720"/>
        <w:rPr>
          <w:rFonts w:ascii="Arial Narrow" w:hAnsi="Arial Narrow"/>
          <w:sz w:val="18"/>
          <w:szCs w:val="18"/>
        </w:rPr>
      </w:pPr>
      <w:r w:rsidRPr="00F16087">
        <w:rPr>
          <w:rFonts w:ascii="Arial Narrow" w:hAnsi="Arial Narrow"/>
          <w:sz w:val="18"/>
          <w:szCs w:val="18"/>
        </w:rPr>
        <w:t>Source: compiled during the evaluation</w:t>
      </w:r>
      <w:r w:rsidR="00BD4831" w:rsidRPr="00F16087">
        <w:rPr>
          <w:rFonts w:ascii="Arial Narrow" w:hAnsi="Arial Narrow"/>
          <w:sz w:val="18"/>
          <w:szCs w:val="18"/>
        </w:rPr>
        <w:t>.</w:t>
      </w:r>
    </w:p>
    <w:p w:rsidR="00F17603" w:rsidRPr="00F16087" w:rsidRDefault="00F17603" w:rsidP="003662EA">
      <w:pPr>
        <w:pStyle w:val="PBACheading1"/>
        <w:numPr>
          <w:ilvl w:val="0"/>
          <w:numId w:val="0"/>
        </w:numPr>
        <w:ind w:left="720"/>
      </w:pPr>
    </w:p>
    <w:p w:rsidR="00275C5A" w:rsidRPr="00F16087" w:rsidRDefault="008A5903" w:rsidP="003662EA">
      <w:pPr>
        <w:pStyle w:val="ListParagraph"/>
        <w:widowControl/>
        <w:numPr>
          <w:ilvl w:val="1"/>
          <w:numId w:val="1"/>
        </w:numPr>
        <w:rPr>
          <w:szCs w:val="22"/>
        </w:rPr>
      </w:pPr>
      <w:r w:rsidRPr="00F16087">
        <w:t xml:space="preserve">The results of the stepped economic evaluation in the </w:t>
      </w:r>
      <w:r w:rsidR="00E41050" w:rsidRPr="00F16087">
        <w:t>resub</w:t>
      </w:r>
      <w:r w:rsidRPr="00F16087">
        <w:t>m</w:t>
      </w:r>
      <w:r w:rsidR="007A46E8" w:rsidRPr="00F16087">
        <w:t xml:space="preserve">ission are presented in Table </w:t>
      </w:r>
      <w:r w:rsidR="00F17603" w:rsidRPr="00F16087">
        <w:t>9</w:t>
      </w:r>
      <w:r w:rsidR="00D110BD" w:rsidRPr="00F16087">
        <w:t>.</w:t>
      </w:r>
      <w:r w:rsidR="0098002F" w:rsidRPr="00F16087">
        <w:t xml:space="preserve"> </w:t>
      </w:r>
      <w:r w:rsidR="008F1EC2" w:rsidRPr="00F16087">
        <w:rPr>
          <w:iCs/>
        </w:rPr>
        <w:t xml:space="preserve">Multiple errors in the </w:t>
      </w:r>
      <w:r w:rsidR="00F17603" w:rsidRPr="00F16087">
        <w:rPr>
          <w:iCs/>
        </w:rPr>
        <w:t>model</w:t>
      </w:r>
      <w:r w:rsidR="008F1EC2" w:rsidRPr="00F16087">
        <w:rPr>
          <w:iCs/>
        </w:rPr>
        <w:t xml:space="preserve"> were corrected during the evaluation and the ICER of </w:t>
      </w:r>
      <w:r w:rsidR="0079344C">
        <w:rPr>
          <w:iCs/>
        </w:rPr>
        <w:t xml:space="preserve">$15,000 - $45,000 per </w:t>
      </w:r>
      <w:r w:rsidR="008F1EC2" w:rsidRPr="00F16087">
        <w:rPr>
          <w:iCs/>
        </w:rPr>
        <w:t xml:space="preserve">QALY </w:t>
      </w:r>
      <w:r w:rsidR="00774C2A" w:rsidRPr="00F16087">
        <w:rPr>
          <w:iCs/>
        </w:rPr>
        <w:t xml:space="preserve">gained </w:t>
      </w:r>
      <w:r w:rsidR="008F1EC2" w:rsidRPr="00F16087">
        <w:rPr>
          <w:iCs/>
        </w:rPr>
        <w:t xml:space="preserve">represents the </w:t>
      </w:r>
      <w:r w:rsidR="003646B1" w:rsidRPr="00F16087">
        <w:rPr>
          <w:iCs/>
        </w:rPr>
        <w:t xml:space="preserve">results </w:t>
      </w:r>
      <w:r w:rsidR="00EC7293" w:rsidRPr="00F16087">
        <w:rPr>
          <w:iCs/>
        </w:rPr>
        <w:t>with these errors corrected</w:t>
      </w:r>
      <w:r w:rsidR="00F17603" w:rsidRPr="00F16087">
        <w:rPr>
          <w:iCs/>
        </w:rPr>
        <w:t xml:space="preserve"> (uncorrected ICER: </w:t>
      </w:r>
      <w:r w:rsidR="0079344C">
        <w:rPr>
          <w:iCs/>
        </w:rPr>
        <w:t xml:space="preserve">less than $15,000 per </w:t>
      </w:r>
      <w:r w:rsidR="003646B1" w:rsidRPr="00F16087">
        <w:rPr>
          <w:iCs/>
        </w:rPr>
        <w:t>QALY</w:t>
      </w:r>
      <w:r w:rsidR="00774C2A" w:rsidRPr="00F16087">
        <w:rPr>
          <w:iCs/>
        </w:rPr>
        <w:t xml:space="preserve"> gained</w:t>
      </w:r>
      <w:r w:rsidR="00F17603" w:rsidRPr="00F16087">
        <w:rPr>
          <w:iCs/>
        </w:rPr>
        <w:t>)</w:t>
      </w:r>
      <w:r w:rsidR="00EC7293" w:rsidRPr="00F16087">
        <w:rPr>
          <w:iCs/>
        </w:rPr>
        <w:t>.</w:t>
      </w:r>
      <w:r w:rsidR="008F1EC2" w:rsidRPr="00F16087">
        <w:rPr>
          <w:iCs/>
        </w:rPr>
        <w:t xml:space="preserve"> </w:t>
      </w:r>
      <w:r w:rsidR="0057781C" w:rsidRPr="00F16087">
        <w:rPr>
          <w:iCs/>
        </w:rPr>
        <w:t>The ESC noted that the PSCR did not contest these corrections.</w:t>
      </w:r>
    </w:p>
    <w:p w:rsidR="00D110BD" w:rsidRPr="00F16087" w:rsidRDefault="00D110BD" w:rsidP="003662EA">
      <w:pPr>
        <w:widowControl/>
        <w:rPr>
          <w:szCs w:val="22"/>
        </w:rPr>
      </w:pPr>
    </w:p>
    <w:p w:rsidR="00A72356" w:rsidRPr="00F16087" w:rsidRDefault="00A72356" w:rsidP="003662EA">
      <w:pPr>
        <w:pStyle w:val="Caption"/>
        <w:keepNext/>
        <w:widowControl/>
        <w:ind w:firstLine="720"/>
      </w:pPr>
      <w:r w:rsidRPr="00F16087">
        <w:t xml:space="preserve">Table </w:t>
      </w:r>
      <w:r w:rsidR="00F17603" w:rsidRPr="00F16087">
        <w:t>9</w:t>
      </w:r>
      <w:r w:rsidRPr="00F16087">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2570C5" w:rsidRPr="00F16087" w:rsidTr="00113F68">
        <w:trPr>
          <w:tblHeader/>
        </w:trPr>
        <w:tc>
          <w:tcPr>
            <w:tcW w:w="1529" w:type="pct"/>
            <w:vAlign w:val="center"/>
          </w:tcPr>
          <w:p w:rsidR="002570C5" w:rsidRPr="00F16087" w:rsidRDefault="002570C5" w:rsidP="003662EA">
            <w:pPr>
              <w:keepNext/>
              <w:widowControl/>
              <w:jc w:val="left"/>
              <w:rPr>
                <w:rFonts w:ascii="Arial Narrow" w:hAnsi="Arial Narrow"/>
                <w:b/>
                <w:sz w:val="20"/>
              </w:rPr>
            </w:pPr>
            <w:r w:rsidRPr="00F16087">
              <w:rPr>
                <w:rFonts w:ascii="Arial Narrow" w:hAnsi="Arial Narrow"/>
                <w:b/>
                <w:sz w:val="20"/>
              </w:rPr>
              <w:t>Step and component</w:t>
            </w:r>
          </w:p>
        </w:tc>
        <w:tc>
          <w:tcPr>
            <w:tcW w:w="1359" w:type="pct"/>
            <w:vAlign w:val="center"/>
          </w:tcPr>
          <w:p w:rsidR="002570C5" w:rsidRPr="00F16087" w:rsidRDefault="005E6F37" w:rsidP="003662EA">
            <w:pPr>
              <w:keepNext/>
              <w:widowControl/>
              <w:jc w:val="center"/>
              <w:rPr>
                <w:rFonts w:ascii="Arial Narrow" w:hAnsi="Arial Narrow"/>
                <w:b/>
                <w:sz w:val="20"/>
              </w:rPr>
            </w:pPr>
            <w:r w:rsidRPr="00F16087">
              <w:rPr>
                <w:rFonts w:ascii="Arial Narrow" w:hAnsi="Arial Narrow"/>
                <w:b/>
                <w:sz w:val="20"/>
              </w:rPr>
              <w:t>Apremilast</w:t>
            </w:r>
          </w:p>
        </w:tc>
        <w:tc>
          <w:tcPr>
            <w:tcW w:w="1274" w:type="pct"/>
            <w:vAlign w:val="center"/>
          </w:tcPr>
          <w:p w:rsidR="002570C5" w:rsidRPr="00F16087" w:rsidRDefault="005E6F37" w:rsidP="003662EA">
            <w:pPr>
              <w:keepNext/>
              <w:widowControl/>
              <w:jc w:val="center"/>
              <w:rPr>
                <w:rFonts w:ascii="Arial Narrow" w:hAnsi="Arial Narrow"/>
                <w:b/>
                <w:sz w:val="20"/>
              </w:rPr>
            </w:pPr>
            <w:r w:rsidRPr="00F16087">
              <w:rPr>
                <w:rFonts w:ascii="Arial Narrow" w:hAnsi="Arial Narrow"/>
                <w:b/>
                <w:sz w:val="20"/>
              </w:rPr>
              <w:t>Cyclosporin</w:t>
            </w:r>
          </w:p>
        </w:tc>
        <w:tc>
          <w:tcPr>
            <w:tcW w:w="838" w:type="pct"/>
            <w:vAlign w:val="center"/>
          </w:tcPr>
          <w:p w:rsidR="002570C5" w:rsidRPr="00F16087" w:rsidRDefault="002570C5" w:rsidP="003662EA">
            <w:pPr>
              <w:keepNext/>
              <w:widowControl/>
              <w:jc w:val="center"/>
              <w:rPr>
                <w:rFonts w:ascii="Arial Narrow" w:hAnsi="Arial Narrow"/>
                <w:b/>
                <w:sz w:val="20"/>
              </w:rPr>
            </w:pPr>
            <w:r w:rsidRPr="00F16087">
              <w:rPr>
                <w:rFonts w:ascii="Arial Narrow" w:hAnsi="Arial Narrow"/>
                <w:b/>
                <w:sz w:val="20"/>
              </w:rPr>
              <w:t>Increment</w:t>
            </w:r>
          </w:p>
        </w:tc>
      </w:tr>
      <w:tr w:rsidR="002570C5" w:rsidRPr="00F16087" w:rsidTr="002570C5">
        <w:tc>
          <w:tcPr>
            <w:tcW w:w="5000" w:type="pct"/>
            <w:gridSpan w:val="4"/>
            <w:vAlign w:val="center"/>
          </w:tcPr>
          <w:p w:rsidR="002570C5" w:rsidRPr="00F16087" w:rsidRDefault="002570C5" w:rsidP="003662EA">
            <w:pPr>
              <w:pStyle w:val="TableHeading"/>
              <w:spacing w:before="0" w:after="0"/>
              <w:rPr>
                <w:snapToGrid w:val="0"/>
              </w:rPr>
            </w:pPr>
            <w:r w:rsidRPr="00F16087">
              <w:rPr>
                <w:snapToGrid w:val="0"/>
              </w:rPr>
              <w:t>Step 1: trial-based costs and outcomes</w:t>
            </w:r>
            <w:r w:rsidR="005E6F37" w:rsidRPr="00F16087">
              <w:rPr>
                <w:snapToGrid w:val="0"/>
              </w:rPr>
              <w:t xml:space="preserve"> (undiscounted)</w:t>
            </w:r>
          </w:p>
        </w:tc>
      </w:tr>
      <w:tr w:rsidR="00113F68" w:rsidRPr="00F16087" w:rsidTr="00113F68">
        <w:tc>
          <w:tcPr>
            <w:tcW w:w="1529" w:type="pct"/>
            <w:vAlign w:val="center"/>
          </w:tcPr>
          <w:p w:rsidR="00113F68" w:rsidRPr="00F16087" w:rsidRDefault="00113F68" w:rsidP="003662EA">
            <w:pPr>
              <w:keepNext/>
              <w:widowControl/>
              <w:jc w:val="left"/>
              <w:rPr>
                <w:rFonts w:ascii="Arial Narrow" w:hAnsi="Arial Narrow"/>
                <w:b/>
                <w:bCs/>
                <w:sz w:val="20"/>
              </w:rPr>
            </w:pPr>
            <w:r w:rsidRPr="00F16087">
              <w:rPr>
                <w:rFonts w:ascii="Arial Narrow" w:hAnsi="Arial Narrow"/>
                <w:b/>
                <w:bCs/>
                <w:sz w:val="20"/>
              </w:rPr>
              <w:t>16 weeks</w:t>
            </w:r>
          </w:p>
        </w:tc>
        <w:tc>
          <w:tcPr>
            <w:tcW w:w="1359" w:type="pct"/>
            <w:vAlign w:val="center"/>
          </w:tcPr>
          <w:p w:rsidR="00113F68" w:rsidRPr="00F16087" w:rsidRDefault="00113F68" w:rsidP="003662EA">
            <w:pPr>
              <w:keepNext/>
              <w:widowControl/>
              <w:jc w:val="center"/>
              <w:rPr>
                <w:rFonts w:ascii="Arial Narrow" w:hAnsi="Arial Narrow"/>
                <w:sz w:val="20"/>
              </w:rPr>
            </w:pPr>
          </w:p>
        </w:tc>
        <w:tc>
          <w:tcPr>
            <w:tcW w:w="1274" w:type="pct"/>
            <w:vAlign w:val="center"/>
          </w:tcPr>
          <w:p w:rsidR="00113F68" w:rsidRPr="00F16087" w:rsidRDefault="00113F68" w:rsidP="003662EA">
            <w:pPr>
              <w:keepNext/>
              <w:widowControl/>
              <w:jc w:val="center"/>
              <w:rPr>
                <w:rFonts w:ascii="Arial Narrow" w:hAnsi="Arial Narrow"/>
                <w:sz w:val="20"/>
              </w:rPr>
            </w:pPr>
          </w:p>
        </w:tc>
        <w:tc>
          <w:tcPr>
            <w:tcW w:w="838" w:type="pct"/>
            <w:vAlign w:val="center"/>
          </w:tcPr>
          <w:p w:rsidR="00113F68" w:rsidRPr="00F16087" w:rsidRDefault="00113F68" w:rsidP="003662EA">
            <w:pPr>
              <w:keepNext/>
              <w:widowControl/>
              <w:jc w:val="center"/>
              <w:rPr>
                <w:rFonts w:ascii="Arial Narrow" w:hAnsi="Arial Narrow"/>
                <w:sz w:val="20"/>
              </w:rPr>
            </w:pPr>
          </w:p>
        </w:tc>
      </w:tr>
      <w:tr w:rsidR="00C16853" w:rsidRPr="00F16087" w:rsidTr="00113F68">
        <w:tc>
          <w:tcPr>
            <w:tcW w:w="1529" w:type="pct"/>
            <w:vAlign w:val="center"/>
          </w:tcPr>
          <w:p w:rsidR="00C16853" w:rsidRPr="00F16087" w:rsidRDefault="00C16853" w:rsidP="003662EA">
            <w:pPr>
              <w:keepNext/>
              <w:widowControl/>
              <w:jc w:val="left"/>
              <w:rPr>
                <w:rFonts w:ascii="Arial Narrow" w:hAnsi="Arial Narrow"/>
                <w:sz w:val="20"/>
              </w:rPr>
            </w:pPr>
            <w:r w:rsidRPr="00F16087">
              <w:rPr>
                <w:rFonts w:ascii="Arial Narrow" w:hAnsi="Arial Narrow" w:cs="Times New Roman"/>
                <w:sz w:val="20"/>
              </w:rPr>
              <w:t>Costs (drug and monitoring)</w:t>
            </w:r>
          </w:p>
        </w:tc>
        <w:tc>
          <w:tcPr>
            <w:tcW w:w="1359" w:type="pct"/>
          </w:tcPr>
          <w:p w:rsidR="00C16853" w:rsidRPr="00F16087" w:rsidRDefault="00C16853" w:rsidP="003662EA">
            <w:pPr>
              <w:keepNext/>
              <w:widowControl/>
              <w:jc w:val="center"/>
              <w:rPr>
                <w:rFonts w:ascii="Arial Narrow" w:hAnsi="Arial Narrow"/>
                <w:iCs/>
                <w:sz w:val="20"/>
              </w:rPr>
            </w:pPr>
            <w:r w:rsidRPr="00F16087">
              <w:rPr>
                <w:rFonts w:ascii="Arial Narrow" w:hAnsi="Arial Narrow" w:cs="Times New Roman"/>
                <w:iCs/>
                <w:sz w:val="20"/>
              </w:rPr>
              <w:t>$</w:t>
            </w:r>
            <w:r w:rsidR="00EF4316">
              <w:rPr>
                <w:rFonts w:ascii="Arial Narrow" w:hAnsi="Arial Narrow" w:cs="Times New Roman"/>
                <w:iCs/>
                <w:noProof/>
                <w:color w:val="000000"/>
                <w:sz w:val="20"/>
                <w:highlight w:val="black"/>
              </w:rPr>
              <w:t>'''''''''''''''</w:t>
            </w:r>
          </w:p>
        </w:tc>
        <w:tc>
          <w:tcPr>
            <w:tcW w:w="1274" w:type="pct"/>
            <w:vAlign w:val="center"/>
          </w:tcPr>
          <w:p w:rsidR="00C16853" w:rsidRPr="00F16087" w:rsidRDefault="00C16853" w:rsidP="003662EA">
            <w:pPr>
              <w:keepNext/>
              <w:widowControl/>
              <w:jc w:val="center"/>
              <w:rPr>
                <w:rFonts w:ascii="Arial Narrow" w:hAnsi="Arial Narrow"/>
                <w:sz w:val="20"/>
              </w:rPr>
            </w:pPr>
            <w:r w:rsidRPr="00F16087">
              <w:rPr>
                <w:rFonts w:ascii="Arial Narrow" w:hAnsi="Arial Narrow" w:cs="Times New Roman"/>
                <w:iCs/>
                <w:sz w:val="20"/>
              </w:rPr>
              <w:t>$</w:t>
            </w:r>
            <w:r w:rsidR="00EF4316">
              <w:rPr>
                <w:rFonts w:ascii="Arial Narrow" w:hAnsi="Arial Narrow" w:cs="Times New Roman"/>
                <w:iCs/>
                <w:noProof/>
                <w:color w:val="000000"/>
                <w:sz w:val="20"/>
                <w:highlight w:val="black"/>
              </w:rPr>
              <w:t>''''''''''''''</w:t>
            </w:r>
          </w:p>
        </w:tc>
        <w:tc>
          <w:tcPr>
            <w:tcW w:w="838" w:type="pct"/>
          </w:tcPr>
          <w:p w:rsidR="00C16853" w:rsidRPr="00F16087" w:rsidRDefault="00C16853" w:rsidP="003662EA">
            <w:pPr>
              <w:keepNext/>
              <w:widowControl/>
              <w:jc w:val="center"/>
              <w:rPr>
                <w:rFonts w:ascii="Arial Narrow" w:hAnsi="Arial Narrow"/>
                <w:sz w:val="20"/>
              </w:rPr>
            </w:pPr>
            <w:r w:rsidRPr="00F16087">
              <w:rPr>
                <w:rFonts w:ascii="Arial Narrow" w:hAnsi="Arial Narrow" w:cs="Times New Roman"/>
                <w:sz w:val="20"/>
              </w:rPr>
              <w:t>$</w:t>
            </w:r>
            <w:r w:rsidR="00EF4316">
              <w:rPr>
                <w:rFonts w:ascii="Arial Narrow" w:hAnsi="Arial Narrow" w:cs="Times New Roman"/>
                <w:noProof/>
                <w:color w:val="000000"/>
                <w:sz w:val="20"/>
                <w:highlight w:val="black"/>
              </w:rPr>
              <w:t>''''''''''''''</w:t>
            </w:r>
          </w:p>
        </w:tc>
      </w:tr>
      <w:tr w:rsidR="00113F68" w:rsidRPr="00F16087" w:rsidTr="00113F68">
        <w:tc>
          <w:tcPr>
            <w:tcW w:w="1529" w:type="pct"/>
            <w:vAlign w:val="center"/>
          </w:tcPr>
          <w:p w:rsidR="00113F68" w:rsidRPr="00F16087" w:rsidRDefault="00113F68" w:rsidP="003662EA">
            <w:pPr>
              <w:keepNext/>
              <w:widowControl/>
              <w:jc w:val="left"/>
              <w:rPr>
                <w:rFonts w:ascii="Arial Narrow" w:hAnsi="Arial Narrow"/>
                <w:sz w:val="20"/>
              </w:rPr>
            </w:pPr>
            <w:r w:rsidRPr="00F16087">
              <w:rPr>
                <w:rFonts w:ascii="Arial Narrow" w:hAnsi="Arial Narrow" w:cs="Times New Roman"/>
                <w:sz w:val="20"/>
              </w:rPr>
              <w:t>Probability of persistence</w:t>
            </w:r>
          </w:p>
        </w:tc>
        <w:tc>
          <w:tcPr>
            <w:tcW w:w="1359" w:type="pct"/>
          </w:tcPr>
          <w:p w:rsidR="00113F68" w:rsidRPr="004F7DF6" w:rsidRDefault="00EF4316" w:rsidP="003662EA">
            <w:pPr>
              <w:keepNext/>
              <w:widowControl/>
              <w:jc w:val="center"/>
              <w:rPr>
                <w:rFonts w:ascii="Arial Narrow" w:hAnsi="Arial Narrow"/>
                <w:sz w:val="20"/>
              </w:rPr>
            </w:pPr>
            <w:r>
              <w:rPr>
                <w:rFonts w:ascii="Arial Narrow" w:hAnsi="Arial Narrow" w:cs="Times New Roman"/>
                <w:noProof/>
                <w:color w:val="000000"/>
                <w:sz w:val="20"/>
                <w:highlight w:val="black"/>
              </w:rPr>
              <w:t>'''''''''''''</w:t>
            </w:r>
            <w:r w:rsidR="00113F68" w:rsidRPr="004F7DF6">
              <w:rPr>
                <w:rFonts w:ascii="Arial Narrow" w:hAnsi="Arial Narrow" w:cs="Times New Roman"/>
                <w:sz w:val="20"/>
              </w:rPr>
              <w:t>%</w:t>
            </w:r>
          </w:p>
        </w:tc>
        <w:tc>
          <w:tcPr>
            <w:tcW w:w="1274" w:type="pct"/>
            <w:vAlign w:val="center"/>
          </w:tcPr>
          <w:p w:rsidR="00113F68" w:rsidRPr="004F7DF6" w:rsidRDefault="00EF4316" w:rsidP="003662EA">
            <w:pPr>
              <w:keepNext/>
              <w:widowControl/>
              <w:jc w:val="center"/>
              <w:rPr>
                <w:rFonts w:ascii="Arial Narrow" w:hAnsi="Arial Narrow"/>
                <w:sz w:val="20"/>
              </w:rPr>
            </w:pPr>
            <w:r>
              <w:rPr>
                <w:rFonts w:ascii="Arial Narrow" w:hAnsi="Arial Narrow" w:cs="Times New Roman"/>
                <w:noProof/>
                <w:color w:val="000000"/>
                <w:sz w:val="20"/>
                <w:highlight w:val="black"/>
              </w:rPr>
              <w:t>'''''''''''''</w:t>
            </w:r>
            <w:r w:rsidR="00113F68" w:rsidRPr="004F7DF6">
              <w:rPr>
                <w:rFonts w:ascii="Arial Narrow" w:hAnsi="Arial Narrow" w:cs="Times New Roman"/>
                <w:sz w:val="20"/>
              </w:rPr>
              <w:t>%</w:t>
            </w:r>
          </w:p>
        </w:tc>
        <w:tc>
          <w:tcPr>
            <w:tcW w:w="838" w:type="pct"/>
          </w:tcPr>
          <w:p w:rsidR="00113F68" w:rsidRPr="004F7DF6" w:rsidRDefault="00EF4316" w:rsidP="003662EA">
            <w:pPr>
              <w:keepNext/>
              <w:widowControl/>
              <w:jc w:val="center"/>
              <w:rPr>
                <w:rFonts w:ascii="Arial Narrow" w:hAnsi="Arial Narrow"/>
                <w:sz w:val="20"/>
              </w:rPr>
            </w:pPr>
            <w:r>
              <w:rPr>
                <w:rFonts w:ascii="Arial Narrow" w:hAnsi="Arial Narrow" w:cs="Times New Roman"/>
                <w:noProof/>
                <w:color w:val="000000"/>
                <w:sz w:val="20"/>
                <w:highlight w:val="black"/>
              </w:rPr>
              <w:t>'''''''''''''''</w:t>
            </w:r>
            <w:r w:rsidR="00113F68" w:rsidRPr="004F7DF6">
              <w:rPr>
                <w:rFonts w:ascii="Arial Narrow" w:hAnsi="Arial Narrow" w:cs="Times New Roman"/>
                <w:sz w:val="20"/>
              </w:rPr>
              <w:t>%</w:t>
            </w:r>
          </w:p>
        </w:tc>
      </w:tr>
      <w:tr w:rsidR="00C16853" w:rsidRPr="00F16087" w:rsidTr="00D971CD">
        <w:tc>
          <w:tcPr>
            <w:tcW w:w="4162" w:type="pct"/>
            <w:gridSpan w:val="3"/>
            <w:vAlign w:val="center"/>
          </w:tcPr>
          <w:p w:rsidR="00C16853" w:rsidRPr="004F7DF6" w:rsidRDefault="00C16853" w:rsidP="003662EA">
            <w:pPr>
              <w:pStyle w:val="Tabletext"/>
              <w:keepNext/>
              <w:spacing w:after="0"/>
              <w:rPr>
                <w:rFonts w:ascii="Arial Narrow" w:hAnsi="Arial Narrow"/>
                <w:b/>
                <w:snapToGrid w:val="0"/>
              </w:rPr>
            </w:pPr>
            <w:r w:rsidRPr="004F7DF6">
              <w:rPr>
                <w:rFonts w:ascii="Arial Narrow" w:hAnsi="Arial Narrow"/>
                <w:b/>
                <w:bCs/>
              </w:rPr>
              <w:t>Incremental cost/extra patient continuing treatment at 16 weeks</w:t>
            </w:r>
          </w:p>
        </w:tc>
        <w:tc>
          <w:tcPr>
            <w:tcW w:w="838" w:type="pct"/>
          </w:tcPr>
          <w:p w:rsidR="00C16853" w:rsidRPr="004F7DF6" w:rsidRDefault="00C16853" w:rsidP="003662EA">
            <w:pPr>
              <w:keepNext/>
              <w:widowControl/>
              <w:jc w:val="center"/>
              <w:rPr>
                <w:rFonts w:ascii="Arial Narrow" w:hAnsi="Arial Narrow"/>
                <w:b/>
                <w:sz w:val="20"/>
              </w:rPr>
            </w:pPr>
            <w:r w:rsidRPr="004F7DF6">
              <w:rPr>
                <w:rFonts w:ascii="Arial Narrow" w:hAnsi="Arial Narrow" w:cs="Times New Roman"/>
                <w:b/>
                <w:sz w:val="20"/>
              </w:rPr>
              <w:t>$</w:t>
            </w:r>
            <w:r w:rsidR="00EF4316">
              <w:rPr>
                <w:rFonts w:ascii="Arial Narrow" w:hAnsi="Arial Narrow" w:cs="Times New Roman"/>
                <w:b/>
                <w:noProof/>
                <w:color w:val="000000"/>
                <w:sz w:val="20"/>
                <w:highlight w:val="black"/>
              </w:rPr>
              <w:t>''''''''''</w:t>
            </w:r>
          </w:p>
        </w:tc>
      </w:tr>
      <w:tr w:rsidR="002570C5" w:rsidRPr="00F16087" w:rsidTr="002570C5">
        <w:tc>
          <w:tcPr>
            <w:tcW w:w="5000" w:type="pct"/>
            <w:gridSpan w:val="4"/>
            <w:vAlign w:val="center"/>
          </w:tcPr>
          <w:p w:rsidR="002570C5" w:rsidRPr="004F7DF6" w:rsidRDefault="00B15C77" w:rsidP="003662EA">
            <w:pPr>
              <w:pStyle w:val="TableHeading"/>
              <w:spacing w:before="0" w:after="0"/>
              <w:rPr>
                <w:snapToGrid w:val="0"/>
              </w:rPr>
            </w:pPr>
            <w:r w:rsidRPr="004F7DF6">
              <w:rPr>
                <w:snapToGrid w:val="0"/>
              </w:rPr>
              <w:t>2 years</w:t>
            </w:r>
          </w:p>
        </w:tc>
      </w:tr>
      <w:tr w:rsidR="00C71C32" w:rsidRPr="00F16087" w:rsidTr="00D971CD">
        <w:tc>
          <w:tcPr>
            <w:tcW w:w="1529" w:type="pct"/>
            <w:vAlign w:val="center"/>
          </w:tcPr>
          <w:p w:rsidR="00C71C32" w:rsidRPr="00F16087" w:rsidRDefault="00C71C32" w:rsidP="003662EA">
            <w:pPr>
              <w:keepNext/>
              <w:widowControl/>
              <w:jc w:val="left"/>
              <w:rPr>
                <w:rFonts w:ascii="Arial Narrow" w:hAnsi="Arial Narrow"/>
                <w:sz w:val="20"/>
              </w:rPr>
            </w:pPr>
            <w:r w:rsidRPr="00F16087">
              <w:rPr>
                <w:rFonts w:ascii="Arial Narrow" w:hAnsi="Arial Narrow" w:cs="Times New Roman"/>
                <w:sz w:val="20"/>
              </w:rPr>
              <w:t>Costs (drug and monitoring)</w:t>
            </w:r>
          </w:p>
        </w:tc>
        <w:tc>
          <w:tcPr>
            <w:tcW w:w="1359" w:type="pct"/>
          </w:tcPr>
          <w:p w:rsidR="00C71C32" w:rsidRPr="004F7DF6" w:rsidRDefault="00C71C32" w:rsidP="003662EA">
            <w:pPr>
              <w:keepNext/>
              <w:widowControl/>
              <w:jc w:val="center"/>
              <w:rPr>
                <w:rFonts w:ascii="Arial Narrow" w:hAnsi="Arial Narrow"/>
                <w:sz w:val="20"/>
              </w:rPr>
            </w:pPr>
            <w:r w:rsidRPr="004F7DF6">
              <w:rPr>
                <w:rFonts w:ascii="Arial Narrow" w:hAnsi="Arial Narrow" w:cs="Times New Roman"/>
                <w:iCs/>
                <w:sz w:val="20"/>
              </w:rPr>
              <w:t>$</w:t>
            </w:r>
            <w:r w:rsidR="00EF4316">
              <w:rPr>
                <w:rFonts w:ascii="Arial Narrow" w:hAnsi="Arial Narrow" w:cs="Times New Roman"/>
                <w:iCs/>
                <w:noProof/>
                <w:color w:val="000000"/>
                <w:sz w:val="20"/>
                <w:highlight w:val="black"/>
              </w:rPr>
              <w:t>''''''''''''''''</w:t>
            </w:r>
          </w:p>
        </w:tc>
        <w:tc>
          <w:tcPr>
            <w:tcW w:w="1274" w:type="pct"/>
            <w:vAlign w:val="center"/>
          </w:tcPr>
          <w:p w:rsidR="00C71C32" w:rsidRPr="004F7DF6" w:rsidRDefault="00C71C32" w:rsidP="003662EA">
            <w:pPr>
              <w:keepNext/>
              <w:widowControl/>
              <w:jc w:val="center"/>
              <w:rPr>
                <w:rFonts w:ascii="Arial Narrow" w:hAnsi="Arial Narrow"/>
                <w:sz w:val="20"/>
              </w:rPr>
            </w:pPr>
            <w:r w:rsidRPr="004F7DF6">
              <w:rPr>
                <w:rFonts w:ascii="Arial Narrow" w:hAnsi="Arial Narrow" w:cs="Times New Roman"/>
                <w:iCs/>
                <w:sz w:val="20"/>
              </w:rPr>
              <w:t>$</w:t>
            </w:r>
            <w:r w:rsidR="00EF4316">
              <w:rPr>
                <w:rFonts w:ascii="Arial Narrow" w:hAnsi="Arial Narrow" w:cs="Times New Roman"/>
                <w:iCs/>
                <w:noProof/>
                <w:color w:val="000000"/>
                <w:sz w:val="20"/>
                <w:highlight w:val="black"/>
              </w:rPr>
              <w:t>'''''''''''''</w:t>
            </w:r>
          </w:p>
        </w:tc>
        <w:tc>
          <w:tcPr>
            <w:tcW w:w="838" w:type="pct"/>
          </w:tcPr>
          <w:p w:rsidR="00C71C32" w:rsidRPr="004F7DF6" w:rsidRDefault="00C71C32" w:rsidP="003662EA">
            <w:pPr>
              <w:keepNext/>
              <w:widowControl/>
              <w:jc w:val="center"/>
              <w:rPr>
                <w:rFonts w:ascii="Arial Narrow" w:hAnsi="Arial Narrow"/>
                <w:sz w:val="20"/>
              </w:rPr>
            </w:pPr>
            <w:r w:rsidRPr="004F7DF6">
              <w:rPr>
                <w:rFonts w:ascii="Arial Narrow" w:hAnsi="Arial Narrow" w:cs="Times New Roman"/>
                <w:iCs/>
                <w:sz w:val="20"/>
              </w:rPr>
              <w:t>$</w:t>
            </w:r>
            <w:r w:rsidR="00EF4316">
              <w:rPr>
                <w:rFonts w:ascii="Arial Narrow" w:hAnsi="Arial Narrow" w:cs="Times New Roman"/>
                <w:iCs/>
                <w:noProof/>
                <w:color w:val="000000"/>
                <w:sz w:val="20"/>
                <w:highlight w:val="black"/>
              </w:rPr>
              <w:t>''''''''''''</w:t>
            </w:r>
          </w:p>
        </w:tc>
      </w:tr>
      <w:tr w:rsidR="00C71C32" w:rsidRPr="00F16087" w:rsidTr="00D971CD">
        <w:tc>
          <w:tcPr>
            <w:tcW w:w="1529" w:type="pct"/>
            <w:vAlign w:val="center"/>
          </w:tcPr>
          <w:p w:rsidR="00C71C32" w:rsidRPr="00F16087" w:rsidRDefault="00C71C32" w:rsidP="003662EA">
            <w:pPr>
              <w:keepNext/>
              <w:widowControl/>
              <w:jc w:val="left"/>
              <w:rPr>
                <w:rFonts w:ascii="Arial Narrow" w:hAnsi="Arial Narrow"/>
                <w:sz w:val="20"/>
              </w:rPr>
            </w:pPr>
            <w:r w:rsidRPr="00F16087">
              <w:rPr>
                <w:rFonts w:ascii="Arial Narrow" w:hAnsi="Arial Narrow" w:cs="Times New Roman"/>
                <w:sz w:val="20"/>
              </w:rPr>
              <w:t>Probability of persistence</w:t>
            </w:r>
          </w:p>
        </w:tc>
        <w:tc>
          <w:tcPr>
            <w:tcW w:w="1359" w:type="pct"/>
          </w:tcPr>
          <w:p w:rsidR="00C71C32" w:rsidRPr="004F7DF6" w:rsidRDefault="00EF4316" w:rsidP="003662EA">
            <w:pPr>
              <w:keepNext/>
              <w:widowControl/>
              <w:jc w:val="center"/>
              <w:rPr>
                <w:rFonts w:ascii="Arial Narrow" w:hAnsi="Arial Narrow"/>
                <w:sz w:val="20"/>
              </w:rPr>
            </w:pPr>
            <w:r>
              <w:rPr>
                <w:rFonts w:ascii="Arial Narrow" w:hAnsi="Arial Narrow" w:cs="Times New Roman"/>
                <w:noProof/>
                <w:color w:val="000000"/>
                <w:sz w:val="20"/>
                <w:highlight w:val="black"/>
              </w:rPr>
              <w:t>''''''''''''</w:t>
            </w:r>
            <w:r w:rsidR="00C71C32" w:rsidRPr="004F7DF6">
              <w:rPr>
                <w:rFonts w:ascii="Arial Narrow" w:hAnsi="Arial Narrow" w:cs="Times New Roman"/>
                <w:sz w:val="20"/>
              </w:rPr>
              <w:t>%</w:t>
            </w:r>
          </w:p>
        </w:tc>
        <w:tc>
          <w:tcPr>
            <w:tcW w:w="1274" w:type="pct"/>
            <w:vAlign w:val="center"/>
          </w:tcPr>
          <w:p w:rsidR="00C71C32" w:rsidRPr="004F7DF6" w:rsidRDefault="00EF4316" w:rsidP="003662EA">
            <w:pPr>
              <w:keepNext/>
              <w:widowControl/>
              <w:jc w:val="center"/>
              <w:rPr>
                <w:rFonts w:ascii="Arial Narrow" w:hAnsi="Arial Narrow"/>
                <w:sz w:val="20"/>
              </w:rPr>
            </w:pPr>
            <w:r>
              <w:rPr>
                <w:rFonts w:ascii="Arial Narrow" w:hAnsi="Arial Narrow" w:cs="Times New Roman"/>
                <w:noProof/>
                <w:color w:val="000000"/>
                <w:sz w:val="20"/>
                <w:highlight w:val="black"/>
              </w:rPr>
              <w:t>''''''''''</w:t>
            </w:r>
            <w:r w:rsidR="00C71C32" w:rsidRPr="004F7DF6">
              <w:rPr>
                <w:rFonts w:ascii="Arial Narrow" w:hAnsi="Arial Narrow" w:cs="Times New Roman"/>
                <w:sz w:val="20"/>
              </w:rPr>
              <w:t>%</w:t>
            </w:r>
          </w:p>
        </w:tc>
        <w:tc>
          <w:tcPr>
            <w:tcW w:w="838" w:type="pct"/>
          </w:tcPr>
          <w:p w:rsidR="00C71C32" w:rsidRPr="004F7DF6" w:rsidRDefault="00EF4316" w:rsidP="003662EA">
            <w:pPr>
              <w:keepNext/>
              <w:widowControl/>
              <w:jc w:val="center"/>
              <w:rPr>
                <w:rFonts w:ascii="Arial Narrow" w:hAnsi="Arial Narrow"/>
                <w:sz w:val="20"/>
              </w:rPr>
            </w:pPr>
            <w:r>
              <w:rPr>
                <w:rFonts w:ascii="Arial Narrow" w:hAnsi="Arial Narrow" w:cs="Times New Roman"/>
                <w:noProof/>
                <w:color w:val="000000"/>
                <w:sz w:val="20"/>
                <w:highlight w:val="black"/>
              </w:rPr>
              <w:t>''''''''''''</w:t>
            </w:r>
            <w:r w:rsidR="00C71C32" w:rsidRPr="004F7DF6">
              <w:rPr>
                <w:rFonts w:ascii="Arial Narrow" w:hAnsi="Arial Narrow" w:cs="Times New Roman"/>
                <w:sz w:val="20"/>
              </w:rPr>
              <w:t>%</w:t>
            </w:r>
          </w:p>
        </w:tc>
      </w:tr>
      <w:tr w:rsidR="00C71C32" w:rsidRPr="00F16087" w:rsidTr="00D971CD">
        <w:tc>
          <w:tcPr>
            <w:tcW w:w="4162" w:type="pct"/>
            <w:gridSpan w:val="3"/>
            <w:vAlign w:val="center"/>
          </w:tcPr>
          <w:p w:rsidR="00C71C32" w:rsidRPr="00F16087" w:rsidRDefault="00C71C32" w:rsidP="003662EA">
            <w:pPr>
              <w:pStyle w:val="Tabletext"/>
              <w:keepNext/>
              <w:spacing w:after="0"/>
              <w:rPr>
                <w:rFonts w:ascii="Arial Narrow" w:hAnsi="Arial Narrow"/>
                <w:snapToGrid w:val="0"/>
              </w:rPr>
            </w:pPr>
            <w:r w:rsidRPr="00F16087">
              <w:rPr>
                <w:rFonts w:ascii="Arial Narrow" w:hAnsi="Arial Narrow"/>
                <w:b/>
              </w:rPr>
              <w:t>Incremental cost/extra patient continuing treatment at 2 years</w:t>
            </w:r>
          </w:p>
        </w:tc>
        <w:tc>
          <w:tcPr>
            <w:tcW w:w="838" w:type="pct"/>
          </w:tcPr>
          <w:p w:rsidR="00C71C32" w:rsidRPr="00F16087" w:rsidRDefault="00C71C32" w:rsidP="003662EA">
            <w:pPr>
              <w:keepNext/>
              <w:widowControl/>
              <w:jc w:val="center"/>
              <w:rPr>
                <w:rFonts w:ascii="Arial Narrow" w:hAnsi="Arial Narrow"/>
                <w:sz w:val="20"/>
              </w:rPr>
            </w:pPr>
            <w:r w:rsidRPr="00F16087">
              <w:rPr>
                <w:rFonts w:ascii="Arial Narrow" w:hAnsi="Arial Narrow" w:cs="Times New Roman"/>
                <w:b/>
                <w:iCs/>
                <w:sz w:val="20"/>
              </w:rPr>
              <w:t>$</w:t>
            </w:r>
            <w:r w:rsidR="00EF4316">
              <w:rPr>
                <w:rFonts w:ascii="Arial Narrow" w:hAnsi="Arial Narrow" w:cs="Times New Roman"/>
                <w:b/>
                <w:iCs/>
                <w:noProof/>
                <w:color w:val="000000"/>
                <w:sz w:val="20"/>
                <w:highlight w:val="black"/>
              </w:rPr>
              <w:t>''''''''''''''</w:t>
            </w:r>
          </w:p>
        </w:tc>
      </w:tr>
      <w:tr w:rsidR="002570C5" w:rsidRPr="00F16087" w:rsidTr="002570C5">
        <w:tc>
          <w:tcPr>
            <w:tcW w:w="5000" w:type="pct"/>
            <w:gridSpan w:val="4"/>
            <w:vAlign w:val="center"/>
          </w:tcPr>
          <w:p w:rsidR="002570C5" w:rsidRPr="00F16087" w:rsidRDefault="0065141F" w:rsidP="003662EA">
            <w:pPr>
              <w:pStyle w:val="TableHeading"/>
              <w:spacing w:before="0" w:after="0"/>
              <w:rPr>
                <w:snapToGrid w:val="0"/>
                <w:vertAlign w:val="superscript"/>
              </w:rPr>
            </w:pPr>
            <w:r w:rsidRPr="00F16087">
              <w:t xml:space="preserve">Step 2: modelled evaluation (extrapolating to 10 years, transformation into QALYs and including costs of subsequent treatment) </w:t>
            </w:r>
            <w:r w:rsidR="00AB630F" w:rsidRPr="00F16087">
              <w:t>–</w:t>
            </w:r>
            <w:r w:rsidRPr="00F16087">
              <w:t xml:space="preserve"> discounted</w:t>
            </w:r>
            <w:r w:rsidR="00254A2B" w:rsidRPr="00F16087">
              <w:t xml:space="preserve"> (</w:t>
            </w:r>
            <w:r w:rsidR="00444BF7" w:rsidRPr="00F16087">
              <w:t>base case</w:t>
            </w:r>
            <w:r w:rsidR="00254A2B" w:rsidRPr="00F16087">
              <w:t>)</w:t>
            </w:r>
          </w:p>
        </w:tc>
      </w:tr>
      <w:tr w:rsidR="00451DF9" w:rsidRPr="00F16087" w:rsidTr="00D971CD">
        <w:tc>
          <w:tcPr>
            <w:tcW w:w="1529" w:type="pct"/>
            <w:vAlign w:val="center"/>
          </w:tcPr>
          <w:p w:rsidR="00451DF9" w:rsidRPr="00F16087" w:rsidRDefault="00451DF9" w:rsidP="003662EA">
            <w:pPr>
              <w:keepNext/>
              <w:widowControl/>
              <w:jc w:val="left"/>
              <w:rPr>
                <w:rFonts w:ascii="Arial Narrow" w:hAnsi="Arial Narrow" w:cs="Times New Roman"/>
                <w:sz w:val="20"/>
              </w:rPr>
            </w:pPr>
            <w:r w:rsidRPr="00F16087">
              <w:rPr>
                <w:rFonts w:ascii="Arial Narrow" w:hAnsi="Arial Narrow" w:cs="Times New Roman"/>
                <w:sz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451DF9" w:rsidRPr="00F16087" w:rsidRDefault="00451DF9" w:rsidP="003662EA">
            <w:pPr>
              <w:keepNext/>
              <w:widowControl/>
              <w:jc w:val="center"/>
              <w:rPr>
                <w:rFonts w:ascii="Arial Narrow" w:hAnsi="Arial Narrow" w:cs="Times New Roman"/>
                <w:iCs/>
                <w:sz w:val="20"/>
              </w:rPr>
            </w:pPr>
            <w:r w:rsidRPr="00F16087">
              <w:rPr>
                <w:rFonts w:ascii="Arial Narrow" w:hAnsi="Arial Narrow" w:cs="Times New Roman"/>
                <w:bCs/>
                <w:iCs/>
                <w:sz w:val="20"/>
              </w:rPr>
              <w:t>$</w:t>
            </w:r>
            <w:r w:rsidR="00EF4316">
              <w:rPr>
                <w:rFonts w:ascii="Arial Narrow" w:hAnsi="Arial Narrow" w:cs="Times New Roman"/>
                <w:bCs/>
                <w:iCs/>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451DF9" w:rsidRPr="00F16087" w:rsidRDefault="00451DF9" w:rsidP="003662EA">
            <w:pPr>
              <w:keepNext/>
              <w:widowControl/>
              <w:jc w:val="center"/>
              <w:rPr>
                <w:rFonts w:ascii="Arial Narrow" w:hAnsi="Arial Narrow" w:cs="Times New Roman"/>
                <w:iCs/>
                <w:sz w:val="20"/>
              </w:rPr>
            </w:pPr>
            <w:r w:rsidRPr="00F16087">
              <w:rPr>
                <w:rFonts w:ascii="Arial Narrow" w:hAnsi="Arial Narrow" w:cs="Times New Roman"/>
                <w:bCs/>
                <w:iCs/>
                <w:sz w:val="20"/>
              </w:rPr>
              <w:t>$</w:t>
            </w:r>
            <w:r w:rsidR="00EF4316">
              <w:rPr>
                <w:rFonts w:ascii="Arial Narrow" w:hAnsi="Arial Narrow" w:cs="Times New Roman"/>
                <w:bCs/>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vAlign w:val="center"/>
          </w:tcPr>
          <w:p w:rsidR="00451DF9" w:rsidRPr="00F16087" w:rsidRDefault="00451DF9" w:rsidP="003662EA">
            <w:pPr>
              <w:keepNext/>
              <w:widowControl/>
              <w:jc w:val="center"/>
              <w:rPr>
                <w:rFonts w:ascii="Arial Narrow" w:hAnsi="Arial Narrow" w:cs="Times New Roman"/>
                <w:iCs/>
                <w:sz w:val="20"/>
              </w:rPr>
            </w:pPr>
            <w:r w:rsidRPr="00F16087">
              <w:rPr>
                <w:rFonts w:ascii="Arial Narrow" w:hAnsi="Arial Narrow" w:cs="Times New Roman"/>
                <w:bCs/>
                <w:iCs/>
                <w:sz w:val="20"/>
              </w:rPr>
              <w:t>$</w:t>
            </w:r>
            <w:r w:rsidR="00EF4316">
              <w:rPr>
                <w:rFonts w:ascii="Arial Narrow" w:hAnsi="Arial Narrow" w:cs="Times New Roman"/>
                <w:bCs/>
                <w:iCs/>
                <w:noProof/>
                <w:color w:val="000000"/>
                <w:sz w:val="20"/>
                <w:highlight w:val="black"/>
              </w:rPr>
              <w:t>'''''''''''''</w:t>
            </w:r>
          </w:p>
        </w:tc>
      </w:tr>
      <w:tr w:rsidR="00451DF9" w:rsidRPr="00F16087" w:rsidTr="00D971CD">
        <w:tc>
          <w:tcPr>
            <w:tcW w:w="1529" w:type="pct"/>
            <w:vAlign w:val="center"/>
          </w:tcPr>
          <w:p w:rsidR="00451DF9" w:rsidRPr="00F16087" w:rsidRDefault="00451DF9" w:rsidP="003662EA">
            <w:pPr>
              <w:keepNext/>
              <w:widowControl/>
              <w:jc w:val="left"/>
              <w:rPr>
                <w:rFonts w:ascii="Arial Narrow" w:hAnsi="Arial Narrow" w:cs="Times New Roman"/>
                <w:sz w:val="20"/>
              </w:rPr>
            </w:pPr>
            <w:r w:rsidRPr="00F16087">
              <w:rPr>
                <w:rFonts w:ascii="Arial Narrow" w:hAnsi="Arial Narrow" w:cs="Times New Roman"/>
                <w:sz w:val="20"/>
              </w:rPr>
              <w:t>QALYs</w:t>
            </w:r>
          </w:p>
        </w:tc>
        <w:tc>
          <w:tcPr>
            <w:tcW w:w="1359" w:type="pct"/>
          </w:tcPr>
          <w:p w:rsidR="00451DF9" w:rsidRPr="00F16087" w:rsidRDefault="00451DF9" w:rsidP="003662EA">
            <w:pPr>
              <w:keepNext/>
              <w:widowControl/>
              <w:jc w:val="center"/>
              <w:rPr>
                <w:rFonts w:ascii="Arial Narrow" w:hAnsi="Arial Narrow" w:cs="Times New Roman"/>
                <w:iCs/>
                <w:sz w:val="20"/>
              </w:rPr>
            </w:pPr>
            <w:r w:rsidRPr="00F16087">
              <w:rPr>
                <w:rFonts w:ascii="Arial Narrow" w:hAnsi="Arial Narrow" w:cs="Times New Roman"/>
                <w:iCs/>
                <w:sz w:val="20"/>
              </w:rPr>
              <w:t>6.38</w:t>
            </w:r>
            <w:r w:rsidRPr="00F16087">
              <w:rPr>
                <w:rFonts w:ascii="Arial Narrow" w:hAnsi="Arial Narrow" w:cs="Times New Roman"/>
                <w:iCs/>
                <w:sz w:val="20"/>
                <w:vertAlign w:val="superscript"/>
              </w:rPr>
              <w:t xml:space="preserve"> </w:t>
            </w:r>
          </w:p>
        </w:tc>
        <w:tc>
          <w:tcPr>
            <w:tcW w:w="1274" w:type="pct"/>
            <w:vAlign w:val="center"/>
          </w:tcPr>
          <w:p w:rsidR="00451DF9" w:rsidRPr="00F16087" w:rsidRDefault="00451DF9" w:rsidP="003662EA">
            <w:pPr>
              <w:keepNext/>
              <w:widowControl/>
              <w:jc w:val="center"/>
              <w:rPr>
                <w:rFonts w:ascii="Arial Narrow" w:hAnsi="Arial Narrow" w:cs="Times New Roman"/>
                <w:iCs/>
                <w:sz w:val="20"/>
              </w:rPr>
            </w:pPr>
            <w:r w:rsidRPr="00F16087">
              <w:rPr>
                <w:rFonts w:ascii="Arial Narrow" w:hAnsi="Arial Narrow" w:cs="Times New Roman"/>
                <w:iCs/>
                <w:sz w:val="20"/>
              </w:rPr>
              <w:t>6.27</w:t>
            </w:r>
            <w:r w:rsidRPr="00F16087">
              <w:rPr>
                <w:rFonts w:ascii="Arial Narrow" w:hAnsi="Arial Narrow" w:cs="Times New Roman"/>
                <w:iCs/>
                <w:sz w:val="20"/>
                <w:vertAlign w:val="superscript"/>
              </w:rPr>
              <w:t xml:space="preserve"> </w:t>
            </w:r>
          </w:p>
        </w:tc>
        <w:tc>
          <w:tcPr>
            <w:tcW w:w="838" w:type="pct"/>
          </w:tcPr>
          <w:p w:rsidR="00451DF9" w:rsidRPr="00F16087" w:rsidRDefault="00451DF9" w:rsidP="003662EA">
            <w:pPr>
              <w:keepNext/>
              <w:widowControl/>
              <w:jc w:val="center"/>
              <w:rPr>
                <w:rFonts w:ascii="Arial Narrow" w:hAnsi="Arial Narrow" w:cs="Times New Roman"/>
                <w:iCs/>
                <w:sz w:val="20"/>
              </w:rPr>
            </w:pPr>
            <w:r w:rsidRPr="00F16087">
              <w:rPr>
                <w:rFonts w:ascii="Arial Narrow" w:hAnsi="Arial Narrow" w:cs="Times New Roman"/>
                <w:iCs/>
                <w:sz w:val="20"/>
              </w:rPr>
              <w:t>0.10</w:t>
            </w:r>
          </w:p>
        </w:tc>
      </w:tr>
      <w:tr w:rsidR="00451DF9" w:rsidRPr="00F16087" w:rsidTr="00D971CD">
        <w:tc>
          <w:tcPr>
            <w:tcW w:w="4162" w:type="pct"/>
            <w:gridSpan w:val="3"/>
            <w:vAlign w:val="center"/>
          </w:tcPr>
          <w:p w:rsidR="00451DF9" w:rsidRPr="00F16087" w:rsidRDefault="00451DF9" w:rsidP="003662EA">
            <w:pPr>
              <w:keepNext/>
              <w:widowControl/>
              <w:jc w:val="left"/>
              <w:rPr>
                <w:rFonts w:ascii="Arial Narrow" w:hAnsi="Arial Narrow"/>
                <w:b/>
                <w:sz w:val="20"/>
              </w:rPr>
            </w:pPr>
            <w:r w:rsidRPr="00F16087">
              <w:rPr>
                <w:rFonts w:ascii="Arial Narrow" w:hAnsi="Arial Narrow" w:cs="Times New Roman"/>
                <w:b/>
                <w:sz w:val="20"/>
              </w:rPr>
              <w:t>Incremental cost/extra QALY gained</w:t>
            </w:r>
          </w:p>
        </w:tc>
        <w:tc>
          <w:tcPr>
            <w:tcW w:w="838" w:type="pct"/>
          </w:tcPr>
          <w:p w:rsidR="00451DF9" w:rsidRPr="00F16087" w:rsidRDefault="00451DF9" w:rsidP="003662EA">
            <w:pPr>
              <w:keepNext/>
              <w:widowControl/>
              <w:jc w:val="center"/>
              <w:rPr>
                <w:rFonts w:ascii="Arial Narrow" w:hAnsi="Arial Narrow"/>
                <w:b/>
                <w:sz w:val="20"/>
              </w:rPr>
            </w:pPr>
            <w:r w:rsidRPr="00F16087">
              <w:rPr>
                <w:rFonts w:ascii="Arial Narrow" w:hAnsi="Arial Narrow" w:cs="Times New Roman"/>
                <w:b/>
                <w:iCs/>
                <w:sz w:val="20"/>
              </w:rPr>
              <w:t>$</w:t>
            </w:r>
            <w:r w:rsidR="00EF4316">
              <w:rPr>
                <w:rFonts w:ascii="Arial Narrow" w:hAnsi="Arial Narrow" w:cs="Times New Roman"/>
                <w:b/>
                <w:iCs/>
                <w:noProof/>
                <w:color w:val="000000"/>
                <w:sz w:val="20"/>
                <w:highlight w:val="black"/>
              </w:rPr>
              <w:t>''''''''''''</w:t>
            </w:r>
          </w:p>
        </w:tc>
      </w:tr>
    </w:tbl>
    <w:p w:rsidR="00A202BC" w:rsidRPr="00F16087" w:rsidRDefault="00A202BC" w:rsidP="003662EA">
      <w:pPr>
        <w:pStyle w:val="TableFooter"/>
        <w:keepNext/>
        <w:widowControl/>
        <w:ind w:left="720"/>
        <w:rPr>
          <w:iCs/>
          <w:sz w:val="20"/>
        </w:rPr>
      </w:pPr>
      <w:r w:rsidRPr="00F16087">
        <w:rPr>
          <w:sz w:val="20"/>
        </w:rPr>
        <w:t xml:space="preserve">Source: </w:t>
      </w:r>
      <w:r w:rsidR="00254A2B" w:rsidRPr="00F16087">
        <w:rPr>
          <w:sz w:val="20"/>
        </w:rPr>
        <w:t>Constructed during the evaluation using the</w:t>
      </w:r>
      <w:r w:rsidRPr="00F16087">
        <w:rPr>
          <w:iCs/>
          <w:sz w:val="20"/>
        </w:rPr>
        <w:t xml:space="preserve"> “Results” and “Costs” worksheets of EXCEL model file.</w:t>
      </w:r>
    </w:p>
    <w:p w:rsidR="00F17603" w:rsidRPr="00F16087" w:rsidRDefault="00F17603" w:rsidP="003662EA">
      <w:pPr>
        <w:pStyle w:val="TableFooter"/>
        <w:widowControl/>
        <w:ind w:firstLine="720"/>
      </w:pPr>
      <w:r w:rsidRPr="00F16087">
        <w:t>Note: Corrected for errors</w:t>
      </w:r>
      <w:r w:rsidR="00254A2B" w:rsidRPr="00F16087">
        <w:t xml:space="preserve"> </w:t>
      </w:r>
      <w:r w:rsidRPr="00F16087">
        <w:t>during the evaluation.</w:t>
      </w:r>
    </w:p>
    <w:p w:rsidR="009F6B87" w:rsidRPr="00F16087" w:rsidRDefault="009F6B87" w:rsidP="003662EA">
      <w:pPr>
        <w:widowControl/>
      </w:pPr>
    </w:p>
    <w:p w:rsidR="007B53D9" w:rsidRPr="00F16087" w:rsidRDefault="00BD4831" w:rsidP="003662EA">
      <w:pPr>
        <w:pStyle w:val="ListParagraph"/>
        <w:widowControl/>
        <w:numPr>
          <w:ilvl w:val="1"/>
          <w:numId w:val="1"/>
        </w:numPr>
        <w:rPr>
          <w:szCs w:val="22"/>
        </w:rPr>
      </w:pPr>
      <w:r w:rsidRPr="00F16087">
        <w:rPr>
          <w:szCs w:val="22"/>
        </w:rPr>
        <w:t xml:space="preserve">The ESC considered that on face validity, the </w:t>
      </w:r>
      <w:r w:rsidR="00262B59" w:rsidRPr="00F16087">
        <w:rPr>
          <w:szCs w:val="22"/>
        </w:rPr>
        <w:t xml:space="preserve">difference between the </w:t>
      </w:r>
      <w:r w:rsidRPr="00F16087">
        <w:rPr>
          <w:szCs w:val="22"/>
        </w:rPr>
        <w:t xml:space="preserve">utility </w:t>
      </w:r>
      <w:proofErr w:type="gramStart"/>
      <w:r w:rsidR="006321BC" w:rsidRPr="00F16087">
        <w:rPr>
          <w:szCs w:val="22"/>
        </w:rPr>
        <w:t>value</w:t>
      </w:r>
      <w:proofErr w:type="gramEnd"/>
      <w:r w:rsidRPr="00F16087">
        <w:rPr>
          <w:szCs w:val="22"/>
        </w:rPr>
        <w:t xml:space="preserve"> for apremilast</w:t>
      </w:r>
      <w:r w:rsidR="00330DED" w:rsidRPr="00F16087">
        <w:rPr>
          <w:szCs w:val="22"/>
        </w:rPr>
        <w:t xml:space="preserve"> (0.84)</w:t>
      </w:r>
      <w:r w:rsidRPr="00F16087">
        <w:rPr>
          <w:szCs w:val="22"/>
        </w:rPr>
        <w:t xml:space="preserve">, compared with </w:t>
      </w:r>
      <w:r w:rsidR="003A4CAE" w:rsidRPr="00F16087">
        <w:rPr>
          <w:szCs w:val="22"/>
        </w:rPr>
        <w:t xml:space="preserve">the more effective </w:t>
      </w:r>
      <w:r w:rsidRPr="00F16087">
        <w:rPr>
          <w:szCs w:val="22"/>
        </w:rPr>
        <w:t>biologics</w:t>
      </w:r>
      <w:r w:rsidR="00330DED" w:rsidRPr="00F16087">
        <w:rPr>
          <w:szCs w:val="22"/>
        </w:rPr>
        <w:t xml:space="preserve"> (0.80)</w:t>
      </w:r>
      <w:r w:rsidRPr="00F16087">
        <w:rPr>
          <w:szCs w:val="22"/>
        </w:rPr>
        <w:t xml:space="preserve"> was questionable.</w:t>
      </w:r>
      <w:r w:rsidR="003A4CAE" w:rsidRPr="00F16087">
        <w:rPr>
          <w:szCs w:val="22"/>
        </w:rPr>
        <w:t xml:space="preserve"> </w:t>
      </w:r>
      <w:r w:rsidR="000B18BC" w:rsidRPr="00F16087">
        <w:rPr>
          <w:szCs w:val="22"/>
        </w:rPr>
        <w:t xml:space="preserve">The ESC noted that the UK algorithm </w:t>
      </w:r>
      <w:r w:rsidR="006F772F" w:rsidRPr="00F16087">
        <w:rPr>
          <w:szCs w:val="22"/>
        </w:rPr>
        <w:t>(</w:t>
      </w:r>
      <w:r w:rsidR="00E76215" w:rsidRPr="00F16087">
        <w:rPr>
          <w:szCs w:val="22"/>
        </w:rPr>
        <w:t xml:space="preserve">rather than </w:t>
      </w:r>
      <w:r w:rsidR="006F772F" w:rsidRPr="00F16087">
        <w:rPr>
          <w:szCs w:val="22"/>
        </w:rPr>
        <w:t xml:space="preserve">the </w:t>
      </w:r>
      <w:r w:rsidR="00E76215" w:rsidRPr="00F16087">
        <w:rPr>
          <w:szCs w:val="22"/>
        </w:rPr>
        <w:t>Australian algorithm</w:t>
      </w:r>
      <w:r w:rsidR="006F772F" w:rsidRPr="00F16087">
        <w:rPr>
          <w:szCs w:val="22"/>
        </w:rPr>
        <w:t>)</w:t>
      </w:r>
      <w:r w:rsidR="00E76215" w:rsidRPr="00F16087">
        <w:rPr>
          <w:szCs w:val="22"/>
        </w:rPr>
        <w:t xml:space="preserve"> </w:t>
      </w:r>
      <w:r w:rsidR="000B18BC" w:rsidRPr="00F16087">
        <w:rPr>
          <w:szCs w:val="22"/>
        </w:rPr>
        <w:t>was applied to both sets of EQ</w:t>
      </w:r>
      <w:r w:rsidR="000B18BC" w:rsidRPr="00F16087">
        <w:rPr>
          <w:szCs w:val="22"/>
        </w:rPr>
        <w:noBreakHyphen/>
        <w:t xml:space="preserve">5D data </w:t>
      </w:r>
      <w:r w:rsidR="00E76215" w:rsidRPr="00F16087">
        <w:rPr>
          <w:szCs w:val="22"/>
        </w:rPr>
        <w:t>and the impact of this was unknown</w:t>
      </w:r>
      <w:r w:rsidR="000B18BC" w:rsidRPr="00F16087">
        <w:rPr>
          <w:szCs w:val="22"/>
        </w:rPr>
        <w:t>.</w:t>
      </w:r>
      <w:r w:rsidR="007E2CDF" w:rsidRPr="00F16087" w:rsidDel="007E2CDF">
        <w:rPr>
          <w:szCs w:val="22"/>
        </w:rPr>
        <w:t xml:space="preserve"> </w:t>
      </w:r>
      <w:r w:rsidR="00323334" w:rsidRPr="00F16087">
        <w:rPr>
          <w:szCs w:val="22"/>
        </w:rPr>
        <w:t xml:space="preserve">Moreover, </w:t>
      </w:r>
      <w:r w:rsidR="009A6F09" w:rsidRPr="00F16087">
        <w:rPr>
          <w:szCs w:val="22"/>
        </w:rPr>
        <w:t xml:space="preserve">as outlined in Table 8, </w:t>
      </w:r>
      <w:r w:rsidR="00260763" w:rsidRPr="00F16087">
        <w:rPr>
          <w:szCs w:val="22"/>
        </w:rPr>
        <w:t>applying</w:t>
      </w:r>
      <w:r w:rsidR="00323334" w:rsidRPr="00F16087">
        <w:rPr>
          <w:szCs w:val="22"/>
        </w:rPr>
        <w:t xml:space="preserve"> utilities </w:t>
      </w:r>
      <w:r w:rsidR="00260763" w:rsidRPr="00F16087">
        <w:rPr>
          <w:szCs w:val="22"/>
        </w:rPr>
        <w:t>for</w:t>
      </w:r>
      <w:r w:rsidR="00323334" w:rsidRPr="00F16087">
        <w:rPr>
          <w:szCs w:val="22"/>
        </w:rPr>
        <w:t xml:space="preserve"> ‘responders’</w:t>
      </w:r>
      <w:r w:rsidR="009A6F09" w:rsidRPr="00F16087">
        <w:rPr>
          <w:szCs w:val="22"/>
        </w:rPr>
        <w:t xml:space="preserve"> </w:t>
      </w:r>
      <w:r w:rsidR="00260763" w:rsidRPr="00F16087">
        <w:rPr>
          <w:szCs w:val="22"/>
        </w:rPr>
        <w:t>from</w:t>
      </w:r>
      <w:r w:rsidR="009A6F09" w:rsidRPr="00F16087">
        <w:rPr>
          <w:szCs w:val="22"/>
        </w:rPr>
        <w:t xml:space="preserve"> the pooled ESTEEM trials</w:t>
      </w:r>
      <w:r w:rsidR="00323334" w:rsidRPr="00F16087">
        <w:rPr>
          <w:szCs w:val="22"/>
        </w:rPr>
        <w:t xml:space="preserve"> to all continuing apremilast patients and utilities </w:t>
      </w:r>
      <w:r w:rsidR="00260763" w:rsidRPr="00F16087">
        <w:rPr>
          <w:szCs w:val="22"/>
        </w:rPr>
        <w:t>for</w:t>
      </w:r>
      <w:r w:rsidR="00323334" w:rsidRPr="00F16087">
        <w:rPr>
          <w:szCs w:val="22"/>
        </w:rPr>
        <w:t xml:space="preserve"> ‘non-responders’ for those who </w:t>
      </w:r>
      <w:r w:rsidR="009A6F09" w:rsidRPr="00F16087">
        <w:rPr>
          <w:szCs w:val="22"/>
        </w:rPr>
        <w:t>discontinued or are on</w:t>
      </w:r>
      <w:r w:rsidR="00323334" w:rsidRPr="00F16087">
        <w:rPr>
          <w:szCs w:val="22"/>
        </w:rPr>
        <w:t xml:space="preserve"> no treatment, appeared inappropriate</w:t>
      </w:r>
      <w:r w:rsidR="00260763" w:rsidRPr="00F16087">
        <w:rPr>
          <w:szCs w:val="22"/>
        </w:rPr>
        <w:t xml:space="preserve">. This is </w:t>
      </w:r>
      <w:r w:rsidR="00800EA5" w:rsidRPr="00F16087">
        <w:rPr>
          <w:szCs w:val="22"/>
        </w:rPr>
        <w:t>because</w:t>
      </w:r>
      <w:r w:rsidR="00323334" w:rsidRPr="00F16087">
        <w:rPr>
          <w:szCs w:val="22"/>
        </w:rPr>
        <w:t xml:space="preserve"> not all apremilast patients are ‘responders’</w:t>
      </w:r>
      <w:r w:rsidR="009A6F09" w:rsidRPr="00F16087">
        <w:rPr>
          <w:szCs w:val="22"/>
        </w:rPr>
        <w:t xml:space="preserve"> and not all patients discontinuing from treatment or on no treatment would be ‘non-responders’ </w:t>
      </w:r>
      <w:r w:rsidR="00260763" w:rsidRPr="00F16087">
        <w:rPr>
          <w:szCs w:val="22"/>
        </w:rPr>
        <w:t>(</w:t>
      </w:r>
      <w:r w:rsidR="009A6F09" w:rsidRPr="00F16087">
        <w:rPr>
          <w:szCs w:val="22"/>
        </w:rPr>
        <w:t>12% of placebo patients in the LIBERATE trial achieved PASI 75 response</w:t>
      </w:r>
      <w:r w:rsidR="00260763" w:rsidRPr="00F16087">
        <w:rPr>
          <w:szCs w:val="22"/>
        </w:rPr>
        <w:t>)</w:t>
      </w:r>
      <w:r w:rsidR="00323334" w:rsidRPr="00F16087">
        <w:rPr>
          <w:szCs w:val="22"/>
        </w:rPr>
        <w:t>.</w:t>
      </w:r>
      <w:r w:rsidR="000B18BC" w:rsidRPr="00F16087">
        <w:rPr>
          <w:szCs w:val="22"/>
        </w:rPr>
        <w:t xml:space="preserve"> </w:t>
      </w:r>
      <w:r w:rsidR="003A4CAE" w:rsidRPr="00F16087">
        <w:rPr>
          <w:szCs w:val="22"/>
        </w:rPr>
        <w:t>T</w:t>
      </w:r>
      <w:r w:rsidR="00151FD4" w:rsidRPr="00F16087">
        <w:rPr>
          <w:szCs w:val="22"/>
        </w:rPr>
        <w:t>he ESC considered that a</w:t>
      </w:r>
      <w:r w:rsidRPr="00F16087">
        <w:rPr>
          <w:szCs w:val="22"/>
        </w:rPr>
        <w:t xml:space="preserve"> justification </w:t>
      </w:r>
      <w:r w:rsidR="00151FD4" w:rsidRPr="00F16087">
        <w:rPr>
          <w:szCs w:val="22"/>
        </w:rPr>
        <w:t xml:space="preserve">for a higher utility for apremilast </w:t>
      </w:r>
      <w:r w:rsidRPr="00F16087">
        <w:rPr>
          <w:szCs w:val="22"/>
        </w:rPr>
        <w:t>could be that those patients receiving the biologics are those patients who had tried and failed apremilast and other systemic therapies, and therefore had more severe symptoms on average than those patients on apremilast, despite the superior efficacy of biologics. In this regard, the ESC considered that</w:t>
      </w:r>
      <w:r w:rsidR="00DF4C4C" w:rsidRPr="00F16087">
        <w:rPr>
          <w:szCs w:val="22"/>
        </w:rPr>
        <w:t xml:space="preserve"> the submission unreasonably applied</w:t>
      </w:r>
      <w:r w:rsidRPr="00F16087">
        <w:rPr>
          <w:szCs w:val="22"/>
        </w:rPr>
        <w:t xml:space="preserve"> utilities </w:t>
      </w:r>
      <w:r w:rsidR="00330DED" w:rsidRPr="00F16087">
        <w:rPr>
          <w:szCs w:val="22"/>
        </w:rPr>
        <w:t xml:space="preserve">to </w:t>
      </w:r>
      <w:r w:rsidRPr="00F16087">
        <w:rPr>
          <w:szCs w:val="22"/>
          <w:u w:val="single"/>
        </w:rPr>
        <w:t>treatmen</w:t>
      </w:r>
      <w:r w:rsidR="00330DED" w:rsidRPr="00F16087">
        <w:rPr>
          <w:szCs w:val="22"/>
          <w:u w:val="single"/>
        </w:rPr>
        <w:t>ts</w:t>
      </w:r>
      <w:r w:rsidRPr="00F16087">
        <w:rPr>
          <w:szCs w:val="22"/>
        </w:rPr>
        <w:t xml:space="preserve"> </w:t>
      </w:r>
      <w:r w:rsidR="00330DED" w:rsidRPr="00F16087">
        <w:rPr>
          <w:szCs w:val="22"/>
        </w:rPr>
        <w:t xml:space="preserve">rather than </w:t>
      </w:r>
      <w:r w:rsidRPr="00F16087">
        <w:rPr>
          <w:szCs w:val="22"/>
          <w:u w:val="single"/>
        </w:rPr>
        <w:t>health state</w:t>
      </w:r>
      <w:r w:rsidR="00330DED" w:rsidRPr="00F16087">
        <w:rPr>
          <w:szCs w:val="22"/>
          <w:u w:val="single"/>
        </w:rPr>
        <w:t>s</w:t>
      </w:r>
      <w:r w:rsidRPr="00F16087">
        <w:rPr>
          <w:szCs w:val="22"/>
        </w:rPr>
        <w:t xml:space="preserve"> </w:t>
      </w:r>
      <w:r w:rsidR="00330DED" w:rsidRPr="00F16087">
        <w:rPr>
          <w:szCs w:val="22"/>
        </w:rPr>
        <w:t>defined by PASI and/or DLQI scores. The ESC noted that this</w:t>
      </w:r>
      <w:r w:rsidRPr="00F16087">
        <w:rPr>
          <w:szCs w:val="22"/>
        </w:rPr>
        <w:t xml:space="preserve"> assumed </w:t>
      </w:r>
      <w:r w:rsidR="000B18BC" w:rsidRPr="00F16087">
        <w:rPr>
          <w:szCs w:val="22"/>
        </w:rPr>
        <w:t xml:space="preserve">that </w:t>
      </w:r>
      <w:r w:rsidR="00440B3D" w:rsidRPr="00F16087">
        <w:rPr>
          <w:szCs w:val="22"/>
        </w:rPr>
        <w:t xml:space="preserve">there was a constant treatment effect for </w:t>
      </w:r>
      <w:r w:rsidR="000B18BC" w:rsidRPr="00F16087">
        <w:rPr>
          <w:szCs w:val="22"/>
        </w:rPr>
        <w:t xml:space="preserve">all patients on apremilast </w:t>
      </w:r>
      <w:r w:rsidRPr="00F16087">
        <w:rPr>
          <w:szCs w:val="22"/>
        </w:rPr>
        <w:t>regardless of symptom severity.</w:t>
      </w:r>
      <w:r w:rsidR="00151FD4" w:rsidRPr="00F16087">
        <w:rPr>
          <w:szCs w:val="22"/>
        </w:rPr>
        <w:t xml:space="preserve"> The PSCR (p4) maintained that applying utilities to treatments was appropriate and highly relevant to the decision context.</w:t>
      </w:r>
    </w:p>
    <w:p w:rsidR="007B53D9" w:rsidRPr="00F16087" w:rsidRDefault="003A4CAE" w:rsidP="003662EA">
      <w:pPr>
        <w:pStyle w:val="BodyText"/>
        <w:widowControl/>
        <w:numPr>
          <w:ilvl w:val="0"/>
          <w:numId w:val="8"/>
        </w:numPr>
        <w:ind w:left="1134" w:hanging="425"/>
        <w:jc w:val="both"/>
        <w:rPr>
          <w:iCs/>
        </w:rPr>
      </w:pPr>
      <w:r w:rsidRPr="00F16087">
        <w:rPr>
          <w:iCs/>
        </w:rPr>
        <w:t>The ESC noted that the ICER was sensitive to the utility values; for example, assuming lower utility values for apremilast to be equivalent</w:t>
      </w:r>
      <w:r w:rsidR="006321BC" w:rsidRPr="00F16087">
        <w:rPr>
          <w:iCs/>
        </w:rPr>
        <w:t xml:space="preserve"> to the</w:t>
      </w:r>
      <w:r w:rsidRPr="00F16087">
        <w:rPr>
          <w:iCs/>
        </w:rPr>
        <w:t xml:space="preserve"> </w:t>
      </w:r>
      <w:r w:rsidR="006321BC" w:rsidRPr="00F16087">
        <w:rPr>
          <w:iCs/>
        </w:rPr>
        <w:t>biologics</w:t>
      </w:r>
      <w:r w:rsidRPr="00F16087">
        <w:rPr>
          <w:iCs/>
        </w:rPr>
        <w:t xml:space="preserve"> (0.80) increased the ICER</w:t>
      </w:r>
      <w:r w:rsidR="001A2487" w:rsidRPr="00F16087">
        <w:rPr>
          <w:iCs/>
        </w:rPr>
        <w:t xml:space="preserve"> from</w:t>
      </w:r>
      <w:r w:rsidR="000A3D83" w:rsidRPr="00F16087">
        <w:rPr>
          <w:iCs/>
        </w:rPr>
        <w:t xml:space="preserve"> </w:t>
      </w:r>
      <w:r w:rsidR="0059363B">
        <w:rPr>
          <w:iCs/>
        </w:rPr>
        <w:t xml:space="preserve">$15,000 - $45,000 per </w:t>
      </w:r>
      <w:r w:rsidR="001A2487" w:rsidRPr="00F16087">
        <w:rPr>
          <w:iCs/>
        </w:rPr>
        <w:t>QALY</w:t>
      </w:r>
      <w:r w:rsidRPr="00F16087">
        <w:rPr>
          <w:iCs/>
        </w:rPr>
        <w:t xml:space="preserve"> </w:t>
      </w:r>
      <w:r w:rsidR="000807DE" w:rsidRPr="00F16087">
        <w:rPr>
          <w:iCs/>
        </w:rPr>
        <w:t xml:space="preserve">gained </w:t>
      </w:r>
      <w:r w:rsidRPr="00F16087">
        <w:rPr>
          <w:iCs/>
        </w:rPr>
        <w:t xml:space="preserve">to </w:t>
      </w:r>
      <w:r w:rsidR="0059363B">
        <w:rPr>
          <w:iCs/>
        </w:rPr>
        <w:t xml:space="preserve">$45,000 - $75,000 per </w:t>
      </w:r>
      <w:r w:rsidRPr="00F16087">
        <w:rPr>
          <w:iCs/>
        </w:rPr>
        <w:t>QALY</w:t>
      </w:r>
      <w:r w:rsidR="000807DE" w:rsidRPr="00F16087">
        <w:rPr>
          <w:iCs/>
        </w:rPr>
        <w:t xml:space="preserve"> gained</w:t>
      </w:r>
      <w:r w:rsidRPr="00F16087">
        <w:rPr>
          <w:iCs/>
        </w:rPr>
        <w:t>.</w:t>
      </w:r>
      <w:r w:rsidR="006321BC" w:rsidRPr="00F16087">
        <w:rPr>
          <w:iCs/>
        </w:rPr>
        <w:t xml:space="preserve"> </w:t>
      </w:r>
    </w:p>
    <w:p w:rsidR="00254A2B" w:rsidRPr="00F16087" w:rsidRDefault="006321BC" w:rsidP="003662EA">
      <w:pPr>
        <w:pStyle w:val="BodyText"/>
        <w:widowControl/>
        <w:numPr>
          <w:ilvl w:val="0"/>
          <w:numId w:val="8"/>
        </w:numPr>
        <w:ind w:left="1134" w:hanging="425"/>
        <w:jc w:val="both"/>
        <w:rPr>
          <w:iCs/>
        </w:rPr>
      </w:pPr>
      <w:r w:rsidRPr="00F16087">
        <w:rPr>
          <w:iCs/>
        </w:rPr>
        <w:t xml:space="preserve">In addition, if the apremilast utility was set to be the same as </w:t>
      </w:r>
      <w:r w:rsidR="000807DE" w:rsidRPr="00F16087">
        <w:rPr>
          <w:iCs/>
        </w:rPr>
        <w:t xml:space="preserve">for </w:t>
      </w:r>
      <w:r w:rsidRPr="00F16087">
        <w:rPr>
          <w:iCs/>
        </w:rPr>
        <w:t>the systemic therapies (0.76), apremilast therapy was dominated.</w:t>
      </w:r>
    </w:p>
    <w:p w:rsidR="00BD4831" w:rsidRPr="00F16087" w:rsidRDefault="00BD4831" w:rsidP="003662EA">
      <w:pPr>
        <w:pStyle w:val="ListParagraph"/>
        <w:widowControl/>
        <w:rPr>
          <w:szCs w:val="22"/>
        </w:rPr>
      </w:pPr>
    </w:p>
    <w:p w:rsidR="008F1EC2" w:rsidRPr="00F16087" w:rsidRDefault="006321BC" w:rsidP="003662EA">
      <w:pPr>
        <w:pStyle w:val="ListParagraph"/>
        <w:widowControl/>
        <w:numPr>
          <w:ilvl w:val="1"/>
          <w:numId w:val="1"/>
        </w:numPr>
        <w:rPr>
          <w:szCs w:val="22"/>
        </w:rPr>
      </w:pPr>
      <w:r w:rsidRPr="00F16087">
        <w:rPr>
          <w:iCs/>
        </w:rPr>
        <w:t>In addition to the utility values, the</w:t>
      </w:r>
      <w:r w:rsidR="003953ED" w:rsidRPr="00F16087">
        <w:rPr>
          <w:iCs/>
        </w:rPr>
        <w:t xml:space="preserve"> evaluation found that t</w:t>
      </w:r>
      <w:r w:rsidR="00254A2B" w:rsidRPr="00F16087">
        <w:rPr>
          <w:iCs/>
        </w:rPr>
        <w:t>he ICER wa</w:t>
      </w:r>
      <w:r w:rsidR="00444BF7" w:rsidRPr="00F16087">
        <w:rPr>
          <w:iCs/>
        </w:rPr>
        <w:t>s very sensitive to the exclusion of costs of subsequent therapy (in</w:t>
      </w:r>
      <w:r w:rsidRPr="00F16087">
        <w:rPr>
          <w:iCs/>
        </w:rPr>
        <w:t>creased</w:t>
      </w:r>
      <w:r w:rsidR="00444BF7" w:rsidRPr="00F16087">
        <w:rPr>
          <w:iCs/>
        </w:rPr>
        <w:t xml:space="preserve"> </w:t>
      </w:r>
      <w:r w:rsidR="003953ED" w:rsidRPr="00F16087">
        <w:rPr>
          <w:iCs/>
        </w:rPr>
        <w:t xml:space="preserve">the </w:t>
      </w:r>
      <w:r w:rsidR="00444BF7" w:rsidRPr="00F16087">
        <w:rPr>
          <w:iCs/>
        </w:rPr>
        <w:t xml:space="preserve">ICER to </w:t>
      </w:r>
      <w:r w:rsidR="0059363B">
        <w:rPr>
          <w:iCs/>
        </w:rPr>
        <w:t>$105,000 - $200,000</w:t>
      </w:r>
      <w:r w:rsidR="003953ED" w:rsidRPr="00F16087">
        <w:rPr>
          <w:iCs/>
        </w:rPr>
        <w:t xml:space="preserve"> per </w:t>
      </w:r>
      <w:r w:rsidR="00444BF7" w:rsidRPr="00F16087">
        <w:rPr>
          <w:iCs/>
        </w:rPr>
        <w:t>QALY</w:t>
      </w:r>
      <w:r w:rsidR="000807DE" w:rsidRPr="00F16087">
        <w:rPr>
          <w:iCs/>
        </w:rPr>
        <w:t xml:space="preserve"> gained</w:t>
      </w:r>
      <w:r w:rsidR="00444BF7" w:rsidRPr="00F16087">
        <w:rPr>
          <w:iCs/>
        </w:rPr>
        <w:t>).</w:t>
      </w:r>
      <w:r w:rsidR="00212DA1" w:rsidRPr="00F16087">
        <w:rPr>
          <w:iCs/>
        </w:rPr>
        <w:t xml:space="preserve"> </w:t>
      </w:r>
      <w:r w:rsidR="003953ED" w:rsidRPr="00F16087">
        <w:rPr>
          <w:iCs/>
        </w:rPr>
        <w:t>The ICER wa</w:t>
      </w:r>
      <w:r w:rsidR="00517F09" w:rsidRPr="00F16087">
        <w:rPr>
          <w:iCs/>
        </w:rPr>
        <w:t>s</w:t>
      </w:r>
      <w:r w:rsidRPr="00F16087">
        <w:rPr>
          <w:iCs/>
        </w:rPr>
        <w:t xml:space="preserve"> also</w:t>
      </w:r>
      <w:r w:rsidR="00517F09" w:rsidRPr="00F16087">
        <w:rPr>
          <w:iCs/>
        </w:rPr>
        <w:t xml:space="preserve"> sensitive to the price of apremilast with </w:t>
      </w:r>
      <w:r w:rsidR="003953ED" w:rsidRPr="00F16087">
        <w:rPr>
          <w:iCs/>
        </w:rPr>
        <w:t xml:space="preserve">ICERs of </w:t>
      </w:r>
      <w:r w:rsidR="0059363B">
        <w:rPr>
          <w:iCs/>
        </w:rPr>
        <w:t>less than $10,000</w:t>
      </w:r>
      <w:r w:rsidR="003953ED" w:rsidRPr="00F16087">
        <w:rPr>
          <w:iCs/>
        </w:rPr>
        <w:t xml:space="preserve"> per QALY and </w:t>
      </w:r>
      <w:r w:rsidR="0059363B">
        <w:rPr>
          <w:iCs/>
        </w:rPr>
        <w:t>$15,000 - $45,000</w:t>
      </w:r>
      <w:r w:rsidR="003953ED" w:rsidRPr="00F16087">
        <w:rPr>
          <w:iCs/>
        </w:rPr>
        <w:t xml:space="preserve"> per </w:t>
      </w:r>
      <w:r w:rsidR="00517F09" w:rsidRPr="00F16087">
        <w:rPr>
          <w:iCs/>
        </w:rPr>
        <w:t xml:space="preserve">QALY </w:t>
      </w:r>
      <w:r w:rsidR="000807DE" w:rsidRPr="00F16087">
        <w:rPr>
          <w:iCs/>
        </w:rPr>
        <w:t xml:space="preserve">gained </w:t>
      </w:r>
      <w:r w:rsidR="00517F09" w:rsidRPr="00F16087">
        <w:rPr>
          <w:iCs/>
        </w:rPr>
        <w:t>estimated from decreasing and increasing the price by 10%, respectively.</w:t>
      </w:r>
    </w:p>
    <w:p w:rsidR="00431242" w:rsidRPr="00F16087" w:rsidRDefault="00431242" w:rsidP="003662EA">
      <w:pPr>
        <w:keepNext/>
        <w:widowControl/>
        <w:jc w:val="center"/>
        <w:rPr>
          <w:b/>
          <w:u w:val="single"/>
        </w:rPr>
      </w:pPr>
    </w:p>
    <w:p w:rsidR="009F6B87" w:rsidRPr="00F16087" w:rsidRDefault="009F6B87" w:rsidP="003662EA">
      <w:pPr>
        <w:pStyle w:val="ListParagraph"/>
        <w:widowControl/>
        <w:numPr>
          <w:ilvl w:val="1"/>
          <w:numId w:val="1"/>
        </w:numPr>
        <w:rPr>
          <w:szCs w:val="22"/>
        </w:rPr>
      </w:pPr>
      <w:r w:rsidRPr="00F16087">
        <w:rPr>
          <w:iCs/>
          <w:szCs w:val="22"/>
        </w:rPr>
        <w:t xml:space="preserve">The </w:t>
      </w:r>
      <w:r w:rsidR="00431242" w:rsidRPr="00F16087">
        <w:rPr>
          <w:iCs/>
          <w:szCs w:val="22"/>
        </w:rPr>
        <w:t xml:space="preserve">ESC noted the </w:t>
      </w:r>
      <w:r w:rsidR="00C419C9" w:rsidRPr="00F16087">
        <w:rPr>
          <w:iCs/>
          <w:szCs w:val="22"/>
        </w:rPr>
        <w:t xml:space="preserve">following </w:t>
      </w:r>
      <w:r w:rsidR="00330DED" w:rsidRPr="00F16087">
        <w:rPr>
          <w:iCs/>
          <w:szCs w:val="22"/>
        </w:rPr>
        <w:t xml:space="preserve">additional </w:t>
      </w:r>
      <w:r w:rsidR="00C419C9" w:rsidRPr="00F16087">
        <w:rPr>
          <w:iCs/>
          <w:szCs w:val="22"/>
        </w:rPr>
        <w:t>issues with the model</w:t>
      </w:r>
      <w:r w:rsidRPr="00F16087">
        <w:rPr>
          <w:iCs/>
          <w:szCs w:val="22"/>
        </w:rPr>
        <w:t>:</w:t>
      </w:r>
    </w:p>
    <w:p w:rsidR="006578C0" w:rsidRPr="00F16087" w:rsidRDefault="006578C0" w:rsidP="003662EA">
      <w:pPr>
        <w:pStyle w:val="BodyText"/>
        <w:widowControl/>
        <w:numPr>
          <w:ilvl w:val="0"/>
          <w:numId w:val="8"/>
        </w:numPr>
        <w:ind w:left="1134" w:hanging="425"/>
        <w:jc w:val="both"/>
        <w:rPr>
          <w:iCs/>
        </w:rPr>
      </w:pPr>
      <w:r w:rsidRPr="00F16087">
        <w:rPr>
          <w:iCs/>
        </w:rPr>
        <w:t xml:space="preserve">The model used persistence (based on claims data, not linked to final outcomes associated with psoriasis) as an unsubstantiated proxy for </w:t>
      </w:r>
      <w:r w:rsidR="000A3D83" w:rsidRPr="00F16087">
        <w:rPr>
          <w:iCs/>
        </w:rPr>
        <w:t xml:space="preserve">the </w:t>
      </w:r>
      <w:r w:rsidRPr="00F16087">
        <w:rPr>
          <w:iCs/>
        </w:rPr>
        <w:t>effectiveness and safety of apremilast and cyclosporin</w:t>
      </w:r>
      <w:r w:rsidR="008115D1" w:rsidRPr="00F16087">
        <w:rPr>
          <w:iCs/>
        </w:rPr>
        <w:t xml:space="preserve"> (see paragraphs </w:t>
      </w:r>
      <w:r w:rsidR="00CA29C9" w:rsidRPr="00F16087">
        <w:rPr>
          <w:iCs/>
        </w:rPr>
        <w:t>6.14-6.2</w:t>
      </w:r>
      <w:r w:rsidR="00E00628" w:rsidRPr="00F16087">
        <w:rPr>
          <w:iCs/>
        </w:rPr>
        <w:t>1</w:t>
      </w:r>
      <w:r w:rsidR="008115D1" w:rsidRPr="00F16087">
        <w:rPr>
          <w:iCs/>
        </w:rPr>
        <w:t>)</w:t>
      </w:r>
      <w:r w:rsidRPr="00F16087">
        <w:rPr>
          <w:iCs/>
        </w:rPr>
        <w:t>.</w:t>
      </w:r>
    </w:p>
    <w:p w:rsidR="006578C0" w:rsidRPr="00F16087" w:rsidRDefault="006578C0" w:rsidP="003662EA">
      <w:pPr>
        <w:pStyle w:val="BodyText"/>
        <w:widowControl/>
        <w:numPr>
          <w:ilvl w:val="0"/>
          <w:numId w:val="8"/>
        </w:numPr>
        <w:ind w:left="1134" w:hanging="425"/>
        <w:jc w:val="both"/>
        <w:rPr>
          <w:iCs/>
        </w:rPr>
      </w:pPr>
      <w:r w:rsidRPr="00F16087">
        <w:rPr>
          <w:iCs/>
        </w:rPr>
        <w:t xml:space="preserve">Limited information on patient characteristics and criteria for initiating and continuing treatment with apremilast or cyclosporin in this dataset were reported to allow for conclusions regarding the applicability of the claims (persistence) data from US </w:t>
      </w:r>
      <w:proofErr w:type="spellStart"/>
      <w:r w:rsidRPr="00F16087">
        <w:rPr>
          <w:iCs/>
        </w:rPr>
        <w:t>MarketScan</w:t>
      </w:r>
      <w:proofErr w:type="spellEnd"/>
      <w:r w:rsidRPr="00F16087">
        <w:rPr>
          <w:iCs/>
        </w:rPr>
        <w:t xml:space="preserve">® to the likely PBS population. Additionally, extrapolation of this data was considered uncertain as </w:t>
      </w:r>
      <w:r w:rsidR="00EF4316">
        <w:rPr>
          <w:iCs/>
          <w:noProof/>
          <w:color w:val="000000"/>
          <w:highlight w:val="black"/>
        </w:rPr>
        <w:t>''''''''</w:t>
      </w:r>
      <w:r w:rsidRPr="00F16087">
        <w:rPr>
          <w:iCs/>
        </w:rPr>
        <w:t>% of patients remained on apremilast for the 10-year model period</w:t>
      </w:r>
      <w:r w:rsidR="00EF1563" w:rsidRPr="00F16087">
        <w:rPr>
          <w:iCs/>
        </w:rPr>
        <w:t>, which may be implausible</w:t>
      </w:r>
      <w:r w:rsidRPr="00F16087">
        <w:rPr>
          <w:iCs/>
        </w:rPr>
        <w:t>.</w:t>
      </w:r>
    </w:p>
    <w:p w:rsidR="009F6B87" w:rsidRPr="00F16087" w:rsidRDefault="006578C0" w:rsidP="003662EA">
      <w:pPr>
        <w:pStyle w:val="BodyText"/>
        <w:widowControl/>
        <w:numPr>
          <w:ilvl w:val="0"/>
          <w:numId w:val="8"/>
        </w:numPr>
        <w:ind w:left="1134" w:hanging="425"/>
        <w:jc w:val="both"/>
        <w:rPr>
          <w:iCs/>
        </w:rPr>
      </w:pPr>
      <w:r w:rsidRPr="00F16087">
        <w:rPr>
          <w:iCs/>
        </w:rPr>
        <w:t>The costs for adverse events were not included in the model, and costs for physician visits (initiation of treatment) were omitted for apremilast.</w:t>
      </w:r>
      <w:r w:rsidR="003953ED" w:rsidRPr="00F16087">
        <w:rPr>
          <w:iCs/>
        </w:rPr>
        <w:t xml:space="preserve"> The PSCR (p4) stated that initiation of apremilast does not require an additional physician consultation over routine medical care. In the model, a pre-treatment physician visit was costed for cyclosporin, and all the assumed treatments for subsequent therapy. Therefore, it appeared inappropriate that a pre-treatment physician visit was omitted for apremilast, as apremilast has to be initiated by a dermatologist under the proposed PBS restriction.</w:t>
      </w:r>
    </w:p>
    <w:p w:rsidR="00970E24" w:rsidRPr="00F16087" w:rsidRDefault="00970E24" w:rsidP="003662EA">
      <w:pPr>
        <w:pStyle w:val="BodyText"/>
        <w:widowControl/>
        <w:numPr>
          <w:ilvl w:val="0"/>
          <w:numId w:val="8"/>
        </w:numPr>
        <w:ind w:left="1134" w:hanging="425"/>
        <w:jc w:val="both"/>
        <w:rPr>
          <w:iCs/>
        </w:rPr>
      </w:pPr>
      <w:r w:rsidRPr="00F16087">
        <w:rPr>
          <w:iCs/>
        </w:rPr>
        <w:t xml:space="preserve">It was not possible to test the sensitivity of the model to </w:t>
      </w:r>
      <w:r w:rsidR="000807DE" w:rsidRPr="00F16087">
        <w:rPr>
          <w:iCs/>
        </w:rPr>
        <w:t xml:space="preserve">a </w:t>
      </w:r>
      <w:r w:rsidRPr="00F16087">
        <w:rPr>
          <w:iCs/>
        </w:rPr>
        <w:t>time horizon</w:t>
      </w:r>
      <w:r w:rsidR="00BD7942" w:rsidRPr="00F16087">
        <w:rPr>
          <w:iCs/>
        </w:rPr>
        <w:t xml:space="preserve"> beyond 10 years</w:t>
      </w:r>
      <w:r w:rsidRPr="00F16087">
        <w:rPr>
          <w:iCs/>
        </w:rPr>
        <w:t xml:space="preserve">. Given the model is based on displacing treatments, the ESC considered that it would have been informative to be able to </w:t>
      </w:r>
      <w:r w:rsidR="00D958D3" w:rsidRPr="00F16087">
        <w:rPr>
          <w:iCs/>
        </w:rPr>
        <w:t xml:space="preserve">increase </w:t>
      </w:r>
      <w:r w:rsidRPr="00F16087">
        <w:rPr>
          <w:iCs/>
        </w:rPr>
        <w:t xml:space="preserve">this variable </w:t>
      </w:r>
      <w:r w:rsidR="00D958D3" w:rsidRPr="00F16087">
        <w:rPr>
          <w:iCs/>
        </w:rPr>
        <w:t>to more than the base case of 10 years.</w:t>
      </w:r>
    </w:p>
    <w:p w:rsidR="005A16B4" w:rsidRPr="00F16087" w:rsidRDefault="005A16B4" w:rsidP="003662EA">
      <w:pPr>
        <w:pStyle w:val="BodyText"/>
        <w:widowControl/>
        <w:jc w:val="both"/>
        <w:rPr>
          <w:iCs/>
        </w:rPr>
      </w:pPr>
    </w:p>
    <w:p w:rsidR="00456735" w:rsidRPr="00F16087" w:rsidRDefault="00456735" w:rsidP="003662EA">
      <w:pPr>
        <w:pStyle w:val="ListParagraph"/>
        <w:widowControl/>
        <w:numPr>
          <w:ilvl w:val="1"/>
          <w:numId w:val="1"/>
        </w:numPr>
        <w:rPr>
          <w:szCs w:val="22"/>
        </w:rPr>
      </w:pPr>
      <w:r w:rsidRPr="00F16087">
        <w:rPr>
          <w:iCs/>
        </w:rPr>
        <w:t xml:space="preserve">The PBAC </w:t>
      </w:r>
      <w:r w:rsidR="001824D9" w:rsidRPr="00F16087">
        <w:rPr>
          <w:iCs/>
        </w:rPr>
        <w:t>noted</w:t>
      </w:r>
      <w:r w:rsidRPr="00F16087">
        <w:rPr>
          <w:iCs/>
        </w:rPr>
        <w:t xml:space="preserve"> that </w:t>
      </w:r>
      <w:r w:rsidR="003F423C" w:rsidRPr="00F16087">
        <w:rPr>
          <w:iCs/>
        </w:rPr>
        <w:t xml:space="preserve">when </w:t>
      </w:r>
      <w:r w:rsidRPr="00F16087">
        <w:rPr>
          <w:iCs/>
        </w:rPr>
        <w:t xml:space="preserve">the effective prices of </w:t>
      </w:r>
      <w:r w:rsidR="003F423C" w:rsidRPr="00F16087">
        <w:rPr>
          <w:iCs/>
        </w:rPr>
        <w:t xml:space="preserve">the </w:t>
      </w:r>
      <w:r w:rsidRPr="00F16087">
        <w:rPr>
          <w:iCs/>
        </w:rPr>
        <w:t xml:space="preserve">biologics </w:t>
      </w:r>
      <w:r w:rsidR="003F423C" w:rsidRPr="00F16087">
        <w:rPr>
          <w:iCs/>
        </w:rPr>
        <w:t xml:space="preserve">were applied to the (corrected) base case, the ICER increased </w:t>
      </w:r>
      <w:r w:rsidR="00352777" w:rsidRPr="00F16087">
        <w:rPr>
          <w:iCs/>
        </w:rPr>
        <w:t>substantially</w:t>
      </w:r>
      <w:r w:rsidR="003F423C" w:rsidRPr="00F16087">
        <w:rPr>
          <w:iCs/>
        </w:rPr>
        <w:t>. The PBAC further noted</w:t>
      </w:r>
      <w:r w:rsidR="00352777" w:rsidRPr="00F16087">
        <w:rPr>
          <w:iCs/>
        </w:rPr>
        <w:t xml:space="preserve"> that </w:t>
      </w:r>
      <w:r w:rsidR="000807DE" w:rsidRPr="00F16087">
        <w:rPr>
          <w:iCs/>
        </w:rPr>
        <w:t xml:space="preserve">the </w:t>
      </w:r>
      <w:r w:rsidR="00352777" w:rsidRPr="00F16087">
        <w:rPr>
          <w:iCs/>
        </w:rPr>
        <w:t xml:space="preserve">ICER for </w:t>
      </w:r>
      <w:r w:rsidR="003F423C" w:rsidRPr="00F16087">
        <w:rPr>
          <w:iCs/>
        </w:rPr>
        <w:t>the sensitivity analysis in which the utility for apremilast treatment was assumed to be the same as the biologics (0.80, see paragraph 6.34)</w:t>
      </w:r>
      <w:r w:rsidRPr="00F16087">
        <w:rPr>
          <w:iCs/>
        </w:rPr>
        <w:t xml:space="preserve"> </w:t>
      </w:r>
      <w:r w:rsidR="00352777" w:rsidRPr="00F16087">
        <w:rPr>
          <w:iCs/>
        </w:rPr>
        <w:t>also increased substantially</w:t>
      </w:r>
      <w:r w:rsidRPr="00F16087">
        <w:rPr>
          <w:iCs/>
        </w:rPr>
        <w:t>.</w:t>
      </w:r>
    </w:p>
    <w:p w:rsidR="00456735" w:rsidRPr="00F16087" w:rsidRDefault="00456735" w:rsidP="003662EA">
      <w:pPr>
        <w:pStyle w:val="BodyText"/>
        <w:widowControl/>
        <w:jc w:val="both"/>
        <w:rPr>
          <w:iCs/>
        </w:rPr>
      </w:pPr>
    </w:p>
    <w:p w:rsidR="008F1EC2" w:rsidRPr="00F16087" w:rsidRDefault="0078615C" w:rsidP="003662EA">
      <w:pPr>
        <w:pStyle w:val="Heading3"/>
        <w:widowControl/>
      </w:pPr>
      <w:bookmarkStart w:id="13" w:name="_Toc461464573"/>
      <w:r w:rsidRPr="00F16087">
        <w:t>Drug cost/patient/year</w:t>
      </w:r>
      <w:r w:rsidR="00FF70C8" w:rsidRPr="00F16087">
        <w:t xml:space="preserve">: </w:t>
      </w:r>
      <w:r w:rsidR="00D458F1" w:rsidRPr="00F16087">
        <w:t>$</w:t>
      </w:r>
      <w:bookmarkEnd w:id="13"/>
      <w:r w:rsidR="00EF4316">
        <w:rPr>
          <w:noProof/>
          <w:color w:val="000000"/>
          <w:highlight w:val="black"/>
        </w:rPr>
        <w:t>'''''''''''''''</w:t>
      </w:r>
    </w:p>
    <w:p w:rsidR="008F1EC2" w:rsidRPr="00F16087" w:rsidRDefault="008F1EC2" w:rsidP="003662EA">
      <w:pPr>
        <w:widowControl/>
      </w:pPr>
    </w:p>
    <w:p w:rsidR="00515FAA" w:rsidRPr="00F16087" w:rsidRDefault="00515FAA" w:rsidP="003662EA">
      <w:pPr>
        <w:pStyle w:val="ListParagraph"/>
        <w:widowControl/>
        <w:numPr>
          <w:ilvl w:val="1"/>
          <w:numId w:val="1"/>
        </w:numPr>
        <w:snapToGrid w:val="0"/>
        <w:rPr>
          <w:szCs w:val="22"/>
        </w:rPr>
      </w:pPr>
      <w:r w:rsidRPr="00F16087">
        <w:rPr>
          <w:szCs w:val="22"/>
        </w:rPr>
        <w:t>$</w:t>
      </w:r>
      <w:r w:rsidR="00EF4316">
        <w:rPr>
          <w:noProof/>
          <w:color w:val="000000"/>
          <w:szCs w:val="22"/>
          <w:highlight w:val="black"/>
        </w:rPr>
        <w:t xml:space="preserve">'''''''''''''''''''''' </w:t>
      </w:r>
      <w:r w:rsidRPr="00F16087">
        <w:rPr>
          <w:szCs w:val="22"/>
        </w:rPr>
        <w:t xml:space="preserve">assuming one titration script (lasting for 2 weeks) </w:t>
      </w:r>
      <w:r w:rsidR="00D458F1" w:rsidRPr="00F16087">
        <w:rPr>
          <w:szCs w:val="22"/>
        </w:rPr>
        <w:t>at an effective DPMQ of $</w:t>
      </w:r>
      <w:r w:rsidR="00EF4316">
        <w:rPr>
          <w:noProof/>
          <w:color w:val="000000"/>
          <w:szCs w:val="22"/>
          <w:highlight w:val="black"/>
        </w:rPr>
        <w:t>'''''''''''''''''</w:t>
      </w:r>
      <w:r w:rsidR="00D458F1" w:rsidRPr="00F16087">
        <w:rPr>
          <w:szCs w:val="22"/>
        </w:rPr>
        <w:t xml:space="preserve"> </w:t>
      </w:r>
      <w:r w:rsidRPr="00F16087">
        <w:rPr>
          <w:szCs w:val="22"/>
        </w:rPr>
        <w:t>and 12.5 maintenance scripts per year (lasting for a duration of 50</w:t>
      </w:r>
      <w:r w:rsidR="006659BB" w:rsidRPr="00F16087">
        <w:rPr>
          <w:szCs w:val="22"/>
        </w:rPr>
        <w:t> </w:t>
      </w:r>
      <w:r w:rsidRPr="00F16087">
        <w:rPr>
          <w:szCs w:val="22"/>
        </w:rPr>
        <w:t>weeks)</w:t>
      </w:r>
      <w:r w:rsidR="00D458F1" w:rsidRPr="00F16087">
        <w:rPr>
          <w:szCs w:val="22"/>
        </w:rPr>
        <w:t xml:space="preserve"> at an effective DPMQ of $</w:t>
      </w:r>
      <w:r w:rsidR="00EF4316">
        <w:rPr>
          <w:noProof/>
          <w:color w:val="000000"/>
          <w:szCs w:val="22"/>
          <w:highlight w:val="black"/>
        </w:rPr>
        <w:t>''''''''''''''''''</w:t>
      </w:r>
      <w:r w:rsidRPr="00F16087">
        <w:rPr>
          <w:szCs w:val="22"/>
        </w:rPr>
        <w:t xml:space="preserve">. </w:t>
      </w:r>
      <w:r w:rsidRPr="00F16087">
        <w:t>The cost of cyclosporin cannot be estimated given details of the mean weight of psoriasis patients and mean dose of cyclosporin used in the Australian setting is unknown</w:t>
      </w:r>
      <w:r w:rsidR="00FF7481" w:rsidRPr="00F16087">
        <w:t xml:space="preserve">. However, the estimated cost per patient per year for cyclosporin applied in the </w:t>
      </w:r>
      <w:r w:rsidR="00E41050" w:rsidRPr="00F16087">
        <w:t>resub</w:t>
      </w:r>
      <w:r w:rsidR="00FF7481" w:rsidRPr="00F16087">
        <w:t>mission was $</w:t>
      </w:r>
      <w:r w:rsidR="00EF4316">
        <w:rPr>
          <w:noProof/>
          <w:color w:val="000000"/>
          <w:highlight w:val="black"/>
        </w:rPr>
        <w:t>''''''''''''''''''''</w:t>
      </w:r>
      <w:r w:rsidR="00FF7481" w:rsidRPr="00F16087">
        <w:t xml:space="preserve"> per patient per year assuming the varying dosage (mg per day) from the US </w:t>
      </w:r>
      <w:proofErr w:type="spellStart"/>
      <w:r w:rsidR="00FF7481" w:rsidRPr="00F16087">
        <w:t>MarketScan</w:t>
      </w:r>
      <w:proofErr w:type="spellEnd"/>
      <w:r w:rsidR="00FF7481" w:rsidRPr="00F16087">
        <w:t>® databases (using the approach in Section D</w:t>
      </w:r>
      <w:r w:rsidR="002E74C1" w:rsidRPr="00F16087">
        <w:t xml:space="preserve"> of the resubmission</w:t>
      </w:r>
      <w:r w:rsidR="00FF7481" w:rsidRPr="00F16087">
        <w:t xml:space="preserve">, but corrected for errors identified in aligning </w:t>
      </w:r>
      <w:proofErr w:type="spellStart"/>
      <w:r w:rsidR="00FF7481" w:rsidRPr="00F16087">
        <w:t>timepoints</w:t>
      </w:r>
      <w:proofErr w:type="spellEnd"/>
      <w:r w:rsidR="00FF7481" w:rsidRPr="00F16087">
        <w:t>) and $</w:t>
      </w:r>
      <w:r w:rsidR="00EF4316">
        <w:rPr>
          <w:noProof/>
          <w:color w:val="000000"/>
          <w:highlight w:val="black"/>
        </w:rPr>
        <w:t>''''''''''''''''''''''</w:t>
      </w:r>
      <w:r w:rsidR="00FF7481" w:rsidRPr="00F16087">
        <w:t xml:space="preserve"> assuming a cyclosporin fixed daily dose </w:t>
      </w:r>
      <w:r w:rsidR="00FF7481" w:rsidRPr="00227A19">
        <w:t xml:space="preserve">of </w:t>
      </w:r>
      <w:r w:rsidR="00EF4316">
        <w:rPr>
          <w:noProof/>
          <w:color w:val="000000"/>
          <w:highlight w:val="black"/>
        </w:rPr>
        <w:t>'''''''''</w:t>
      </w:r>
      <w:r w:rsidR="00FF7481" w:rsidRPr="00F16087">
        <w:t xml:space="preserve"> mg per day (as in Section E of the </w:t>
      </w:r>
      <w:r w:rsidR="00E41050" w:rsidRPr="00F16087">
        <w:t>resub</w:t>
      </w:r>
      <w:r w:rsidR="00FF7481" w:rsidRPr="00F16087">
        <w:t>mission).</w:t>
      </w:r>
    </w:p>
    <w:p w:rsidR="00B60939" w:rsidRPr="00F16087" w:rsidRDefault="00B60939" w:rsidP="003662EA">
      <w:pPr>
        <w:widowControl/>
        <w:rPr>
          <w:szCs w:val="22"/>
        </w:rPr>
      </w:pPr>
    </w:p>
    <w:p w:rsidR="00B60939" w:rsidRPr="00F16087" w:rsidRDefault="00B60939" w:rsidP="003662EA">
      <w:pPr>
        <w:pStyle w:val="Heading3"/>
        <w:widowControl/>
      </w:pPr>
      <w:bookmarkStart w:id="14" w:name="_Toc461464574"/>
      <w:r w:rsidRPr="00F16087">
        <w:t>Estimated PBS usage &amp; financial implications</w:t>
      </w:r>
      <w:bookmarkEnd w:id="14"/>
    </w:p>
    <w:p w:rsidR="00B60939" w:rsidRPr="00F16087" w:rsidRDefault="00B60939" w:rsidP="003662EA">
      <w:pPr>
        <w:widowControl/>
      </w:pPr>
    </w:p>
    <w:p w:rsidR="00970335" w:rsidRPr="00F16087" w:rsidRDefault="00970335" w:rsidP="001A2487">
      <w:pPr>
        <w:pStyle w:val="ListParagraph"/>
        <w:widowControl/>
        <w:numPr>
          <w:ilvl w:val="1"/>
          <w:numId w:val="1"/>
        </w:numPr>
        <w:rPr>
          <w:szCs w:val="22"/>
        </w:rPr>
      </w:pPr>
      <w:r w:rsidRPr="00F16087">
        <w:rPr>
          <w:iCs/>
          <w:szCs w:val="22"/>
        </w:rPr>
        <w:t>The submission was considered by DUSC.</w:t>
      </w:r>
      <w:r w:rsidR="001A2487" w:rsidRPr="00F16087">
        <w:rPr>
          <w:iCs/>
          <w:szCs w:val="22"/>
        </w:rPr>
        <w:t xml:space="preserve"> </w:t>
      </w:r>
      <w:r w:rsidRPr="00F16087">
        <w:t>The re-submission used a combined epidemiological and market share approach, based on Prospection 10% Medicare sample data, to estimate the population of patients with moderate-to-severe psoriasis in Australia, and the METIS Healthcare Research Survey of 138 patients with moderate-to-severe psoriasis to estimate uptake of apremilast</w:t>
      </w:r>
      <w:r w:rsidR="006659BB" w:rsidRPr="00F16087">
        <w:t>.</w:t>
      </w:r>
    </w:p>
    <w:p w:rsidR="00155165" w:rsidRPr="00F16087" w:rsidRDefault="00155165" w:rsidP="00155165">
      <w:pPr>
        <w:pStyle w:val="ListParagraph"/>
        <w:widowControl/>
        <w:rPr>
          <w:szCs w:val="22"/>
        </w:rPr>
      </w:pPr>
    </w:p>
    <w:p w:rsidR="00155165" w:rsidRPr="00F16087" w:rsidRDefault="00155165" w:rsidP="00155165">
      <w:pPr>
        <w:pStyle w:val="ListParagraph"/>
        <w:widowControl/>
        <w:numPr>
          <w:ilvl w:val="1"/>
          <w:numId w:val="1"/>
        </w:numPr>
        <w:rPr>
          <w:iCs/>
          <w:szCs w:val="22"/>
        </w:rPr>
      </w:pPr>
      <w:r w:rsidRPr="00F16087">
        <w:rPr>
          <w:iCs/>
          <w:szCs w:val="22"/>
        </w:rPr>
        <w:t xml:space="preserve">At year 5, the estimated number of </w:t>
      </w:r>
      <w:r w:rsidR="00DB4411">
        <w:rPr>
          <w:iCs/>
          <w:szCs w:val="22"/>
        </w:rPr>
        <w:t xml:space="preserve">new </w:t>
      </w:r>
      <w:r w:rsidRPr="00F16087">
        <w:rPr>
          <w:iCs/>
          <w:szCs w:val="22"/>
        </w:rPr>
        <w:t xml:space="preserve">patients was </w:t>
      </w:r>
      <w:r w:rsidR="00933C86">
        <w:rPr>
          <w:iCs/>
          <w:szCs w:val="22"/>
        </w:rPr>
        <w:t>less than 10,000 per year</w:t>
      </w:r>
      <w:r w:rsidRPr="00F16087">
        <w:rPr>
          <w:iCs/>
          <w:szCs w:val="22"/>
        </w:rPr>
        <w:t xml:space="preserve"> and the net cost to the PBS would be </w:t>
      </w:r>
      <w:r w:rsidR="00933C86">
        <w:rPr>
          <w:iCs/>
          <w:szCs w:val="22"/>
        </w:rPr>
        <w:t>more than $100 million per year</w:t>
      </w:r>
      <w:r w:rsidRPr="00F16087">
        <w:rPr>
          <w:iCs/>
          <w:szCs w:val="22"/>
        </w:rPr>
        <w:t>.</w:t>
      </w:r>
    </w:p>
    <w:p w:rsidR="00970335" w:rsidRPr="00F16087" w:rsidRDefault="00970335" w:rsidP="003662EA">
      <w:pPr>
        <w:widowControl/>
        <w:rPr>
          <w:iCs/>
          <w:szCs w:val="22"/>
        </w:rPr>
      </w:pPr>
    </w:p>
    <w:p w:rsidR="00970335" w:rsidRPr="00F16087" w:rsidRDefault="00970335" w:rsidP="003662EA">
      <w:pPr>
        <w:keepNext/>
        <w:widowControl/>
        <w:ind w:firstLine="709"/>
        <w:rPr>
          <w:rStyle w:val="CommentReference"/>
        </w:rPr>
      </w:pPr>
      <w:r w:rsidRPr="00F16087">
        <w:rPr>
          <w:rStyle w:val="CommentReference"/>
        </w:rPr>
        <w:t>Table 10: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92"/>
        <w:gridCol w:w="1090"/>
        <w:gridCol w:w="1216"/>
        <w:gridCol w:w="1216"/>
        <w:gridCol w:w="1184"/>
        <w:gridCol w:w="1247"/>
      </w:tblGrid>
      <w:tr w:rsidR="00970335" w:rsidRPr="00F16087" w:rsidTr="00B27AFF">
        <w:trPr>
          <w:tblHeader/>
        </w:trPr>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b/>
                <w:sz w:val="20"/>
              </w:rPr>
            </w:pPr>
          </w:p>
        </w:tc>
        <w:tc>
          <w:tcPr>
            <w:tcW w:w="667" w:type="pct"/>
            <w:shd w:val="clear" w:color="auto" w:fill="auto"/>
            <w:vAlign w:val="center"/>
          </w:tcPr>
          <w:p w:rsidR="00970335" w:rsidRPr="00F16087" w:rsidRDefault="00970335" w:rsidP="003662EA">
            <w:pPr>
              <w:keepNext/>
              <w:widowControl/>
              <w:ind w:right="93"/>
              <w:jc w:val="center"/>
              <w:rPr>
                <w:rFonts w:ascii="Arial Narrow" w:hAnsi="Arial Narrow"/>
                <w:b/>
                <w:sz w:val="20"/>
              </w:rPr>
            </w:pPr>
            <w:r w:rsidRPr="00F16087">
              <w:rPr>
                <w:rFonts w:ascii="Arial Narrow" w:hAnsi="Arial Narrow"/>
                <w:b/>
                <w:sz w:val="20"/>
              </w:rPr>
              <w:t>Year 1</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b/>
                <w:sz w:val="20"/>
              </w:rPr>
            </w:pPr>
            <w:r w:rsidRPr="00F16087">
              <w:rPr>
                <w:rFonts w:ascii="Arial Narrow" w:hAnsi="Arial Narrow"/>
                <w:b/>
                <w:sz w:val="20"/>
              </w:rPr>
              <w:t>Year 2</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b/>
                <w:sz w:val="20"/>
              </w:rPr>
            </w:pPr>
            <w:r w:rsidRPr="00F16087">
              <w:rPr>
                <w:rFonts w:ascii="Arial Narrow" w:hAnsi="Arial Narrow"/>
                <w:b/>
                <w:sz w:val="20"/>
              </w:rPr>
              <w:t>Year 3</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b/>
                <w:sz w:val="20"/>
              </w:rPr>
            </w:pPr>
            <w:r w:rsidRPr="00F16087">
              <w:rPr>
                <w:rFonts w:ascii="Arial Narrow" w:hAnsi="Arial Narrow"/>
                <w:b/>
                <w:sz w:val="20"/>
              </w:rPr>
              <w:t>Year 4</w:t>
            </w:r>
          </w:p>
        </w:tc>
        <w:tc>
          <w:tcPr>
            <w:tcW w:w="735" w:type="pct"/>
            <w:shd w:val="clear" w:color="auto" w:fill="auto"/>
            <w:vAlign w:val="center"/>
          </w:tcPr>
          <w:p w:rsidR="00970335" w:rsidRPr="00F16087" w:rsidRDefault="00970335" w:rsidP="003662EA">
            <w:pPr>
              <w:keepNext/>
              <w:widowControl/>
              <w:ind w:right="93"/>
              <w:jc w:val="center"/>
              <w:rPr>
                <w:rFonts w:ascii="Arial Narrow" w:hAnsi="Arial Narrow"/>
                <w:b/>
                <w:sz w:val="20"/>
              </w:rPr>
            </w:pPr>
            <w:r w:rsidRPr="00F16087">
              <w:rPr>
                <w:rFonts w:ascii="Arial Narrow" w:hAnsi="Arial Narrow"/>
                <w:b/>
                <w:sz w:val="20"/>
              </w:rPr>
              <w:t>Year 5</w:t>
            </w:r>
          </w:p>
        </w:tc>
      </w:tr>
      <w:tr w:rsidR="00970335" w:rsidRPr="00F16087" w:rsidTr="00B27AFF">
        <w:tc>
          <w:tcPr>
            <w:tcW w:w="5000" w:type="pct"/>
            <w:gridSpan w:val="6"/>
            <w:shd w:val="clear" w:color="auto" w:fill="auto"/>
            <w:vAlign w:val="center"/>
          </w:tcPr>
          <w:p w:rsidR="00970335" w:rsidRPr="00F16087" w:rsidRDefault="00970335" w:rsidP="003662EA">
            <w:pPr>
              <w:keepNext/>
              <w:widowControl/>
              <w:ind w:right="93"/>
              <w:jc w:val="left"/>
              <w:rPr>
                <w:rFonts w:ascii="Arial Narrow" w:hAnsi="Arial Narrow"/>
                <w:b/>
                <w:bCs/>
                <w:color w:val="000000"/>
                <w:sz w:val="20"/>
              </w:rPr>
            </w:pPr>
            <w:r w:rsidRPr="00F16087">
              <w:rPr>
                <w:rFonts w:ascii="Arial Narrow" w:hAnsi="Arial Narrow"/>
                <w:b/>
                <w:bCs/>
                <w:color w:val="000000"/>
                <w:sz w:val="20"/>
              </w:rPr>
              <w:t>Estimated extent of use</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Number treated</w:t>
            </w:r>
          </w:p>
        </w:tc>
        <w:tc>
          <w:tcPr>
            <w:tcW w:w="667" w:type="pct"/>
            <w:vAlign w:val="center"/>
          </w:tcPr>
          <w:p w:rsidR="00970335" w:rsidRPr="00EF4316" w:rsidRDefault="00EF4316" w:rsidP="003662EA">
            <w:pPr>
              <w:keepNext/>
              <w:widowControl/>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735" w:type="pct"/>
            <w:vAlign w:val="center"/>
          </w:tcPr>
          <w:p w:rsidR="00970335" w:rsidRPr="00EF4316" w:rsidRDefault="00EF4316" w:rsidP="003662EA">
            <w:pPr>
              <w:keepNext/>
              <w:widowControl/>
              <w:ind w:right="93"/>
              <w:jc w:val="center"/>
              <w:rPr>
                <w:rFonts w:ascii="Arial Narrow" w:hAnsi="Arial Narrow"/>
                <w:color w:val="000000"/>
                <w:sz w:val="20"/>
                <w:highlight w:val="black"/>
              </w:rPr>
            </w:pPr>
            <w:r>
              <w:rPr>
                <w:rFonts w:ascii="Arial Narrow" w:hAnsi="Arial Narrow"/>
                <w:noProof/>
                <w:color w:val="000000"/>
                <w:sz w:val="20"/>
                <w:highlight w:val="black"/>
              </w:rPr>
              <w:t>''''''''''''</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Uptake rate:</w:t>
            </w:r>
          </w:p>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Systemic naive</w:t>
            </w:r>
          </w:p>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Methotrexate experienced</w:t>
            </w:r>
          </w:p>
        </w:tc>
        <w:tc>
          <w:tcPr>
            <w:tcW w:w="667"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735"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 xml:space="preserve">Substitution from patients treated with conventional </w:t>
            </w:r>
            <w:proofErr w:type="spellStart"/>
            <w:r w:rsidRPr="00F16087">
              <w:rPr>
                <w:rFonts w:ascii="Arial Narrow" w:hAnsi="Arial Narrow"/>
                <w:sz w:val="20"/>
              </w:rPr>
              <w:t>tx</w:t>
            </w:r>
            <w:proofErr w:type="spellEnd"/>
            <w:r w:rsidRPr="00F16087">
              <w:rPr>
                <w:rFonts w:ascii="Arial Narrow" w:hAnsi="Arial Narrow"/>
                <w:sz w:val="20"/>
              </w:rPr>
              <w:t>:</w:t>
            </w:r>
          </w:p>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Cyclosporin</w:t>
            </w:r>
          </w:p>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Acitretin</w:t>
            </w:r>
          </w:p>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Methotrexate</w:t>
            </w:r>
          </w:p>
        </w:tc>
        <w:tc>
          <w:tcPr>
            <w:tcW w:w="667"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696"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c>
          <w:tcPr>
            <w:tcW w:w="735" w:type="pct"/>
            <w:shd w:val="clear" w:color="auto" w:fill="auto"/>
            <w:vAlign w:val="center"/>
          </w:tcPr>
          <w:p w:rsidR="00970335" w:rsidRPr="00F16087" w:rsidRDefault="00970335" w:rsidP="003662EA">
            <w:pPr>
              <w:keepNext/>
              <w:widowControl/>
              <w:ind w:right="93"/>
              <w:jc w:val="center"/>
              <w:rPr>
                <w:rFonts w:ascii="Arial Narrow" w:hAnsi="Arial Narrow"/>
                <w:sz w:val="20"/>
              </w:rPr>
            </w:pPr>
          </w:p>
          <w:p w:rsidR="00970335" w:rsidRPr="00F16087" w:rsidRDefault="00970335" w:rsidP="003662EA">
            <w:pPr>
              <w:keepNext/>
              <w:widowControl/>
              <w:ind w:right="93"/>
              <w:jc w:val="center"/>
              <w:rPr>
                <w:rFonts w:ascii="Arial Narrow" w:hAnsi="Arial Narrow"/>
                <w:sz w:val="20"/>
              </w:rPr>
            </w:pP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p w:rsidR="00970335" w:rsidRPr="00F16087" w:rsidRDefault="00EF4316" w:rsidP="003662EA">
            <w:pPr>
              <w:keepNext/>
              <w:widowControl/>
              <w:ind w:right="93"/>
              <w:jc w:val="center"/>
              <w:rPr>
                <w:rFonts w:ascii="Arial Narrow" w:hAnsi="Arial Narrow"/>
                <w:sz w:val="20"/>
              </w:rPr>
            </w:pPr>
            <w:r>
              <w:rPr>
                <w:rFonts w:ascii="Arial Narrow" w:hAnsi="Arial Narrow"/>
                <w:noProof/>
                <w:color w:val="000000"/>
                <w:sz w:val="20"/>
                <w:highlight w:val="black"/>
              </w:rPr>
              <w:t>''''''</w:t>
            </w:r>
            <w:r w:rsidR="00970335" w:rsidRPr="00F16087">
              <w:rPr>
                <w:rFonts w:ascii="Arial Narrow" w:hAnsi="Arial Narrow"/>
                <w:sz w:val="20"/>
              </w:rPr>
              <w:t>%</w:t>
            </w:r>
          </w:p>
        </w:tc>
      </w:tr>
      <w:tr w:rsidR="00970335" w:rsidRPr="00F16087" w:rsidTr="00B27AFF">
        <w:trPr>
          <w:trHeight w:val="469"/>
        </w:trPr>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 xml:space="preserve">Titration </w:t>
            </w:r>
            <w:proofErr w:type="spellStart"/>
            <w:r w:rsidRPr="00F16087">
              <w:rPr>
                <w:rFonts w:ascii="Arial Narrow" w:hAnsi="Arial Narrow"/>
                <w:sz w:val="20"/>
              </w:rPr>
              <w:t>packs</w:t>
            </w:r>
            <w:r w:rsidRPr="00F16087">
              <w:rPr>
                <w:rFonts w:ascii="Arial Narrow" w:hAnsi="Arial Narrow"/>
                <w:sz w:val="20"/>
                <w:vertAlign w:val="superscript"/>
              </w:rPr>
              <w:t>a</w:t>
            </w:r>
            <w:proofErr w:type="spellEnd"/>
          </w:p>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 xml:space="preserve">Standard </w:t>
            </w:r>
            <w:proofErr w:type="spellStart"/>
            <w:r w:rsidRPr="00F16087">
              <w:rPr>
                <w:rFonts w:ascii="Arial Narrow" w:hAnsi="Arial Narrow"/>
                <w:sz w:val="20"/>
              </w:rPr>
              <w:t>packs</w:t>
            </w:r>
            <w:r w:rsidRPr="00F16087">
              <w:rPr>
                <w:rFonts w:ascii="Arial Narrow" w:hAnsi="Arial Narrow"/>
                <w:sz w:val="20"/>
                <w:vertAlign w:val="superscript"/>
              </w:rPr>
              <w:t>b</w:t>
            </w:r>
            <w:proofErr w:type="spellEnd"/>
          </w:p>
        </w:tc>
        <w:tc>
          <w:tcPr>
            <w:tcW w:w="667" w:type="pct"/>
            <w:vAlign w:val="center"/>
          </w:tcPr>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5" w:type="pct"/>
            <w:vAlign w:val="center"/>
          </w:tcPr>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p w:rsidR="00970335" w:rsidRPr="00EF4316" w:rsidRDefault="00EF4316" w:rsidP="003662EA">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Total packs</w:t>
            </w:r>
          </w:p>
        </w:tc>
        <w:tc>
          <w:tcPr>
            <w:tcW w:w="667" w:type="pct"/>
            <w:vAlign w:val="center"/>
          </w:tcPr>
          <w:p w:rsidR="00970335" w:rsidRPr="00EF4316" w:rsidRDefault="00EF4316" w:rsidP="003662EA">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6" w:type="pct"/>
            <w:vAlign w:val="center"/>
          </w:tcPr>
          <w:p w:rsidR="00970335" w:rsidRPr="00EF4316" w:rsidRDefault="00EF4316" w:rsidP="003662EA">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5" w:type="pct"/>
            <w:vAlign w:val="center"/>
          </w:tcPr>
          <w:p w:rsidR="00970335" w:rsidRPr="00EF4316" w:rsidRDefault="00EF4316" w:rsidP="003662EA">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970335" w:rsidRPr="00F16087" w:rsidTr="00B27AFF">
        <w:tc>
          <w:tcPr>
            <w:tcW w:w="5000" w:type="pct"/>
            <w:gridSpan w:val="6"/>
            <w:shd w:val="clear" w:color="auto" w:fill="auto"/>
            <w:vAlign w:val="center"/>
          </w:tcPr>
          <w:p w:rsidR="00970335" w:rsidRPr="00F16087" w:rsidRDefault="00970335" w:rsidP="003662EA">
            <w:pPr>
              <w:keepNext/>
              <w:widowControl/>
              <w:ind w:right="93"/>
              <w:jc w:val="left"/>
              <w:rPr>
                <w:rFonts w:ascii="Arial Narrow" w:hAnsi="Arial Narrow"/>
                <w:b/>
                <w:bCs/>
                <w:color w:val="000000"/>
                <w:sz w:val="20"/>
              </w:rPr>
            </w:pPr>
            <w:r w:rsidRPr="00F16087">
              <w:rPr>
                <w:rFonts w:ascii="Arial Narrow" w:hAnsi="Arial Narrow"/>
                <w:b/>
                <w:bCs/>
                <w:color w:val="000000"/>
                <w:sz w:val="20"/>
              </w:rPr>
              <w:t>Estimated net cost to PBS/MBS</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 xml:space="preserve">Net cost to PBS </w:t>
            </w:r>
          </w:p>
        </w:tc>
        <w:tc>
          <w:tcPr>
            <w:tcW w:w="667" w:type="pct"/>
            <w:vAlign w:val="bottom"/>
          </w:tcPr>
          <w:p w:rsidR="00970335" w:rsidRPr="00F16087" w:rsidRDefault="00970335" w:rsidP="003662EA">
            <w:pPr>
              <w:keepNext/>
              <w:widowControl/>
              <w:ind w:right="93"/>
              <w:jc w:val="center"/>
              <w:rPr>
                <w:rFonts w:ascii="Arial Narrow" w:hAnsi="Arial Narrow"/>
                <w:color w:val="000000"/>
                <w:sz w:val="20"/>
              </w:rPr>
            </w:pPr>
            <w:r w:rsidRPr="00F16087">
              <w:rPr>
                <w:rFonts w:ascii="Arial Narrow" w:hAnsi="Arial Narrow"/>
                <w:sz w:val="20"/>
              </w:rPr>
              <w:t>$</w:t>
            </w:r>
            <w:r w:rsidR="00EF4316">
              <w:rPr>
                <w:rFonts w:ascii="Arial Narrow" w:hAnsi="Arial Narrow"/>
                <w:noProof/>
                <w:color w:val="000000"/>
                <w:sz w:val="20"/>
                <w:highlight w:val="black"/>
              </w:rPr>
              <w:t>'''''''''''''''''''''''''''</w:t>
            </w:r>
          </w:p>
        </w:tc>
        <w:tc>
          <w:tcPr>
            <w:tcW w:w="696" w:type="pct"/>
            <w:vAlign w:val="bottom"/>
          </w:tcPr>
          <w:p w:rsidR="00970335" w:rsidRPr="00F16087" w:rsidRDefault="00970335" w:rsidP="003662EA">
            <w:pPr>
              <w:keepNext/>
              <w:widowControl/>
              <w:ind w:right="93"/>
              <w:jc w:val="center"/>
              <w:rPr>
                <w:rFonts w:ascii="Arial Narrow" w:hAnsi="Arial Narrow"/>
                <w:color w:val="000000"/>
                <w:sz w:val="20"/>
              </w:rPr>
            </w:pPr>
            <w:r w:rsidRPr="00F16087">
              <w:rPr>
                <w:rFonts w:ascii="Arial Narrow" w:hAnsi="Arial Narrow"/>
                <w:iCs/>
                <w:sz w:val="20"/>
              </w:rPr>
              <w:t>$</w:t>
            </w:r>
            <w:r w:rsidR="00EF4316">
              <w:rPr>
                <w:rFonts w:ascii="Arial Narrow" w:hAnsi="Arial Narrow"/>
                <w:iCs/>
                <w:noProof/>
                <w:color w:val="000000"/>
                <w:sz w:val="20"/>
                <w:highlight w:val="black"/>
              </w:rPr>
              <w:t>'''''''''''''''''''''''''''''''</w:t>
            </w:r>
          </w:p>
        </w:tc>
        <w:tc>
          <w:tcPr>
            <w:tcW w:w="696" w:type="pct"/>
            <w:vAlign w:val="bottom"/>
          </w:tcPr>
          <w:p w:rsidR="00970335" w:rsidRPr="00F16087" w:rsidRDefault="00970335" w:rsidP="003662EA">
            <w:pPr>
              <w:keepNext/>
              <w:widowControl/>
              <w:ind w:right="93"/>
              <w:jc w:val="center"/>
              <w:rPr>
                <w:rFonts w:ascii="Arial Narrow" w:hAnsi="Arial Narrow"/>
                <w:color w:val="000000"/>
                <w:sz w:val="20"/>
              </w:rPr>
            </w:pPr>
            <w:r w:rsidRPr="00F16087">
              <w:rPr>
                <w:rFonts w:ascii="Arial Narrow" w:hAnsi="Arial Narrow"/>
                <w:iCs/>
                <w:sz w:val="20"/>
              </w:rPr>
              <w:t>$</w:t>
            </w:r>
            <w:r w:rsidR="00EF4316">
              <w:rPr>
                <w:rFonts w:ascii="Arial Narrow" w:hAnsi="Arial Narrow"/>
                <w:iCs/>
                <w:noProof/>
                <w:color w:val="000000"/>
                <w:sz w:val="20"/>
                <w:highlight w:val="black"/>
              </w:rPr>
              <w:t>'''''''''''''''''''''''''''''</w:t>
            </w:r>
          </w:p>
        </w:tc>
        <w:tc>
          <w:tcPr>
            <w:tcW w:w="696" w:type="pct"/>
            <w:vAlign w:val="bottom"/>
          </w:tcPr>
          <w:p w:rsidR="00970335" w:rsidRPr="00F16087" w:rsidRDefault="00970335" w:rsidP="003662EA">
            <w:pPr>
              <w:keepNext/>
              <w:widowControl/>
              <w:ind w:right="93"/>
              <w:jc w:val="center"/>
              <w:rPr>
                <w:rFonts w:ascii="Arial Narrow" w:hAnsi="Arial Narrow"/>
                <w:color w:val="000000"/>
                <w:sz w:val="20"/>
              </w:rPr>
            </w:pPr>
            <w:r w:rsidRPr="00F16087">
              <w:rPr>
                <w:rFonts w:ascii="Arial Narrow" w:hAnsi="Arial Narrow"/>
                <w:iCs/>
                <w:sz w:val="20"/>
              </w:rPr>
              <w:t>$</w:t>
            </w:r>
            <w:r w:rsidR="00EF4316">
              <w:rPr>
                <w:rFonts w:ascii="Arial Narrow" w:hAnsi="Arial Narrow"/>
                <w:iCs/>
                <w:noProof/>
                <w:color w:val="000000"/>
                <w:sz w:val="20"/>
                <w:highlight w:val="black"/>
              </w:rPr>
              <w:t>''''''''''''''''''''''''''''''</w:t>
            </w:r>
          </w:p>
        </w:tc>
        <w:tc>
          <w:tcPr>
            <w:tcW w:w="735" w:type="pct"/>
            <w:vAlign w:val="bottom"/>
          </w:tcPr>
          <w:p w:rsidR="00970335" w:rsidRPr="00F16087" w:rsidRDefault="00970335" w:rsidP="003662EA">
            <w:pPr>
              <w:keepNext/>
              <w:widowControl/>
              <w:ind w:right="93"/>
              <w:jc w:val="center"/>
              <w:rPr>
                <w:rFonts w:ascii="Arial Narrow" w:hAnsi="Arial Narrow"/>
                <w:color w:val="000000"/>
                <w:sz w:val="20"/>
              </w:rPr>
            </w:pPr>
            <w:r w:rsidRPr="00F16087">
              <w:rPr>
                <w:rFonts w:ascii="Arial Narrow" w:hAnsi="Arial Narrow"/>
                <w:iCs/>
                <w:sz w:val="20"/>
              </w:rPr>
              <w:t>$</w:t>
            </w:r>
            <w:r w:rsidR="00EF4316">
              <w:rPr>
                <w:rFonts w:ascii="Arial Narrow" w:hAnsi="Arial Narrow"/>
                <w:iCs/>
                <w:noProof/>
                <w:color w:val="000000"/>
                <w:sz w:val="20"/>
                <w:highlight w:val="black"/>
              </w:rPr>
              <w:t>''''''''''''''''''''''''''''''</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sz w:val="20"/>
              </w:rPr>
              <w:t>Net cost to MBS</w:t>
            </w:r>
          </w:p>
        </w:tc>
        <w:tc>
          <w:tcPr>
            <w:tcW w:w="667" w:type="pct"/>
            <w:vAlign w:val="center"/>
          </w:tcPr>
          <w:p w:rsidR="00970335" w:rsidRPr="00F16087" w:rsidRDefault="00970335" w:rsidP="003662EA">
            <w:pPr>
              <w:keepNext/>
              <w:widowControl/>
              <w:ind w:right="93"/>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p>
        </w:tc>
        <w:tc>
          <w:tcPr>
            <w:tcW w:w="696" w:type="pct"/>
            <w:vAlign w:val="center"/>
          </w:tcPr>
          <w:p w:rsidR="00970335" w:rsidRPr="00F16087" w:rsidRDefault="00970335" w:rsidP="003662EA">
            <w:pPr>
              <w:keepNext/>
              <w:widowControl/>
              <w:ind w:right="93"/>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p>
        </w:tc>
        <w:tc>
          <w:tcPr>
            <w:tcW w:w="696" w:type="pct"/>
            <w:vAlign w:val="center"/>
          </w:tcPr>
          <w:p w:rsidR="00970335" w:rsidRPr="00F16087" w:rsidRDefault="00970335" w:rsidP="003662EA">
            <w:pPr>
              <w:keepNext/>
              <w:widowControl/>
              <w:ind w:right="93"/>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p>
        </w:tc>
        <w:tc>
          <w:tcPr>
            <w:tcW w:w="696" w:type="pct"/>
            <w:vAlign w:val="center"/>
          </w:tcPr>
          <w:p w:rsidR="00970335" w:rsidRPr="00F16087" w:rsidRDefault="00970335" w:rsidP="003662EA">
            <w:pPr>
              <w:keepNext/>
              <w:widowControl/>
              <w:ind w:right="93"/>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p>
        </w:tc>
        <w:tc>
          <w:tcPr>
            <w:tcW w:w="735" w:type="pct"/>
            <w:vAlign w:val="center"/>
          </w:tcPr>
          <w:p w:rsidR="00970335" w:rsidRPr="00F16087" w:rsidRDefault="00970335" w:rsidP="003662EA">
            <w:pPr>
              <w:keepNext/>
              <w:widowControl/>
              <w:ind w:right="93"/>
              <w:jc w:val="center"/>
              <w:rPr>
                <w:rFonts w:ascii="Arial Narrow" w:hAnsi="Arial Narrow"/>
                <w:sz w:val="20"/>
              </w:rPr>
            </w:pPr>
            <w:r w:rsidRPr="00F16087">
              <w:rPr>
                <w:rFonts w:ascii="Arial Narrow" w:hAnsi="Arial Narrow"/>
                <w:sz w:val="20"/>
              </w:rPr>
              <w:t>$</w:t>
            </w:r>
            <w:r w:rsidR="00EF4316">
              <w:rPr>
                <w:rFonts w:ascii="Arial Narrow" w:hAnsi="Arial Narrow"/>
                <w:noProof/>
                <w:color w:val="000000"/>
                <w:sz w:val="20"/>
                <w:highlight w:val="black"/>
              </w:rPr>
              <w:t>'''''''''''''''''''''''</w:t>
            </w:r>
          </w:p>
        </w:tc>
      </w:tr>
      <w:tr w:rsidR="00970335" w:rsidRPr="00F16087" w:rsidTr="00B27AFF">
        <w:tc>
          <w:tcPr>
            <w:tcW w:w="5000" w:type="pct"/>
            <w:gridSpan w:val="6"/>
            <w:shd w:val="clear" w:color="auto" w:fill="auto"/>
            <w:vAlign w:val="center"/>
          </w:tcPr>
          <w:p w:rsidR="00970335" w:rsidRPr="00F16087" w:rsidRDefault="00970335" w:rsidP="003662EA">
            <w:pPr>
              <w:keepNext/>
              <w:widowControl/>
              <w:ind w:right="93"/>
              <w:jc w:val="left"/>
              <w:rPr>
                <w:rFonts w:ascii="Arial Narrow" w:hAnsi="Arial Narrow"/>
                <w:b/>
                <w:color w:val="000000"/>
                <w:sz w:val="20"/>
              </w:rPr>
            </w:pPr>
            <w:r w:rsidRPr="00F16087">
              <w:rPr>
                <w:rFonts w:ascii="Arial Narrow" w:hAnsi="Arial Narrow"/>
                <w:b/>
                <w:color w:val="000000"/>
                <w:sz w:val="20"/>
              </w:rPr>
              <w:t>Estimated total net cost</w:t>
            </w:r>
          </w:p>
        </w:tc>
      </w:tr>
      <w:tr w:rsidR="00970335" w:rsidRPr="00F16087" w:rsidTr="00B27AFF">
        <w:tc>
          <w:tcPr>
            <w:tcW w:w="1509" w:type="pct"/>
            <w:shd w:val="clear" w:color="auto" w:fill="auto"/>
            <w:vAlign w:val="center"/>
          </w:tcPr>
          <w:p w:rsidR="00970335" w:rsidRPr="00F16087" w:rsidRDefault="00970335" w:rsidP="003662EA">
            <w:pPr>
              <w:keepNext/>
              <w:widowControl/>
              <w:tabs>
                <w:tab w:val="left" w:pos="142"/>
              </w:tabs>
              <w:ind w:right="93"/>
              <w:jc w:val="left"/>
              <w:rPr>
                <w:rFonts w:ascii="Arial Narrow" w:hAnsi="Arial Narrow"/>
                <w:sz w:val="20"/>
              </w:rPr>
            </w:pPr>
            <w:r w:rsidRPr="00F16087">
              <w:rPr>
                <w:rFonts w:ascii="Arial Narrow" w:hAnsi="Arial Narrow"/>
                <w:bCs/>
                <w:color w:val="000000"/>
                <w:sz w:val="20"/>
              </w:rPr>
              <w:t>Net cost</w:t>
            </w:r>
            <w:r w:rsidR="001A2487" w:rsidRPr="00F16087">
              <w:rPr>
                <w:rFonts w:ascii="Arial Narrow" w:hAnsi="Arial Narrow"/>
                <w:bCs/>
                <w:color w:val="000000"/>
                <w:sz w:val="20"/>
              </w:rPr>
              <w:t xml:space="preserve"> to</w:t>
            </w:r>
            <w:r w:rsidRPr="00F16087">
              <w:rPr>
                <w:rFonts w:ascii="Arial Narrow" w:hAnsi="Arial Narrow"/>
                <w:bCs/>
                <w:color w:val="000000"/>
                <w:sz w:val="20"/>
              </w:rPr>
              <w:t xml:space="preserve"> PBS/MBS</w:t>
            </w:r>
          </w:p>
        </w:tc>
        <w:tc>
          <w:tcPr>
            <w:tcW w:w="667" w:type="pct"/>
            <w:vAlign w:val="center"/>
          </w:tcPr>
          <w:p w:rsidR="00970335" w:rsidRPr="00F16087" w:rsidRDefault="00970335" w:rsidP="003662EA">
            <w:pPr>
              <w:keepNext/>
              <w:widowControl/>
              <w:ind w:right="93"/>
              <w:jc w:val="center"/>
              <w:rPr>
                <w:rFonts w:ascii="Arial Narrow" w:hAnsi="Arial Narrow"/>
                <w:bCs/>
                <w:sz w:val="20"/>
              </w:rPr>
            </w:pPr>
            <w:r w:rsidRPr="00F16087">
              <w:rPr>
                <w:rFonts w:ascii="Arial Narrow" w:hAnsi="Arial Narrow"/>
                <w:bCs/>
                <w:sz w:val="20"/>
              </w:rPr>
              <w:t>$</w:t>
            </w:r>
            <w:r w:rsidR="00EF4316">
              <w:rPr>
                <w:rFonts w:ascii="Arial Narrow" w:hAnsi="Arial Narrow"/>
                <w:bCs/>
                <w:noProof/>
                <w:color w:val="000000"/>
                <w:sz w:val="20"/>
                <w:highlight w:val="black"/>
              </w:rPr>
              <w:t>''''''''''''''''''''''''''</w:t>
            </w:r>
          </w:p>
        </w:tc>
        <w:tc>
          <w:tcPr>
            <w:tcW w:w="696" w:type="pct"/>
            <w:vAlign w:val="center"/>
          </w:tcPr>
          <w:p w:rsidR="00970335" w:rsidRPr="00F16087" w:rsidRDefault="00970335" w:rsidP="003662EA">
            <w:pPr>
              <w:keepNext/>
              <w:widowControl/>
              <w:ind w:right="93"/>
              <w:jc w:val="center"/>
              <w:rPr>
                <w:rFonts w:ascii="Arial Narrow" w:hAnsi="Arial Narrow"/>
                <w:bCs/>
                <w:sz w:val="20"/>
              </w:rPr>
            </w:pPr>
            <w:r w:rsidRPr="00F16087">
              <w:rPr>
                <w:rFonts w:ascii="Arial Narrow" w:hAnsi="Arial Narrow"/>
                <w:bCs/>
                <w:iCs/>
                <w:sz w:val="20"/>
              </w:rPr>
              <w:t>$</w:t>
            </w:r>
            <w:r w:rsidR="00EF4316">
              <w:rPr>
                <w:rFonts w:ascii="Arial Narrow" w:hAnsi="Arial Narrow"/>
                <w:bCs/>
                <w:iCs/>
                <w:noProof/>
                <w:color w:val="000000"/>
                <w:sz w:val="20"/>
                <w:highlight w:val="black"/>
              </w:rPr>
              <w:t>'''''''''''''''''''''''''''''''</w:t>
            </w:r>
          </w:p>
        </w:tc>
        <w:tc>
          <w:tcPr>
            <w:tcW w:w="696" w:type="pct"/>
            <w:vAlign w:val="center"/>
          </w:tcPr>
          <w:p w:rsidR="00970335" w:rsidRPr="00F16087" w:rsidRDefault="00970335" w:rsidP="003662EA">
            <w:pPr>
              <w:keepNext/>
              <w:widowControl/>
              <w:ind w:right="93"/>
              <w:jc w:val="center"/>
              <w:rPr>
                <w:rFonts w:ascii="Arial Narrow" w:hAnsi="Arial Narrow"/>
                <w:bCs/>
                <w:sz w:val="20"/>
              </w:rPr>
            </w:pPr>
            <w:r w:rsidRPr="00F16087">
              <w:rPr>
                <w:rFonts w:ascii="Arial Narrow" w:hAnsi="Arial Narrow"/>
                <w:bCs/>
                <w:iCs/>
                <w:sz w:val="20"/>
              </w:rPr>
              <w:t>$</w:t>
            </w:r>
            <w:r w:rsidR="00EF4316">
              <w:rPr>
                <w:rFonts w:ascii="Arial Narrow" w:hAnsi="Arial Narrow"/>
                <w:bCs/>
                <w:iCs/>
                <w:noProof/>
                <w:color w:val="000000"/>
                <w:sz w:val="20"/>
                <w:highlight w:val="black"/>
              </w:rPr>
              <w:t>'''''''''''''''''''''''''''''''</w:t>
            </w:r>
          </w:p>
        </w:tc>
        <w:tc>
          <w:tcPr>
            <w:tcW w:w="696" w:type="pct"/>
            <w:vAlign w:val="center"/>
          </w:tcPr>
          <w:p w:rsidR="00970335" w:rsidRPr="00F16087" w:rsidRDefault="00970335" w:rsidP="003662EA">
            <w:pPr>
              <w:keepNext/>
              <w:widowControl/>
              <w:ind w:right="93"/>
              <w:jc w:val="center"/>
              <w:rPr>
                <w:rFonts w:ascii="Arial Narrow" w:hAnsi="Arial Narrow"/>
                <w:bCs/>
                <w:sz w:val="20"/>
              </w:rPr>
            </w:pPr>
            <w:r w:rsidRPr="00F16087">
              <w:rPr>
                <w:rFonts w:ascii="Arial Narrow" w:hAnsi="Arial Narrow"/>
                <w:bCs/>
                <w:iCs/>
                <w:sz w:val="20"/>
              </w:rPr>
              <w:t>$</w:t>
            </w:r>
            <w:r w:rsidR="00EF4316">
              <w:rPr>
                <w:rFonts w:ascii="Arial Narrow" w:hAnsi="Arial Narrow"/>
                <w:bCs/>
                <w:iCs/>
                <w:noProof/>
                <w:color w:val="000000"/>
                <w:sz w:val="20"/>
                <w:highlight w:val="black"/>
              </w:rPr>
              <w:t>''''''''''''''''''''''''''''''</w:t>
            </w:r>
          </w:p>
        </w:tc>
        <w:tc>
          <w:tcPr>
            <w:tcW w:w="735" w:type="pct"/>
            <w:vAlign w:val="center"/>
          </w:tcPr>
          <w:p w:rsidR="00970335" w:rsidRPr="00F16087" w:rsidRDefault="00970335" w:rsidP="003662EA">
            <w:pPr>
              <w:keepNext/>
              <w:widowControl/>
              <w:ind w:right="93"/>
              <w:jc w:val="center"/>
              <w:rPr>
                <w:rFonts w:ascii="Arial Narrow" w:hAnsi="Arial Narrow"/>
                <w:bCs/>
                <w:sz w:val="20"/>
              </w:rPr>
            </w:pPr>
            <w:r w:rsidRPr="00F16087">
              <w:rPr>
                <w:rFonts w:ascii="Arial Narrow" w:hAnsi="Arial Narrow"/>
                <w:bCs/>
                <w:iCs/>
                <w:sz w:val="20"/>
              </w:rPr>
              <w:t>$</w:t>
            </w:r>
            <w:r w:rsidR="00EF4316">
              <w:rPr>
                <w:rFonts w:ascii="Arial Narrow" w:hAnsi="Arial Narrow"/>
                <w:bCs/>
                <w:iCs/>
                <w:noProof/>
                <w:color w:val="000000"/>
                <w:sz w:val="20"/>
                <w:highlight w:val="black"/>
              </w:rPr>
              <w:t>''''''''''''''''''''''''''''''''</w:t>
            </w:r>
          </w:p>
        </w:tc>
      </w:tr>
    </w:tbl>
    <w:p w:rsidR="00970335" w:rsidRPr="00F16087" w:rsidRDefault="00970335" w:rsidP="003662EA">
      <w:pPr>
        <w:pStyle w:val="TableFooter"/>
        <w:keepNext/>
        <w:widowControl/>
        <w:ind w:firstLine="709"/>
        <w:rPr>
          <w:szCs w:val="22"/>
        </w:rPr>
      </w:pPr>
      <w:r w:rsidRPr="00F16087">
        <w:t>Source: Compiled during the evaluation</w:t>
      </w:r>
    </w:p>
    <w:p w:rsidR="00970335" w:rsidRPr="00F16087" w:rsidRDefault="00970335" w:rsidP="003662EA">
      <w:pPr>
        <w:pStyle w:val="TableFooter"/>
        <w:keepNext/>
        <w:widowControl/>
        <w:tabs>
          <w:tab w:val="left" w:pos="567"/>
          <w:tab w:val="left" w:pos="709"/>
          <w:tab w:val="left" w:pos="993"/>
        </w:tabs>
        <w:ind w:firstLine="709"/>
      </w:pPr>
      <w:proofErr w:type="gramStart"/>
      <w:r w:rsidRPr="00F16087">
        <w:rPr>
          <w:vertAlign w:val="superscript"/>
        </w:rPr>
        <w:t>a</w:t>
      </w:r>
      <w:proofErr w:type="gramEnd"/>
      <w:r w:rsidRPr="00F16087">
        <w:tab/>
        <w:t>One titration pack per patient initiating treatment</w:t>
      </w:r>
    </w:p>
    <w:p w:rsidR="00970335" w:rsidRPr="00F16087" w:rsidRDefault="00970335" w:rsidP="003662EA">
      <w:pPr>
        <w:pStyle w:val="TableFooter"/>
        <w:widowControl/>
        <w:tabs>
          <w:tab w:val="left" w:pos="567"/>
          <w:tab w:val="left" w:pos="709"/>
          <w:tab w:val="left" w:pos="993"/>
        </w:tabs>
        <w:ind w:left="993" w:hanging="284"/>
      </w:pPr>
      <w:proofErr w:type="gramStart"/>
      <w:r w:rsidRPr="00F16087">
        <w:rPr>
          <w:vertAlign w:val="superscript"/>
        </w:rPr>
        <w:t>b</w:t>
      </w:r>
      <w:proofErr w:type="gramEnd"/>
      <w:r w:rsidRPr="00F16087">
        <w:rPr>
          <w:vertAlign w:val="superscript"/>
        </w:rPr>
        <w:t xml:space="preserve"> </w:t>
      </w:r>
      <w:r w:rsidRPr="00F16087">
        <w:tab/>
        <w:t>Base case assumption that mean duration of apremilast treatment is 28.9 months (13 continuation packs in the first two years of treatment, 2.8 continuation packs in the third year of treatment).</w:t>
      </w:r>
    </w:p>
    <w:p w:rsidR="00970335" w:rsidRPr="00F16087" w:rsidRDefault="00970335" w:rsidP="003662EA">
      <w:pPr>
        <w:pStyle w:val="ListParagraph"/>
        <w:widowControl/>
        <w:rPr>
          <w:iCs/>
          <w:szCs w:val="22"/>
        </w:rPr>
      </w:pPr>
    </w:p>
    <w:p w:rsidR="00970335" w:rsidRPr="00F16087" w:rsidRDefault="00970335" w:rsidP="003662EA">
      <w:pPr>
        <w:pStyle w:val="ListParagraph"/>
        <w:widowControl/>
        <w:numPr>
          <w:ilvl w:val="1"/>
          <w:numId w:val="1"/>
        </w:numPr>
        <w:rPr>
          <w:szCs w:val="22"/>
        </w:rPr>
      </w:pPr>
      <w:r w:rsidRPr="00F16087">
        <w:rPr>
          <w:iCs/>
        </w:rPr>
        <w:t xml:space="preserve">The </w:t>
      </w:r>
      <w:r w:rsidR="005C7F24" w:rsidRPr="00F16087">
        <w:rPr>
          <w:iCs/>
        </w:rPr>
        <w:t xml:space="preserve">evaluation noted that the </w:t>
      </w:r>
      <w:r w:rsidRPr="00F16087">
        <w:rPr>
          <w:iCs/>
        </w:rPr>
        <w:t>financial implications estimated by the resubmission were most sensitive to apremilast treatment duration, proportion diagnosed by a dermatologist and uptake in the untreated/undertreated market.</w:t>
      </w:r>
      <w:r w:rsidRPr="00F16087">
        <w:rPr>
          <w:iCs/>
          <w:szCs w:val="22"/>
        </w:rPr>
        <w:t xml:space="preserve"> </w:t>
      </w:r>
    </w:p>
    <w:p w:rsidR="00970335" w:rsidRPr="00F16087" w:rsidRDefault="00970335" w:rsidP="003662EA">
      <w:pPr>
        <w:pStyle w:val="PBACheading1"/>
        <w:numPr>
          <w:ilvl w:val="0"/>
          <w:numId w:val="0"/>
        </w:numPr>
      </w:pPr>
    </w:p>
    <w:p w:rsidR="00B00D8F" w:rsidRPr="00F16087" w:rsidRDefault="00970335" w:rsidP="003662EA">
      <w:pPr>
        <w:pStyle w:val="ListParagraph"/>
        <w:widowControl/>
        <w:numPr>
          <w:ilvl w:val="1"/>
          <w:numId w:val="1"/>
        </w:numPr>
        <w:rPr>
          <w:iCs/>
          <w:szCs w:val="22"/>
        </w:rPr>
      </w:pPr>
      <w:r w:rsidRPr="00F16087">
        <w:rPr>
          <w:iCs/>
          <w:szCs w:val="22"/>
        </w:rPr>
        <w:t>This</w:t>
      </w:r>
      <w:r w:rsidR="00B00D8F" w:rsidRPr="00F16087">
        <w:rPr>
          <w:iCs/>
          <w:szCs w:val="22"/>
        </w:rPr>
        <w:t xml:space="preserve"> DUSC consider</w:t>
      </w:r>
      <w:r w:rsidRPr="00F16087">
        <w:rPr>
          <w:iCs/>
          <w:szCs w:val="22"/>
        </w:rPr>
        <w:t>ed</w:t>
      </w:r>
      <w:r w:rsidR="00B00D8F" w:rsidRPr="00F16087">
        <w:rPr>
          <w:iCs/>
          <w:szCs w:val="22"/>
        </w:rPr>
        <w:t xml:space="preserve"> the estimates presented in the submission to be underestimated. The main issues </w:t>
      </w:r>
      <w:r w:rsidRPr="00F16087">
        <w:rPr>
          <w:iCs/>
          <w:szCs w:val="22"/>
        </w:rPr>
        <w:t>were</w:t>
      </w:r>
      <w:r w:rsidR="00B00D8F" w:rsidRPr="00F16087">
        <w:rPr>
          <w:iCs/>
          <w:szCs w:val="22"/>
        </w:rPr>
        <w:t>:</w:t>
      </w:r>
    </w:p>
    <w:p w:rsidR="00B00D8F" w:rsidRPr="00F16087" w:rsidRDefault="00B00D8F" w:rsidP="003662EA">
      <w:pPr>
        <w:pStyle w:val="ListParagraph"/>
        <w:widowControl/>
        <w:numPr>
          <w:ilvl w:val="0"/>
          <w:numId w:val="24"/>
        </w:numPr>
        <w:ind w:left="1134"/>
        <w:rPr>
          <w:iCs/>
          <w:szCs w:val="22"/>
        </w:rPr>
      </w:pPr>
      <w:r w:rsidRPr="00F16087">
        <w:rPr>
          <w:szCs w:val="22"/>
        </w:rPr>
        <w:t xml:space="preserve">The registered indication for </w:t>
      </w:r>
      <w:r w:rsidR="00970335" w:rsidRPr="00F16087">
        <w:rPr>
          <w:szCs w:val="22"/>
        </w:rPr>
        <w:t>apremilast</w:t>
      </w:r>
      <w:r w:rsidRPr="00F16087">
        <w:rPr>
          <w:szCs w:val="22"/>
        </w:rPr>
        <w:t xml:space="preserve"> requires that patients should be candidates for phototherapy. The resubmission did not attempt to estimate the number of eligible patients on phototherapy.</w:t>
      </w:r>
    </w:p>
    <w:p w:rsidR="00B00D8F" w:rsidRPr="00F16087" w:rsidRDefault="00B00D8F" w:rsidP="003662EA">
      <w:pPr>
        <w:pStyle w:val="ListParagraph"/>
        <w:widowControl/>
        <w:numPr>
          <w:ilvl w:val="0"/>
          <w:numId w:val="24"/>
        </w:numPr>
        <w:ind w:left="1134"/>
        <w:rPr>
          <w:iCs/>
          <w:szCs w:val="22"/>
        </w:rPr>
      </w:pPr>
      <w:r w:rsidRPr="00F16087">
        <w:rPr>
          <w:iCs/>
          <w:szCs w:val="22"/>
        </w:rPr>
        <w:t xml:space="preserve">The reliability of the assumptions for the treated population based on the METIS survey </w:t>
      </w:r>
      <w:proofErr w:type="gramStart"/>
      <w:r w:rsidRPr="00F16087">
        <w:rPr>
          <w:iCs/>
          <w:szCs w:val="22"/>
        </w:rPr>
        <w:t>were</w:t>
      </w:r>
      <w:proofErr w:type="gramEnd"/>
      <w:r w:rsidRPr="00F16087">
        <w:rPr>
          <w:iCs/>
          <w:szCs w:val="22"/>
        </w:rPr>
        <w:t xml:space="preserve"> uncertain. Due to a number of limitations with the survey, there may be differences between the patients’ self-reported severity of disease in the survey compared </w:t>
      </w:r>
      <w:r w:rsidR="00155165" w:rsidRPr="00F16087">
        <w:rPr>
          <w:iCs/>
          <w:szCs w:val="22"/>
        </w:rPr>
        <w:t xml:space="preserve">with </w:t>
      </w:r>
      <w:r w:rsidRPr="00F16087">
        <w:rPr>
          <w:iCs/>
          <w:szCs w:val="22"/>
        </w:rPr>
        <w:t>moderate to severe plaque psoriasis as defined in the proposed PBS restriction.</w:t>
      </w:r>
    </w:p>
    <w:p w:rsidR="00B00D8F" w:rsidRPr="00F16087" w:rsidRDefault="00B00D8F" w:rsidP="003662EA">
      <w:pPr>
        <w:pStyle w:val="ListParagraph"/>
        <w:widowControl/>
        <w:numPr>
          <w:ilvl w:val="0"/>
          <w:numId w:val="24"/>
        </w:numPr>
        <w:ind w:left="1134"/>
        <w:rPr>
          <w:iCs/>
          <w:szCs w:val="22"/>
        </w:rPr>
      </w:pPr>
      <w:r w:rsidRPr="00F16087">
        <w:rPr>
          <w:iCs/>
          <w:szCs w:val="22"/>
        </w:rPr>
        <w:t xml:space="preserve">The approach of using two steps in the estimate of eligible patients through applying an “Estimated proportion of patients diagnosed by a dermatologist” and a “Proportion of patients seen by a dermatologist in the last year” was likely to underestimate the eligible population. The assumption that only 48% of patients would be seen by a dermatologist was considered to be an underestimate noting that the METIS survey reported that 85% of respondents had seen a dermatologist. Further, other medical practitioners, such as general practitioners, can also diagnose the disease and refer to a specialist. </w:t>
      </w:r>
    </w:p>
    <w:p w:rsidR="00B00D8F" w:rsidRPr="00F16087" w:rsidRDefault="00B00D8F" w:rsidP="003662EA">
      <w:pPr>
        <w:pStyle w:val="ListParagraph"/>
        <w:widowControl/>
        <w:numPr>
          <w:ilvl w:val="0"/>
          <w:numId w:val="24"/>
        </w:numPr>
        <w:ind w:left="1134"/>
        <w:rPr>
          <w:iCs/>
          <w:szCs w:val="22"/>
        </w:rPr>
      </w:pPr>
      <w:r w:rsidRPr="00F16087">
        <w:rPr>
          <w:szCs w:val="22"/>
        </w:rPr>
        <w:t>The treatment assumptions derived from the Prospection analysis of a 10% PBS sample could not be fully critiqued as insufficient information was provided regarding the methods of analysis.</w:t>
      </w:r>
    </w:p>
    <w:p w:rsidR="00DE07D6" w:rsidRPr="00F16087" w:rsidRDefault="00DE07D6" w:rsidP="003662EA">
      <w:pPr>
        <w:pStyle w:val="BodyText"/>
        <w:widowControl/>
        <w:rPr>
          <w:b/>
          <w:szCs w:val="22"/>
        </w:rPr>
      </w:pPr>
    </w:p>
    <w:p w:rsidR="00970335" w:rsidRPr="00F16087" w:rsidRDefault="00970335" w:rsidP="003662EA">
      <w:pPr>
        <w:pStyle w:val="Heading3"/>
        <w:widowControl/>
      </w:pPr>
      <w:bookmarkStart w:id="15" w:name="_Toc461464575"/>
      <w:r w:rsidRPr="00F16087">
        <w:t>Quality Use of Medicines</w:t>
      </w:r>
      <w:bookmarkEnd w:id="15"/>
    </w:p>
    <w:p w:rsidR="00970335" w:rsidRPr="00F16087" w:rsidRDefault="00970335" w:rsidP="003662EA">
      <w:pPr>
        <w:pStyle w:val="BodyText"/>
        <w:widowControl/>
        <w:rPr>
          <w:b/>
          <w:szCs w:val="22"/>
        </w:rPr>
      </w:pPr>
    </w:p>
    <w:p w:rsidR="00846C1C" w:rsidRPr="00F16087" w:rsidRDefault="00970335" w:rsidP="003662EA">
      <w:pPr>
        <w:pStyle w:val="ListParagraph"/>
        <w:widowControl/>
        <w:numPr>
          <w:ilvl w:val="1"/>
          <w:numId w:val="1"/>
        </w:numPr>
        <w:rPr>
          <w:lang w:val="en-US"/>
        </w:rPr>
      </w:pPr>
      <w:r w:rsidRPr="00F16087">
        <w:rPr>
          <w:szCs w:val="22"/>
          <w:lang w:val="en-US"/>
        </w:rPr>
        <w:t xml:space="preserve">The </w:t>
      </w:r>
      <w:r w:rsidR="00B00D8F" w:rsidRPr="00F16087">
        <w:rPr>
          <w:szCs w:val="22"/>
          <w:lang w:val="en-US"/>
        </w:rPr>
        <w:t>DUSC considered the inclusion of apremilast in the treatment algorithm for chronic plaque psoriasis may replace a short-term treatment (cyclosporin) with a long-term treatment with highly uncertain comparative effectiveness and safety.</w:t>
      </w:r>
    </w:p>
    <w:p w:rsidR="00846C1C" w:rsidRPr="00F16087" w:rsidRDefault="00846C1C" w:rsidP="00846C1C">
      <w:pPr>
        <w:pStyle w:val="ListParagraph"/>
        <w:widowControl/>
        <w:rPr>
          <w:lang w:val="en-US"/>
        </w:rPr>
      </w:pPr>
      <w:r w:rsidRPr="00F16087">
        <w:rPr>
          <w:szCs w:val="22"/>
          <w:lang w:val="en-US"/>
        </w:rPr>
        <w:t xml:space="preserve"> </w:t>
      </w:r>
    </w:p>
    <w:p w:rsidR="00B00D8F" w:rsidRPr="00F16087" w:rsidRDefault="00846C1C" w:rsidP="003662EA">
      <w:pPr>
        <w:pStyle w:val="ListParagraph"/>
        <w:widowControl/>
        <w:numPr>
          <w:ilvl w:val="1"/>
          <w:numId w:val="1"/>
        </w:numPr>
        <w:rPr>
          <w:lang w:val="en-US"/>
        </w:rPr>
      </w:pPr>
      <w:r w:rsidRPr="00F16087">
        <w:rPr>
          <w:szCs w:val="22"/>
          <w:lang w:val="en-US"/>
        </w:rPr>
        <w:t xml:space="preserve">The pre-PBAC response (p3) disagreed with the DUSC, arguing that “cyclosporin is necessarily </w:t>
      </w:r>
      <w:r w:rsidR="00DF35A2" w:rsidRPr="00F16087">
        <w:rPr>
          <w:szCs w:val="22"/>
          <w:lang w:val="en-US"/>
        </w:rPr>
        <w:t>us</w:t>
      </w:r>
      <w:r w:rsidRPr="00F16087">
        <w:rPr>
          <w:szCs w:val="22"/>
          <w:lang w:val="en-US"/>
        </w:rPr>
        <w:t>ed short-term, not due to the intent of the treatment (i.e., to treat a psoriasis flare) but because treatment with cyclosporin is associated with significant safety and toxicity issues limit</w:t>
      </w:r>
      <w:r w:rsidR="00A45436" w:rsidRPr="00F16087">
        <w:rPr>
          <w:szCs w:val="22"/>
          <w:lang w:val="en-US"/>
        </w:rPr>
        <w:t>ing</w:t>
      </w:r>
      <w:r w:rsidRPr="00F16087">
        <w:rPr>
          <w:szCs w:val="22"/>
          <w:lang w:val="en-US"/>
        </w:rPr>
        <w:t xml:space="preserve"> treatment exposure. The sponsor believes that “cyclosporin, a highly toxic agent with significant safety issues limiting longer-term use will be replaced with apremilast, a highly effective and exceptionally safe agent allowing for long-term control of a complex chronic disease”.</w:t>
      </w:r>
    </w:p>
    <w:p w:rsidR="00576972" w:rsidRPr="00F16087" w:rsidRDefault="00576972" w:rsidP="003662EA">
      <w:pPr>
        <w:widowControl/>
        <w:rPr>
          <w:szCs w:val="22"/>
        </w:rPr>
      </w:pPr>
    </w:p>
    <w:p w:rsidR="00576972" w:rsidRPr="00F16087" w:rsidRDefault="00576972" w:rsidP="003662EA">
      <w:pPr>
        <w:pStyle w:val="Heading3"/>
        <w:widowControl/>
      </w:pPr>
      <w:bookmarkStart w:id="16" w:name="_Toc461464576"/>
      <w:r w:rsidRPr="00F16087">
        <w:t>Financial Management – Risk Sharing Arrangements</w:t>
      </w:r>
      <w:bookmarkEnd w:id="16"/>
    </w:p>
    <w:p w:rsidR="00C25D9C" w:rsidRPr="00F16087" w:rsidRDefault="00C25D9C" w:rsidP="003662EA">
      <w:pPr>
        <w:widowControl/>
        <w:rPr>
          <w:szCs w:val="22"/>
        </w:rPr>
      </w:pPr>
    </w:p>
    <w:p w:rsidR="00C721C3" w:rsidRPr="00F16087" w:rsidRDefault="00F40156" w:rsidP="003662EA">
      <w:pPr>
        <w:pStyle w:val="ListParagraph"/>
        <w:widowControl/>
        <w:numPr>
          <w:ilvl w:val="1"/>
          <w:numId w:val="1"/>
        </w:numPr>
        <w:rPr>
          <w:szCs w:val="22"/>
        </w:rPr>
      </w:pPr>
      <w:r w:rsidRPr="00F16087">
        <w:t xml:space="preserve">The </w:t>
      </w:r>
      <w:r w:rsidR="00E41050" w:rsidRPr="00F16087">
        <w:t>resub</w:t>
      </w:r>
      <w:r w:rsidRPr="00F16087">
        <w:t>mission did</w:t>
      </w:r>
      <w:r w:rsidR="00A80696" w:rsidRPr="00F16087">
        <w:t xml:space="preserve"> not propose a r</w:t>
      </w:r>
      <w:r w:rsidRPr="00F16087">
        <w:t xml:space="preserve">isk sharing </w:t>
      </w:r>
      <w:r w:rsidR="00C721C3" w:rsidRPr="00F16087">
        <w:t xml:space="preserve">arrangement (RSA) </w:t>
      </w:r>
      <w:r w:rsidRPr="00F16087">
        <w:t>but stated</w:t>
      </w:r>
      <w:r w:rsidR="00A80696" w:rsidRPr="00F16087">
        <w:t xml:space="preserve"> that the Sponsor accepts that </w:t>
      </w:r>
      <w:r w:rsidR="00C721C3" w:rsidRPr="00F16087">
        <w:t xml:space="preserve">an RSA </w:t>
      </w:r>
      <w:r w:rsidR="00A80696" w:rsidRPr="00F16087">
        <w:t xml:space="preserve">which </w:t>
      </w:r>
      <w:r w:rsidR="00872DAE" w:rsidRPr="00F16087">
        <w:t xml:space="preserve">would </w:t>
      </w:r>
      <w:r w:rsidR="00A80696" w:rsidRPr="00F16087">
        <w:t>minimi</w:t>
      </w:r>
      <w:r w:rsidR="00872DAE" w:rsidRPr="00F16087">
        <w:t>se</w:t>
      </w:r>
      <w:r w:rsidR="00A80696" w:rsidRPr="00F16087">
        <w:t xml:space="preserve"> any potential uncertainties around the budgetary impact of this listing w</w:t>
      </w:r>
      <w:r w:rsidR="00872DAE" w:rsidRPr="00F16087">
        <w:t>ould</w:t>
      </w:r>
      <w:r w:rsidR="00A80696" w:rsidRPr="00F16087">
        <w:t xml:space="preserve"> need to </w:t>
      </w:r>
      <w:r w:rsidR="00872DAE" w:rsidRPr="00F16087">
        <w:t xml:space="preserve">be </w:t>
      </w:r>
      <w:r w:rsidR="00A80696" w:rsidRPr="00F16087">
        <w:t>negotiated with the Department of Health/PBAC</w:t>
      </w:r>
      <w:r w:rsidR="0057016C" w:rsidRPr="00F16087">
        <w:t>.</w:t>
      </w:r>
    </w:p>
    <w:p w:rsidR="00C721C3" w:rsidRPr="00F16087" w:rsidRDefault="00872DAE" w:rsidP="003662EA">
      <w:pPr>
        <w:pStyle w:val="ListParagraph"/>
        <w:widowControl/>
        <w:rPr>
          <w:szCs w:val="22"/>
        </w:rPr>
      </w:pPr>
      <w:r w:rsidRPr="00F16087">
        <w:t xml:space="preserve"> </w:t>
      </w:r>
    </w:p>
    <w:p w:rsidR="00576972" w:rsidRPr="00F16087" w:rsidRDefault="00872DAE" w:rsidP="003662EA">
      <w:pPr>
        <w:pStyle w:val="ListParagraph"/>
        <w:widowControl/>
        <w:numPr>
          <w:ilvl w:val="1"/>
          <w:numId w:val="1"/>
        </w:numPr>
        <w:rPr>
          <w:szCs w:val="22"/>
        </w:rPr>
      </w:pPr>
      <w:r w:rsidRPr="00F16087">
        <w:rPr>
          <w:iCs/>
        </w:rPr>
        <w:t>The Sponsor has requested a</w:t>
      </w:r>
      <w:r w:rsidR="005D7582" w:rsidRPr="00F16087">
        <w:rPr>
          <w:iCs/>
        </w:rPr>
        <w:t xml:space="preserve"> Special Pricing Arrangement</w:t>
      </w:r>
      <w:r w:rsidR="00C721C3" w:rsidRPr="00F16087">
        <w:rPr>
          <w:iCs/>
        </w:rPr>
        <w:t xml:space="preserve"> (SPA)</w:t>
      </w:r>
      <w:r w:rsidR="00046FEE" w:rsidRPr="00F16087">
        <w:rPr>
          <w:iCs/>
        </w:rPr>
        <w:t xml:space="preserve">. The PSCR clarified that the sponsor is proposing a </w:t>
      </w:r>
      <w:r w:rsidR="00EF4316">
        <w:rPr>
          <w:iCs/>
          <w:noProof/>
          <w:color w:val="000000"/>
          <w:highlight w:val="black"/>
        </w:rPr>
        <w:t>'''''''</w:t>
      </w:r>
      <w:r w:rsidR="00046FEE" w:rsidRPr="00F16087">
        <w:rPr>
          <w:iCs/>
        </w:rPr>
        <w:t>% discount to the published AEMP</w:t>
      </w:r>
      <w:r w:rsidRPr="00F16087">
        <w:rPr>
          <w:iCs/>
        </w:rPr>
        <w:t>.</w:t>
      </w:r>
    </w:p>
    <w:p w:rsidR="00AF7A9A" w:rsidRPr="00F16087" w:rsidRDefault="00AF7A9A" w:rsidP="003662EA">
      <w:pPr>
        <w:pStyle w:val="PBACheading1"/>
        <w:numPr>
          <w:ilvl w:val="0"/>
          <w:numId w:val="0"/>
        </w:numPr>
      </w:pPr>
    </w:p>
    <w:p w:rsidR="00101327" w:rsidRPr="00F16087" w:rsidRDefault="00101327" w:rsidP="003662EA">
      <w:pPr>
        <w:widowControl/>
        <w:ind w:firstLine="720"/>
        <w:rPr>
          <w:bCs/>
          <w:szCs w:val="22"/>
        </w:rPr>
      </w:pPr>
      <w:r w:rsidRPr="00F16087">
        <w:rPr>
          <w:bCs/>
          <w:i/>
          <w:szCs w:val="22"/>
        </w:rPr>
        <w:t>For more detail on PBAC’s view, see section 7 “PBAC outcome”</w:t>
      </w:r>
      <w:r w:rsidR="002346F2">
        <w:rPr>
          <w:bCs/>
          <w:i/>
          <w:szCs w:val="22"/>
        </w:rPr>
        <w:t>.</w:t>
      </w:r>
    </w:p>
    <w:p w:rsidR="008D6E5D" w:rsidRPr="00F16087" w:rsidRDefault="008D6E5D" w:rsidP="003662EA">
      <w:pPr>
        <w:widowControl/>
        <w:rPr>
          <w:iCs/>
          <w:szCs w:val="22"/>
        </w:rPr>
      </w:pPr>
    </w:p>
    <w:p w:rsidR="00747513" w:rsidRPr="00F16087" w:rsidRDefault="00747513" w:rsidP="003662EA">
      <w:pPr>
        <w:widowControl/>
        <w:rPr>
          <w:iCs/>
          <w:szCs w:val="22"/>
        </w:rPr>
      </w:pPr>
    </w:p>
    <w:p w:rsidR="00747513" w:rsidRPr="00F16087" w:rsidRDefault="00747513" w:rsidP="003662EA">
      <w:pPr>
        <w:widowControl/>
        <w:numPr>
          <w:ilvl w:val="0"/>
          <w:numId w:val="1"/>
        </w:numPr>
        <w:outlineLvl w:val="0"/>
        <w:rPr>
          <w:b/>
          <w:bCs/>
        </w:rPr>
      </w:pPr>
      <w:r w:rsidRPr="00F16087">
        <w:rPr>
          <w:b/>
          <w:bCs/>
        </w:rPr>
        <w:t>PBAC Outcome</w:t>
      </w:r>
    </w:p>
    <w:p w:rsidR="00747513" w:rsidRPr="00F16087" w:rsidRDefault="00747513" w:rsidP="003662EA">
      <w:pPr>
        <w:widowControl/>
        <w:rPr>
          <w:b/>
          <w:bCs/>
          <w:lang w:val="en-GB"/>
        </w:rPr>
      </w:pPr>
    </w:p>
    <w:p w:rsidR="00747513" w:rsidRPr="00F16087" w:rsidRDefault="00D678B3" w:rsidP="003662EA">
      <w:pPr>
        <w:widowControl/>
        <w:numPr>
          <w:ilvl w:val="1"/>
          <w:numId w:val="1"/>
        </w:numPr>
        <w:rPr>
          <w:bCs/>
          <w:lang w:val="en-GB"/>
        </w:rPr>
      </w:pPr>
      <w:r w:rsidRPr="00F16087">
        <w:rPr>
          <w:bCs/>
          <w:lang w:val="en-GB"/>
        </w:rPr>
        <w:t xml:space="preserve">The PBAC did not recommend the listing of apremilast for moderate to severe plaque psoriasis </w:t>
      </w:r>
      <w:r w:rsidR="00D209A6" w:rsidRPr="00F16087">
        <w:rPr>
          <w:bCs/>
          <w:lang w:val="en-GB"/>
        </w:rPr>
        <w:t>on the basis that the</w:t>
      </w:r>
      <w:r w:rsidRPr="00F16087">
        <w:rPr>
          <w:bCs/>
          <w:lang w:val="en-GB"/>
        </w:rPr>
        <w:t xml:space="preserve"> evidence presented did not support the claims of superior comparative efficacy or safety versus cyclosporin</w:t>
      </w:r>
      <w:r w:rsidR="00B3513C" w:rsidRPr="00F16087">
        <w:rPr>
          <w:bCs/>
          <w:lang w:val="en-GB"/>
        </w:rPr>
        <w:t xml:space="preserve"> and</w:t>
      </w:r>
      <w:r w:rsidR="005C7F24" w:rsidRPr="00F16087">
        <w:rPr>
          <w:bCs/>
          <w:lang w:val="en-GB"/>
        </w:rPr>
        <w:t xml:space="preserve"> the cost effectiveness of apremilast was</w:t>
      </w:r>
      <w:r w:rsidR="003E3C43" w:rsidRPr="00F16087">
        <w:rPr>
          <w:bCs/>
          <w:lang w:val="en-GB"/>
        </w:rPr>
        <w:t xml:space="preserve"> </w:t>
      </w:r>
      <w:r w:rsidR="001D4026" w:rsidRPr="00F16087">
        <w:rPr>
          <w:bCs/>
          <w:lang w:val="en-GB"/>
        </w:rPr>
        <w:t xml:space="preserve">uncertain and </w:t>
      </w:r>
      <w:r w:rsidR="00A45436" w:rsidRPr="00F16087">
        <w:rPr>
          <w:bCs/>
          <w:lang w:val="en-GB"/>
        </w:rPr>
        <w:t xml:space="preserve">unacceptable </w:t>
      </w:r>
      <w:r w:rsidR="001D4026" w:rsidRPr="00F16087">
        <w:rPr>
          <w:bCs/>
          <w:lang w:val="en-GB"/>
        </w:rPr>
        <w:t>at the requested price</w:t>
      </w:r>
      <w:r w:rsidRPr="00F16087">
        <w:rPr>
          <w:bCs/>
          <w:lang w:val="en-GB"/>
        </w:rPr>
        <w:t>.</w:t>
      </w:r>
    </w:p>
    <w:p w:rsidR="00EA0A9A" w:rsidRPr="00F16087" w:rsidRDefault="00EA0A9A" w:rsidP="003662EA">
      <w:pPr>
        <w:pStyle w:val="PBACheading1"/>
        <w:numPr>
          <w:ilvl w:val="0"/>
          <w:numId w:val="0"/>
        </w:numPr>
        <w:ind w:left="720" w:hanging="720"/>
        <w:rPr>
          <w:lang w:val="en-GB"/>
        </w:rPr>
      </w:pPr>
    </w:p>
    <w:p w:rsidR="00652694" w:rsidRPr="00F16087" w:rsidRDefault="00EA0A9A" w:rsidP="003662EA">
      <w:pPr>
        <w:widowControl/>
        <w:numPr>
          <w:ilvl w:val="1"/>
          <w:numId w:val="1"/>
        </w:numPr>
        <w:rPr>
          <w:bCs/>
          <w:lang w:val="en-GB"/>
        </w:rPr>
      </w:pPr>
      <w:r w:rsidRPr="00F16087">
        <w:rPr>
          <w:bCs/>
          <w:lang w:val="en-GB"/>
        </w:rPr>
        <w:t>The PBAC</w:t>
      </w:r>
      <w:r w:rsidR="009F4AB8" w:rsidRPr="00F16087">
        <w:rPr>
          <w:bCs/>
          <w:lang w:val="en-GB"/>
        </w:rPr>
        <w:t xml:space="preserve"> recalled that it previously rejected apremila</w:t>
      </w:r>
      <w:r w:rsidR="001D4026" w:rsidRPr="00F16087">
        <w:rPr>
          <w:bCs/>
          <w:lang w:val="en-GB"/>
        </w:rPr>
        <w:t>st for this indication in March </w:t>
      </w:r>
      <w:r w:rsidR="009F4AB8" w:rsidRPr="00F16087">
        <w:rPr>
          <w:bCs/>
          <w:lang w:val="en-GB"/>
        </w:rPr>
        <w:t>2015 on the basis that cost-effectiveness compared with cyclosporin treatment had not been adequately established at the price proposed in the submission.</w:t>
      </w:r>
      <w:r w:rsidRPr="00F16087">
        <w:rPr>
          <w:bCs/>
          <w:lang w:val="en-GB"/>
        </w:rPr>
        <w:t xml:space="preserve"> </w:t>
      </w:r>
      <w:r w:rsidR="00652694" w:rsidRPr="00F16087">
        <w:rPr>
          <w:bCs/>
          <w:szCs w:val="22"/>
          <w:lang w:val="en-GB"/>
        </w:rPr>
        <w:t>An incremental benefit in terms of comparative efficacy and safety over cyclosporin was not evident for apremilast and so it did not appear clinically appropriate to require patients to trial an additional line of therapy before being eligible for therapy</w:t>
      </w:r>
      <w:r w:rsidR="00A45436" w:rsidRPr="00F16087">
        <w:rPr>
          <w:bCs/>
          <w:szCs w:val="22"/>
          <w:lang w:val="en-GB"/>
        </w:rPr>
        <w:t xml:space="preserve"> with biologics</w:t>
      </w:r>
      <w:r w:rsidR="00652694" w:rsidRPr="00F16087">
        <w:rPr>
          <w:bCs/>
          <w:szCs w:val="22"/>
          <w:lang w:val="en-GB"/>
        </w:rPr>
        <w:t xml:space="preserve">. Therefore, the cost-utility analysis approach to the economic modelling was considered </w:t>
      </w:r>
      <w:r w:rsidR="00953E03" w:rsidRPr="00F16087">
        <w:rPr>
          <w:bCs/>
          <w:szCs w:val="22"/>
          <w:lang w:val="en-GB"/>
        </w:rPr>
        <w:t>to be un</w:t>
      </w:r>
      <w:r w:rsidR="00652694" w:rsidRPr="00F16087">
        <w:rPr>
          <w:bCs/>
          <w:szCs w:val="22"/>
          <w:lang w:val="en-GB"/>
        </w:rPr>
        <w:t>informative.</w:t>
      </w:r>
    </w:p>
    <w:p w:rsidR="00652694" w:rsidRPr="00F16087" w:rsidRDefault="00652694" w:rsidP="00652694">
      <w:pPr>
        <w:pStyle w:val="ListParagraph"/>
        <w:rPr>
          <w:bCs/>
          <w:lang w:val="en-GB"/>
        </w:rPr>
      </w:pPr>
    </w:p>
    <w:p w:rsidR="00196203" w:rsidRPr="00F16087" w:rsidRDefault="00196203" w:rsidP="00196203">
      <w:pPr>
        <w:pStyle w:val="ListParagraph"/>
        <w:widowControl/>
        <w:numPr>
          <w:ilvl w:val="1"/>
          <w:numId w:val="1"/>
        </w:numPr>
        <w:rPr>
          <w:bCs/>
          <w:lang w:val="en-GB" w:eastAsia="en-AU"/>
        </w:rPr>
      </w:pPr>
      <w:r w:rsidRPr="00F16087">
        <w:rPr>
          <w:bCs/>
          <w:lang w:val="en-GB" w:eastAsia="en-AU"/>
        </w:rPr>
        <w:t xml:space="preserve">The PBAC noted and welcomed the consumer comments received relating to this submission. The PBAC also acknowledged the correspondence from </w:t>
      </w:r>
      <w:r w:rsidRPr="00F16087">
        <w:rPr>
          <w:iCs/>
          <w:szCs w:val="22"/>
        </w:rPr>
        <w:t>the Australian College of Dermatologists</w:t>
      </w:r>
      <w:r w:rsidR="00C06861" w:rsidRPr="00F16087">
        <w:rPr>
          <w:bCs/>
          <w:lang w:val="en-GB" w:eastAsia="en-AU"/>
        </w:rPr>
        <w:t xml:space="preserve">, </w:t>
      </w:r>
      <w:r w:rsidRPr="00F16087">
        <w:rPr>
          <w:bCs/>
          <w:lang w:val="en-GB" w:eastAsia="en-AU"/>
        </w:rPr>
        <w:t xml:space="preserve">the </w:t>
      </w:r>
      <w:r w:rsidRPr="00F16087">
        <w:rPr>
          <w:bCs/>
          <w:szCs w:val="22"/>
        </w:rPr>
        <w:t>Queensland Institute of Dermatology</w:t>
      </w:r>
      <w:r w:rsidR="00C06861" w:rsidRPr="00F16087">
        <w:rPr>
          <w:bCs/>
          <w:szCs w:val="22"/>
        </w:rPr>
        <w:t xml:space="preserve"> and Psoriasis Australia</w:t>
      </w:r>
      <w:r w:rsidRPr="00F16087">
        <w:rPr>
          <w:bCs/>
          <w:lang w:val="en-GB" w:eastAsia="en-AU"/>
        </w:rPr>
        <w:t xml:space="preserve"> for this submission. The PBAC recognised the support for subsidised access to apremilast.</w:t>
      </w:r>
    </w:p>
    <w:p w:rsidR="00196203" w:rsidRPr="00F16087" w:rsidRDefault="00196203" w:rsidP="00196203">
      <w:pPr>
        <w:pStyle w:val="ListParagraph"/>
        <w:widowControl/>
        <w:rPr>
          <w:bCs/>
          <w:lang w:val="en-GB"/>
        </w:rPr>
      </w:pPr>
    </w:p>
    <w:p w:rsidR="00E9577D" w:rsidRPr="00F16087" w:rsidRDefault="00652694" w:rsidP="00E9577D">
      <w:pPr>
        <w:widowControl/>
        <w:numPr>
          <w:ilvl w:val="1"/>
          <w:numId w:val="1"/>
        </w:numPr>
        <w:rPr>
          <w:bCs/>
          <w:lang w:val="en-GB"/>
        </w:rPr>
      </w:pPr>
      <w:r w:rsidRPr="00F16087">
        <w:rPr>
          <w:bCs/>
          <w:lang w:val="en-GB"/>
        </w:rPr>
        <w:t>The PBAC noted the resubmission’s proposed clinical place in therapy as an additional treatment option in the same line of therapy as cyclosporin.</w:t>
      </w:r>
      <w:r w:rsidR="00E9577D" w:rsidRPr="00F16087">
        <w:rPr>
          <w:bCs/>
          <w:lang w:val="en-GB"/>
        </w:rPr>
        <w:t xml:space="preserve"> The PBAC considered there was a clinical place for apremilast as an </w:t>
      </w:r>
      <w:r w:rsidR="00746E7E" w:rsidRPr="00F16087">
        <w:rPr>
          <w:bCs/>
          <w:lang w:val="en-GB"/>
        </w:rPr>
        <w:t>alternative</w:t>
      </w:r>
      <w:r w:rsidR="00E9577D" w:rsidRPr="00F16087">
        <w:rPr>
          <w:bCs/>
          <w:lang w:val="en-GB"/>
        </w:rPr>
        <w:t xml:space="preserve"> treatment option for plaque psoriasis.</w:t>
      </w:r>
    </w:p>
    <w:p w:rsidR="00E9577D" w:rsidRPr="00F16087" w:rsidRDefault="00E9577D" w:rsidP="00E9577D">
      <w:pPr>
        <w:pStyle w:val="ListParagraph"/>
        <w:widowControl/>
        <w:rPr>
          <w:bCs/>
          <w:lang w:val="en-GB"/>
        </w:rPr>
      </w:pPr>
    </w:p>
    <w:p w:rsidR="0071771E" w:rsidRPr="00F16087" w:rsidRDefault="00E9577D" w:rsidP="00E9577D">
      <w:pPr>
        <w:widowControl/>
        <w:numPr>
          <w:ilvl w:val="1"/>
          <w:numId w:val="1"/>
        </w:numPr>
        <w:rPr>
          <w:bCs/>
          <w:lang w:val="en-GB"/>
        </w:rPr>
      </w:pPr>
      <w:r w:rsidRPr="00F16087">
        <w:rPr>
          <w:bCs/>
          <w:lang w:val="en-GB"/>
        </w:rPr>
        <w:t>On the basis of the clinical place proposed in the resubmission, t</w:t>
      </w:r>
      <w:r w:rsidR="009B506C" w:rsidRPr="00F16087">
        <w:rPr>
          <w:bCs/>
          <w:lang w:val="en-GB"/>
        </w:rPr>
        <w:t xml:space="preserve">he </w:t>
      </w:r>
      <w:r w:rsidR="00652694" w:rsidRPr="00F16087">
        <w:rPr>
          <w:bCs/>
          <w:lang w:val="en-GB"/>
        </w:rPr>
        <w:t>PBAC considered that cyclosporin</w:t>
      </w:r>
      <w:r w:rsidR="00062489" w:rsidRPr="00F16087">
        <w:rPr>
          <w:bCs/>
          <w:lang w:val="en-GB"/>
        </w:rPr>
        <w:t>, methotrexate and acitretin</w:t>
      </w:r>
      <w:r w:rsidR="00652694" w:rsidRPr="00F16087">
        <w:rPr>
          <w:bCs/>
          <w:lang w:val="en-GB"/>
        </w:rPr>
        <w:t xml:space="preserve"> were </w:t>
      </w:r>
      <w:r w:rsidR="00062489" w:rsidRPr="00F16087">
        <w:rPr>
          <w:bCs/>
          <w:lang w:val="en-GB"/>
        </w:rPr>
        <w:t xml:space="preserve">all </w:t>
      </w:r>
      <w:r w:rsidR="00652694" w:rsidRPr="00F16087">
        <w:rPr>
          <w:bCs/>
          <w:lang w:val="en-GB"/>
        </w:rPr>
        <w:t>relevant comparators.</w:t>
      </w:r>
      <w:r w:rsidR="00A45436" w:rsidRPr="00F16087">
        <w:rPr>
          <w:bCs/>
          <w:lang w:val="en-GB"/>
        </w:rPr>
        <w:t xml:space="preserve"> </w:t>
      </w:r>
      <w:r w:rsidR="00DF35A2" w:rsidRPr="00F16087">
        <w:rPr>
          <w:bCs/>
          <w:lang w:val="en-GB"/>
        </w:rPr>
        <w:t>T</w:t>
      </w:r>
      <w:r w:rsidR="00652694" w:rsidRPr="00F16087">
        <w:rPr>
          <w:bCs/>
          <w:lang w:val="en-GB"/>
        </w:rPr>
        <w:t>he PSCR</w:t>
      </w:r>
      <w:r w:rsidR="0071771E" w:rsidRPr="00F16087">
        <w:rPr>
          <w:bCs/>
          <w:lang w:val="en-GB"/>
        </w:rPr>
        <w:t xml:space="preserve"> (p3)</w:t>
      </w:r>
      <w:r w:rsidR="00652694" w:rsidRPr="00F16087">
        <w:rPr>
          <w:bCs/>
          <w:lang w:val="en-GB"/>
        </w:rPr>
        <w:t xml:space="preserve"> </w:t>
      </w:r>
      <w:r w:rsidR="00953E03" w:rsidRPr="00F16087">
        <w:rPr>
          <w:bCs/>
          <w:lang w:val="en-GB"/>
        </w:rPr>
        <w:t xml:space="preserve">requested </w:t>
      </w:r>
      <w:r w:rsidR="00652694" w:rsidRPr="00F16087">
        <w:rPr>
          <w:bCs/>
          <w:lang w:val="en-GB"/>
        </w:rPr>
        <w:t>that</w:t>
      </w:r>
      <w:r w:rsidR="00953E03" w:rsidRPr="00F16087">
        <w:rPr>
          <w:bCs/>
          <w:lang w:val="en-GB"/>
        </w:rPr>
        <w:t xml:space="preserve"> if methotrexate was considered </w:t>
      </w:r>
      <w:r w:rsidR="0024003B" w:rsidRPr="00F16087">
        <w:rPr>
          <w:bCs/>
          <w:lang w:val="en-GB"/>
        </w:rPr>
        <w:t xml:space="preserve">to be </w:t>
      </w:r>
      <w:r w:rsidR="00953E03" w:rsidRPr="00F16087">
        <w:rPr>
          <w:bCs/>
          <w:lang w:val="en-GB"/>
        </w:rPr>
        <w:t>a relevant comparator, that</w:t>
      </w:r>
      <w:r w:rsidR="00652694" w:rsidRPr="00F16087">
        <w:rPr>
          <w:bCs/>
          <w:lang w:val="en-GB"/>
        </w:rPr>
        <w:t xml:space="preserve"> apremilast be restricted to patients who have failed treatment with methotrexate.</w:t>
      </w:r>
      <w:r w:rsidR="0071771E" w:rsidRPr="00F16087">
        <w:rPr>
          <w:bCs/>
          <w:lang w:val="en-GB"/>
        </w:rPr>
        <w:t xml:space="preserve"> In addition, the pre-PBAC response (p1-2) argued that acitretin is not an appropriate comparator as it is seldom used to control inflammatory psoriasis. </w:t>
      </w:r>
      <w:r w:rsidR="005A5604" w:rsidRPr="00F16087">
        <w:rPr>
          <w:bCs/>
          <w:lang w:val="en-GB"/>
        </w:rPr>
        <w:t>In this context, t</w:t>
      </w:r>
      <w:r w:rsidR="0071771E" w:rsidRPr="00F16087">
        <w:rPr>
          <w:bCs/>
          <w:lang w:val="en-GB"/>
        </w:rPr>
        <w:t>he PBAC accepted cyclosporin as the main comparator.</w:t>
      </w:r>
    </w:p>
    <w:p w:rsidR="00652694" w:rsidRPr="00F16087" w:rsidRDefault="00652694" w:rsidP="00652694">
      <w:pPr>
        <w:pStyle w:val="ListParagraph"/>
        <w:rPr>
          <w:bCs/>
          <w:lang w:val="en-GB"/>
        </w:rPr>
      </w:pPr>
    </w:p>
    <w:p w:rsidR="00746E7E" w:rsidRPr="00F16087" w:rsidRDefault="009F4AB8" w:rsidP="003662EA">
      <w:pPr>
        <w:widowControl/>
        <w:numPr>
          <w:ilvl w:val="1"/>
          <w:numId w:val="1"/>
        </w:numPr>
        <w:rPr>
          <w:bCs/>
          <w:lang w:val="en-GB"/>
        </w:rPr>
      </w:pPr>
      <w:r w:rsidRPr="00F16087">
        <w:rPr>
          <w:bCs/>
          <w:lang w:val="en-GB"/>
        </w:rPr>
        <w:t xml:space="preserve">The PBAC </w:t>
      </w:r>
      <w:r w:rsidR="00E52F8B" w:rsidRPr="00F16087">
        <w:rPr>
          <w:bCs/>
          <w:lang w:val="en-GB"/>
        </w:rPr>
        <w:t xml:space="preserve">recalled </w:t>
      </w:r>
      <w:r w:rsidR="00EA0A9A" w:rsidRPr="00F16087">
        <w:rPr>
          <w:bCs/>
          <w:lang w:val="en-GB"/>
        </w:rPr>
        <w:t xml:space="preserve">that </w:t>
      </w:r>
      <w:r w:rsidRPr="00F16087">
        <w:rPr>
          <w:bCs/>
          <w:lang w:val="en-GB"/>
        </w:rPr>
        <w:t xml:space="preserve">the March 2015 </w:t>
      </w:r>
      <w:r w:rsidR="00EA0A9A" w:rsidRPr="00F16087">
        <w:rPr>
          <w:bCs/>
          <w:lang w:val="en-GB"/>
        </w:rPr>
        <w:t xml:space="preserve">submission </w:t>
      </w:r>
      <w:r w:rsidR="00A104DD" w:rsidRPr="00F16087">
        <w:rPr>
          <w:bCs/>
          <w:lang w:val="en-GB"/>
        </w:rPr>
        <w:t>had described apremilast as non</w:t>
      </w:r>
      <w:r w:rsidR="00A104DD" w:rsidRPr="00F16087">
        <w:rPr>
          <w:bCs/>
          <w:lang w:val="en-GB"/>
        </w:rPr>
        <w:noBreakHyphen/>
      </w:r>
      <w:r w:rsidR="00EA0A9A" w:rsidRPr="00F16087">
        <w:rPr>
          <w:bCs/>
          <w:lang w:val="en-GB"/>
        </w:rPr>
        <w:t xml:space="preserve">inferior in terms of comparative effectiveness and superior in terms of comparative safety </w:t>
      </w:r>
      <w:r w:rsidRPr="00F16087">
        <w:rPr>
          <w:bCs/>
          <w:lang w:val="en-GB"/>
        </w:rPr>
        <w:t xml:space="preserve">compared with </w:t>
      </w:r>
      <w:r w:rsidR="00EA0A9A" w:rsidRPr="00F16087">
        <w:rPr>
          <w:bCs/>
          <w:lang w:val="en-GB"/>
        </w:rPr>
        <w:t xml:space="preserve">cyclosporin, and </w:t>
      </w:r>
      <w:r w:rsidR="00E52F8B" w:rsidRPr="00F16087">
        <w:rPr>
          <w:bCs/>
          <w:lang w:val="en-GB"/>
        </w:rPr>
        <w:t xml:space="preserve">that </w:t>
      </w:r>
      <w:r w:rsidR="00EA0A9A" w:rsidRPr="00F16087">
        <w:rPr>
          <w:bCs/>
          <w:lang w:val="en-GB"/>
        </w:rPr>
        <w:t xml:space="preserve">it </w:t>
      </w:r>
      <w:r w:rsidR="00746E7E" w:rsidRPr="00F16087">
        <w:rPr>
          <w:bCs/>
          <w:lang w:val="en-GB"/>
        </w:rPr>
        <w:t xml:space="preserve">previously </w:t>
      </w:r>
      <w:r w:rsidR="00EA0A9A" w:rsidRPr="00F16087">
        <w:rPr>
          <w:bCs/>
          <w:lang w:val="en-GB"/>
        </w:rPr>
        <w:t>considered that neither of these claims had been adequately supported.</w:t>
      </w:r>
      <w:r w:rsidR="009E3040" w:rsidRPr="00F16087">
        <w:rPr>
          <w:bCs/>
          <w:lang w:val="en-GB"/>
        </w:rPr>
        <w:t xml:space="preserve"> </w:t>
      </w:r>
    </w:p>
    <w:p w:rsidR="00746E7E" w:rsidRPr="00F16087" w:rsidRDefault="00746E7E" w:rsidP="00746E7E">
      <w:pPr>
        <w:widowControl/>
        <w:ind w:left="720"/>
        <w:rPr>
          <w:bCs/>
          <w:lang w:val="en-GB"/>
        </w:rPr>
      </w:pPr>
    </w:p>
    <w:p w:rsidR="003E3C43" w:rsidRPr="00F16087" w:rsidRDefault="009E3040" w:rsidP="00746E7E">
      <w:pPr>
        <w:widowControl/>
        <w:numPr>
          <w:ilvl w:val="1"/>
          <w:numId w:val="1"/>
        </w:numPr>
        <w:rPr>
          <w:bCs/>
          <w:lang w:val="en-GB"/>
        </w:rPr>
      </w:pPr>
      <w:r w:rsidRPr="00F16087">
        <w:rPr>
          <w:bCs/>
          <w:lang w:val="en-GB"/>
        </w:rPr>
        <w:t xml:space="preserve">The PBAC noted this </w:t>
      </w:r>
      <w:r w:rsidR="007E3450" w:rsidRPr="00F16087">
        <w:rPr>
          <w:bCs/>
          <w:lang w:val="en-GB"/>
        </w:rPr>
        <w:t>re</w:t>
      </w:r>
      <w:r w:rsidRPr="00F16087">
        <w:rPr>
          <w:bCs/>
          <w:lang w:val="en-GB"/>
        </w:rPr>
        <w:t xml:space="preserve">submission </w:t>
      </w:r>
      <w:r w:rsidR="00652694" w:rsidRPr="00F16087">
        <w:rPr>
          <w:bCs/>
          <w:lang w:val="en-GB"/>
        </w:rPr>
        <w:t xml:space="preserve">revised the clinical claim to describe apremilast as superior in terms of comparative effectiveness and safety compared with cyclosporin. </w:t>
      </w:r>
      <w:r w:rsidR="009B506C" w:rsidRPr="00F16087">
        <w:rPr>
          <w:bCs/>
          <w:lang w:val="en-GB"/>
        </w:rPr>
        <w:t xml:space="preserve">The </w:t>
      </w:r>
      <w:r w:rsidR="00E52F8B" w:rsidRPr="00F16087">
        <w:rPr>
          <w:bCs/>
          <w:lang w:val="en-GB"/>
        </w:rPr>
        <w:t>revision to the</w:t>
      </w:r>
      <w:r w:rsidR="009B506C" w:rsidRPr="00F16087">
        <w:rPr>
          <w:bCs/>
          <w:lang w:val="en-GB"/>
        </w:rPr>
        <w:t xml:space="preserve"> clinical claim was </w:t>
      </w:r>
      <w:r w:rsidR="00652694" w:rsidRPr="00F16087">
        <w:rPr>
          <w:bCs/>
          <w:lang w:val="en-GB"/>
        </w:rPr>
        <w:t>based on a real-world</w:t>
      </w:r>
      <w:r w:rsidR="00746E7E" w:rsidRPr="00F16087">
        <w:rPr>
          <w:bCs/>
          <w:lang w:val="en-GB"/>
        </w:rPr>
        <w:t>,</w:t>
      </w:r>
      <w:r w:rsidR="00652694" w:rsidRPr="00F16087">
        <w:rPr>
          <w:bCs/>
          <w:lang w:val="en-GB"/>
        </w:rPr>
        <w:t xml:space="preserve"> </w:t>
      </w:r>
      <w:r w:rsidR="00062489" w:rsidRPr="00F16087">
        <w:rPr>
          <w:bCs/>
          <w:lang w:val="en-GB"/>
        </w:rPr>
        <w:t>non</w:t>
      </w:r>
      <w:r w:rsidR="00062489" w:rsidRPr="00F16087">
        <w:rPr>
          <w:bCs/>
          <w:lang w:val="en-GB"/>
        </w:rPr>
        <w:noBreakHyphen/>
      </w:r>
      <w:r w:rsidR="00652694" w:rsidRPr="00F16087">
        <w:rPr>
          <w:bCs/>
          <w:lang w:val="en-GB"/>
        </w:rPr>
        <w:t xml:space="preserve">randomised US study of comparative persistence rates </w:t>
      </w:r>
      <w:r w:rsidRPr="00F16087">
        <w:rPr>
          <w:bCs/>
          <w:lang w:val="en-GB"/>
        </w:rPr>
        <w:t>and supportive analyses of persistence from medicine access programs in Australia, Canada and Germany.</w:t>
      </w:r>
      <w:r w:rsidR="00746E7E" w:rsidRPr="00F16087">
        <w:rPr>
          <w:bCs/>
          <w:lang w:val="en-GB"/>
        </w:rPr>
        <w:t xml:space="preserve"> The PBAC</w:t>
      </w:r>
      <w:r w:rsidR="0088307D" w:rsidRPr="00F16087">
        <w:rPr>
          <w:bCs/>
          <w:lang w:val="en-GB"/>
        </w:rPr>
        <w:t xml:space="preserve"> considered that the applicability of the non-randomised US persistence data</w:t>
      </w:r>
      <w:r w:rsidR="00E52F8B" w:rsidRPr="00F16087">
        <w:rPr>
          <w:bCs/>
          <w:lang w:val="en-GB"/>
        </w:rPr>
        <w:t xml:space="preserve"> </w:t>
      </w:r>
      <w:r w:rsidR="0088307D" w:rsidRPr="00F16087">
        <w:rPr>
          <w:bCs/>
          <w:lang w:val="en-GB"/>
        </w:rPr>
        <w:t>presented in the submission to the likely PBS use of apremilast was unclear. Furthermore, the submission did not demonstrate that apremilast was associated with improvements in health outcomes relevant</w:t>
      </w:r>
      <w:r w:rsidR="00746E7E" w:rsidRPr="00F16087">
        <w:rPr>
          <w:bCs/>
          <w:lang w:val="en-GB"/>
        </w:rPr>
        <w:t xml:space="preserve"> to psoriasis (compared with cyclosporin)</w:t>
      </w:r>
      <w:r w:rsidR="0088307D" w:rsidRPr="00F16087">
        <w:rPr>
          <w:bCs/>
          <w:lang w:val="en-GB"/>
        </w:rPr>
        <w:t xml:space="preserve">. </w:t>
      </w:r>
      <w:r w:rsidR="00C35D25" w:rsidRPr="00F16087">
        <w:rPr>
          <w:bCs/>
          <w:lang w:val="en-GB"/>
        </w:rPr>
        <w:t xml:space="preserve">In this regard, the PBAC noted that </w:t>
      </w:r>
      <w:r w:rsidR="00AA48FF" w:rsidRPr="00F16087">
        <w:rPr>
          <w:bCs/>
          <w:lang w:val="en-GB"/>
        </w:rPr>
        <w:t xml:space="preserve">the indirect comparison of clinical trial evidence suggested that </w:t>
      </w:r>
      <w:r w:rsidR="00C35D25" w:rsidRPr="00F16087">
        <w:rPr>
          <w:bCs/>
          <w:lang w:val="en-GB"/>
        </w:rPr>
        <w:t xml:space="preserve">there </w:t>
      </w:r>
      <w:r w:rsidR="00AA48FF" w:rsidRPr="00F16087">
        <w:rPr>
          <w:bCs/>
          <w:lang w:val="en-GB"/>
        </w:rPr>
        <w:t xml:space="preserve">is </w:t>
      </w:r>
      <w:r w:rsidR="00C35D25" w:rsidRPr="00F16087">
        <w:rPr>
          <w:bCs/>
          <w:lang w:val="en-GB"/>
        </w:rPr>
        <w:t>no statistically significant difference in the proportion of patients ac</w:t>
      </w:r>
      <w:r w:rsidR="00B61954" w:rsidRPr="00F16087">
        <w:rPr>
          <w:bCs/>
          <w:lang w:val="en-GB"/>
        </w:rPr>
        <w:t>hieving PASI 75 response at 16 </w:t>
      </w:r>
      <w:r w:rsidR="00C35D25" w:rsidRPr="00F16087">
        <w:rPr>
          <w:bCs/>
          <w:lang w:val="en-GB"/>
        </w:rPr>
        <w:t xml:space="preserve">weeks for apremilast versus 10 weeks for cyclosporin (see paragraph 6.11). </w:t>
      </w:r>
      <w:r w:rsidR="0088307D" w:rsidRPr="00F16087">
        <w:rPr>
          <w:bCs/>
          <w:lang w:val="en-GB"/>
        </w:rPr>
        <w:t xml:space="preserve">Overall, the PBAC considered </w:t>
      </w:r>
      <w:r w:rsidR="00AA48FF" w:rsidRPr="00F16087">
        <w:rPr>
          <w:bCs/>
          <w:lang w:val="en-GB"/>
        </w:rPr>
        <w:t xml:space="preserve">that </w:t>
      </w:r>
      <w:r w:rsidR="0088307D" w:rsidRPr="00F16087">
        <w:rPr>
          <w:bCs/>
          <w:lang w:val="en-GB"/>
        </w:rPr>
        <w:t>the non-randomised persistence data was relevant supportive information</w:t>
      </w:r>
      <w:r w:rsidR="00AA48FF" w:rsidRPr="00F16087">
        <w:rPr>
          <w:bCs/>
          <w:lang w:val="en-GB"/>
        </w:rPr>
        <w:t>,</w:t>
      </w:r>
      <w:r w:rsidR="0088307D" w:rsidRPr="00F16087">
        <w:rPr>
          <w:bCs/>
          <w:lang w:val="en-GB"/>
        </w:rPr>
        <w:t xml:space="preserve"> but </w:t>
      </w:r>
      <w:r w:rsidR="00AA48FF" w:rsidRPr="00F16087">
        <w:rPr>
          <w:bCs/>
          <w:lang w:val="en-GB"/>
        </w:rPr>
        <w:t xml:space="preserve">that it was an insufficient basis to support the claim of </w:t>
      </w:r>
      <w:r w:rsidR="00E9577D" w:rsidRPr="00F16087">
        <w:rPr>
          <w:bCs/>
          <w:lang w:val="en-GB"/>
        </w:rPr>
        <w:t>superior</w:t>
      </w:r>
      <w:r w:rsidR="00AA48FF" w:rsidRPr="00F16087">
        <w:rPr>
          <w:bCs/>
          <w:lang w:val="en-GB"/>
        </w:rPr>
        <w:t>ity</w:t>
      </w:r>
      <w:r w:rsidR="00E9577D" w:rsidRPr="00F16087">
        <w:rPr>
          <w:bCs/>
          <w:lang w:val="en-GB"/>
        </w:rPr>
        <w:t xml:space="preserve"> in comparative effectiveness or safety</w:t>
      </w:r>
      <w:r w:rsidR="00AA48FF" w:rsidRPr="00F16087">
        <w:rPr>
          <w:bCs/>
          <w:lang w:val="en-GB"/>
        </w:rPr>
        <w:t>.</w:t>
      </w:r>
    </w:p>
    <w:p w:rsidR="00747513" w:rsidRPr="00F16087" w:rsidRDefault="00747513" w:rsidP="003662EA">
      <w:pPr>
        <w:widowControl/>
        <w:rPr>
          <w:bCs/>
          <w:lang w:val="en-GB"/>
        </w:rPr>
      </w:pPr>
    </w:p>
    <w:p w:rsidR="006F772F" w:rsidRPr="00F16087" w:rsidRDefault="0044671F" w:rsidP="0044671F">
      <w:pPr>
        <w:widowControl/>
        <w:numPr>
          <w:ilvl w:val="1"/>
          <w:numId w:val="1"/>
        </w:numPr>
      </w:pPr>
      <w:r w:rsidRPr="00F16087">
        <w:t xml:space="preserve">Given that the economic model used non-randomised persistence data as an unsubstantiated proxy for the comparative effectiveness and safety of apremilast and cyclosporin, the PBAC </w:t>
      </w:r>
      <w:r w:rsidR="00A45436" w:rsidRPr="00F16087">
        <w:t>considered the model to be uninformative for decision making</w:t>
      </w:r>
      <w:r w:rsidRPr="00F16087">
        <w:t xml:space="preserve">. </w:t>
      </w:r>
      <w:r w:rsidR="006F772F" w:rsidRPr="00F16087">
        <w:t>In addition, the PBAC considered the ICER per QALY</w:t>
      </w:r>
      <w:r w:rsidR="00DF35A2" w:rsidRPr="00F16087">
        <w:t xml:space="preserve"> gained</w:t>
      </w:r>
      <w:r w:rsidR="006F772F" w:rsidRPr="00F16087">
        <w:t xml:space="preserve"> for apremilast was uncertain due to the following issues:</w:t>
      </w:r>
    </w:p>
    <w:p w:rsidR="0044671F" w:rsidRPr="00F16087" w:rsidRDefault="0044671F" w:rsidP="00FA6941">
      <w:pPr>
        <w:widowControl/>
        <w:numPr>
          <w:ilvl w:val="2"/>
          <w:numId w:val="1"/>
        </w:numPr>
        <w:ind w:left="993" w:hanging="284"/>
        <w:rPr>
          <w:bCs/>
          <w:lang w:val="en-GB"/>
        </w:rPr>
      </w:pPr>
      <w:r w:rsidRPr="00F16087">
        <w:rPr>
          <w:bCs/>
          <w:lang w:val="en-GB"/>
        </w:rPr>
        <w:t xml:space="preserve">Utilities were applied to treatment states, rather than health states defined by PASI and/or DLQI scores, which </w:t>
      </w:r>
      <w:r w:rsidRPr="00F16087">
        <w:rPr>
          <w:szCs w:val="22"/>
        </w:rPr>
        <w:t>assumed that there was a constant treatment effect for all patients on apremilast regardless of symptom severity</w:t>
      </w:r>
      <w:r w:rsidRPr="00F16087">
        <w:rPr>
          <w:bCs/>
          <w:lang w:val="en-GB"/>
        </w:rPr>
        <w:t>.</w:t>
      </w:r>
    </w:p>
    <w:p w:rsidR="006F772F" w:rsidRPr="00F16087" w:rsidRDefault="00FA6941" w:rsidP="006F772F">
      <w:pPr>
        <w:widowControl/>
        <w:numPr>
          <w:ilvl w:val="2"/>
          <w:numId w:val="1"/>
        </w:numPr>
        <w:ind w:left="993" w:hanging="284"/>
        <w:rPr>
          <w:bCs/>
          <w:lang w:val="en-GB"/>
        </w:rPr>
      </w:pPr>
      <w:r w:rsidRPr="00F16087">
        <w:rPr>
          <w:bCs/>
          <w:lang w:val="en-GB"/>
        </w:rPr>
        <w:t>T</w:t>
      </w:r>
      <w:r w:rsidR="006F772F" w:rsidRPr="00F16087">
        <w:rPr>
          <w:bCs/>
          <w:lang w:val="en-GB"/>
        </w:rPr>
        <w:t>he model results were sensitive to changes in utility values and the difference between the utility values for apremilast (0.84)</w:t>
      </w:r>
      <w:r w:rsidR="0044671F" w:rsidRPr="00F16087">
        <w:rPr>
          <w:bCs/>
          <w:lang w:val="en-GB"/>
        </w:rPr>
        <w:t xml:space="preserve"> and the</w:t>
      </w:r>
      <w:r w:rsidR="006F772F" w:rsidRPr="00F16087">
        <w:rPr>
          <w:bCs/>
          <w:lang w:val="en-GB"/>
        </w:rPr>
        <w:t xml:space="preserve"> biologics (0.80) lacked face validity</w:t>
      </w:r>
      <w:r w:rsidRPr="00F16087">
        <w:rPr>
          <w:bCs/>
          <w:lang w:val="en-GB"/>
        </w:rPr>
        <w:t>.</w:t>
      </w:r>
    </w:p>
    <w:p w:rsidR="00FA6941" w:rsidRPr="00F16087" w:rsidRDefault="00FA6941" w:rsidP="006F772F">
      <w:pPr>
        <w:widowControl/>
        <w:numPr>
          <w:ilvl w:val="2"/>
          <w:numId w:val="1"/>
        </w:numPr>
        <w:ind w:left="993" w:hanging="284"/>
        <w:rPr>
          <w:bCs/>
          <w:lang w:val="en-GB"/>
        </w:rPr>
      </w:pPr>
      <w:r w:rsidRPr="00F16087">
        <w:rPr>
          <w:iCs/>
        </w:rPr>
        <w:t>The costs for adverse events were not included in the model, and costs for physician visits (initiation of treatment) were omitted for apremilast.</w:t>
      </w:r>
    </w:p>
    <w:p w:rsidR="006F772F" w:rsidRPr="00F16087" w:rsidRDefault="00FA6941" w:rsidP="006F772F">
      <w:pPr>
        <w:widowControl/>
        <w:numPr>
          <w:ilvl w:val="2"/>
          <w:numId w:val="1"/>
        </w:numPr>
        <w:ind w:left="993" w:hanging="284"/>
        <w:rPr>
          <w:bCs/>
          <w:lang w:val="en-GB"/>
        </w:rPr>
      </w:pPr>
      <w:r w:rsidRPr="00F16087">
        <w:rPr>
          <w:bCs/>
          <w:lang w:val="en-GB"/>
        </w:rPr>
        <w:t>It was not possible to test the sensitivity of the model to the time horizon beyond 10 years.</w:t>
      </w:r>
    </w:p>
    <w:p w:rsidR="00747513" w:rsidRPr="00F16087" w:rsidRDefault="00522CEE" w:rsidP="00FA6941">
      <w:pPr>
        <w:widowControl/>
        <w:ind w:left="720"/>
        <w:rPr>
          <w:bCs/>
          <w:lang w:val="en-GB"/>
        </w:rPr>
      </w:pPr>
      <w:r w:rsidRPr="00F16087">
        <w:rPr>
          <w:bCs/>
          <w:lang w:val="en-GB"/>
        </w:rPr>
        <w:t>Notwithstanding these issues</w:t>
      </w:r>
      <w:r w:rsidR="006F772F" w:rsidRPr="00F16087">
        <w:rPr>
          <w:bCs/>
          <w:lang w:val="en-GB"/>
        </w:rPr>
        <w:t xml:space="preserve">, in </w:t>
      </w:r>
      <w:r w:rsidR="0052491A" w:rsidRPr="00F16087">
        <w:rPr>
          <w:bCs/>
          <w:lang w:val="en-GB"/>
        </w:rPr>
        <w:t>its consideration of the results of the economic model using the effective prices of biologics (see paragraph 6.3</w:t>
      </w:r>
      <w:r w:rsidR="003F7C66" w:rsidRPr="00F16087">
        <w:rPr>
          <w:bCs/>
          <w:lang w:val="en-GB"/>
        </w:rPr>
        <w:t>7</w:t>
      </w:r>
      <w:r w:rsidR="0052491A" w:rsidRPr="00F16087">
        <w:rPr>
          <w:bCs/>
          <w:lang w:val="en-GB"/>
        </w:rPr>
        <w:t>), t</w:t>
      </w:r>
      <w:r w:rsidR="00FB3157" w:rsidRPr="00F16087">
        <w:rPr>
          <w:bCs/>
          <w:lang w:val="en-GB"/>
        </w:rPr>
        <w:t xml:space="preserve">he PBAC </w:t>
      </w:r>
      <w:r w:rsidR="003A48BF" w:rsidRPr="00F16087">
        <w:rPr>
          <w:bCs/>
          <w:lang w:val="en-GB"/>
        </w:rPr>
        <w:t>considered that the ICER per QALY</w:t>
      </w:r>
      <w:r w:rsidR="0052491A" w:rsidRPr="00F16087">
        <w:rPr>
          <w:szCs w:val="22"/>
        </w:rPr>
        <w:t xml:space="preserve"> </w:t>
      </w:r>
      <w:r w:rsidRPr="00F16087">
        <w:rPr>
          <w:szCs w:val="22"/>
        </w:rPr>
        <w:t xml:space="preserve">gained </w:t>
      </w:r>
      <w:r w:rsidR="0052491A" w:rsidRPr="00F16087">
        <w:rPr>
          <w:szCs w:val="22"/>
        </w:rPr>
        <w:t>at the requested price for apremilast was unacceptably high</w:t>
      </w:r>
      <w:r w:rsidR="006F772F" w:rsidRPr="00F16087">
        <w:rPr>
          <w:szCs w:val="22"/>
        </w:rPr>
        <w:t>.</w:t>
      </w:r>
    </w:p>
    <w:p w:rsidR="00747513" w:rsidRPr="00F16087" w:rsidRDefault="00747513" w:rsidP="003662EA">
      <w:pPr>
        <w:widowControl/>
        <w:rPr>
          <w:bCs/>
          <w:lang w:val="en-GB"/>
        </w:rPr>
      </w:pPr>
    </w:p>
    <w:p w:rsidR="00747513" w:rsidRPr="00F16087" w:rsidRDefault="00456735" w:rsidP="003662EA">
      <w:pPr>
        <w:widowControl/>
        <w:numPr>
          <w:ilvl w:val="1"/>
          <w:numId w:val="1"/>
        </w:numPr>
        <w:rPr>
          <w:bCs/>
          <w:lang w:val="en-GB"/>
        </w:rPr>
      </w:pPr>
      <w:r w:rsidRPr="00F16087">
        <w:rPr>
          <w:bCs/>
          <w:lang w:val="en-GB"/>
        </w:rPr>
        <w:t xml:space="preserve">The PBAC noted </w:t>
      </w:r>
      <w:r w:rsidR="0052491A" w:rsidRPr="00F16087">
        <w:rPr>
          <w:bCs/>
          <w:lang w:val="en-GB"/>
        </w:rPr>
        <w:t xml:space="preserve">that the </w:t>
      </w:r>
      <w:r w:rsidRPr="00F16087">
        <w:rPr>
          <w:bCs/>
          <w:lang w:val="en-GB"/>
        </w:rPr>
        <w:t xml:space="preserve">net cost </w:t>
      </w:r>
      <w:r w:rsidR="0052491A" w:rsidRPr="00F16087">
        <w:rPr>
          <w:bCs/>
          <w:lang w:val="en-GB"/>
        </w:rPr>
        <w:t xml:space="preserve">of apremilast </w:t>
      </w:r>
      <w:r w:rsidRPr="00F16087">
        <w:rPr>
          <w:bCs/>
          <w:lang w:val="en-GB"/>
        </w:rPr>
        <w:t xml:space="preserve">to government </w:t>
      </w:r>
      <w:r w:rsidR="0052491A" w:rsidRPr="00F16087">
        <w:rPr>
          <w:bCs/>
          <w:lang w:val="en-GB"/>
        </w:rPr>
        <w:t xml:space="preserve">over the five years of listing was estimated to be more than </w:t>
      </w:r>
      <w:r w:rsidR="00D40F9B">
        <w:rPr>
          <w:bCs/>
          <w:lang w:val="en-GB"/>
        </w:rPr>
        <w:t>$100</w:t>
      </w:r>
      <w:r w:rsidRPr="00F16087">
        <w:rPr>
          <w:bCs/>
          <w:lang w:val="en-GB"/>
        </w:rPr>
        <w:t xml:space="preserve"> million,</w:t>
      </w:r>
      <w:r w:rsidR="0052491A" w:rsidRPr="00F16087">
        <w:rPr>
          <w:bCs/>
          <w:lang w:val="en-GB"/>
        </w:rPr>
        <w:t xml:space="preserve"> with an estimated </w:t>
      </w:r>
      <w:r w:rsidR="00D40F9B">
        <w:rPr>
          <w:bCs/>
          <w:lang w:val="en-GB"/>
        </w:rPr>
        <w:t>less than 10,000</w:t>
      </w:r>
      <w:r w:rsidR="00227A19">
        <w:rPr>
          <w:bCs/>
          <w:lang w:val="en-GB"/>
        </w:rPr>
        <w:t xml:space="preserve"> </w:t>
      </w:r>
      <w:r w:rsidR="00DB4411">
        <w:rPr>
          <w:bCs/>
          <w:lang w:val="en-GB"/>
        </w:rPr>
        <w:t>new</w:t>
      </w:r>
      <w:r w:rsidR="0052491A" w:rsidRPr="00F16087">
        <w:rPr>
          <w:bCs/>
          <w:lang w:val="en-GB"/>
        </w:rPr>
        <w:t xml:space="preserve"> patients treated in year 5. The PBAC noted the </w:t>
      </w:r>
      <w:r w:rsidR="00522CEE" w:rsidRPr="00F16087">
        <w:rPr>
          <w:bCs/>
          <w:lang w:val="en-GB"/>
        </w:rPr>
        <w:t xml:space="preserve">substantial </w:t>
      </w:r>
      <w:r w:rsidR="0052491A" w:rsidRPr="00F16087">
        <w:rPr>
          <w:bCs/>
          <w:lang w:val="en-GB"/>
        </w:rPr>
        <w:t>opportunity cost of listing apremilast for moderate to severe p</w:t>
      </w:r>
      <w:r w:rsidR="00E86744" w:rsidRPr="00F16087">
        <w:rPr>
          <w:bCs/>
          <w:lang w:val="en-GB"/>
        </w:rPr>
        <w:t>laque psoriasis</w:t>
      </w:r>
      <w:r w:rsidR="0052491A" w:rsidRPr="00F16087">
        <w:rPr>
          <w:bCs/>
          <w:lang w:val="en-GB"/>
        </w:rPr>
        <w:t>, particularly in the context of the uncertain</w:t>
      </w:r>
      <w:r w:rsidR="00EE5BD4" w:rsidRPr="00F16087">
        <w:rPr>
          <w:bCs/>
          <w:lang w:val="en-GB"/>
        </w:rPr>
        <w:t xml:space="preserve"> treatment benefit </w:t>
      </w:r>
      <w:r w:rsidR="0052491A" w:rsidRPr="00F16087">
        <w:rPr>
          <w:bCs/>
          <w:lang w:val="en-GB"/>
        </w:rPr>
        <w:t xml:space="preserve">over other systemic therapies. </w:t>
      </w:r>
      <w:r w:rsidR="00EE5BD4" w:rsidRPr="00F16087">
        <w:rPr>
          <w:bCs/>
          <w:lang w:val="en-GB"/>
        </w:rPr>
        <w:t>Furthermore, t</w:t>
      </w:r>
      <w:r w:rsidR="005A76C3" w:rsidRPr="00F16087">
        <w:rPr>
          <w:bCs/>
          <w:lang w:val="en-GB"/>
        </w:rPr>
        <w:t>he PBAC agreed with the DUSC that the utilisation estimates were likely to be underestimated</w:t>
      </w:r>
      <w:r w:rsidR="00912031" w:rsidRPr="00F16087">
        <w:rPr>
          <w:bCs/>
          <w:lang w:val="en-GB"/>
        </w:rPr>
        <w:t xml:space="preserve"> </w:t>
      </w:r>
      <w:r w:rsidR="00912031" w:rsidRPr="00F16087">
        <w:rPr>
          <w:iCs/>
        </w:rPr>
        <w:t>due to limitations with the METIS survey, and the assumptions used to estimate the population</w:t>
      </w:r>
      <w:r w:rsidR="00F80537" w:rsidRPr="00F16087">
        <w:rPr>
          <w:iCs/>
        </w:rPr>
        <w:t xml:space="preserve"> eligible to receive apremilast</w:t>
      </w:r>
      <w:r w:rsidR="00B552CF" w:rsidRPr="00F16087">
        <w:rPr>
          <w:iCs/>
        </w:rPr>
        <w:t xml:space="preserve"> (see paragraph 6.42)</w:t>
      </w:r>
      <w:r w:rsidR="00DE07D6" w:rsidRPr="00F16087">
        <w:rPr>
          <w:bCs/>
          <w:lang w:val="en-GB"/>
        </w:rPr>
        <w:t>.</w:t>
      </w:r>
    </w:p>
    <w:p w:rsidR="00747513" w:rsidRPr="00F16087" w:rsidRDefault="00747513" w:rsidP="003662EA">
      <w:pPr>
        <w:widowControl/>
        <w:rPr>
          <w:bCs/>
          <w:lang w:val="en-GB"/>
        </w:rPr>
      </w:pPr>
    </w:p>
    <w:p w:rsidR="005C7F24" w:rsidRPr="00F16087" w:rsidRDefault="00800945" w:rsidP="0052491A">
      <w:pPr>
        <w:widowControl/>
        <w:numPr>
          <w:ilvl w:val="1"/>
          <w:numId w:val="1"/>
        </w:numPr>
        <w:rPr>
          <w:bCs/>
          <w:lang w:val="en-GB"/>
        </w:rPr>
      </w:pPr>
      <w:r w:rsidRPr="00F16087">
        <w:rPr>
          <w:bCs/>
          <w:lang w:val="en-GB"/>
        </w:rPr>
        <w:t xml:space="preserve">The PBAC considered that any </w:t>
      </w:r>
      <w:r w:rsidR="00EE5BD4" w:rsidRPr="00F16087">
        <w:rPr>
          <w:bCs/>
          <w:lang w:val="en-GB"/>
        </w:rPr>
        <w:t xml:space="preserve">major </w:t>
      </w:r>
      <w:r w:rsidRPr="00F16087">
        <w:rPr>
          <w:bCs/>
          <w:lang w:val="en-GB"/>
        </w:rPr>
        <w:t xml:space="preserve">resubmission should </w:t>
      </w:r>
      <w:r w:rsidR="00AD54EF" w:rsidRPr="00F16087">
        <w:rPr>
          <w:bCs/>
          <w:lang w:val="en-GB"/>
        </w:rPr>
        <w:t xml:space="preserve">ensure that presented data and economic analyses </w:t>
      </w:r>
      <w:r w:rsidR="00522CEE" w:rsidRPr="00F16087">
        <w:rPr>
          <w:bCs/>
          <w:lang w:val="en-GB"/>
        </w:rPr>
        <w:t>are</w:t>
      </w:r>
      <w:r w:rsidR="00AD54EF" w:rsidRPr="00F16087">
        <w:rPr>
          <w:bCs/>
          <w:lang w:val="en-GB"/>
        </w:rPr>
        <w:t xml:space="preserve"> associated with specific health outcomes compared to </w:t>
      </w:r>
      <w:r w:rsidR="00164B4A" w:rsidRPr="00F16087">
        <w:rPr>
          <w:bCs/>
          <w:lang w:val="en-GB"/>
        </w:rPr>
        <w:t xml:space="preserve">relevant </w:t>
      </w:r>
      <w:r w:rsidR="00AD54EF" w:rsidRPr="00F16087">
        <w:rPr>
          <w:bCs/>
          <w:lang w:val="en-GB"/>
        </w:rPr>
        <w:t>comparator(s</w:t>
      </w:r>
      <w:r w:rsidR="00EE5BD4" w:rsidRPr="00F16087">
        <w:rPr>
          <w:bCs/>
          <w:lang w:val="en-GB"/>
        </w:rPr>
        <w:t>). A re</w:t>
      </w:r>
      <w:r w:rsidR="00522CEE" w:rsidRPr="00F16087">
        <w:rPr>
          <w:bCs/>
          <w:lang w:val="en-GB"/>
        </w:rPr>
        <w:t xml:space="preserve">submission </w:t>
      </w:r>
      <w:r w:rsidR="00EE5BD4" w:rsidRPr="00F16087">
        <w:rPr>
          <w:bCs/>
          <w:lang w:val="en-GB"/>
        </w:rPr>
        <w:t>would likely require a significant price reduction in order to address uncertainties in the comparative clinical effectiveness.</w:t>
      </w:r>
    </w:p>
    <w:p w:rsidR="009F7C79" w:rsidRPr="00F16087" w:rsidRDefault="009F7C79" w:rsidP="009F7C79">
      <w:pPr>
        <w:widowControl/>
        <w:ind w:left="720"/>
        <w:rPr>
          <w:bCs/>
          <w:lang w:val="en-GB"/>
        </w:rPr>
      </w:pPr>
    </w:p>
    <w:p w:rsidR="005C7F24" w:rsidRPr="00F16087" w:rsidRDefault="00912031" w:rsidP="003662EA">
      <w:pPr>
        <w:widowControl/>
        <w:numPr>
          <w:ilvl w:val="1"/>
          <w:numId w:val="1"/>
        </w:numPr>
        <w:rPr>
          <w:bCs/>
          <w:lang w:val="en-GB"/>
        </w:rPr>
      </w:pPr>
      <w:r w:rsidRPr="00F16087">
        <w:rPr>
          <w:bCs/>
          <w:lang w:val="en-GB"/>
        </w:rPr>
        <w:t>The PBAC noted that the submission is eligible for an Independent Review.</w:t>
      </w:r>
    </w:p>
    <w:p w:rsidR="00747513" w:rsidRPr="00F16087" w:rsidRDefault="00747513" w:rsidP="003662EA">
      <w:pPr>
        <w:widowControl/>
        <w:rPr>
          <w:b/>
          <w:bCs/>
          <w:lang w:val="en-GB"/>
        </w:rPr>
      </w:pPr>
    </w:p>
    <w:p w:rsidR="00747513" w:rsidRPr="00F16087" w:rsidRDefault="00747513" w:rsidP="003662EA">
      <w:pPr>
        <w:widowControl/>
        <w:rPr>
          <w:b/>
          <w:bCs/>
          <w:lang w:val="en-GB"/>
        </w:rPr>
      </w:pPr>
      <w:r w:rsidRPr="00F16087">
        <w:rPr>
          <w:b/>
          <w:bCs/>
          <w:lang w:val="en-GB"/>
        </w:rPr>
        <w:t>Outcome:</w:t>
      </w:r>
    </w:p>
    <w:p w:rsidR="00747513" w:rsidRPr="00F16087" w:rsidRDefault="00747513" w:rsidP="003662EA">
      <w:pPr>
        <w:widowControl/>
        <w:rPr>
          <w:bCs/>
          <w:lang w:val="en-GB"/>
        </w:rPr>
      </w:pPr>
      <w:r w:rsidRPr="00F16087">
        <w:rPr>
          <w:bCs/>
          <w:lang w:val="en-GB"/>
        </w:rPr>
        <w:t xml:space="preserve">Rejected </w:t>
      </w:r>
    </w:p>
    <w:p w:rsidR="00747513" w:rsidRPr="00F16087" w:rsidRDefault="00747513" w:rsidP="003662EA">
      <w:pPr>
        <w:widowControl/>
        <w:rPr>
          <w:bCs/>
          <w:lang w:val="en-GB"/>
        </w:rPr>
      </w:pPr>
    </w:p>
    <w:p w:rsidR="00747513" w:rsidRPr="00F16087" w:rsidRDefault="00747513" w:rsidP="003662EA">
      <w:pPr>
        <w:widowControl/>
        <w:rPr>
          <w:b/>
          <w:bCs/>
        </w:rPr>
      </w:pPr>
    </w:p>
    <w:p w:rsidR="00994276" w:rsidRPr="00994276" w:rsidRDefault="00994276" w:rsidP="00994276">
      <w:pPr>
        <w:widowControl/>
        <w:numPr>
          <w:ilvl w:val="0"/>
          <w:numId w:val="1"/>
        </w:numPr>
        <w:outlineLvl w:val="0"/>
        <w:rPr>
          <w:b/>
          <w:bCs/>
        </w:rPr>
      </w:pPr>
      <w:r w:rsidRPr="00994276">
        <w:rPr>
          <w:b/>
          <w:bCs/>
        </w:rPr>
        <w:t>Context for Decision</w:t>
      </w:r>
    </w:p>
    <w:p w:rsidR="00994276" w:rsidRDefault="00994276" w:rsidP="00994276">
      <w:pPr>
        <w:ind w:left="426"/>
      </w:pPr>
    </w:p>
    <w:p w:rsidR="00994276" w:rsidRDefault="00994276" w:rsidP="00994276">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94276" w:rsidRDefault="00994276" w:rsidP="00994276">
      <w:pPr>
        <w:ind w:left="426"/>
      </w:pPr>
    </w:p>
    <w:p w:rsidR="00994276" w:rsidRPr="00994276" w:rsidRDefault="00994276" w:rsidP="00994276">
      <w:pPr>
        <w:widowControl/>
        <w:numPr>
          <w:ilvl w:val="0"/>
          <w:numId w:val="1"/>
        </w:numPr>
        <w:outlineLvl w:val="0"/>
        <w:rPr>
          <w:b/>
          <w:bCs/>
        </w:rPr>
      </w:pPr>
      <w:r w:rsidRPr="00994276">
        <w:rPr>
          <w:b/>
          <w:bCs/>
        </w:rPr>
        <w:t>Sponsor’s Comment</w:t>
      </w:r>
    </w:p>
    <w:p w:rsidR="00994276" w:rsidRDefault="00994276" w:rsidP="00994276">
      <w:pPr>
        <w:ind w:left="426"/>
        <w:rPr>
          <w:bCs/>
          <w:highlight w:val="yellow"/>
          <w:lang w:val="en-GB"/>
        </w:rPr>
      </w:pPr>
    </w:p>
    <w:p w:rsidR="00D74D76" w:rsidRPr="00D74D76" w:rsidRDefault="00D74D76" w:rsidP="00D74D76">
      <w:pPr>
        <w:spacing w:after="120"/>
        <w:ind w:left="709"/>
        <w:rPr>
          <w:bCs/>
          <w:lang w:val="en-GB"/>
        </w:rPr>
      </w:pPr>
      <w:proofErr w:type="spellStart"/>
      <w:r w:rsidRPr="00D74D76">
        <w:rPr>
          <w:bCs/>
          <w:lang w:val="en-GB"/>
        </w:rPr>
        <w:t>Celgene</w:t>
      </w:r>
      <w:proofErr w:type="spellEnd"/>
      <w:r w:rsidRPr="00D74D76">
        <w:rPr>
          <w:bCs/>
          <w:lang w:val="en-GB"/>
        </w:rPr>
        <w:t xml:space="preserve"> would like to thank the Australian College of Dermatologists, the Queensland Institute of Dermatology, Psoriasis Australia and the numerous patients that provided comment for their support in helping the PBAC understand the need for subsidised access to apremilast.  </w:t>
      </w:r>
    </w:p>
    <w:p w:rsidR="00747513" w:rsidRPr="00101327" w:rsidRDefault="00D74D76" w:rsidP="00D74D76">
      <w:pPr>
        <w:widowControl/>
        <w:ind w:left="709"/>
        <w:rPr>
          <w:iCs/>
          <w:szCs w:val="22"/>
        </w:rPr>
      </w:pPr>
      <w:proofErr w:type="spellStart"/>
      <w:r w:rsidRPr="00D74D76">
        <w:rPr>
          <w:bCs/>
          <w:lang w:val="en-GB"/>
        </w:rPr>
        <w:t>Celgene</w:t>
      </w:r>
      <w:proofErr w:type="spellEnd"/>
      <w:r w:rsidRPr="00D74D76">
        <w:rPr>
          <w:bCs/>
          <w:lang w:val="en-GB"/>
        </w:rPr>
        <w:t xml:space="preserve"> is disappointed with the outcome given the acknowledged clinical place for apremilast as a treatment option for plaque psoriasis.  </w:t>
      </w:r>
      <w:proofErr w:type="spellStart"/>
      <w:r w:rsidRPr="00D74D76">
        <w:rPr>
          <w:bCs/>
          <w:lang w:val="en-GB"/>
        </w:rPr>
        <w:t>Celgene</w:t>
      </w:r>
      <w:proofErr w:type="spellEnd"/>
      <w:r w:rsidRPr="00D74D76">
        <w:rPr>
          <w:bCs/>
          <w:lang w:val="en-GB"/>
        </w:rPr>
        <w:t xml:space="preserve"> will continue to work with the Department to exhaust all feasible options with the PBAC and Department to make apremilast available to Australian patients.</w:t>
      </w:r>
    </w:p>
    <w:sectPr w:rsidR="00747513" w:rsidRPr="00101327" w:rsidSect="004108DF">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1DB58B" w15:done="0"/>
  <w15:commentEx w15:paraId="0DBA1E98" w15:done="0"/>
  <w15:commentEx w15:paraId="62239045" w15:done="0"/>
  <w15:commentEx w15:paraId="5069C8C8" w15:done="0"/>
  <w15:commentEx w15:paraId="62073D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16" w:rsidRDefault="00EF4316" w:rsidP="00124A51">
      <w:r>
        <w:separator/>
      </w:r>
    </w:p>
  </w:endnote>
  <w:endnote w:type="continuationSeparator" w:id="0">
    <w:p w:rsidR="00EF4316" w:rsidRDefault="00EF4316" w:rsidP="00124A51">
      <w:r>
        <w:continuationSeparator/>
      </w:r>
    </w:p>
  </w:endnote>
  <w:endnote w:type="continuationNotice" w:id="1">
    <w:p w:rsidR="00EF4316" w:rsidRDefault="00EF4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16" w:rsidRDefault="00EF43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922810"/>
      <w:docPartObj>
        <w:docPartGallery w:val="Page Numbers (Bottom of Page)"/>
        <w:docPartUnique/>
      </w:docPartObj>
    </w:sdtPr>
    <w:sdtEndPr>
      <w:rPr>
        <w:noProof/>
      </w:rPr>
    </w:sdtEndPr>
    <w:sdtContent>
      <w:p w:rsidR="00F54DFC" w:rsidRDefault="00F54DFC" w:rsidP="00B27AFF">
        <w:pPr>
          <w:pStyle w:val="Footer"/>
          <w:jc w:val="center"/>
        </w:pPr>
      </w:p>
      <w:p w:rsidR="00F54DFC" w:rsidRPr="00B27AFF" w:rsidRDefault="00F54DFC" w:rsidP="00B27AFF">
        <w:pPr>
          <w:pStyle w:val="Footer"/>
          <w:jc w:val="center"/>
        </w:pPr>
        <w:r>
          <w:fldChar w:fldCharType="begin"/>
        </w:r>
        <w:r>
          <w:instrText xml:space="preserve"> PAGE   \* MERGEFORMAT </w:instrText>
        </w:r>
        <w:r>
          <w:fldChar w:fldCharType="separate"/>
        </w:r>
        <w:r w:rsidR="004C3B72">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16" w:rsidRDefault="00EF4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16" w:rsidRDefault="00EF4316" w:rsidP="00124A51">
      <w:r>
        <w:separator/>
      </w:r>
    </w:p>
  </w:footnote>
  <w:footnote w:type="continuationSeparator" w:id="0">
    <w:p w:rsidR="00EF4316" w:rsidRDefault="00EF4316" w:rsidP="00124A51">
      <w:r>
        <w:continuationSeparator/>
      </w:r>
    </w:p>
  </w:footnote>
  <w:footnote w:type="continuationNotice" w:id="1">
    <w:p w:rsidR="00EF4316" w:rsidRDefault="00EF4316"/>
  </w:footnote>
  <w:footnote w:id="2">
    <w:p w:rsidR="00F54DFC" w:rsidRPr="002E79C6" w:rsidRDefault="00F54DFC">
      <w:pPr>
        <w:pStyle w:val="FootnoteText"/>
        <w:rPr>
          <w:rFonts w:ascii="Arial Narrow" w:hAnsi="Arial Narrow"/>
        </w:rPr>
      </w:pPr>
      <w:r w:rsidRPr="002E79C6">
        <w:rPr>
          <w:rStyle w:val="FootnoteReference"/>
          <w:rFonts w:ascii="Arial Narrow" w:hAnsi="Arial Narrow"/>
        </w:rPr>
        <w:footnoteRef/>
      </w:r>
      <w:r w:rsidRPr="002E79C6">
        <w:rPr>
          <w:rFonts w:ascii="Arial Narrow" w:hAnsi="Arial Narrow"/>
        </w:rPr>
        <w:t xml:space="preserve"> Apremilast for treating moderate to severe plaque psoriasis, NICE Technology appraisal guidance [TA419] Published date: 23 November 2016. </w:t>
      </w:r>
      <w:hyperlink r:id="rId1" w:history="1">
        <w:r w:rsidRPr="002E79C6">
          <w:rPr>
            <w:rStyle w:val="Hyperlink"/>
            <w:rFonts w:ascii="Arial Narrow" w:hAnsi="Arial Narrow"/>
          </w:rPr>
          <w:t>https://www.nice.org.uk/guidance/TA419/chapter/1-recommendations</w:t>
        </w:r>
      </w:hyperlink>
      <w:r>
        <w:rPr>
          <w:rFonts w:ascii="Arial Narrow" w:hAnsi="Arial Narrow"/>
        </w:rPr>
        <w:t>.</w:t>
      </w:r>
    </w:p>
  </w:footnote>
  <w:footnote w:id="3">
    <w:p w:rsidR="00F54DFC" w:rsidRPr="004B6BF8" w:rsidRDefault="00F54DFC">
      <w:pPr>
        <w:pStyle w:val="FootnoteText"/>
        <w:rPr>
          <w:rFonts w:ascii="Arial Narrow" w:hAnsi="Arial Narrow"/>
          <w:sz w:val="18"/>
          <w:szCs w:val="18"/>
        </w:rPr>
      </w:pPr>
      <w:r w:rsidRPr="004B6BF8">
        <w:rPr>
          <w:rStyle w:val="FootnoteReference"/>
          <w:rFonts w:ascii="Arial Narrow" w:hAnsi="Arial Narrow"/>
          <w:sz w:val="18"/>
          <w:szCs w:val="18"/>
        </w:rPr>
        <w:footnoteRef/>
      </w:r>
      <w:r w:rsidRPr="004B6BF8">
        <w:rPr>
          <w:rFonts w:ascii="Arial Narrow" w:hAnsi="Arial Narrow"/>
          <w:sz w:val="18"/>
          <w:szCs w:val="18"/>
        </w:rPr>
        <w:t xml:space="preserve"> </w:t>
      </w:r>
      <w:proofErr w:type="spellStart"/>
      <w:r>
        <w:rPr>
          <w:rFonts w:ascii="Arial Narrow" w:hAnsi="Arial Narrow"/>
          <w:sz w:val="18"/>
          <w:szCs w:val="18"/>
        </w:rPr>
        <w:t>Celgene</w:t>
      </w:r>
      <w:proofErr w:type="spellEnd"/>
      <w:r>
        <w:rPr>
          <w:rFonts w:ascii="Arial Narrow" w:hAnsi="Arial Narrow"/>
          <w:sz w:val="18"/>
          <w:szCs w:val="18"/>
        </w:rPr>
        <w:t xml:space="preserve"> medi</w:t>
      </w:r>
      <w:r w:rsidRPr="004B6BF8">
        <w:rPr>
          <w:rFonts w:ascii="Arial Narrow" w:hAnsi="Arial Narrow"/>
          <w:sz w:val="18"/>
          <w:szCs w:val="18"/>
        </w:rPr>
        <w:t xml:space="preserve">a release, 23 September 2014, </w:t>
      </w:r>
      <w:hyperlink r:id="rId2" w:history="1">
        <w:r w:rsidRPr="004B6BF8">
          <w:rPr>
            <w:rStyle w:val="Hyperlink"/>
            <w:rFonts w:ascii="Arial Narrow" w:hAnsi="Arial Narrow"/>
            <w:sz w:val="18"/>
            <w:szCs w:val="18"/>
          </w:rPr>
          <w:t>http://ir.celgene.com/releasedetail.cfm?releaseid=872240</w:t>
        </w:r>
      </w:hyperlink>
      <w:r>
        <w:rPr>
          <w:rFonts w:ascii="Arial Narrow" w:hAnsi="Arial Narrow"/>
          <w:sz w:val="18"/>
          <w:szCs w:val="18"/>
        </w:rPr>
        <w:t>.</w:t>
      </w:r>
    </w:p>
  </w:footnote>
  <w:footnote w:id="4">
    <w:p w:rsidR="00F54DFC" w:rsidRPr="00212DA1" w:rsidRDefault="00F54DFC" w:rsidP="00F15277">
      <w:pPr>
        <w:pStyle w:val="FootnoteText"/>
        <w:rPr>
          <w:rFonts w:ascii="Arial Narrow" w:hAnsi="Arial Narrow"/>
          <w:sz w:val="18"/>
          <w:szCs w:val="18"/>
        </w:rPr>
      </w:pPr>
      <w:r w:rsidRPr="00212DA1">
        <w:rPr>
          <w:rStyle w:val="FootnoteReference"/>
          <w:rFonts w:ascii="Arial Narrow" w:hAnsi="Arial Narrow"/>
          <w:sz w:val="18"/>
          <w:szCs w:val="18"/>
        </w:rPr>
        <w:footnoteRef/>
      </w:r>
      <w:r w:rsidRPr="00212DA1">
        <w:rPr>
          <w:rFonts w:ascii="Arial Narrow" w:hAnsi="Arial Narrow"/>
          <w:sz w:val="18"/>
          <w:szCs w:val="18"/>
        </w:rPr>
        <w:t xml:space="preserve"> </w:t>
      </w:r>
      <w:proofErr w:type="gramStart"/>
      <w:r w:rsidRPr="00212DA1">
        <w:rPr>
          <w:rFonts w:ascii="Arial Narrow" w:hAnsi="Arial Narrow"/>
          <w:sz w:val="18"/>
          <w:szCs w:val="18"/>
        </w:rPr>
        <w:t>Compliance to Medicines Working Group.</w:t>
      </w:r>
      <w:proofErr w:type="gramEnd"/>
      <w:r w:rsidRPr="00212DA1">
        <w:rPr>
          <w:rFonts w:ascii="Arial Narrow" w:hAnsi="Arial Narrow"/>
          <w:sz w:val="18"/>
          <w:szCs w:val="18"/>
        </w:rPr>
        <w:t xml:space="preserve"> </w:t>
      </w:r>
      <w:r w:rsidRPr="00212DA1">
        <w:rPr>
          <w:rFonts w:ascii="Arial Narrow" w:hAnsi="Arial Narrow"/>
          <w:i/>
          <w:sz w:val="18"/>
          <w:szCs w:val="18"/>
        </w:rPr>
        <w:t>Compliance to Medicines Working Group Report to PBAC April 2010</w:t>
      </w:r>
      <w:r w:rsidRPr="00212DA1">
        <w:rPr>
          <w:rFonts w:ascii="Arial Narrow" w:hAnsi="Arial Narrow"/>
          <w:sz w:val="18"/>
          <w:szCs w:val="18"/>
        </w:rPr>
        <w:t xml:space="preserve">. </w:t>
      </w:r>
      <w:proofErr w:type="gramStart"/>
      <w:r w:rsidRPr="00212DA1">
        <w:rPr>
          <w:rFonts w:ascii="Arial Narrow" w:hAnsi="Arial Narrow"/>
          <w:sz w:val="18"/>
          <w:szCs w:val="18"/>
        </w:rPr>
        <w:t>Commonwealth Department of Health.</w:t>
      </w:r>
      <w:proofErr w:type="gramEnd"/>
      <w:r w:rsidRPr="00212DA1">
        <w:rPr>
          <w:rFonts w:ascii="Arial Narrow" w:hAnsi="Arial Narrow"/>
          <w:sz w:val="18"/>
          <w:szCs w:val="18"/>
        </w:rPr>
        <w:t xml:space="preserve"> Australia: Canberra. </w:t>
      </w:r>
      <w:proofErr w:type="gramStart"/>
      <w:r w:rsidRPr="00212DA1">
        <w:rPr>
          <w:rFonts w:ascii="Arial Narrow" w:hAnsi="Arial Narrow"/>
          <w:sz w:val="18"/>
          <w:szCs w:val="18"/>
        </w:rPr>
        <w:t xml:space="preserve">Accessed </w:t>
      </w:r>
      <w:r>
        <w:rPr>
          <w:rFonts w:ascii="Arial Narrow" w:hAnsi="Arial Narrow"/>
          <w:sz w:val="18"/>
          <w:szCs w:val="18"/>
        </w:rPr>
        <w:t>27 November</w:t>
      </w:r>
      <w:r w:rsidRPr="00212DA1">
        <w:rPr>
          <w:rFonts w:ascii="Arial Narrow" w:hAnsi="Arial Narrow"/>
          <w:sz w:val="18"/>
          <w:szCs w:val="18"/>
        </w:rPr>
        <w:t xml:space="preserve"> 2016.</w:t>
      </w:r>
      <w:proofErr w:type="gramEnd"/>
      <w:r w:rsidRPr="00212DA1">
        <w:rPr>
          <w:rFonts w:ascii="Arial Narrow" w:hAnsi="Arial Narrow"/>
          <w:sz w:val="18"/>
          <w:szCs w:val="18"/>
        </w:rPr>
        <w:t xml:space="preserve"> Available at: </w:t>
      </w:r>
      <w:hyperlink r:id="rId3" w:anchor="B4" w:history="1">
        <w:r w:rsidRPr="00525987">
          <w:rPr>
            <w:rStyle w:val="Hyperlink"/>
            <w:rFonts w:ascii="Arial Narrow" w:hAnsi="Arial Narrow"/>
            <w:sz w:val="18"/>
            <w:szCs w:val="18"/>
          </w:rPr>
          <w:t>http://www.pbs.gov.au/info/publication/factsheets/shared/cmwg-report-to-pbac#B4</w:t>
        </w:r>
      </w:hyperlink>
      <w:r>
        <w:rPr>
          <w:rFonts w:ascii="Arial Narrow" w:hAnsi="Arial Narrow"/>
          <w:sz w:val="18"/>
          <w:szCs w:val="18"/>
        </w:rPr>
        <w:t xml:space="preserve">. </w:t>
      </w:r>
    </w:p>
    <w:p w:rsidR="00F54DFC" w:rsidRPr="00F22DFD" w:rsidRDefault="00F54DFC" w:rsidP="00F15277">
      <w:pPr>
        <w:pStyle w:val="FootnoteText"/>
      </w:pPr>
    </w:p>
  </w:footnote>
  <w:footnote w:id="5">
    <w:p w:rsidR="00F54DFC" w:rsidRPr="006818BE" w:rsidRDefault="00F54DFC">
      <w:pPr>
        <w:pStyle w:val="FootnoteText"/>
        <w:rPr>
          <w:rFonts w:ascii="Arial Narrow" w:hAnsi="Arial Narrow"/>
          <w:sz w:val="18"/>
          <w:szCs w:val="18"/>
        </w:rPr>
      </w:pPr>
      <w:r w:rsidRPr="006818BE">
        <w:rPr>
          <w:rStyle w:val="FootnoteReference"/>
          <w:rFonts w:ascii="Arial Narrow" w:hAnsi="Arial Narrow"/>
          <w:sz w:val="18"/>
          <w:szCs w:val="18"/>
        </w:rPr>
        <w:footnoteRef/>
      </w:r>
      <w:r w:rsidRPr="006818BE">
        <w:rPr>
          <w:rFonts w:ascii="Arial Narrow" w:hAnsi="Arial Narrow"/>
          <w:sz w:val="18"/>
          <w:szCs w:val="18"/>
        </w:rPr>
        <w:t xml:space="preserve"> Griffiths, C.E.M., </w:t>
      </w:r>
      <w:proofErr w:type="spellStart"/>
      <w:r w:rsidRPr="006818BE">
        <w:rPr>
          <w:rFonts w:ascii="Arial Narrow" w:hAnsi="Arial Narrow"/>
          <w:sz w:val="18"/>
          <w:szCs w:val="18"/>
        </w:rPr>
        <w:t>Dubertret</w:t>
      </w:r>
      <w:proofErr w:type="spellEnd"/>
      <w:r w:rsidRPr="006818BE">
        <w:rPr>
          <w:rFonts w:ascii="Arial Narrow" w:hAnsi="Arial Narrow"/>
          <w:sz w:val="18"/>
          <w:szCs w:val="18"/>
        </w:rPr>
        <w:t xml:space="preserve">, L., Ellis, C.N., Finlay, A.Y., </w:t>
      </w:r>
      <w:proofErr w:type="spellStart"/>
      <w:r w:rsidRPr="006818BE">
        <w:rPr>
          <w:rFonts w:ascii="Arial Narrow" w:hAnsi="Arial Narrow"/>
          <w:sz w:val="18"/>
          <w:szCs w:val="18"/>
        </w:rPr>
        <w:t>Finzi</w:t>
      </w:r>
      <w:proofErr w:type="spellEnd"/>
      <w:r w:rsidRPr="006818BE">
        <w:rPr>
          <w:rFonts w:ascii="Arial Narrow" w:hAnsi="Arial Narrow"/>
          <w:sz w:val="18"/>
          <w:szCs w:val="18"/>
        </w:rPr>
        <w:t xml:space="preserve">, A.F., </w:t>
      </w:r>
      <w:proofErr w:type="spellStart"/>
      <w:r w:rsidRPr="006818BE">
        <w:rPr>
          <w:rFonts w:ascii="Arial Narrow" w:hAnsi="Arial Narrow"/>
          <w:sz w:val="18"/>
          <w:szCs w:val="18"/>
        </w:rPr>
        <w:t>Ho</w:t>
      </w:r>
      <w:proofErr w:type="spellEnd"/>
      <w:r w:rsidRPr="006818BE">
        <w:rPr>
          <w:rFonts w:ascii="Arial Narrow" w:hAnsi="Arial Narrow"/>
          <w:sz w:val="18"/>
          <w:szCs w:val="18"/>
        </w:rPr>
        <w:t xml:space="preserve">, V.C., Johnston, A., </w:t>
      </w:r>
      <w:proofErr w:type="spellStart"/>
      <w:r w:rsidRPr="006818BE">
        <w:rPr>
          <w:rFonts w:ascii="Arial Narrow" w:hAnsi="Arial Narrow"/>
          <w:sz w:val="18"/>
          <w:szCs w:val="18"/>
        </w:rPr>
        <w:t>Katsambas</w:t>
      </w:r>
      <w:proofErr w:type="spellEnd"/>
      <w:r w:rsidRPr="006818BE">
        <w:rPr>
          <w:rFonts w:ascii="Arial Narrow" w:hAnsi="Arial Narrow"/>
          <w:sz w:val="18"/>
          <w:szCs w:val="18"/>
        </w:rPr>
        <w:t xml:space="preserve">, A., </w:t>
      </w:r>
      <w:proofErr w:type="spellStart"/>
      <w:r w:rsidRPr="006818BE">
        <w:rPr>
          <w:rFonts w:ascii="Arial Narrow" w:hAnsi="Arial Narrow"/>
          <w:sz w:val="18"/>
          <w:szCs w:val="18"/>
        </w:rPr>
        <w:t>Lison</w:t>
      </w:r>
      <w:proofErr w:type="spellEnd"/>
      <w:r w:rsidRPr="006818BE">
        <w:rPr>
          <w:rFonts w:ascii="Arial Narrow" w:hAnsi="Arial Narrow"/>
          <w:sz w:val="18"/>
          <w:szCs w:val="18"/>
        </w:rPr>
        <w:t xml:space="preserve">, A.-E., </w:t>
      </w:r>
      <w:proofErr w:type="spellStart"/>
      <w:r w:rsidRPr="006818BE">
        <w:rPr>
          <w:rFonts w:ascii="Arial Narrow" w:hAnsi="Arial Narrow"/>
          <w:sz w:val="18"/>
          <w:szCs w:val="18"/>
        </w:rPr>
        <w:t>Naeyaert</w:t>
      </w:r>
      <w:proofErr w:type="spellEnd"/>
      <w:r w:rsidRPr="006818BE">
        <w:rPr>
          <w:rFonts w:ascii="Arial Narrow" w:hAnsi="Arial Narrow"/>
          <w:sz w:val="18"/>
          <w:szCs w:val="18"/>
        </w:rPr>
        <w:t xml:space="preserve">, J.M., Nakagawa, H., Paul, C. and </w:t>
      </w:r>
      <w:proofErr w:type="spellStart"/>
      <w:r w:rsidRPr="006818BE">
        <w:rPr>
          <w:rFonts w:ascii="Arial Narrow" w:hAnsi="Arial Narrow"/>
          <w:sz w:val="18"/>
          <w:szCs w:val="18"/>
        </w:rPr>
        <w:t>Vanaclocha</w:t>
      </w:r>
      <w:proofErr w:type="spellEnd"/>
      <w:r w:rsidRPr="006818BE">
        <w:rPr>
          <w:rFonts w:ascii="Arial Narrow" w:hAnsi="Arial Narrow"/>
          <w:sz w:val="18"/>
          <w:szCs w:val="18"/>
        </w:rPr>
        <w:t xml:space="preserve">, F. (2004), </w:t>
      </w:r>
      <w:proofErr w:type="spellStart"/>
      <w:r w:rsidRPr="006818BE">
        <w:rPr>
          <w:rFonts w:ascii="Arial Narrow" w:hAnsi="Arial Narrow"/>
          <w:sz w:val="18"/>
          <w:szCs w:val="18"/>
        </w:rPr>
        <w:t>Ciclosporin</w:t>
      </w:r>
      <w:proofErr w:type="spellEnd"/>
      <w:r w:rsidRPr="006818BE">
        <w:rPr>
          <w:rFonts w:ascii="Arial Narrow" w:hAnsi="Arial Narrow"/>
          <w:sz w:val="18"/>
          <w:szCs w:val="18"/>
        </w:rPr>
        <w:t xml:space="preserve"> in psoriasis clinical practice: an international consensus statement. British Journal of Dermatology, 150: 11–23. doi:10.1111/j.0366-077X.2004.05949.x</w:t>
      </w:r>
      <w:r>
        <w:rPr>
          <w:rFonts w:ascii="Arial Narrow" w:hAnsi="Arial Narrow"/>
          <w:sz w:val="18"/>
          <w:szCs w:val="18"/>
        </w:rPr>
        <w:t xml:space="preserve">. </w:t>
      </w:r>
    </w:p>
  </w:footnote>
  <w:footnote w:id="6">
    <w:p w:rsidR="00F54DFC" w:rsidRDefault="00F54DFC">
      <w:pPr>
        <w:pStyle w:val="FootnoteText"/>
      </w:pPr>
      <w:r>
        <w:rPr>
          <w:rStyle w:val="FootnoteReference"/>
        </w:rPr>
        <w:footnoteRef/>
      </w:r>
      <w:r>
        <w:t xml:space="preserve"> </w:t>
      </w:r>
      <w:proofErr w:type="spellStart"/>
      <w:r w:rsidRPr="00396C7A">
        <w:rPr>
          <w:rFonts w:ascii="Arial Narrow" w:hAnsi="Arial Narrow"/>
          <w:sz w:val="18"/>
          <w:szCs w:val="18"/>
        </w:rPr>
        <w:t>Samarasekera</w:t>
      </w:r>
      <w:proofErr w:type="spellEnd"/>
      <w:r w:rsidRPr="00396C7A">
        <w:rPr>
          <w:rFonts w:ascii="Arial Narrow" w:hAnsi="Arial Narrow"/>
          <w:sz w:val="18"/>
          <w:szCs w:val="18"/>
        </w:rPr>
        <w:t xml:space="preserve"> Eleanor, Sawyer Laura, </w:t>
      </w:r>
      <w:proofErr w:type="spellStart"/>
      <w:r w:rsidRPr="00396C7A">
        <w:rPr>
          <w:rFonts w:ascii="Arial Narrow" w:hAnsi="Arial Narrow"/>
          <w:sz w:val="18"/>
          <w:szCs w:val="18"/>
        </w:rPr>
        <w:t>Parnham</w:t>
      </w:r>
      <w:proofErr w:type="spellEnd"/>
      <w:r w:rsidRPr="00396C7A">
        <w:rPr>
          <w:rFonts w:ascii="Arial Narrow" w:hAnsi="Arial Narrow"/>
          <w:sz w:val="18"/>
          <w:szCs w:val="18"/>
        </w:rPr>
        <w:t xml:space="preserve"> Jill, Smith Catherine H. Assessment and management of psoriasis: summary of NICE guidance BMJ 2012; 345 :e6712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16" w:rsidRDefault="00EF43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DFC" w:rsidRPr="00DF217D" w:rsidRDefault="00F54DFC" w:rsidP="0099427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F54DFC" w:rsidRPr="008C7ECB" w:rsidRDefault="00F54D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16" w:rsidRDefault="00EF43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27D6CC1"/>
    <w:multiLevelType w:val="hybridMultilevel"/>
    <w:tmpl w:val="C7E66FFC"/>
    <w:lvl w:ilvl="0" w:tplc="599AE7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87C708D"/>
    <w:multiLevelType w:val="hybridMultilevel"/>
    <w:tmpl w:val="5C8267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1C1506F3"/>
    <w:multiLevelType w:val="hybridMultilevel"/>
    <w:tmpl w:val="6EE00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C839A2"/>
    <w:multiLevelType w:val="hybridMultilevel"/>
    <w:tmpl w:val="58F296AC"/>
    <w:lvl w:ilvl="0" w:tplc="0C090001">
      <w:start w:val="1"/>
      <w:numFmt w:val="bullet"/>
      <w:lvlText w:val=""/>
      <w:lvlJc w:val="left"/>
      <w:pPr>
        <w:ind w:left="1779" w:hanging="360"/>
      </w:pPr>
      <w:rPr>
        <w:rFonts w:ascii="Symbol" w:hAnsi="Symbol" w:hint="default"/>
      </w:rPr>
    </w:lvl>
    <w:lvl w:ilvl="1" w:tplc="0C090003">
      <w:start w:val="1"/>
      <w:numFmt w:val="bullet"/>
      <w:lvlText w:val="o"/>
      <w:lvlJc w:val="left"/>
      <w:pPr>
        <w:ind w:left="1353"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7">
    <w:nsid w:val="26606F01"/>
    <w:multiLevelType w:val="hybridMultilevel"/>
    <w:tmpl w:val="B02884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8FD2AC1"/>
    <w:multiLevelType w:val="hybridMultilevel"/>
    <w:tmpl w:val="C0F60EBC"/>
    <w:lvl w:ilvl="0" w:tplc="086A39DE">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5582734"/>
    <w:multiLevelType w:val="hybridMultilevel"/>
    <w:tmpl w:val="8CD2E70E"/>
    <w:lvl w:ilvl="0" w:tplc="1798881E">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420B6ECC"/>
    <w:multiLevelType w:val="hybridMultilevel"/>
    <w:tmpl w:val="7B20D602"/>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4">
    <w:nsid w:val="450C2101"/>
    <w:multiLevelType w:val="hybridMultilevel"/>
    <w:tmpl w:val="9A82D554"/>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15">
    <w:nsid w:val="4BD162CF"/>
    <w:multiLevelType w:val="hybridMultilevel"/>
    <w:tmpl w:val="BE8C7C10"/>
    <w:lvl w:ilvl="0" w:tplc="599AE712">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55D2BC6"/>
    <w:multiLevelType w:val="hybridMultilevel"/>
    <w:tmpl w:val="200A86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6FA7B6B"/>
    <w:multiLevelType w:val="hybridMultilevel"/>
    <w:tmpl w:val="FEE07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C115405"/>
    <w:multiLevelType w:val="hybridMultilevel"/>
    <w:tmpl w:val="00B0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E5E10D2"/>
    <w:multiLevelType w:val="multilevel"/>
    <w:tmpl w:val="01A0AA5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0084FBF"/>
    <w:multiLevelType w:val="hybridMultilevel"/>
    <w:tmpl w:val="3286930C"/>
    <w:lvl w:ilvl="0" w:tplc="34E82D62">
      <w:start w:val="1"/>
      <w:numFmt w:val="bullet"/>
      <w:pStyle w:val="TableBullets"/>
      <w:lvlText w:val=""/>
      <w:lvlJc w:val="left"/>
      <w:pPr>
        <w:ind w:left="720" w:hanging="360"/>
      </w:pPr>
      <w:rPr>
        <w:rFonts w:ascii="Symbol" w:hAnsi="Symbol" w:hint="default"/>
      </w:rPr>
    </w:lvl>
    <w:lvl w:ilvl="1" w:tplc="63F4EE78">
      <w:start w:val="1"/>
      <w:numFmt w:val="bullet"/>
      <w:lvlText w:val="o"/>
      <w:lvlJc w:val="left"/>
      <w:pPr>
        <w:ind w:left="1440" w:hanging="360"/>
      </w:pPr>
      <w:rPr>
        <w:rFonts w:ascii="Courier New" w:hAnsi="Courier New" w:cs="Courier New" w:hint="default"/>
      </w:rPr>
    </w:lvl>
    <w:lvl w:ilvl="2" w:tplc="055E37F0" w:tentative="1">
      <w:start w:val="1"/>
      <w:numFmt w:val="bullet"/>
      <w:lvlText w:val=""/>
      <w:lvlJc w:val="left"/>
      <w:pPr>
        <w:ind w:left="2160" w:hanging="360"/>
      </w:pPr>
      <w:rPr>
        <w:rFonts w:ascii="Wingdings" w:hAnsi="Wingdings" w:hint="default"/>
      </w:rPr>
    </w:lvl>
    <w:lvl w:ilvl="3" w:tplc="4186119A" w:tentative="1">
      <w:start w:val="1"/>
      <w:numFmt w:val="bullet"/>
      <w:lvlText w:val=""/>
      <w:lvlJc w:val="left"/>
      <w:pPr>
        <w:ind w:left="2880" w:hanging="360"/>
      </w:pPr>
      <w:rPr>
        <w:rFonts w:ascii="Symbol" w:hAnsi="Symbol" w:hint="default"/>
      </w:rPr>
    </w:lvl>
    <w:lvl w:ilvl="4" w:tplc="BDC60924" w:tentative="1">
      <w:start w:val="1"/>
      <w:numFmt w:val="bullet"/>
      <w:lvlText w:val="o"/>
      <w:lvlJc w:val="left"/>
      <w:pPr>
        <w:ind w:left="3600" w:hanging="360"/>
      </w:pPr>
      <w:rPr>
        <w:rFonts w:ascii="Courier New" w:hAnsi="Courier New" w:cs="Courier New" w:hint="default"/>
      </w:rPr>
    </w:lvl>
    <w:lvl w:ilvl="5" w:tplc="FA484FA0" w:tentative="1">
      <w:start w:val="1"/>
      <w:numFmt w:val="bullet"/>
      <w:lvlText w:val=""/>
      <w:lvlJc w:val="left"/>
      <w:pPr>
        <w:ind w:left="4320" w:hanging="360"/>
      </w:pPr>
      <w:rPr>
        <w:rFonts w:ascii="Wingdings" w:hAnsi="Wingdings" w:hint="default"/>
      </w:rPr>
    </w:lvl>
    <w:lvl w:ilvl="6" w:tplc="2F5AD752" w:tentative="1">
      <w:start w:val="1"/>
      <w:numFmt w:val="bullet"/>
      <w:lvlText w:val=""/>
      <w:lvlJc w:val="left"/>
      <w:pPr>
        <w:ind w:left="5040" w:hanging="360"/>
      </w:pPr>
      <w:rPr>
        <w:rFonts w:ascii="Symbol" w:hAnsi="Symbol" w:hint="default"/>
      </w:rPr>
    </w:lvl>
    <w:lvl w:ilvl="7" w:tplc="1730EB84" w:tentative="1">
      <w:start w:val="1"/>
      <w:numFmt w:val="bullet"/>
      <w:lvlText w:val="o"/>
      <w:lvlJc w:val="left"/>
      <w:pPr>
        <w:ind w:left="5760" w:hanging="360"/>
      </w:pPr>
      <w:rPr>
        <w:rFonts w:ascii="Courier New" w:hAnsi="Courier New" w:cs="Courier New" w:hint="default"/>
      </w:rPr>
    </w:lvl>
    <w:lvl w:ilvl="8" w:tplc="C5108742" w:tentative="1">
      <w:start w:val="1"/>
      <w:numFmt w:val="bullet"/>
      <w:lvlText w:val=""/>
      <w:lvlJc w:val="left"/>
      <w:pPr>
        <w:ind w:left="6480" w:hanging="360"/>
      </w:pPr>
      <w:rPr>
        <w:rFonts w:ascii="Wingdings" w:hAnsi="Wingdings" w:hint="default"/>
      </w:rPr>
    </w:lvl>
  </w:abstractNum>
  <w:abstractNum w:abstractNumId="22">
    <w:nsid w:val="620112B3"/>
    <w:multiLevelType w:val="hybridMultilevel"/>
    <w:tmpl w:val="222AF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4FE24D7"/>
    <w:multiLevelType w:val="multilevel"/>
    <w:tmpl w:val="01A0AA5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84D033C"/>
    <w:multiLevelType w:val="multilevel"/>
    <w:tmpl w:val="AA42381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1"/>
  </w:num>
  <w:num w:numId="3">
    <w:abstractNumId w:val="6"/>
  </w:num>
  <w:num w:numId="4">
    <w:abstractNumId w:val="13"/>
  </w:num>
  <w:num w:numId="5">
    <w:abstractNumId w:val="21"/>
  </w:num>
  <w:num w:numId="6">
    <w:abstractNumId w:val="9"/>
  </w:num>
  <w:num w:numId="7">
    <w:abstractNumId w:val="19"/>
  </w:num>
  <w:num w:numId="8">
    <w:abstractNumId w:val="17"/>
  </w:num>
  <w:num w:numId="9">
    <w:abstractNumId w:val="2"/>
  </w:num>
  <w:num w:numId="10">
    <w:abstractNumId w:val="15"/>
  </w:num>
  <w:num w:numId="11">
    <w:abstractNumId w:val="14"/>
  </w:num>
  <w:num w:numId="12">
    <w:abstractNumId w:val="7"/>
  </w:num>
  <w:num w:numId="13">
    <w:abstractNumId w:val="3"/>
  </w:num>
  <w:num w:numId="14">
    <w:abstractNumId w:val="10"/>
  </w:num>
  <w:num w:numId="15">
    <w:abstractNumId w:val="4"/>
  </w:num>
  <w:num w:numId="16">
    <w:abstractNumId w:val="20"/>
  </w:num>
  <w:num w:numId="17">
    <w:abstractNumId w:val="23"/>
  </w:num>
  <w:num w:numId="18">
    <w:abstractNumId w:val="18"/>
  </w:num>
  <w:num w:numId="19">
    <w:abstractNumId w:val="8"/>
  </w:num>
  <w:num w:numId="20">
    <w:abstractNumId w:val="16"/>
  </w:num>
  <w:num w:numId="21">
    <w:abstractNumId w:val="1"/>
  </w:num>
  <w:num w:numId="22">
    <w:abstractNumId w:val="0"/>
  </w:num>
  <w:num w:numId="23">
    <w:abstractNumId w:val="5"/>
  </w:num>
  <w:num w:numId="24">
    <w:abstractNumId w:val="22"/>
  </w:num>
  <w:num w:numId="25">
    <w:abstractNumId w:val="12"/>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 Zavarsek">
    <w15:presenceInfo w15:providerId="AD" w15:userId="S-1-5-21-948756243-734778046-674738317-20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842"/>
    <w:rsid w:val="00000C07"/>
    <w:rsid w:val="000010DF"/>
    <w:rsid w:val="0000110B"/>
    <w:rsid w:val="00001AC2"/>
    <w:rsid w:val="00001DE2"/>
    <w:rsid w:val="00001E1F"/>
    <w:rsid w:val="000029D6"/>
    <w:rsid w:val="00003207"/>
    <w:rsid w:val="000034CE"/>
    <w:rsid w:val="00003E4F"/>
    <w:rsid w:val="00003E85"/>
    <w:rsid w:val="00004CCB"/>
    <w:rsid w:val="000051AE"/>
    <w:rsid w:val="00005FD6"/>
    <w:rsid w:val="00007589"/>
    <w:rsid w:val="00010439"/>
    <w:rsid w:val="000109D8"/>
    <w:rsid w:val="00010AA7"/>
    <w:rsid w:val="00010BB6"/>
    <w:rsid w:val="00010EAD"/>
    <w:rsid w:val="00011A59"/>
    <w:rsid w:val="00011BE1"/>
    <w:rsid w:val="0001254A"/>
    <w:rsid w:val="00012A79"/>
    <w:rsid w:val="00012BA5"/>
    <w:rsid w:val="00013247"/>
    <w:rsid w:val="0001328E"/>
    <w:rsid w:val="0001477A"/>
    <w:rsid w:val="000153F8"/>
    <w:rsid w:val="00015886"/>
    <w:rsid w:val="00015E5D"/>
    <w:rsid w:val="000162EF"/>
    <w:rsid w:val="00016F29"/>
    <w:rsid w:val="00016FD8"/>
    <w:rsid w:val="000175DD"/>
    <w:rsid w:val="00017CCE"/>
    <w:rsid w:val="0002024C"/>
    <w:rsid w:val="00020BAE"/>
    <w:rsid w:val="000213F9"/>
    <w:rsid w:val="0002174B"/>
    <w:rsid w:val="00021F31"/>
    <w:rsid w:val="0002225F"/>
    <w:rsid w:val="00022C95"/>
    <w:rsid w:val="00023763"/>
    <w:rsid w:val="00023793"/>
    <w:rsid w:val="00023BA0"/>
    <w:rsid w:val="00023F15"/>
    <w:rsid w:val="00024A66"/>
    <w:rsid w:val="00024EC4"/>
    <w:rsid w:val="00025647"/>
    <w:rsid w:val="00025693"/>
    <w:rsid w:val="00025A2C"/>
    <w:rsid w:val="000268ED"/>
    <w:rsid w:val="00026C2E"/>
    <w:rsid w:val="00026EDC"/>
    <w:rsid w:val="00026F88"/>
    <w:rsid w:val="00027459"/>
    <w:rsid w:val="00027687"/>
    <w:rsid w:val="00027737"/>
    <w:rsid w:val="00027862"/>
    <w:rsid w:val="00030737"/>
    <w:rsid w:val="00030804"/>
    <w:rsid w:val="00030C49"/>
    <w:rsid w:val="00030CBD"/>
    <w:rsid w:val="00032B73"/>
    <w:rsid w:val="0003334B"/>
    <w:rsid w:val="00033D37"/>
    <w:rsid w:val="00034753"/>
    <w:rsid w:val="00034A5C"/>
    <w:rsid w:val="00034F38"/>
    <w:rsid w:val="0003532D"/>
    <w:rsid w:val="00035B75"/>
    <w:rsid w:val="00035EAF"/>
    <w:rsid w:val="00036E11"/>
    <w:rsid w:val="00036EF7"/>
    <w:rsid w:val="00037166"/>
    <w:rsid w:val="00037624"/>
    <w:rsid w:val="00037C6E"/>
    <w:rsid w:val="000401ED"/>
    <w:rsid w:val="000402E5"/>
    <w:rsid w:val="00040554"/>
    <w:rsid w:val="000405B2"/>
    <w:rsid w:val="00040895"/>
    <w:rsid w:val="00040A75"/>
    <w:rsid w:val="00040A78"/>
    <w:rsid w:val="00041267"/>
    <w:rsid w:val="0004204B"/>
    <w:rsid w:val="00042117"/>
    <w:rsid w:val="0004231D"/>
    <w:rsid w:val="000435F5"/>
    <w:rsid w:val="00043C37"/>
    <w:rsid w:val="000449B4"/>
    <w:rsid w:val="00045623"/>
    <w:rsid w:val="00045971"/>
    <w:rsid w:val="00045A0F"/>
    <w:rsid w:val="00045C59"/>
    <w:rsid w:val="000463B6"/>
    <w:rsid w:val="00046483"/>
    <w:rsid w:val="00046744"/>
    <w:rsid w:val="00046A2A"/>
    <w:rsid w:val="00046CFE"/>
    <w:rsid w:val="00046D69"/>
    <w:rsid w:val="00046F0A"/>
    <w:rsid w:val="00046FD3"/>
    <w:rsid w:val="00046FEE"/>
    <w:rsid w:val="00047328"/>
    <w:rsid w:val="0004749C"/>
    <w:rsid w:val="00047BE2"/>
    <w:rsid w:val="00047EB1"/>
    <w:rsid w:val="0005037D"/>
    <w:rsid w:val="00051088"/>
    <w:rsid w:val="000527D6"/>
    <w:rsid w:val="00052A62"/>
    <w:rsid w:val="00053045"/>
    <w:rsid w:val="00053215"/>
    <w:rsid w:val="00053B9F"/>
    <w:rsid w:val="00053CF7"/>
    <w:rsid w:val="000542D1"/>
    <w:rsid w:val="000546D7"/>
    <w:rsid w:val="00054D98"/>
    <w:rsid w:val="00054F4C"/>
    <w:rsid w:val="0005526C"/>
    <w:rsid w:val="00055D10"/>
    <w:rsid w:val="00055F15"/>
    <w:rsid w:val="00056584"/>
    <w:rsid w:val="00056FC6"/>
    <w:rsid w:val="00057050"/>
    <w:rsid w:val="0005712E"/>
    <w:rsid w:val="0005748E"/>
    <w:rsid w:val="000603D3"/>
    <w:rsid w:val="00060D99"/>
    <w:rsid w:val="000612D0"/>
    <w:rsid w:val="00062489"/>
    <w:rsid w:val="00062CBC"/>
    <w:rsid w:val="00063FEB"/>
    <w:rsid w:val="0006486C"/>
    <w:rsid w:val="00064A60"/>
    <w:rsid w:val="00064C8F"/>
    <w:rsid w:val="00064E2D"/>
    <w:rsid w:val="00064EE0"/>
    <w:rsid w:val="00065092"/>
    <w:rsid w:val="00065291"/>
    <w:rsid w:val="00065DAB"/>
    <w:rsid w:val="0006611A"/>
    <w:rsid w:val="00066B5E"/>
    <w:rsid w:val="0007047F"/>
    <w:rsid w:val="000705A8"/>
    <w:rsid w:val="000706B7"/>
    <w:rsid w:val="000708A0"/>
    <w:rsid w:val="000709FB"/>
    <w:rsid w:val="00071248"/>
    <w:rsid w:val="000716F9"/>
    <w:rsid w:val="000720B9"/>
    <w:rsid w:val="000721CE"/>
    <w:rsid w:val="000725D6"/>
    <w:rsid w:val="00073E11"/>
    <w:rsid w:val="00073EB5"/>
    <w:rsid w:val="0007405D"/>
    <w:rsid w:val="0007440A"/>
    <w:rsid w:val="00074423"/>
    <w:rsid w:val="0007499D"/>
    <w:rsid w:val="000750E4"/>
    <w:rsid w:val="00075A0E"/>
    <w:rsid w:val="00075B44"/>
    <w:rsid w:val="00076289"/>
    <w:rsid w:val="000767B2"/>
    <w:rsid w:val="00077C77"/>
    <w:rsid w:val="000807DE"/>
    <w:rsid w:val="00080D54"/>
    <w:rsid w:val="00081183"/>
    <w:rsid w:val="000812CA"/>
    <w:rsid w:val="00081607"/>
    <w:rsid w:val="00081D87"/>
    <w:rsid w:val="00081DE2"/>
    <w:rsid w:val="000822FC"/>
    <w:rsid w:val="000823D1"/>
    <w:rsid w:val="00082A9E"/>
    <w:rsid w:val="00082B84"/>
    <w:rsid w:val="00082E1D"/>
    <w:rsid w:val="00083BCF"/>
    <w:rsid w:val="00084EED"/>
    <w:rsid w:val="0008584C"/>
    <w:rsid w:val="00085CA7"/>
    <w:rsid w:val="00086C47"/>
    <w:rsid w:val="00087254"/>
    <w:rsid w:val="0008775B"/>
    <w:rsid w:val="00087B34"/>
    <w:rsid w:val="000902D1"/>
    <w:rsid w:val="00090363"/>
    <w:rsid w:val="00090C7E"/>
    <w:rsid w:val="00091215"/>
    <w:rsid w:val="00091291"/>
    <w:rsid w:val="00091448"/>
    <w:rsid w:val="0009161C"/>
    <w:rsid w:val="00091C6E"/>
    <w:rsid w:val="00092C00"/>
    <w:rsid w:val="0009300F"/>
    <w:rsid w:val="00093392"/>
    <w:rsid w:val="00094B99"/>
    <w:rsid w:val="00094DCF"/>
    <w:rsid w:val="00096E1F"/>
    <w:rsid w:val="0009740B"/>
    <w:rsid w:val="0009795D"/>
    <w:rsid w:val="000A02A1"/>
    <w:rsid w:val="000A074C"/>
    <w:rsid w:val="000A0AAF"/>
    <w:rsid w:val="000A0DD7"/>
    <w:rsid w:val="000A14F2"/>
    <w:rsid w:val="000A2145"/>
    <w:rsid w:val="000A2C00"/>
    <w:rsid w:val="000A2DE1"/>
    <w:rsid w:val="000A3D83"/>
    <w:rsid w:val="000A3E3C"/>
    <w:rsid w:val="000A4164"/>
    <w:rsid w:val="000A4BC4"/>
    <w:rsid w:val="000A4E05"/>
    <w:rsid w:val="000A517E"/>
    <w:rsid w:val="000A51F1"/>
    <w:rsid w:val="000A68C0"/>
    <w:rsid w:val="000A6D8D"/>
    <w:rsid w:val="000A6E04"/>
    <w:rsid w:val="000A76D6"/>
    <w:rsid w:val="000B06F7"/>
    <w:rsid w:val="000B0F72"/>
    <w:rsid w:val="000B1312"/>
    <w:rsid w:val="000B18BC"/>
    <w:rsid w:val="000B2D6B"/>
    <w:rsid w:val="000B3025"/>
    <w:rsid w:val="000B30B5"/>
    <w:rsid w:val="000B4018"/>
    <w:rsid w:val="000B402E"/>
    <w:rsid w:val="000B42FA"/>
    <w:rsid w:val="000B4844"/>
    <w:rsid w:val="000B4D52"/>
    <w:rsid w:val="000B56F5"/>
    <w:rsid w:val="000B5A90"/>
    <w:rsid w:val="000B5EA3"/>
    <w:rsid w:val="000B62CC"/>
    <w:rsid w:val="000B6F34"/>
    <w:rsid w:val="000B6FCD"/>
    <w:rsid w:val="000B7983"/>
    <w:rsid w:val="000C02A5"/>
    <w:rsid w:val="000C0780"/>
    <w:rsid w:val="000C0FB1"/>
    <w:rsid w:val="000C153E"/>
    <w:rsid w:val="000C19A0"/>
    <w:rsid w:val="000C1A26"/>
    <w:rsid w:val="000C1A76"/>
    <w:rsid w:val="000C1FA0"/>
    <w:rsid w:val="000C2140"/>
    <w:rsid w:val="000C21BA"/>
    <w:rsid w:val="000C2250"/>
    <w:rsid w:val="000C2DA0"/>
    <w:rsid w:val="000C2E1E"/>
    <w:rsid w:val="000C3090"/>
    <w:rsid w:val="000C444D"/>
    <w:rsid w:val="000C53FE"/>
    <w:rsid w:val="000C5FF0"/>
    <w:rsid w:val="000C6974"/>
    <w:rsid w:val="000C6D48"/>
    <w:rsid w:val="000C7018"/>
    <w:rsid w:val="000C70F9"/>
    <w:rsid w:val="000C712D"/>
    <w:rsid w:val="000C7878"/>
    <w:rsid w:val="000C7BF9"/>
    <w:rsid w:val="000D00FD"/>
    <w:rsid w:val="000D038E"/>
    <w:rsid w:val="000D0C9F"/>
    <w:rsid w:val="000D1BFC"/>
    <w:rsid w:val="000D2132"/>
    <w:rsid w:val="000D29B9"/>
    <w:rsid w:val="000D2AD1"/>
    <w:rsid w:val="000D2FBA"/>
    <w:rsid w:val="000D352F"/>
    <w:rsid w:val="000D362D"/>
    <w:rsid w:val="000D3F07"/>
    <w:rsid w:val="000D4030"/>
    <w:rsid w:val="000D4552"/>
    <w:rsid w:val="000D4B8F"/>
    <w:rsid w:val="000D592C"/>
    <w:rsid w:val="000D5A27"/>
    <w:rsid w:val="000D61AF"/>
    <w:rsid w:val="000D79DC"/>
    <w:rsid w:val="000E0D65"/>
    <w:rsid w:val="000E11D4"/>
    <w:rsid w:val="000E1408"/>
    <w:rsid w:val="000E1589"/>
    <w:rsid w:val="000E36D6"/>
    <w:rsid w:val="000E3C0D"/>
    <w:rsid w:val="000E3D03"/>
    <w:rsid w:val="000E4C3E"/>
    <w:rsid w:val="000E4D76"/>
    <w:rsid w:val="000E4EAD"/>
    <w:rsid w:val="000E51BE"/>
    <w:rsid w:val="000E5277"/>
    <w:rsid w:val="000E5393"/>
    <w:rsid w:val="000E555C"/>
    <w:rsid w:val="000E5629"/>
    <w:rsid w:val="000E59CF"/>
    <w:rsid w:val="000E6806"/>
    <w:rsid w:val="000E6976"/>
    <w:rsid w:val="000E74A3"/>
    <w:rsid w:val="000E761E"/>
    <w:rsid w:val="000E7784"/>
    <w:rsid w:val="000F04F2"/>
    <w:rsid w:val="000F0AEE"/>
    <w:rsid w:val="000F1046"/>
    <w:rsid w:val="000F13A7"/>
    <w:rsid w:val="000F1FFA"/>
    <w:rsid w:val="000F2D40"/>
    <w:rsid w:val="000F30D0"/>
    <w:rsid w:val="000F39E6"/>
    <w:rsid w:val="000F4046"/>
    <w:rsid w:val="000F4377"/>
    <w:rsid w:val="000F52CF"/>
    <w:rsid w:val="000F5845"/>
    <w:rsid w:val="000F5B4A"/>
    <w:rsid w:val="000F7924"/>
    <w:rsid w:val="000F7A05"/>
    <w:rsid w:val="000F7C73"/>
    <w:rsid w:val="00100226"/>
    <w:rsid w:val="001003A9"/>
    <w:rsid w:val="00100DD2"/>
    <w:rsid w:val="00100F8A"/>
    <w:rsid w:val="00101327"/>
    <w:rsid w:val="001014F9"/>
    <w:rsid w:val="0010162E"/>
    <w:rsid w:val="00101C2F"/>
    <w:rsid w:val="00103ADE"/>
    <w:rsid w:val="00103B80"/>
    <w:rsid w:val="00104BBF"/>
    <w:rsid w:val="0010538E"/>
    <w:rsid w:val="00105405"/>
    <w:rsid w:val="00105FEC"/>
    <w:rsid w:val="0010633B"/>
    <w:rsid w:val="001069F4"/>
    <w:rsid w:val="0011032E"/>
    <w:rsid w:val="001105EA"/>
    <w:rsid w:val="00110A43"/>
    <w:rsid w:val="00111ADC"/>
    <w:rsid w:val="00111E11"/>
    <w:rsid w:val="00112F47"/>
    <w:rsid w:val="00113D4D"/>
    <w:rsid w:val="00113F68"/>
    <w:rsid w:val="001153A0"/>
    <w:rsid w:val="001155E6"/>
    <w:rsid w:val="00115929"/>
    <w:rsid w:val="00115BB7"/>
    <w:rsid w:val="00115F24"/>
    <w:rsid w:val="00116CAB"/>
    <w:rsid w:val="00117244"/>
    <w:rsid w:val="0012062F"/>
    <w:rsid w:val="00121799"/>
    <w:rsid w:val="00121A19"/>
    <w:rsid w:val="00121E37"/>
    <w:rsid w:val="00121EC2"/>
    <w:rsid w:val="001222FC"/>
    <w:rsid w:val="00122424"/>
    <w:rsid w:val="001227AE"/>
    <w:rsid w:val="00122C4D"/>
    <w:rsid w:val="00123216"/>
    <w:rsid w:val="001234E6"/>
    <w:rsid w:val="001238C9"/>
    <w:rsid w:val="001246A5"/>
    <w:rsid w:val="00124A51"/>
    <w:rsid w:val="001251E4"/>
    <w:rsid w:val="0012589F"/>
    <w:rsid w:val="00125BAD"/>
    <w:rsid w:val="00126621"/>
    <w:rsid w:val="00126DDE"/>
    <w:rsid w:val="001270A9"/>
    <w:rsid w:val="001275E5"/>
    <w:rsid w:val="0012761D"/>
    <w:rsid w:val="001301E9"/>
    <w:rsid w:val="00131124"/>
    <w:rsid w:val="00131820"/>
    <w:rsid w:val="00132A33"/>
    <w:rsid w:val="00132CB5"/>
    <w:rsid w:val="00132EE5"/>
    <w:rsid w:val="0013321F"/>
    <w:rsid w:val="00133D8B"/>
    <w:rsid w:val="00133FA0"/>
    <w:rsid w:val="001340B8"/>
    <w:rsid w:val="00134DB4"/>
    <w:rsid w:val="00134DB9"/>
    <w:rsid w:val="00135EAC"/>
    <w:rsid w:val="001360D7"/>
    <w:rsid w:val="00136275"/>
    <w:rsid w:val="00136F2F"/>
    <w:rsid w:val="00137645"/>
    <w:rsid w:val="00137B4E"/>
    <w:rsid w:val="0014015A"/>
    <w:rsid w:val="00140A9D"/>
    <w:rsid w:val="00140E99"/>
    <w:rsid w:val="001411D2"/>
    <w:rsid w:val="00141297"/>
    <w:rsid w:val="001419A3"/>
    <w:rsid w:val="00142BB8"/>
    <w:rsid w:val="0014308F"/>
    <w:rsid w:val="00143F00"/>
    <w:rsid w:val="00144525"/>
    <w:rsid w:val="00144535"/>
    <w:rsid w:val="00144CB7"/>
    <w:rsid w:val="001456B0"/>
    <w:rsid w:val="00145787"/>
    <w:rsid w:val="001462AE"/>
    <w:rsid w:val="00146EA4"/>
    <w:rsid w:val="0014756A"/>
    <w:rsid w:val="00147EF4"/>
    <w:rsid w:val="00150265"/>
    <w:rsid w:val="001505AF"/>
    <w:rsid w:val="00150665"/>
    <w:rsid w:val="00150692"/>
    <w:rsid w:val="00150BB8"/>
    <w:rsid w:val="00151FD4"/>
    <w:rsid w:val="00152C4E"/>
    <w:rsid w:val="00152F61"/>
    <w:rsid w:val="001536E0"/>
    <w:rsid w:val="001536FD"/>
    <w:rsid w:val="00153EB8"/>
    <w:rsid w:val="001543CF"/>
    <w:rsid w:val="00154602"/>
    <w:rsid w:val="00154E2D"/>
    <w:rsid w:val="00155165"/>
    <w:rsid w:val="00155B22"/>
    <w:rsid w:val="00155D78"/>
    <w:rsid w:val="00156616"/>
    <w:rsid w:val="00156952"/>
    <w:rsid w:val="00157130"/>
    <w:rsid w:val="00157C82"/>
    <w:rsid w:val="00160356"/>
    <w:rsid w:val="0016049E"/>
    <w:rsid w:val="00160BEB"/>
    <w:rsid w:val="001611CD"/>
    <w:rsid w:val="00161B7E"/>
    <w:rsid w:val="001622BB"/>
    <w:rsid w:val="00162655"/>
    <w:rsid w:val="001626B8"/>
    <w:rsid w:val="00162913"/>
    <w:rsid w:val="00162C4F"/>
    <w:rsid w:val="001631C5"/>
    <w:rsid w:val="00163EFF"/>
    <w:rsid w:val="0016434C"/>
    <w:rsid w:val="00164B4A"/>
    <w:rsid w:val="00164F81"/>
    <w:rsid w:val="00165BDF"/>
    <w:rsid w:val="001661FB"/>
    <w:rsid w:val="001668EF"/>
    <w:rsid w:val="00166914"/>
    <w:rsid w:val="00166C1D"/>
    <w:rsid w:val="00166F3A"/>
    <w:rsid w:val="0016783D"/>
    <w:rsid w:val="00167D7C"/>
    <w:rsid w:val="001701DD"/>
    <w:rsid w:val="0017074D"/>
    <w:rsid w:val="00171702"/>
    <w:rsid w:val="00171995"/>
    <w:rsid w:val="00171A86"/>
    <w:rsid w:val="00173466"/>
    <w:rsid w:val="00173DBF"/>
    <w:rsid w:val="00174828"/>
    <w:rsid w:val="00175616"/>
    <w:rsid w:val="00175A36"/>
    <w:rsid w:val="00175D11"/>
    <w:rsid w:val="0017672A"/>
    <w:rsid w:val="00176D9C"/>
    <w:rsid w:val="00180450"/>
    <w:rsid w:val="00180501"/>
    <w:rsid w:val="00180AE2"/>
    <w:rsid w:val="00181292"/>
    <w:rsid w:val="0018133F"/>
    <w:rsid w:val="001816B9"/>
    <w:rsid w:val="0018193E"/>
    <w:rsid w:val="00181B31"/>
    <w:rsid w:val="001824D9"/>
    <w:rsid w:val="00182731"/>
    <w:rsid w:val="00182B86"/>
    <w:rsid w:val="00182D4A"/>
    <w:rsid w:val="00182E03"/>
    <w:rsid w:val="0018341B"/>
    <w:rsid w:val="00183932"/>
    <w:rsid w:val="00183B23"/>
    <w:rsid w:val="0018414D"/>
    <w:rsid w:val="001844ED"/>
    <w:rsid w:val="001845BB"/>
    <w:rsid w:val="001847A0"/>
    <w:rsid w:val="00184928"/>
    <w:rsid w:val="00185EB2"/>
    <w:rsid w:val="0018639B"/>
    <w:rsid w:val="00186407"/>
    <w:rsid w:val="00186499"/>
    <w:rsid w:val="00186E94"/>
    <w:rsid w:val="0019013B"/>
    <w:rsid w:val="001905E0"/>
    <w:rsid w:val="00190DD7"/>
    <w:rsid w:val="001913A1"/>
    <w:rsid w:val="00191565"/>
    <w:rsid w:val="0019189E"/>
    <w:rsid w:val="00191DC4"/>
    <w:rsid w:val="00192157"/>
    <w:rsid w:val="0019234D"/>
    <w:rsid w:val="00192A7F"/>
    <w:rsid w:val="0019308C"/>
    <w:rsid w:val="0019435E"/>
    <w:rsid w:val="00194778"/>
    <w:rsid w:val="00194BFC"/>
    <w:rsid w:val="00195222"/>
    <w:rsid w:val="001956FC"/>
    <w:rsid w:val="00195ABB"/>
    <w:rsid w:val="00196203"/>
    <w:rsid w:val="001963A8"/>
    <w:rsid w:val="00196CEA"/>
    <w:rsid w:val="001971A6"/>
    <w:rsid w:val="00197471"/>
    <w:rsid w:val="001975D8"/>
    <w:rsid w:val="00197760"/>
    <w:rsid w:val="00197E76"/>
    <w:rsid w:val="001A0F73"/>
    <w:rsid w:val="001A100A"/>
    <w:rsid w:val="001A1440"/>
    <w:rsid w:val="001A156F"/>
    <w:rsid w:val="001A2095"/>
    <w:rsid w:val="001A21EC"/>
    <w:rsid w:val="001A235E"/>
    <w:rsid w:val="001A2487"/>
    <w:rsid w:val="001A26DD"/>
    <w:rsid w:val="001A2C8E"/>
    <w:rsid w:val="001A2F88"/>
    <w:rsid w:val="001A2FD9"/>
    <w:rsid w:val="001A36FB"/>
    <w:rsid w:val="001A4336"/>
    <w:rsid w:val="001A4634"/>
    <w:rsid w:val="001A4704"/>
    <w:rsid w:val="001A47FC"/>
    <w:rsid w:val="001A53CD"/>
    <w:rsid w:val="001A5633"/>
    <w:rsid w:val="001A5DF5"/>
    <w:rsid w:val="001A603E"/>
    <w:rsid w:val="001A60EB"/>
    <w:rsid w:val="001A6129"/>
    <w:rsid w:val="001A6B21"/>
    <w:rsid w:val="001A7168"/>
    <w:rsid w:val="001A7179"/>
    <w:rsid w:val="001A7206"/>
    <w:rsid w:val="001A79E9"/>
    <w:rsid w:val="001A7AAE"/>
    <w:rsid w:val="001B04FD"/>
    <w:rsid w:val="001B09C0"/>
    <w:rsid w:val="001B0A4D"/>
    <w:rsid w:val="001B11AB"/>
    <w:rsid w:val="001B1558"/>
    <w:rsid w:val="001B17BD"/>
    <w:rsid w:val="001B1D9C"/>
    <w:rsid w:val="001B2582"/>
    <w:rsid w:val="001B29D5"/>
    <w:rsid w:val="001B2C41"/>
    <w:rsid w:val="001B2D68"/>
    <w:rsid w:val="001B2EDF"/>
    <w:rsid w:val="001B2FE0"/>
    <w:rsid w:val="001B3443"/>
    <w:rsid w:val="001B3D76"/>
    <w:rsid w:val="001B40EB"/>
    <w:rsid w:val="001B42EA"/>
    <w:rsid w:val="001B43FC"/>
    <w:rsid w:val="001B4A5C"/>
    <w:rsid w:val="001B4C11"/>
    <w:rsid w:val="001B52FB"/>
    <w:rsid w:val="001B5646"/>
    <w:rsid w:val="001B5B53"/>
    <w:rsid w:val="001B6188"/>
    <w:rsid w:val="001B72D3"/>
    <w:rsid w:val="001C0671"/>
    <w:rsid w:val="001C0C69"/>
    <w:rsid w:val="001C1030"/>
    <w:rsid w:val="001C13F9"/>
    <w:rsid w:val="001C1D2A"/>
    <w:rsid w:val="001C1EE4"/>
    <w:rsid w:val="001C2035"/>
    <w:rsid w:val="001C266D"/>
    <w:rsid w:val="001C2D21"/>
    <w:rsid w:val="001C32FC"/>
    <w:rsid w:val="001C3BCD"/>
    <w:rsid w:val="001C4391"/>
    <w:rsid w:val="001C4A56"/>
    <w:rsid w:val="001C61B8"/>
    <w:rsid w:val="001C65E1"/>
    <w:rsid w:val="001C6891"/>
    <w:rsid w:val="001C6E66"/>
    <w:rsid w:val="001C7031"/>
    <w:rsid w:val="001C7CAD"/>
    <w:rsid w:val="001D112E"/>
    <w:rsid w:val="001D1434"/>
    <w:rsid w:val="001D1725"/>
    <w:rsid w:val="001D1932"/>
    <w:rsid w:val="001D1CF7"/>
    <w:rsid w:val="001D1DB9"/>
    <w:rsid w:val="001D23BC"/>
    <w:rsid w:val="001D2C25"/>
    <w:rsid w:val="001D302A"/>
    <w:rsid w:val="001D3212"/>
    <w:rsid w:val="001D3FCE"/>
    <w:rsid w:val="001D4026"/>
    <w:rsid w:val="001D4297"/>
    <w:rsid w:val="001D4507"/>
    <w:rsid w:val="001D4556"/>
    <w:rsid w:val="001D48FB"/>
    <w:rsid w:val="001D55C8"/>
    <w:rsid w:val="001D5639"/>
    <w:rsid w:val="001D57AB"/>
    <w:rsid w:val="001D5954"/>
    <w:rsid w:val="001D6112"/>
    <w:rsid w:val="001D6F88"/>
    <w:rsid w:val="001D7415"/>
    <w:rsid w:val="001D747B"/>
    <w:rsid w:val="001D7482"/>
    <w:rsid w:val="001E01A4"/>
    <w:rsid w:val="001E134B"/>
    <w:rsid w:val="001E224C"/>
    <w:rsid w:val="001E2354"/>
    <w:rsid w:val="001E238E"/>
    <w:rsid w:val="001E2507"/>
    <w:rsid w:val="001E2648"/>
    <w:rsid w:val="001E331C"/>
    <w:rsid w:val="001E3336"/>
    <w:rsid w:val="001E334D"/>
    <w:rsid w:val="001E33D4"/>
    <w:rsid w:val="001E5248"/>
    <w:rsid w:val="001E52EB"/>
    <w:rsid w:val="001E676A"/>
    <w:rsid w:val="001E6C9D"/>
    <w:rsid w:val="001E6CA5"/>
    <w:rsid w:val="001E71A9"/>
    <w:rsid w:val="001E740C"/>
    <w:rsid w:val="001E7C85"/>
    <w:rsid w:val="001F1235"/>
    <w:rsid w:val="001F1319"/>
    <w:rsid w:val="001F18BA"/>
    <w:rsid w:val="001F195A"/>
    <w:rsid w:val="001F19DD"/>
    <w:rsid w:val="001F1CB3"/>
    <w:rsid w:val="001F20CE"/>
    <w:rsid w:val="001F2982"/>
    <w:rsid w:val="001F3764"/>
    <w:rsid w:val="001F40D9"/>
    <w:rsid w:val="001F4109"/>
    <w:rsid w:val="001F436A"/>
    <w:rsid w:val="001F4735"/>
    <w:rsid w:val="001F4D55"/>
    <w:rsid w:val="001F4EAD"/>
    <w:rsid w:val="001F69FA"/>
    <w:rsid w:val="001F7361"/>
    <w:rsid w:val="001F7A9A"/>
    <w:rsid w:val="001F7C36"/>
    <w:rsid w:val="00200794"/>
    <w:rsid w:val="00201169"/>
    <w:rsid w:val="00202356"/>
    <w:rsid w:val="002024BC"/>
    <w:rsid w:val="002025FE"/>
    <w:rsid w:val="002028D2"/>
    <w:rsid w:val="00202F1E"/>
    <w:rsid w:val="00204409"/>
    <w:rsid w:val="002045D0"/>
    <w:rsid w:val="00205C7A"/>
    <w:rsid w:val="0020640B"/>
    <w:rsid w:val="002065FC"/>
    <w:rsid w:val="00206671"/>
    <w:rsid w:val="00206841"/>
    <w:rsid w:val="002069A5"/>
    <w:rsid w:val="00207170"/>
    <w:rsid w:val="00207227"/>
    <w:rsid w:val="002105C1"/>
    <w:rsid w:val="0021078C"/>
    <w:rsid w:val="00210833"/>
    <w:rsid w:val="002109DB"/>
    <w:rsid w:val="00210E8B"/>
    <w:rsid w:val="0021103A"/>
    <w:rsid w:val="0021103B"/>
    <w:rsid w:val="002127A1"/>
    <w:rsid w:val="002127A8"/>
    <w:rsid w:val="00212DA1"/>
    <w:rsid w:val="002138CA"/>
    <w:rsid w:val="002143EE"/>
    <w:rsid w:val="00214494"/>
    <w:rsid w:val="00214780"/>
    <w:rsid w:val="002162EF"/>
    <w:rsid w:val="002168D6"/>
    <w:rsid w:val="0021712C"/>
    <w:rsid w:val="0021723A"/>
    <w:rsid w:val="00217C7C"/>
    <w:rsid w:val="00220BF3"/>
    <w:rsid w:val="00221018"/>
    <w:rsid w:val="00221106"/>
    <w:rsid w:val="00221479"/>
    <w:rsid w:val="002216B0"/>
    <w:rsid w:val="0022188E"/>
    <w:rsid w:val="00221AE1"/>
    <w:rsid w:val="00221B81"/>
    <w:rsid w:val="0022202E"/>
    <w:rsid w:val="002223E7"/>
    <w:rsid w:val="00222439"/>
    <w:rsid w:val="00222FD0"/>
    <w:rsid w:val="00223313"/>
    <w:rsid w:val="0022390D"/>
    <w:rsid w:val="00223B49"/>
    <w:rsid w:val="002240AB"/>
    <w:rsid w:val="00224326"/>
    <w:rsid w:val="00224DD4"/>
    <w:rsid w:val="00225565"/>
    <w:rsid w:val="0022596D"/>
    <w:rsid w:val="00225ABF"/>
    <w:rsid w:val="00226A02"/>
    <w:rsid w:val="002271E0"/>
    <w:rsid w:val="0022725D"/>
    <w:rsid w:val="002273AE"/>
    <w:rsid w:val="002279EE"/>
    <w:rsid w:val="00227A19"/>
    <w:rsid w:val="00227F2F"/>
    <w:rsid w:val="002309CC"/>
    <w:rsid w:val="00230B9B"/>
    <w:rsid w:val="00230C6D"/>
    <w:rsid w:val="00230CEC"/>
    <w:rsid w:val="00230F82"/>
    <w:rsid w:val="00232056"/>
    <w:rsid w:val="00232538"/>
    <w:rsid w:val="002334EF"/>
    <w:rsid w:val="00233AA7"/>
    <w:rsid w:val="002346F2"/>
    <w:rsid w:val="00234DB9"/>
    <w:rsid w:val="002353CF"/>
    <w:rsid w:val="002354B7"/>
    <w:rsid w:val="00235EF6"/>
    <w:rsid w:val="00236F58"/>
    <w:rsid w:val="0024003B"/>
    <w:rsid w:val="002408CF"/>
    <w:rsid w:val="00240910"/>
    <w:rsid w:val="0024131D"/>
    <w:rsid w:val="002413C2"/>
    <w:rsid w:val="00241511"/>
    <w:rsid w:val="00241825"/>
    <w:rsid w:val="00241CDE"/>
    <w:rsid w:val="0024256E"/>
    <w:rsid w:val="00242837"/>
    <w:rsid w:val="0024409F"/>
    <w:rsid w:val="00244149"/>
    <w:rsid w:val="00244BA4"/>
    <w:rsid w:val="00244D1D"/>
    <w:rsid w:val="002451C2"/>
    <w:rsid w:val="0024542A"/>
    <w:rsid w:val="002454E4"/>
    <w:rsid w:val="00245717"/>
    <w:rsid w:val="00246387"/>
    <w:rsid w:val="00247167"/>
    <w:rsid w:val="0025010D"/>
    <w:rsid w:val="00251A4B"/>
    <w:rsid w:val="00251B62"/>
    <w:rsid w:val="00251C25"/>
    <w:rsid w:val="00251E42"/>
    <w:rsid w:val="00251FCF"/>
    <w:rsid w:val="002522EE"/>
    <w:rsid w:val="002531E9"/>
    <w:rsid w:val="0025365F"/>
    <w:rsid w:val="00253F14"/>
    <w:rsid w:val="00254A2B"/>
    <w:rsid w:val="00254C0F"/>
    <w:rsid w:val="0025534B"/>
    <w:rsid w:val="00255390"/>
    <w:rsid w:val="00255AF7"/>
    <w:rsid w:val="00255BB7"/>
    <w:rsid w:val="002562A8"/>
    <w:rsid w:val="002564A0"/>
    <w:rsid w:val="00256E3B"/>
    <w:rsid w:val="00256F02"/>
    <w:rsid w:val="00256FCF"/>
    <w:rsid w:val="002570C5"/>
    <w:rsid w:val="00257222"/>
    <w:rsid w:val="00257517"/>
    <w:rsid w:val="00257D93"/>
    <w:rsid w:val="00257E17"/>
    <w:rsid w:val="002606D4"/>
    <w:rsid w:val="00260763"/>
    <w:rsid w:val="00261152"/>
    <w:rsid w:val="0026194E"/>
    <w:rsid w:val="00261C3C"/>
    <w:rsid w:val="00262249"/>
    <w:rsid w:val="00262359"/>
    <w:rsid w:val="00262409"/>
    <w:rsid w:val="00262A87"/>
    <w:rsid w:val="00262B59"/>
    <w:rsid w:val="00262BBD"/>
    <w:rsid w:val="002631BE"/>
    <w:rsid w:val="00264818"/>
    <w:rsid w:val="00264DCD"/>
    <w:rsid w:val="00265327"/>
    <w:rsid w:val="00265425"/>
    <w:rsid w:val="00265489"/>
    <w:rsid w:val="002660DB"/>
    <w:rsid w:val="00266497"/>
    <w:rsid w:val="002666F6"/>
    <w:rsid w:val="00266797"/>
    <w:rsid w:val="00266CD7"/>
    <w:rsid w:val="00266DB9"/>
    <w:rsid w:val="00267506"/>
    <w:rsid w:val="002678C7"/>
    <w:rsid w:val="00267DE9"/>
    <w:rsid w:val="00270520"/>
    <w:rsid w:val="00271440"/>
    <w:rsid w:val="00271A3C"/>
    <w:rsid w:val="00271C35"/>
    <w:rsid w:val="0027293A"/>
    <w:rsid w:val="00272D72"/>
    <w:rsid w:val="0027303C"/>
    <w:rsid w:val="00274935"/>
    <w:rsid w:val="002750E2"/>
    <w:rsid w:val="002759A4"/>
    <w:rsid w:val="00275C5A"/>
    <w:rsid w:val="00276866"/>
    <w:rsid w:val="0027787C"/>
    <w:rsid w:val="002802C6"/>
    <w:rsid w:val="00280904"/>
    <w:rsid w:val="00280AC4"/>
    <w:rsid w:val="00280BB2"/>
    <w:rsid w:val="00281664"/>
    <w:rsid w:val="00283428"/>
    <w:rsid w:val="00283B74"/>
    <w:rsid w:val="00283F03"/>
    <w:rsid w:val="0028443C"/>
    <w:rsid w:val="00284534"/>
    <w:rsid w:val="002846A0"/>
    <w:rsid w:val="00284FE4"/>
    <w:rsid w:val="0028586D"/>
    <w:rsid w:val="0028599D"/>
    <w:rsid w:val="002859D4"/>
    <w:rsid w:val="00285F93"/>
    <w:rsid w:val="00286727"/>
    <w:rsid w:val="002872DE"/>
    <w:rsid w:val="002873B8"/>
    <w:rsid w:val="00287995"/>
    <w:rsid w:val="00287D43"/>
    <w:rsid w:val="00287F09"/>
    <w:rsid w:val="002900B0"/>
    <w:rsid w:val="00290478"/>
    <w:rsid w:val="00290558"/>
    <w:rsid w:val="002909DA"/>
    <w:rsid w:val="00290CB0"/>
    <w:rsid w:val="00291507"/>
    <w:rsid w:val="00291D66"/>
    <w:rsid w:val="00291EC0"/>
    <w:rsid w:val="00291F24"/>
    <w:rsid w:val="00292655"/>
    <w:rsid w:val="00293BD9"/>
    <w:rsid w:val="00294228"/>
    <w:rsid w:val="002948C0"/>
    <w:rsid w:val="00294B50"/>
    <w:rsid w:val="00294BEA"/>
    <w:rsid w:val="00294ED4"/>
    <w:rsid w:val="002968A7"/>
    <w:rsid w:val="00297626"/>
    <w:rsid w:val="00297C25"/>
    <w:rsid w:val="002A000A"/>
    <w:rsid w:val="002A01CB"/>
    <w:rsid w:val="002A0487"/>
    <w:rsid w:val="002A0D5A"/>
    <w:rsid w:val="002A14AB"/>
    <w:rsid w:val="002A1A6B"/>
    <w:rsid w:val="002A21B5"/>
    <w:rsid w:val="002A3E49"/>
    <w:rsid w:val="002A3EE9"/>
    <w:rsid w:val="002A43F7"/>
    <w:rsid w:val="002A44D3"/>
    <w:rsid w:val="002A5751"/>
    <w:rsid w:val="002A5E5A"/>
    <w:rsid w:val="002A653C"/>
    <w:rsid w:val="002A65BF"/>
    <w:rsid w:val="002A6731"/>
    <w:rsid w:val="002A6ABF"/>
    <w:rsid w:val="002A6DB6"/>
    <w:rsid w:val="002B0165"/>
    <w:rsid w:val="002B0585"/>
    <w:rsid w:val="002B08A7"/>
    <w:rsid w:val="002B0E3E"/>
    <w:rsid w:val="002B0FA7"/>
    <w:rsid w:val="002B10F4"/>
    <w:rsid w:val="002B1ABB"/>
    <w:rsid w:val="002B1C1F"/>
    <w:rsid w:val="002B230C"/>
    <w:rsid w:val="002B2772"/>
    <w:rsid w:val="002B2D1C"/>
    <w:rsid w:val="002B2D58"/>
    <w:rsid w:val="002B432F"/>
    <w:rsid w:val="002B43BC"/>
    <w:rsid w:val="002B4490"/>
    <w:rsid w:val="002B4D31"/>
    <w:rsid w:val="002B5494"/>
    <w:rsid w:val="002B558E"/>
    <w:rsid w:val="002B58D6"/>
    <w:rsid w:val="002B58EF"/>
    <w:rsid w:val="002B5B7F"/>
    <w:rsid w:val="002B5BF2"/>
    <w:rsid w:val="002B5DD9"/>
    <w:rsid w:val="002B636A"/>
    <w:rsid w:val="002B6A1C"/>
    <w:rsid w:val="002B6CCE"/>
    <w:rsid w:val="002B7373"/>
    <w:rsid w:val="002B75C8"/>
    <w:rsid w:val="002B7BEC"/>
    <w:rsid w:val="002C0497"/>
    <w:rsid w:val="002C059C"/>
    <w:rsid w:val="002C0C33"/>
    <w:rsid w:val="002C12B0"/>
    <w:rsid w:val="002C163B"/>
    <w:rsid w:val="002C21FA"/>
    <w:rsid w:val="002C27C1"/>
    <w:rsid w:val="002C2F11"/>
    <w:rsid w:val="002C315A"/>
    <w:rsid w:val="002C34C0"/>
    <w:rsid w:val="002C34E5"/>
    <w:rsid w:val="002C3AFC"/>
    <w:rsid w:val="002C47F7"/>
    <w:rsid w:val="002C4A53"/>
    <w:rsid w:val="002C4CF8"/>
    <w:rsid w:val="002C50BE"/>
    <w:rsid w:val="002C563C"/>
    <w:rsid w:val="002C629A"/>
    <w:rsid w:val="002C69C5"/>
    <w:rsid w:val="002C71A2"/>
    <w:rsid w:val="002C7D66"/>
    <w:rsid w:val="002D03D3"/>
    <w:rsid w:val="002D1144"/>
    <w:rsid w:val="002D1518"/>
    <w:rsid w:val="002D1839"/>
    <w:rsid w:val="002D1E29"/>
    <w:rsid w:val="002D217B"/>
    <w:rsid w:val="002D404B"/>
    <w:rsid w:val="002D49FB"/>
    <w:rsid w:val="002D4D08"/>
    <w:rsid w:val="002D543E"/>
    <w:rsid w:val="002D5995"/>
    <w:rsid w:val="002D6287"/>
    <w:rsid w:val="002D65AF"/>
    <w:rsid w:val="002D6867"/>
    <w:rsid w:val="002D6D32"/>
    <w:rsid w:val="002D6FC3"/>
    <w:rsid w:val="002E0972"/>
    <w:rsid w:val="002E131C"/>
    <w:rsid w:val="002E1530"/>
    <w:rsid w:val="002E16BC"/>
    <w:rsid w:val="002E18C6"/>
    <w:rsid w:val="002E1B9E"/>
    <w:rsid w:val="002E1E82"/>
    <w:rsid w:val="002E1F54"/>
    <w:rsid w:val="002E21C1"/>
    <w:rsid w:val="002E29F0"/>
    <w:rsid w:val="002E2B21"/>
    <w:rsid w:val="002E2D69"/>
    <w:rsid w:val="002E34CC"/>
    <w:rsid w:val="002E361E"/>
    <w:rsid w:val="002E385F"/>
    <w:rsid w:val="002E3BBF"/>
    <w:rsid w:val="002E441F"/>
    <w:rsid w:val="002E4A10"/>
    <w:rsid w:val="002E4A6F"/>
    <w:rsid w:val="002E532E"/>
    <w:rsid w:val="002E5590"/>
    <w:rsid w:val="002E5613"/>
    <w:rsid w:val="002E565F"/>
    <w:rsid w:val="002E5DDD"/>
    <w:rsid w:val="002E5F9F"/>
    <w:rsid w:val="002E62BB"/>
    <w:rsid w:val="002E6524"/>
    <w:rsid w:val="002E6B4F"/>
    <w:rsid w:val="002E7150"/>
    <w:rsid w:val="002E74C1"/>
    <w:rsid w:val="002E7706"/>
    <w:rsid w:val="002E7730"/>
    <w:rsid w:val="002E79C6"/>
    <w:rsid w:val="002E7F12"/>
    <w:rsid w:val="002F00D9"/>
    <w:rsid w:val="002F01D5"/>
    <w:rsid w:val="002F136D"/>
    <w:rsid w:val="002F15EF"/>
    <w:rsid w:val="002F1D32"/>
    <w:rsid w:val="002F2E68"/>
    <w:rsid w:val="002F31BD"/>
    <w:rsid w:val="002F368F"/>
    <w:rsid w:val="002F41AB"/>
    <w:rsid w:val="002F41B1"/>
    <w:rsid w:val="002F45DE"/>
    <w:rsid w:val="002F4831"/>
    <w:rsid w:val="002F5230"/>
    <w:rsid w:val="002F60ED"/>
    <w:rsid w:val="002F69C4"/>
    <w:rsid w:val="002F718E"/>
    <w:rsid w:val="002F78E1"/>
    <w:rsid w:val="002F78FD"/>
    <w:rsid w:val="002F7ABB"/>
    <w:rsid w:val="0030098F"/>
    <w:rsid w:val="00300A87"/>
    <w:rsid w:val="00300AA2"/>
    <w:rsid w:val="00301017"/>
    <w:rsid w:val="0030115E"/>
    <w:rsid w:val="00302081"/>
    <w:rsid w:val="00302469"/>
    <w:rsid w:val="00302EDC"/>
    <w:rsid w:val="0030346C"/>
    <w:rsid w:val="0030427E"/>
    <w:rsid w:val="00305E74"/>
    <w:rsid w:val="0030662E"/>
    <w:rsid w:val="003072A3"/>
    <w:rsid w:val="00307546"/>
    <w:rsid w:val="003076A9"/>
    <w:rsid w:val="0030786C"/>
    <w:rsid w:val="00307C75"/>
    <w:rsid w:val="0031031A"/>
    <w:rsid w:val="0031037D"/>
    <w:rsid w:val="003104B4"/>
    <w:rsid w:val="00310579"/>
    <w:rsid w:val="003106D7"/>
    <w:rsid w:val="00310F43"/>
    <w:rsid w:val="0031134B"/>
    <w:rsid w:val="00311FA3"/>
    <w:rsid w:val="00312AF0"/>
    <w:rsid w:val="00312AFF"/>
    <w:rsid w:val="00314216"/>
    <w:rsid w:val="00315293"/>
    <w:rsid w:val="00315498"/>
    <w:rsid w:val="00315668"/>
    <w:rsid w:val="00315E63"/>
    <w:rsid w:val="00316BA5"/>
    <w:rsid w:val="00316FAF"/>
    <w:rsid w:val="00317CA3"/>
    <w:rsid w:val="003200FF"/>
    <w:rsid w:val="00320780"/>
    <w:rsid w:val="00320A68"/>
    <w:rsid w:val="003214C4"/>
    <w:rsid w:val="00321531"/>
    <w:rsid w:val="0032172D"/>
    <w:rsid w:val="00322266"/>
    <w:rsid w:val="00322851"/>
    <w:rsid w:val="00323334"/>
    <w:rsid w:val="003247A8"/>
    <w:rsid w:val="00324CD3"/>
    <w:rsid w:val="00325194"/>
    <w:rsid w:val="003254E3"/>
    <w:rsid w:val="00325685"/>
    <w:rsid w:val="00325B79"/>
    <w:rsid w:val="003260AB"/>
    <w:rsid w:val="00326289"/>
    <w:rsid w:val="00326917"/>
    <w:rsid w:val="00326D51"/>
    <w:rsid w:val="0032736C"/>
    <w:rsid w:val="00327694"/>
    <w:rsid w:val="003279EC"/>
    <w:rsid w:val="003305CA"/>
    <w:rsid w:val="0033089E"/>
    <w:rsid w:val="003308D1"/>
    <w:rsid w:val="0033094A"/>
    <w:rsid w:val="00330A49"/>
    <w:rsid w:val="00330D44"/>
    <w:rsid w:val="00330DED"/>
    <w:rsid w:val="00332116"/>
    <w:rsid w:val="0033238E"/>
    <w:rsid w:val="0033243E"/>
    <w:rsid w:val="0033268C"/>
    <w:rsid w:val="003335A7"/>
    <w:rsid w:val="0033428A"/>
    <w:rsid w:val="00334935"/>
    <w:rsid w:val="0033498F"/>
    <w:rsid w:val="00334CFE"/>
    <w:rsid w:val="00335824"/>
    <w:rsid w:val="003361CF"/>
    <w:rsid w:val="00336594"/>
    <w:rsid w:val="003366C9"/>
    <w:rsid w:val="0033693B"/>
    <w:rsid w:val="0033712C"/>
    <w:rsid w:val="003373CA"/>
    <w:rsid w:val="003407DA"/>
    <w:rsid w:val="003408DD"/>
    <w:rsid w:val="00340C42"/>
    <w:rsid w:val="003412D4"/>
    <w:rsid w:val="003414B0"/>
    <w:rsid w:val="00341E1B"/>
    <w:rsid w:val="003421C6"/>
    <w:rsid w:val="00342236"/>
    <w:rsid w:val="00342EC5"/>
    <w:rsid w:val="00342ECA"/>
    <w:rsid w:val="00342FE7"/>
    <w:rsid w:val="00343195"/>
    <w:rsid w:val="003432E1"/>
    <w:rsid w:val="00343E03"/>
    <w:rsid w:val="00343E10"/>
    <w:rsid w:val="003444D7"/>
    <w:rsid w:val="003444EF"/>
    <w:rsid w:val="00344510"/>
    <w:rsid w:val="0034463C"/>
    <w:rsid w:val="00344768"/>
    <w:rsid w:val="00344844"/>
    <w:rsid w:val="00344CA8"/>
    <w:rsid w:val="00344CF6"/>
    <w:rsid w:val="00345415"/>
    <w:rsid w:val="003463B9"/>
    <w:rsid w:val="003464C7"/>
    <w:rsid w:val="0034659F"/>
    <w:rsid w:val="00346F1F"/>
    <w:rsid w:val="00347032"/>
    <w:rsid w:val="00347361"/>
    <w:rsid w:val="0034780D"/>
    <w:rsid w:val="00347DCB"/>
    <w:rsid w:val="00347E52"/>
    <w:rsid w:val="00351A72"/>
    <w:rsid w:val="00351C81"/>
    <w:rsid w:val="00351D38"/>
    <w:rsid w:val="00351E78"/>
    <w:rsid w:val="003521D0"/>
    <w:rsid w:val="003523A2"/>
    <w:rsid w:val="00352777"/>
    <w:rsid w:val="00354491"/>
    <w:rsid w:val="00354CA6"/>
    <w:rsid w:val="00355CDF"/>
    <w:rsid w:val="0035620E"/>
    <w:rsid w:val="003562B8"/>
    <w:rsid w:val="003563B9"/>
    <w:rsid w:val="00357A0A"/>
    <w:rsid w:val="00360D8C"/>
    <w:rsid w:val="00361FBB"/>
    <w:rsid w:val="0036233A"/>
    <w:rsid w:val="00362E84"/>
    <w:rsid w:val="003646B1"/>
    <w:rsid w:val="00364D5D"/>
    <w:rsid w:val="003650F0"/>
    <w:rsid w:val="00365AA0"/>
    <w:rsid w:val="00365C43"/>
    <w:rsid w:val="00366165"/>
    <w:rsid w:val="00366223"/>
    <w:rsid w:val="003662EA"/>
    <w:rsid w:val="003666D5"/>
    <w:rsid w:val="0036670E"/>
    <w:rsid w:val="00367106"/>
    <w:rsid w:val="00367113"/>
    <w:rsid w:val="0036762B"/>
    <w:rsid w:val="003678DD"/>
    <w:rsid w:val="00367C0B"/>
    <w:rsid w:val="00367FED"/>
    <w:rsid w:val="00370EA2"/>
    <w:rsid w:val="0037207D"/>
    <w:rsid w:val="00372320"/>
    <w:rsid w:val="00372520"/>
    <w:rsid w:val="0037276F"/>
    <w:rsid w:val="00372F62"/>
    <w:rsid w:val="003731C3"/>
    <w:rsid w:val="00373B1D"/>
    <w:rsid w:val="00373D1D"/>
    <w:rsid w:val="00373D37"/>
    <w:rsid w:val="00374021"/>
    <w:rsid w:val="00374A52"/>
    <w:rsid w:val="00374FCA"/>
    <w:rsid w:val="003754BE"/>
    <w:rsid w:val="00375AA3"/>
    <w:rsid w:val="00376050"/>
    <w:rsid w:val="00376059"/>
    <w:rsid w:val="00376478"/>
    <w:rsid w:val="00376CC6"/>
    <w:rsid w:val="0038063F"/>
    <w:rsid w:val="003808D2"/>
    <w:rsid w:val="00380A59"/>
    <w:rsid w:val="00380C8A"/>
    <w:rsid w:val="00380DA1"/>
    <w:rsid w:val="0038101D"/>
    <w:rsid w:val="003812D3"/>
    <w:rsid w:val="00381BDB"/>
    <w:rsid w:val="00381D11"/>
    <w:rsid w:val="00381D2D"/>
    <w:rsid w:val="00382FDF"/>
    <w:rsid w:val="00383317"/>
    <w:rsid w:val="00383575"/>
    <w:rsid w:val="0038365C"/>
    <w:rsid w:val="00383D5D"/>
    <w:rsid w:val="003842D9"/>
    <w:rsid w:val="003843F7"/>
    <w:rsid w:val="00384951"/>
    <w:rsid w:val="003849A5"/>
    <w:rsid w:val="00384C47"/>
    <w:rsid w:val="003852CC"/>
    <w:rsid w:val="0038561F"/>
    <w:rsid w:val="00385849"/>
    <w:rsid w:val="00385A11"/>
    <w:rsid w:val="00385B1D"/>
    <w:rsid w:val="00386073"/>
    <w:rsid w:val="0038617B"/>
    <w:rsid w:val="00386A16"/>
    <w:rsid w:val="00386F21"/>
    <w:rsid w:val="0038725F"/>
    <w:rsid w:val="00387A76"/>
    <w:rsid w:val="00387B12"/>
    <w:rsid w:val="00387B6B"/>
    <w:rsid w:val="00387D06"/>
    <w:rsid w:val="00390110"/>
    <w:rsid w:val="003901D3"/>
    <w:rsid w:val="0039073D"/>
    <w:rsid w:val="00390DDA"/>
    <w:rsid w:val="00391A86"/>
    <w:rsid w:val="00391DC7"/>
    <w:rsid w:val="00391FB4"/>
    <w:rsid w:val="003927F5"/>
    <w:rsid w:val="00392973"/>
    <w:rsid w:val="00392DC7"/>
    <w:rsid w:val="00393F75"/>
    <w:rsid w:val="00394857"/>
    <w:rsid w:val="00395201"/>
    <w:rsid w:val="00395375"/>
    <w:rsid w:val="003953ED"/>
    <w:rsid w:val="003957AD"/>
    <w:rsid w:val="0039669C"/>
    <w:rsid w:val="003966E6"/>
    <w:rsid w:val="00396ADD"/>
    <w:rsid w:val="00396C7A"/>
    <w:rsid w:val="00396E3C"/>
    <w:rsid w:val="00396FD0"/>
    <w:rsid w:val="00397016"/>
    <w:rsid w:val="003A062D"/>
    <w:rsid w:val="003A0A94"/>
    <w:rsid w:val="003A1018"/>
    <w:rsid w:val="003A1117"/>
    <w:rsid w:val="003A150E"/>
    <w:rsid w:val="003A1A7A"/>
    <w:rsid w:val="003A1CDC"/>
    <w:rsid w:val="003A1F3F"/>
    <w:rsid w:val="003A2085"/>
    <w:rsid w:val="003A20AE"/>
    <w:rsid w:val="003A2AFD"/>
    <w:rsid w:val="003A2C74"/>
    <w:rsid w:val="003A3432"/>
    <w:rsid w:val="003A42E4"/>
    <w:rsid w:val="003A48BF"/>
    <w:rsid w:val="003A497E"/>
    <w:rsid w:val="003A4B33"/>
    <w:rsid w:val="003A4CAE"/>
    <w:rsid w:val="003A4CED"/>
    <w:rsid w:val="003A4D0A"/>
    <w:rsid w:val="003A5047"/>
    <w:rsid w:val="003A6B34"/>
    <w:rsid w:val="003A6BB6"/>
    <w:rsid w:val="003A70C0"/>
    <w:rsid w:val="003A7176"/>
    <w:rsid w:val="003A7522"/>
    <w:rsid w:val="003A779D"/>
    <w:rsid w:val="003A7A67"/>
    <w:rsid w:val="003B04C7"/>
    <w:rsid w:val="003B0B4E"/>
    <w:rsid w:val="003B1164"/>
    <w:rsid w:val="003B1669"/>
    <w:rsid w:val="003B19D8"/>
    <w:rsid w:val="003B1B6D"/>
    <w:rsid w:val="003B1C2B"/>
    <w:rsid w:val="003B1F42"/>
    <w:rsid w:val="003B22D1"/>
    <w:rsid w:val="003B2ADF"/>
    <w:rsid w:val="003B2EDA"/>
    <w:rsid w:val="003B31CD"/>
    <w:rsid w:val="003B33CA"/>
    <w:rsid w:val="003B3E34"/>
    <w:rsid w:val="003B45AB"/>
    <w:rsid w:val="003B4C48"/>
    <w:rsid w:val="003B4DEC"/>
    <w:rsid w:val="003B5398"/>
    <w:rsid w:val="003B568F"/>
    <w:rsid w:val="003B58AE"/>
    <w:rsid w:val="003B58F0"/>
    <w:rsid w:val="003B5F86"/>
    <w:rsid w:val="003B795C"/>
    <w:rsid w:val="003B7FEA"/>
    <w:rsid w:val="003C0606"/>
    <w:rsid w:val="003C0801"/>
    <w:rsid w:val="003C0D41"/>
    <w:rsid w:val="003C0F1E"/>
    <w:rsid w:val="003C106C"/>
    <w:rsid w:val="003C10EE"/>
    <w:rsid w:val="003C1344"/>
    <w:rsid w:val="003C1B48"/>
    <w:rsid w:val="003C232F"/>
    <w:rsid w:val="003C25A1"/>
    <w:rsid w:val="003C2A30"/>
    <w:rsid w:val="003C3C63"/>
    <w:rsid w:val="003C3CA6"/>
    <w:rsid w:val="003C4071"/>
    <w:rsid w:val="003C45EB"/>
    <w:rsid w:val="003C473A"/>
    <w:rsid w:val="003C4861"/>
    <w:rsid w:val="003C56C4"/>
    <w:rsid w:val="003C57AD"/>
    <w:rsid w:val="003C6030"/>
    <w:rsid w:val="003C698E"/>
    <w:rsid w:val="003C72DC"/>
    <w:rsid w:val="003C76BF"/>
    <w:rsid w:val="003C7823"/>
    <w:rsid w:val="003C7883"/>
    <w:rsid w:val="003C7CF3"/>
    <w:rsid w:val="003D0CE8"/>
    <w:rsid w:val="003D0D63"/>
    <w:rsid w:val="003D0F0E"/>
    <w:rsid w:val="003D0F2E"/>
    <w:rsid w:val="003D1828"/>
    <w:rsid w:val="003D1ECE"/>
    <w:rsid w:val="003D206B"/>
    <w:rsid w:val="003D2422"/>
    <w:rsid w:val="003D34D8"/>
    <w:rsid w:val="003D3697"/>
    <w:rsid w:val="003D4253"/>
    <w:rsid w:val="003D5556"/>
    <w:rsid w:val="003D56B6"/>
    <w:rsid w:val="003D5B3D"/>
    <w:rsid w:val="003D5C54"/>
    <w:rsid w:val="003D5E9D"/>
    <w:rsid w:val="003D6779"/>
    <w:rsid w:val="003D791C"/>
    <w:rsid w:val="003E0EFE"/>
    <w:rsid w:val="003E0F07"/>
    <w:rsid w:val="003E118D"/>
    <w:rsid w:val="003E2C27"/>
    <w:rsid w:val="003E39B1"/>
    <w:rsid w:val="003E3BA4"/>
    <w:rsid w:val="003E3C43"/>
    <w:rsid w:val="003E429F"/>
    <w:rsid w:val="003E47EB"/>
    <w:rsid w:val="003E4FF0"/>
    <w:rsid w:val="003E5606"/>
    <w:rsid w:val="003E57A2"/>
    <w:rsid w:val="003E5BFD"/>
    <w:rsid w:val="003E5E3E"/>
    <w:rsid w:val="003E6E9E"/>
    <w:rsid w:val="003E7107"/>
    <w:rsid w:val="003E73B2"/>
    <w:rsid w:val="003E7940"/>
    <w:rsid w:val="003F0509"/>
    <w:rsid w:val="003F1168"/>
    <w:rsid w:val="003F1C3C"/>
    <w:rsid w:val="003F1D93"/>
    <w:rsid w:val="003F20E9"/>
    <w:rsid w:val="003F2412"/>
    <w:rsid w:val="003F2C58"/>
    <w:rsid w:val="003F2C91"/>
    <w:rsid w:val="003F32A7"/>
    <w:rsid w:val="003F3395"/>
    <w:rsid w:val="003F3C34"/>
    <w:rsid w:val="003F3F1A"/>
    <w:rsid w:val="003F40D7"/>
    <w:rsid w:val="003F4156"/>
    <w:rsid w:val="003F423C"/>
    <w:rsid w:val="003F4AF0"/>
    <w:rsid w:val="003F5627"/>
    <w:rsid w:val="003F56E0"/>
    <w:rsid w:val="003F5EE8"/>
    <w:rsid w:val="003F63A4"/>
    <w:rsid w:val="003F6965"/>
    <w:rsid w:val="003F6F94"/>
    <w:rsid w:val="003F7AF4"/>
    <w:rsid w:val="003F7C66"/>
    <w:rsid w:val="003F7D2E"/>
    <w:rsid w:val="0040059D"/>
    <w:rsid w:val="004011E6"/>
    <w:rsid w:val="00401560"/>
    <w:rsid w:val="00402BF1"/>
    <w:rsid w:val="00404D47"/>
    <w:rsid w:val="00404DF6"/>
    <w:rsid w:val="00405195"/>
    <w:rsid w:val="0040726E"/>
    <w:rsid w:val="00407D12"/>
    <w:rsid w:val="00407D7A"/>
    <w:rsid w:val="00407F98"/>
    <w:rsid w:val="004102AF"/>
    <w:rsid w:val="004108DF"/>
    <w:rsid w:val="00410E4E"/>
    <w:rsid w:val="00410EC7"/>
    <w:rsid w:val="00412B0E"/>
    <w:rsid w:val="00413306"/>
    <w:rsid w:val="00413ABA"/>
    <w:rsid w:val="0041428C"/>
    <w:rsid w:val="00414476"/>
    <w:rsid w:val="004147B4"/>
    <w:rsid w:val="00415234"/>
    <w:rsid w:val="004153A3"/>
    <w:rsid w:val="00415723"/>
    <w:rsid w:val="004160BC"/>
    <w:rsid w:val="00416340"/>
    <w:rsid w:val="00416D6F"/>
    <w:rsid w:val="00416F0E"/>
    <w:rsid w:val="00417140"/>
    <w:rsid w:val="0041738F"/>
    <w:rsid w:val="00417C34"/>
    <w:rsid w:val="0042034D"/>
    <w:rsid w:val="0042071C"/>
    <w:rsid w:val="00420B9F"/>
    <w:rsid w:val="004213B9"/>
    <w:rsid w:val="0042150A"/>
    <w:rsid w:val="00421ACC"/>
    <w:rsid w:val="00422B49"/>
    <w:rsid w:val="00422B4A"/>
    <w:rsid w:val="00423353"/>
    <w:rsid w:val="00423D21"/>
    <w:rsid w:val="00423E47"/>
    <w:rsid w:val="0042424E"/>
    <w:rsid w:val="004249F8"/>
    <w:rsid w:val="0042575D"/>
    <w:rsid w:val="00425BEB"/>
    <w:rsid w:val="00425CB2"/>
    <w:rsid w:val="00426295"/>
    <w:rsid w:val="00426732"/>
    <w:rsid w:val="00427A24"/>
    <w:rsid w:val="00427C1F"/>
    <w:rsid w:val="004304BF"/>
    <w:rsid w:val="00431020"/>
    <w:rsid w:val="00431242"/>
    <w:rsid w:val="004317F5"/>
    <w:rsid w:val="004319F8"/>
    <w:rsid w:val="004320AA"/>
    <w:rsid w:val="0043234F"/>
    <w:rsid w:val="00432572"/>
    <w:rsid w:val="0043333F"/>
    <w:rsid w:val="004355F8"/>
    <w:rsid w:val="004356A1"/>
    <w:rsid w:val="00435D05"/>
    <w:rsid w:val="004360EF"/>
    <w:rsid w:val="004367B1"/>
    <w:rsid w:val="00436B8E"/>
    <w:rsid w:val="0043760B"/>
    <w:rsid w:val="00437678"/>
    <w:rsid w:val="00437EF2"/>
    <w:rsid w:val="00440B3D"/>
    <w:rsid w:val="00440BA8"/>
    <w:rsid w:val="004410B4"/>
    <w:rsid w:val="0044182A"/>
    <w:rsid w:val="00442CBC"/>
    <w:rsid w:val="00442D11"/>
    <w:rsid w:val="00442E06"/>
    <w:rsid w:val="004443A7"/>
    <w:rsid w:val="00444BF7"/>
    <w:rsid w:val="00445031"/>
    <w:rsid w:val="004451D8"/>
    <w:rsid w:val="00445382"/>
    <w:rsid w:val="004454DF"/>
    <w:rsid w:val="00445862"/>
    <w:rsid w:val="004464EB"/>
    <w:rsid w:val="0044671F"/>
    <w:rsid w:val="00447326"/>
    <w:rsid w:val="004500CA"/>
    <w:rsid w:val="0045117A"/>
    <w:rsid w:val="004514C6"/>
    <w:rsid w:val="00451DF6"/>
    <w:rsid w:val="00451DF9"/>
    <w:rsid w:val="004528A4"/>
    <w:rsid w:val="00452BDB"/>
    <w:rsid w:val="00453C81"/>
    <w:rsid w:val="0045406A"/>
    <w:rsid w:val="00454F17"/>
    <w:rsid w:val="004551C6"/>
    <w:rsid w:val="00455D45"/>
    <w:rsid w:val="00455E19"/>
    <w:rsid w:val="00455E95"/>
    <w:rsid w:val="00456735"/>
    <w:rsid w:val="00456F3E"/>
    <w:rsid w:val="004577C6"/>
    <w:rsid w:val="00457EA3"/>
    <w:rsid w:val="00460244"/>
    <w:rsid w:val="004605F6"/>
    <w:rsid w:val="00460AC1"/>
    <w:rsid w:val="004610D0"/>
    <w:rsid w:val="004616D4"/>
    <w:rsid w:val="00461FC1"/>
    <w:rsid w:val="00462268"/>
    <w:rsid w:val="0046248B"/>
    <w:rsid w:val="00462659"/>
    <w:rsid w:val="00462723"/>
    <w:rsid w:val="0046273F"/>
    <w:rsid w:val="00462D06"/>
    <w:rsid w:val="004630DE"/>
    <w:rsid w:val="0046340F"/>
    <w:rsid w:val="00463B9F"/>
    <w:rsid w:val="00463DCC"/>
    <w:rsid w:val="004642F5"/>
    <w:rsid w:val="00464595"/>
    <w:rsid w:val="004645BE"/>
    <w:rsid w:val="00464C26"/>
    <w:rsid w:val="004652AA"/>
    <w:rsid w:val="00465606"/>
    <w:rsid w:val="004657E5"/>
    <w:rsid w:val="004657F8"/>
    <w:rsid w:val="00465F41"/>
    <w:rsid w:val="004665ED"/>
    <w:rsid w:val="00466687"/>
    <w:rsid w:val="00467322"/>
    <w:rsid w:val="00467574"/>
    <w:rsid w:val="00467EF3"/>
    <w:rsid w:val="00470B5B"/>
    <w:rsid w:val="00471759"/>
    <w:rsid w:val="00471E29"/>
    <w:rsid w:val="00472359"/>
    <w:rsid w:val="00472A40"/>
    <w:rsid w:val="00472BC5"/>
    <w:rsid w:val="0047303C"/>
    <w:rsid w:val="00473142"/>
    <w:rsid w:val="004739AE"/>
    <w:rsid w:val="00473C2E"/>
    <w:rsid w:val="00473E2F"/>
    <w:rsid w:val="0047456A"/>
    <w:rsid w:val="00475473"/>
    <w:rsid w:val="0047557D"/>
    <w:rsid w:val="004763DE"/>
    <w:rsid w:val="00476558"/>
    <w:rsid w:val="00476708"/>
    <w:rsid w:val="00477E56"/>
    <w:rsid w:val="0048059A"/>
    <w:rsid w:val="0048166F"/>
    <w:rsid w:val="00482012"/>
    <w:rsid w:val="00482648"/>
    <w:rsid w:val="004829B5"/>
    <w:rsid w:val="00483219"/>
    <w:rsid w:val="00483444"/>
    <w:rsid w:val="004841FE"/>
    <w:rsid w:val="004843BA"/>
    <w:rsid w:val="00484628"/>
    <w:rsid w:val="00484AA3"/>
    <w:rsid w:val="00485B2B"/>
    <w:rsid w:val="00485B2E"/>
    <w:rsid w:val="00486315"/>
    <w:rsid w:val="004867E2"/>
    <w:rsid w:val="004867F2"/>
    <w:rsid w:val="00486B2B"/>
    <w:rsid w:val="00486FE2"/>
    <w:rsid w:val="00486FF7"/>
    <w:rsid w:val="004874FB"/>
    <w:rsid w:val="00487536"/>
    <w:rsid w:val="00487852"/>
    <w:rsid w:val="00487B19"/>
    <w:rsid w:val="00490C9E"/>
    <w:rsid w:val="00490CBC"/>
    <w:rsid w:val="004911CE"/>
    <w:rsid w:val="00491366"/>
    <w:rsid w:val="004913F6"/>
    <w:rsid w:val="0049154C"/>
    <w:rsid w:val="00491AFB"/>
    <w:rsid w:val="00491B3A"/>
    <w:rsid w:val="00491CD3"/>
    <w:rsid w:val="004937F1"/>
    <w:rsid w:val="00494E00"/>
    <w:rsid w:val="0049563C"/>
    <w:rsid w:val="00495FEB"/>
    <w:rsid w:val="00497EA5"/>
    <w:rsid w:val="00497F10"/>
    <w:rsid w:val="004A0426"/>
    <w:rsid w:val="004A0451"/>
    <w:rsid w:val="004A0DA1"/>
    <w:rsid w:val="004A12DE"/>
    <w:rsid w:val="004A1A5A"/>
    <w:rsid w:val="004A1ECE"/>
    <w:rsid w:val="004A2339"/>
    <w:rsid w:val="004A287F"/>
    <w:rsid w:val="004A2EF3"/>
    <w:rsid w:val="004A32FC"/>
    <w:rsid w:val="004A3915"/>
    <w:rsid w:val="004A3FA2"/>
    <w:rsid w:val="004A4425"/>
    <w:rsid w:val="004A4681"/>
    <w:rsid w:val="004A49CE"/>
    <w:rsid w:val="004A5EE8"/>
    <w:rsid w:val="004A6597"/>
    <w:rsid w:val="004A6C92"/>
    <w:rsid w:val="004A7338"/>
    <w:rsid w:val="004A7421"/>
    <w:rsid w:val="004A76F4"/>
    <w:rsid w:val="004B0241"/>
    <w:rsid w:val="004B0267"/>
    <w:rsid w:val="004B044D"/>
    <w:rsid w:val="004B1DB2"/>
    <w:rsid w:val="004B2662"/>
    <w:rsid w:val="004B26F0"/>
    <w:rsid w:val="004B273D"/>
    <w:rsid w:val="004B283D"/>
    <w:rsid w:val="004B2970"/>
    <w:rsid w:val="004B2C57"/>
    <w:rsid w:val="004B2F18"/>
    <w:rsid w:val="004B3099"/>
    <w:rsid w:val="004B3DDB"/>
    <w:rsid w:val="004B44FD"/>
    <w:rsid w:val="004B455B"/>
    <w:rsid w:val="004B51CC"/>
    <w:rsid w:val="004B52C7"/>
    <w:rsid w:val="004B53F7"/>
    <w:rsid w:val="004B5CB8"/>
    <w:rsid w:val="004B5CFC"/>
    <w:rsid w:val="004B6050"/>
    <w:rsid w:val="004B606A"/>
    <w:rsid w:val="004B62F8"/>
    <w:rsid w:val="004B667A"/>
    <w:rsid w:val="004B6BF8"/>
    <w:rsid w:val="004B6DF8"/>
    <w:rsid w:val="004B7EF2"/>
    <w:rsid w:val="004C06EB"/>
    <w:rsid w:val="004C0820"/>
    <w:rsid w:val="004C0A4E"/>
    <w:rsid w:val="004C10E7"/>
    <w:rsid w:val="004C122E"/>
    <w:rsid w:val="004C15C8"/>
    <w:rsid w:val="004C2127"/>
    <w:rsid w:val="004C2270"/>
    <w:rsid w:val="004C2560"/>
    <w:rsid w:val="004C3418"/>
    <w:rsid w:val="004C3B72"/>
    <w:rsid w:val="004C3E1E"/>
    <w:rsid w:val="004C423E"/>
    <w:rsid w:val="004C42DF"/>
    <w:rsid w:val="004C491D"/>
    <w:rsid w:val="004C4AED"/>
    <w:rsid w:val="004C4BDE"/>
    <w:rsid w:val="004C4C8C"/>
    <w:rsid w:val="004C54E7"/>
    <w:rsid w:val="004C747C"/>
    <w:rsid w:val="004C7802"/>
    <w:rsid w:val="004C793E"/>
    <w:rsid w:val="004D0197"/>
    <w:rsid w:val="004D08D8"/>
    <w:rsid w:val="004D1457"/>
    <w:rsid w:val="004D1560"/>
    <w:rsid w:val="004D17EF"/>
    <w:rsid w:val="004D209D"/>
    <w:rsid w:val="004D25C8"/>
    <w:rsid w:val="004D28BE"/>
    <w:rsid w:val="004D35FB"/>
    <w:rsid w:val="004D4063"/>
    <w:rsid w:val="004D4563"/>
    <w:rsid w:val="004D4937"/>
    <w:rsid w:val="004D4940"/>
    <w:rsid w:val="004D53A2"/>
    <w:rsid w:val="004D54B7"/>
    <w:rsid w:val="004D5731"/>
    <w:rsid w:val="004D58C3"/>
    <w:rsid w:val="004D58FE"/>
    <w:rsid w:val="004D5EC3"/>
    <w:rsid w:val="004D6883"/>
    <w:rsid w:val="004D7638"/>
    <w:rsid w:val="004D7710"/>
    <w:rsid w:val="004E0B12"/>
    <w:rsid w:val="004E0DBC"/>
    <w:rsid w:val="004E0EB8"/>
    <w:rsid w:val="004E148A"/>
    <w:rsid w:val="004E1578"/>
    <w:rsid w:val="004E207A"/>
    <w:rsid w:val="004E2605"/>
    <w:rsid w:val="004E2814"/>
    <w:rsid w:val="004E2ADC"/>
    <w:rsid w:val="004E321A"/>
    <w:rsid w:val="004E344E"/>
    <w:rsid w:val="004E4113"/>
    <w:rsid w:val="004E4328"/>
    <w:rsid w:val="004E530D"/>
    <w:rsid w:val="004E5DF3"/>
    <w:rsid w:val="004E5F5B"/>
    <w:rsid w:val="004E634E"/>
    <w:rsid w:val="004E6594"/>
    <w:rsid w:val="004E6C92"/>
    <w:rsid w:val="004E79E1"/>
    <w:rsid w:val="004F0116"/>
    <w:rsid w:val="004F0741"/>
    <w:rsid w:val="004F083C"/>
    <w:rsid w:val="004F0E84"/>
    <w:rsid w:val="004F11F2"/>
    <w:rsid w:val="004F13C9"/>
    <w:rsid w:val="004F1534"/>
    <w:rsid w:val="004F171A"/>
    <w:rsid w:val="004F1749"/>
    <w:rsid w:val="004F1D02"/>
    <w:rsid w:val="004F22E6"/>
    <w:rsid w:val="004F25D4"/>
    <w:rsid w:val="004F2679"/>
    <w:rsid w:val="004F2691"/>
    <w:rsid w:val="004F2DCF"/>
    <w:rsid w:val="004F354B"/>
    <w:rsid w:val="004F3848"/>
    <w:rsid w:val="004F3B93"/>
    <w:rsid w:val="004F41DE"/>
    <w:rsid w:val="004F4858"/>
    <w:rsid w:val="004F492C"/>
    <w:rsid w:val="004F5103"/>
    <w:rsid w:val="004F522A"/>
    <w:rsid w:val="004F55DB"/>
    <w:rsid w:val="004F5817"/>
    <w:rsid w:val="004F5FE4"/>
    <w:rsid w:val="004F6382"/>
    <w:rsid w:val="004F65E1"/>
    <w:rsid w:val="004F6765"/>
    <w:rsid w:val="004F72BD"/>
    <w:rsid w:val="004F7DF6"/>
    <w:rsid w:val="0050032A"/>
    <w:rsid w:val="00500BE9"/>
    <w:rsid w:val="00501476"/>
    <w:rsid w:val="00502C87"/>
    <w:rsid w:val="00502EBF"/>
    <w:rsid w:val="005033C6"/>
    <w:rsid w:val="00503982"/>
    <w:rsid w:val="0050407E"/>
    <w:rsid w:val="005046C1"/>
    <w:rsid w:val="0050472D"/>
    <w:rsid w:val="005047C6"/>
    <w:rsid w:val="00504870"/>
    <w:rsid w:val="00504BB9"/>
    <w:rsid w:val="005057A3"/>
    <w:rsid w:val="005061C8"/>
    <w:rsid w:val="005066FC"/>
    <w:rsid w:val="00506D07"/>
    <w:rsid w:val="00506E16"/>
    <w:rsid w:val="005070FD"/>
    <w:rsid w:val="00507A90"/>
    <w:rsid w:val="00507FBA"/>
    <w:rsid w:val="00510E38"/>
    <w:rsid w:val="0051231E"/>
    <w:rsid w:val="005128FE"/>
    <w:rsid w:val="00512D0D"/>
    <w:rsid w:val="00512E9F"/>
    <w:rsid w:val="005130DC"/>
    <w:rsid w:val="00513A81"/>
    <w:rsid w:val="00513BA5"/>
    <w:rsid w:val="00513C84"/>
    <w:rsid w:val="00514359"/>
    <w:rsid w:val="0051486C"/>
    <w:rsid w:val="00514ACA"/>
    <w:rsid w:val="00514D9C"/>
    <w:rsid w:val="005150BA"/>
    <w:rsid w:val="005152B5"/>
    <w:rsid w:val="00515FAA"/>
    <w:rsid w:val="005164AE"/>
    <w:rsid w:val="005164EC"/>
    <w:rsid w:val="005165EB"/>
    <w:rsid w:val="005169BF"/>
    <w:rsid w:val="00516F5F"/>
    <w:rsid w:val="0051730E"/>
    <w:rsid w:val="005173EA"/>
    <w:rsid w:val="00517F09"/>
    <w:rsid w:val="0052042F"/>
    <w:rsid w:val="00520740"/>
    <w:rsid w:val="00520C29"/>
    <w:rsid w:val="00520FA6"/>
    <w:rsid w:val="00521319"/>
    <w:rsid w:val="005216BF"/>
    <w:rsid w:val="00522C81"/>
    <w:rsid w:val="00522CEE"/>
    <w:rsid w:val="00523159"/>
    <w:rsid w:val="00523230"/>
    <w:rsid w:val="0052344F"/>
    <w:rsid w:val="005235BE"/>
    <w:rsid w:val="00523634"/>
    <w:rsid w:val="00523C28"/>
    <w:rsid w:val="00523E14"/>
    <w:rsid w:val="0052491A"/>
    <w:rsid w:val="005249A5"/>
    <w:rsid w:val="005250BD"/>
    <w:rsid w:val="00525498"/>
    <w:rsid w:val="005257FA"/>
    <w:rsid w:val="00526091"/>
    <w:rsid w:val="005262E1"/>
    <w:rsid w:val="0052632B"/>
    <w:rsid w:val="00526E58"/>
    <w:rsid w:val="005272A1"/>
    <w:rsid w:val="005273FA"/>
    <w:rsid w:val="0052786E"/>
    <w:rsid w:val="00527B11"/>
    <w:rsid w:val="005300DF"/>
    <w:rsid w:val="0053059D"/>
    <w:rsid w:val="0053068A"/>
    <w:rsid w:val="00530757"/>
    <w:rsid w:val="00530D16"/>
    <w:rsid w:val="005311C6"/>
    <w:rsid w:val="005320B8"/>
    <w:rsid w:val="00532AE1"/>
    <w:rsid w:val="00532D31"/>
    <w:rsid w:val="00533419"/>
    <w:rsid w:val="005335B9"/>
    <w:rsid w:val="0053380D"/>
    <w:rsid w:val="00533A7A"/>
    <w:rsid w:val="005341A7"/>
    <w:rsid w:val="0053434D"/>
    <w:rsid w:val="00534C02"/>
    <w:rsid w:val="00535AEB"/>
    <w:rsid w:val="00535C16"/>
    <w:rsid w:val="00535F84"/>
    <w:rsid w:val="005360A6"/>
    <w:rsid w:val="0053651E"/>
    <w:rsid w:val="00536A1D"/>
    <w:rsid w:val="00536A57"/>
    <w:rsid w:val="00536A62"/>
    <w:rsid w:val="005373C0"/>
    <w:rsid w:val="00537908"/>
    <w:rsid w:val="00537D5A"/>
    <w:rsid w:val="0054004C"/>
    <w:rsid w:val="0054048E"/>
    <w:rsid w:val="005408D1"/>
    <w:rsid w:val="00540CF9"/>
    <w:rsid w:val="0054216C"/>
    <w:rsid w:val="00542CAC"/>
    <w:rsid w:val="00544601"/>
    <w:rsid w:val="0054466C"/>
    <w:rsid w:val="00544A07"/>
    <w:rsid w:val="00544B45"/>
    <w:rsid w:val="005462B8"/>
    <w:rsid w:val="0054686F"/>
    <w:rsid w:val="00547431"/>
    <w:rsid w:val="00547A7F"/>
    <w:rsid w:val="00550472"/>
    <w:rsid w:val="00550DD0"/>
    <w:rsid w:val="00555109"/>
    <w:rsid w:val="005556BC"/>
    <w:rsid w:val="00555802"/>
    <w:rsid w:val="00555997"/>
    <w:rsid w:val="00555C8E"/>
    <w:rsid w:val="00557010"/>
    <w:rsid w:val="00557A7C"/>
    <w:rsid w:val="00557AEF"/>
    <w:rsid w:val="0056079E"/>
    <w:rsid w:val="005609B1"/>
    <w:rsid w:val="00561AF2"/>
    <w:rsid w:val="00562027"/>
    <w:rsid w:val="0056273E"/>
    <w:rsid w:val="0056276A"/>
    <w:rsid w:val="005629C6"/>
    <w:rsid w:val="00563441"/>
    <w:rsid w:val="00563AFE"/>
    <w:rsid w:val="00563C2C"/>
    <w:rsid w:val="00564797"/>
    <w:rsid w:val="00564CC1"/>
    <w:rsid w:val="00564E46"/>
    <w:rsid w:val="00565366"/>
    <w:rsid w:val="0056557E"/>
    <w:rsid w:val="005657F3"/>
    <w:rsid w:val="00565B21"/>
    <w:rsid w:val="00565C86"/>
    <w:rsid w:val="00565EA3"/>
    <w:rsid w:val="00566599"/>
    <w:rsid w:val="005667D9"/>
    <w:rsid w:val="0056696F"/>
    <w:rsid w:val="00566A91"/>
    <w:rsid w:val="00567E34"/>
    <w:rsid w:val="0057016C"/>
    <w:rsid w:val="00570235"/>
    <w:rsid w:val="005708EA"/>
    <w:rsid w:val="005716BB"/>
    <w:rsid w:val="005725EA"/>
    <w:rsid w:val="00574BEA"/>
    <w:rsid w:val="00575DC8"/>
    <w:rsid w:val="005760AA"/>
    <w:rsid w:val="00576122"/>
    <w:rsid w:val="0057640A"/>
    <w:rsid w:val="00576972"/>
    <w:rsid w:val="00576E70"/>
    <w:rsid w:val="00577717"/>
    <w:rsid w:val="00577738"/>
    <w:rsid w:val="0057781C"/>
    <w:rsid w:val="00577E30"/>
    <w:rsid w:val="005801E9"/>
    <w:rsid w:val="005801F4"/>
    <w:rsid w:val="005803AF"/>
    <w:rsid w:val="005806AD"/>
    <w:rsid w:val="00580EA7"/>
    <w:rsid w:val="00581092"/>
    <w:rsid w:val="00581464"/>
    <w:rsid w:val="0058297F"/>
    <w:rsid w:val="00582EAA"/>
    <w:rsid w:val="00583699"/>
    <w:rsid w:val="00583D5B"/>
    <w:rsid w:val="00584649"/>
    <w:rsid w:val="0058470A"/>
    <w:rsid w:val="00584F72"/>
    <w:rsid w:val="0058526B"/>
    <w:rsid w:val="00585344"/>
    <w:rsid w:val="00585602"/>
    <w:rsid w:val="00585D36"/>
    <w:rsid w:val="00586063"/>
    <w:rsid w:val="00586573"/>
    <w:rsid w:val="00587370"/>
    <w:rsid w:val="00587404"/>
    <w:rsid w:val="00590511"/>
    <w:rsid w:val="00590789"/>
    <w:rsid w:val="00590980"/>
    <w:rsid w:val="00591027"/>
    <w:rsid w:val="0059115B"/>
    <w:rsid w:val="0059126B"/>
    <w:rsid w:val="0059351A"/>
    <w:rsid w:val="0059363B"/>
    <w:rsid w:val="005937C3"/>
    <w:rsid w:val="0059395A"/>
    <w:rsid w:val="00594C69"/>
    <w:rsid w:val="005950C9"/>
    <w:rsid w:val="00595BDF"/>
    <w:rsid w:val="0059607C"/>
    <w:rsid w:val="005964EF"/>
    <w:rsid w:val="00596CF9"/>
    <w:rsid w:val="00596FFA"/>
    <w:rsid w:val="0059749E"/>
    <w:rsid w:val="00597FAC"/>
    <w:rsid w:val="005A051A"/>
    <w:rsid w:val="005A0A61"/>
    <w:rsid w:val="005A0E85"/>
    <w:rsid w:val="005A1573"/>
    <w:rsid w:val="005A16B4"/>
    <w:rsid w:val="005A1D3B"/>
    <w:rsid w:val="005A232F"/>
    <w:rsid w:val="005A2A17"/>
    <w:rsid w:val="005A2E95"/>
    <w:rsid w:val="005A3787"/>
    <w:rsid w:val="005A44FC"/>
    <w:rsid w:val="005A4513"/>
    <w:rsid w:val="005A4773"/>
    <w:rsid w:val="005A4FD6"/>
    <w:rsid w:val="005A5247"/>
    <w:rsid w:val="005A5604"/>
    <w:rsid w:val="005A5A79"/>
    <w:rsid w:val="005A5A99"/>
    <w:rsid w:val="005A6460"/>
    <w:rsid w:val="005A6700"/>
    <w:rsid w:val="005A6BD7"/>
    <w:rsid w:val="005A76C3"/>
    <w:rsid w:val="005B0AA2"/>
    <w:rsid w:val="005B0EE2"/>
    <w:rsid w:val="005B1DCA"/>
    <w:rsid w:val="005B2287"/>
    <w:rsid w:val="005B2D2A"/>
    <w:rsid w:val="005B4219"/>
    <w:rsid w:val="005B4425"/>
    <w:rsid w:val="005B46FA"/>
    <w:rsid w:val="005B5857"/>
    <w:rsid w:val="005B67C1"/>
    <w:rsid w:val="005B6D32"/>
    <w:rsid w:val="005B6E71"/>
    <w:rsid w:val="005B7B92"/>
    <w:rsid w:val="005C0A63"/>
    <w:rsid w:val="005C0B05"/>
    <w:rsid w:val="005C0E64"/>
    <w:rsid w:val="005C1047"/>
    <w:rsid w:val="005C1087"/>
    <w:rsid w:val="005C11A0"/>
    <w:rsid w:val="005C1AC2"/>
    <w:rsid w:val="005C1B83"/>
    <w:rsid w:val="005C1DEA"/>
    <w:rsid w:val="005C261A"/>
    <w:rsid w:val="005C28D3"/>
    <w:rsid w:val="005C346B"/>
    <w:rsid w:val="005C3B87"/>
    <w:rsid w:val="005C3D82"/>
    <w:rsid w:val="005C4DA9"/>
    <w:rsid w:val="005C4E6E"/>
    <w:rsid w:val="005C58AD"/>
    <w:rsid w:val="005C5C72"/>
    <w:rsid w:val="005C7748"/>
    <w:rsid w:val="005C7A6E"/>
    <w:rsid w:val="005C7F24"/>
    <w:rsid w:val="005D0249"/>
    <w:rsid w:val="005D0452"/>
    <w:rsid w:val="005D0933"/>
    <w:rsid w:val="005D093E"/>
    <w:rsid w:val="005D0B10"/>
    <w:rsid w:val="005D0C9C"/>
    <w:rsid w:val="005D10AC"/>
    <w:rsid w:val="005D1659"/>
    <w:rsid w:val="005D18AD"/>
    <w:rsid w:val="005D1D9D"/>
    <w:rsid w:val="005D1F15"/>
    <w:rsid w:val="005D23A8"/>
    <w:rsid w:val="005D33DE"/>
    <w:rsid w:val="005D37B2"/>
    <w:rsid w:val="005D3CB9"/>
    <w:rsid w:val="005D405B"/>
    <w:rsid w:val="005D42A0"/>
    <w:rsid w:val="005D4B11"/>
    <w:rsid w:val="005D50BF"/>
    <w:rsid w:val="005D5722"/>
    <w:rsid w:val="005D5D81"/>
    <w:rsid w:val="005D63AE"/>
    <w:rsid w:val="005D69C7"/>
    <w:rsid w:val="005D6B45"/>
    <w:rsid w:val="005D73AB"/>
    <w:rsid w:val="005D7582"/>
    <w:rsid w:val="005D7700"/>
    <w:rsid w:val="005D7AAC"/>
    <w:rsid w:val="005D7BE3"/>
    <w:rsid w:val="005D7E3E"/>
    <w:rsid w:val="005E09CA"/>
    <w:rsid w:val="005E102C"/>
    <w:rsid w:val="005E13F4"/>
    <w:rsid w:val="005E1D0E"/>
    <w:rsid w:val="005E2D9C"/>
    <w:rsid w:val="005E3661"/>
    <w:rsid w:val="005E38B1"/>
    <w:rsid w:val="005E39A0"/>
    <w:rsid w:val="005E3A14"/>
    <w:rsid w:val="005E4D38"/>
    <w:rsid w:val="005E5832"/>
    <w:rsid w:val="005E585F"/>
    <w:rsid w:val="005E5E46"/>
    <w:rsid w:val="005E684E"/>
    <w:rsid w:val="005E6C95"/>
    <w:rsid w:val="005E6F37"/>
    <w:rsid w:val="005E7BB5"/>
    <w:rsid w:val="005F18D6"/>
    <w:rsid w:val="005F1BD5"/>
    <w:rsid w:val="005F25B2"/>
    <w:rsid w:val="005F2706"/>
    <w:rsid w:val="005F2900"/>
    <w:rsid w:val="005F2F78"/>
    <w:rsid w:val="005F333C"/>
    <w:rsid w:val="005F344A"/>
    <w:rsid w:val="005F3B48"/>
    <w:rsid w:val="005F44C0"/>
    <w:rsid w:val="005F4CA5"/>
    <w:rsid w:val="005F501D"/>
    <w:rsid w:val="005F59EA"/>
    <w:rsid w:val="005F5B35"/>
    <w:rsid w:val="005F6A8F"/>
    <w:rsid w:val="006004D9"/>
    <w:rsid w:val="00600F98"/>
    <w:rsid w:val="00602EBC"/>
    <w:rsid w:val="006032F8"/>
    <w:rsid w:val="00603E88"/>
    <w:rsid w:val="006041D8"/>
    <w:rsid w:val="00605466"/>
    <w:rsid w:val="0060553B"/>
    <w:rsid w:val="00606387"/>
    <w:rsid w:val="006069D3"/>
    <w:rsid w:val="00606D1E"/>
    <w:rsid w:val="00607669"/>
    <w:rsid w:val="00607E12"/>
    <w:rsid w:val="00607E9D"/>
    <w:rsid w:val="0061056F"/>
    <w:rsid w:val="00610D83"/>
    <w:rsid w:val="00611035"/>
    <w:rsid w:val="006110D8"/>
    <w:rsid w:val="00611289"/>
    <w:rsid w:val="0061226B"/>
    <w:rsid w:val="006128EB"/>
    <w:rsid w:val="00612F97"/>
    <w:rsid w:val="006135D9"/>
    <w:rsid w:val="0061386D"/>
    <w:rsid w:val="00613AEA"/>
    <w:rsid w:val="00614791"/>
    <w:rsid w:val="0061563C"/>
    <w:rsid w:val="00616226"/>
    <w:rsid w:val="006166BC"/>
    <w:rsid w:val="00616802"/>
    <w:rsid w:val="00616E75"/>
    <w:rsid w:val="00616F04"/>
    <w:rsid w:val="00617E12"/>
    <w:rsid w:val="00620004"/>
    <w:rsid w:val="00620519"/>
    <w:rsid w:val="00620A83"/>
    <w:rsid w:val="00620BDF"/>
    <w:rsid w:val="00620F98"/>
    <w:rsid w:val="00621477"/>
    <w:rsid w:val="006222F2"/>
    <w:rsid w:val="006236B0"/>
    <w:rsid w:val="006237BC"/>
    <w:rsid w:val="0062396D"/>
    <w:rsid w:val="0062413E"/>
    <w:rsid w:val="006241B1"/>
    <w:rsid w:val="00624643"/>
    <w:rsid w:val="0062505A"/>
    <w:rsid w:val="0062505D"/>
    <w:rsid w:val="006251C0"/>
    <w:rsid w:val="0062528F"/>
    <w:rsid w:val="00625374"/>
    <w:rsid w:val="00625D98"/>
    <w:rsid w:val="00625F5C"/>
    <w:rsid w:val="006276C1"/>
    <w:rsid w:val="00630019"/>
    <w:rsid w:val="00630356"/>
    <w:rsid w:val="00630419"/>
    <w:rsid w:val="00630BF5"/>
    <w:rsid w:val="00630CFF"/>
    <w:rsid w:val="00630DA3"/>
    <w:rsid w:val="00630DAE"/>
    <w:rsid w:val="00630E1B"/>
    <w:rsid w:val="0063182A"/>
    <w:rsid w:val="00631934"/>
    <w:rsid w:val="00631C3A"/>
    <w:rsid w:val="00631D6B"/>
    <w:rsid w:val="006321BC"/>
    <w:rsid w:val="006327F7"/>
    <w:rsid w:val="00632D23"/>
    <w:rsid w:val="00632E4A"/>
    <w:rsid w:val="00633638"/>
    <w:rsid w:val="0063371F"/>
    <w:rsid w:val="00633BFC"/>
    <w:rsid w:val="0063479F"/>
    <w:rsid w:val="00634BDE"/>
    <w:rsid w:val="00634CCE"/>
    <w:rsid w:val="006353C7"/>
    <w:rsid w:val="00635974"/>
    <w:rsid w:val="00635D6B"/>
    <w:rsid w:val="00635EE5"/>
    <w:rsid w:val="006364A1"/>
    <w:rsid w:val="00636E43"/>
    <w:rsid w:val="00637520"/>
    <w:rsid w:val="006379BA"/>
    <w:rsid w:val="00637A28"/>
    <w:rsid w:val="00637BFD"/>
    <w:rsid w:val="00637D68"/>
    <w:rsid w:val="00640CC4"/>
    <w:rsid w:val="00641003"/>
    <w:rsid w:val="0064141C"/>
    <w:rsid w:val="0064157B"/>
    <w:rsid w:val="00642033"/>
    <w:rsid w:val="006426A8"/>
    <w:rsid w:val="00642725"/>
    <w:rsid w:val="00642A88"/>
    <w:rsid w:val="00642CCD"/>
    <w:rsid w:val="006431E9"/>
    <w:rsid w:val="0064336E"/>
    <w:rsid w:val="006434C3"/>
    <w:rsid w:val="006435AB"/>
    <w:rsid w:val="00643970"/>
    <w:rsid w:val="00643A84"/>
    <w:rsid w:val="00643D47"/>
    <w:rsid w:val="006446B7"/>
    <w:rsid w:val="00644A5F"/>
    <w:rsid w:val="00644CE6"/>
    <w:rsid w:val="00644D82"/>
    <w:rsid w:val="00645B0E"/>
    <w:rsid w:val="00646814"/>
    <w:rsid w:val="00646897"/>
    <w:rsid w:val="00646BC5"/>
    <w:rsid w:val="00646D0F"/>
    <w:rsid w:val="006470F2"/>
    <w:rsid w:val="006471CC"/>
    <w:rsid w:val="0064784C"/>
    <w:rsid w:val="00647D14"/>
    <w:rsid w:val="00647D41"/>
    <w:rsid w:val="006501AB"/>
    <w:rsid w:val="0065079F"/>
    <w:rsid w:val="00650A83"/>
    <w:rsid w:val="0065141F"/>
    <w:rsid w:val="006516B4"/>
    <w:rsid w:val="00652694"/>
    <w:rsid w:val="0065276F"/>
    <w:rsid w:val="00652CAD"/>
    <w:rsid w:val="00653156"/>
    <w:rsid w:val="006534A5"/>
    <w:rsid w:val="006538C1"/>
    <w:rsid w:val="00653B16"/>
    <w:rsid w:val="00654663"/>
    <w:rsid w:val="00654DFB"/>
    <w:rsid w:val="00655230"/>
    <w:rsid w:val="006558FC"/>
    <w:rsid w:val="00655952"/>
    <w:rsid w:val="00655AF6"/>
    <w:rsid w:val="00655BE1"/>
    <w:rsid w:val="0065715B"/>
    <w:rsid w:val="0065777E"/>
    <w:rsid w:val="006578C0"/>
    <w:rsid w:val="00657B25"/>
    <w:rsid w:val="00657CB4"/>
    <w:rsid w:val="006600B1"/>
    <w:rsid w:val="0066119C"/>
    <w:rsid w:val="006612FA"/>
    <w:rsid w:val="006624EB"/>
    <w:rsid w:val="006626E7"/>
    <w:rsid w:val="00662C77"/>
    <w:rsid w:val="006637D4"/>
    <w:rsid w:val="006639E2"/>
    <w:rsid w:val="00663B86"/>
    <w:rsid w:val="00663E74"/>
    <w:rsid w:val="006643C7"/>
    <w:rsid w:val="00664E13"/>
    <w:rsid w:val="00664F21"/>
    <w:rsid w:val="00665243"/>
    <w:rsid w:val="00665468"/>
    <w:rsid w:val="006659BB"/>
    <w:rsid w:val="00666484"/>
    <w:rsid w:val="00666764"/>
    <w:rsid w:val="006670F1"/>
    <w:rsid w:val="00667514"/>
    <w:rsid w:val="00667536"/>
    <w:rsid w:val="00667560"/>
    <w:rsid w:val="00667DCD"/>
    <w:rsid w:val="00667F50"/>
    <w:rsid w:val="00670255"/>
    <w:rsid w:val="00670315"/>
    <w:rsid w:val="006714A9"/>
    <w:rsid w:val="00671752"/>
    <w:rsid w:val="00672111"/>
    <w:rsid w:val="00672560"/>
    <w:rsid w:val="006727B5"/>
    <w:rsid w:val="00673075"/>
    <w:rsid w:val="00673D52"/>
    <w:rsid w:val="00674E42"/>
    <w:rsid w:val="00675489"/>
    <w:rsid w:val="006754CD"/>
    <w:rsid w:val="00675D47"/>
    <w:rsid w:val="00676200"/>
    <w:rsid w:val="00676B19"/>
    <w:rsid w:val="00676B67"/>
    <w:rsid w:val="00677154"/>
    <w:rsid w:val="006776E0"/>
    <w:rsid w:val="00677890"/>
    <w:rsid w:val="00677ABD"/>
    <w:rsid w:val="00680022"/>
    <w:rsid w:val="006803B2"/>
    <w:rsid w:val="006804E9"/>
    <w:rsid w:val="00680D32"/>
    <w:rsid w:val="00680D6F"/>
    <w:rsid w:val="00680ECA"/>
    <w:rsid w:val="00680F66"/>
    <w:rsid w:val="006818BE"/>
    <w:rsid w:val="00681A8D"/>
    <w:rsid w:val="00681DA4"/>
    <w:rsid w:val="00681DC8"/>
    <w:rsid w:val="00682112"/>
    <w:rsid w:val="006822A7"/>
    <w:rsid w:val="00682A9E"/>
    <w:rsid w:val="00682F3D"/>
    <w:rsid w:val="00682F46"/>
    <w:rsid w:val="006830C3"/>
    <w:rsid w:val="00683243"/>
    <w:rsid w:val="00683998"/>
    <w:rsid w:val="00684192"/>
    <w:rsid w:val="00684928"/>
    <w:rsid w:val="00684D58"/>
    <w:rsid w:val="00684D87"/>
    <w:rsid w:val="00684FC6"/>
    <w:rsid w:val="00685F69"/>
    <w:rsid w:val="00685FA6"/>
    <w:rsid w:val="006869EA"/>
    <w:rsid w:val="006875F6"/>
    <w:rsid w:val="006878CA"/>
    <w:rsid w:val="00687CE5"/>
    <w:rsid w:val="00687DDD"/>
    <w:rsid w:val="006902EE"/>
    <w:rsid w:val="0069038D"/>
    <w:rsid w:val="00690823"/>
    <w:rsid w:val="006908A3"/>
    <w:rsid w:val="00690BE9"/>
    <w:rsid w:val="00693D83"/>
    <w:rsid w:val="00693E37"/>
    <w:rsid w:val="00694321"/>
    <w:rsid w:val="006947AF"/>
    <w:rsid w:val="00694A5B"/>
    <w:rsid w:val="00694F44"/>
    <w:rsid w:val="0069574E"/>
    <w:rsid w:val="00695AA1"/>
    <w:rsid w:val="0069757A"/>
    <w:rsid w:val="006A04EF"/>
    <w:rsid w:val="006A0A25"/>
    <w:rsid w:val="006A2124"/>
    <w:rsid w:val="006A243F"/>
    <w:rsid w:val="006A39DD"/>
    <w:rsid w:val="006A3B2A"/>
    <w:rsid w:val="006A3C52"/>
    <w:rsid w:val="006A3F21"/>
    <w:rsid w:val="006A4210"/>
    <w:rsid w:val="006A42A4"/>
    <w:rsid w:val="006A4A33"/>
    <w:rsid w:val="006A5481"/>
    <w:rsid w:val="006A6166"/>
    <w:rsid w:val="006A66BD"/>
    <w:rsid w:val="006A7D1A"/>
    <w:rsid w:val="006B0FAE"/>
    <w:rsid w:val="006B113D"/>
    <w:rsid w:val="006B1167"/>
    <w:rsid w:val="006B20AB"/>
    <w:rsid w:val="006B25A7"/>
    <w:rsid w:val="006B32B2"/>
    <w:rsid w:val="006B3451"/>
    <w:rsid w:val="006B3FF0"/>
    <w:rsid w:val="006B4534"/>
    <w:rsid w:val="006B4558"/>
    <w:rsid w:val="006B466B"/>
    <w:rsid w:val="006B5F59"/>
    <w:rsid w:val="006B6391"/>
    <w:rsid w:val="006B644F"/>
    <w:rsid w:val="006B67EB"/>
    <w:rsid w:val="006B70ED"/>
    <w:rsid w:val="006B76C9"/>
    <w:rsid w:val="006C0630"/>
    <w:rsid w:val="006C0646"/>
    <w:rsid w:val="006C066A"/>
    <w:rsid w:val="006C0AA3"/>
    <w:rsid w:val="006C0FC1"/>
    <w:rsid w:val="006C121F"/>
    <w:rsid w:val="006C156C"/>
    <w:rsid w:val="006C1766"/>
    <w:rsid w:val="006C2A8E"/>
    <w:rsid w:val="006C2AB6"/>
    <w:rsid w:val="006C2D6E"/>
    <w:rsid w:val="006C2E56"/>
    <w:rsid w:val="006C2F61"/>
    <w:rsid w:val="006C3661"/>
    <w:rsid w:val="006C37DC"/>
    <w:rsid w:val="006C400F"/>
    <w:rsid w:val="006C4503"/>
    <w:rsid w:val="006C49DD"/>
    <w:rsid w:val="006C4B06"/>
    <w:rsid w:val="006C4C01"/>
    <w:rsid w:val="006C592A"/>
    <w:rsid w:val="006C5B2F"/>
    <w:rsid w:val="006C5E7B"/>
    <w:rsid w:val="006C5FD4"/>
    <w:rsid w:val="006C61FA"/>
    <w:rsid w:val="006C64B2"/>
    <w:rsid w:val="006C66EC"/>
    <w:rsid w:val="006C6ECA"/>
    <w:rsid w:val="006C6FBD"/>
    <w:rsid w:val="006C7A61"/>
    <w:rsid w:val="006C7E56"/>
    <w:rsid w:val="006C7F86"/>
    <w:rsid w:val="006D018C"/>
    <w:rsid w:val="006D06EF"/>
    <w:rsid w:val="006D07B4"/>
    <w:rsid w:val="006D0A5E"/>
    <w:rsid w:val="006D0D87"/>
    <w:rsid w:val="006D1981"/>
    <w:rsid w:val="006D1B5D"/>
    <w:rsid w:val="006D1D6B"/>
    <w:rsid w:val="006D1E61"/>
    <w:rsid w:val="006D2231"/>
    <w:rsid w:val="006D2457"/>
    <w:rsid w:val="006D3AB6"/>
    <w:rsid w:val="006D3C7D"/>
    <w:rsid w:val="006D3E15"/>
    <w:rsid w:val="006D3F98"/>
    <w:rsid w:val="006D4B82"/>
    <w:rsid w:val="006D4BC3"/>
    <w:rsid w:val="006D52A9"/>
    <w:rsid w:val="006D557A"/>
    <w:rsid w:val="006D57EF"/>
    <w:rsid w:val="006D5848"/>
    <w:rsid w:val="006D67AD"/>
    <w:rsid w:val="006D6998"/>
    <w:rsid w:val="006E0578"/>
    <w:rsid w:val="006E089A"/>
    <w:rsid w:val="006E0BEF"/>
    <w:rsid w:val="006E0E24"/>
    <w:rsid w:val="006E1A60"/>
    <w:rsid w:val="006E1D45"/>
    <w:rsid w:val="006E211E"/>
    <w:rsid w:val="006E29B2"/>
    <w:rsid w:val="006E33DD"/>
    <w:rsid w:val="006E4814"/>
    <w:rsid w:val="006E5603"/>
    <w:rsid w:val="006E67AC"/>
    <w:rsid w:val="006E6F6C"/>
    <w:rsid w:val="006E749E"/>
    <w:rsid w:val="006E7512"/>
    <w:rsid w:val="006E7998"/>
    <w:rsid w:val="006E7DA3"/>
    <w:rsid w:val="006E7E90"/>
    <w:rsid w:val="006E7E9E"/>
    <w:rsid w:val="006F05B0"/>
    <w:rsid w:val="006F0B08"/>
    <w:rsid w:val="006F0C81"/>
    <w:rsid w:val="006F10FD"/>
    <w:rsid w:val="006F17FB"/>
    <w:rsid w:val="006F1A33"/>
    <w:rsid w:val="006F1A87"/>
    <w:rsid w:val="006F3C27"/>
    <w:rsid w:val="006F48D6"/>
    <w:rsid w:val="006F607D"/>
    <w:rsid w:val="006F63A5"/>
    <w:rsid w:val="006F6772"/>
    <w:rsid w:val="006F7469"/>
    <w:rsid w:val="006F760E"/>
    <w:rsid w:val="006F772F"/>
    <w:rsid w:val="006F78BE"/>
    <w:rsid w:val="007005A7"/>
    <w:rsid w:val="00701034"/>
    <w:rsid w:val="00701529"/>
    <w:rsid w:val="007015C2"/>
    <w:rsid w:val="007021FB"/>
    <w:rsid w:val="00702457"/>
    <w:rsid w:val="0070276E"/>
    <w:rsid w:val="00702897"/>
    <w:rsid w:val="00702AC2"/>
    <w:rsid w:val="0070339A"/>
    <w:rsid w:val="00703F6C"/>
    <w:rsid w:val="00703FA5"/>
    <w:rsid w:val="0070411E"/>
    <w:rsid w:val="007042AC"/>
    <w:rsid w:val="00704E9E"/>
    <w:rsid w:val="007053C5"/>
    <w:rsid w:val="007071DF"/>
    <w:rsid w:val="0070779D"/>
    <w:rsid w:val="00707E74"/>
    <w:rsid w:val="00710875"/>
    <w:rsid w:val="00710898"/>
    <w:rsid w:val="00710B18"/>
    <w:rsid w:val="00710B30"/>
    <w:rsid w:val="00710D40"/>
    <w:rsid w:val="007116D5"/>
    <w:rsid w:val="00711A36"/>
    <w:rsid w:val="007129B8"/>
    <w:rsid w:val="00712DDC"/>
    <w:rsid w:val="0071319D"/>
    <w:rsid w:val="00713645"/>
    <w:rsid w:val="00713C35"/>
    <w:rsid w:val="007149A8"/>
    <w:rsid w:val="00716161"/>
    <w:rsid w:val="0071656A"/>
    <w:rsid w:val="00716C84"/>
    <w:rsid w:val="0071706D"/>
    <w:rsid w:val="007172AD"/>
    <w:rsid w:val="007172DB"/>
    <w:rsid w:val="0071771E"/>
    <w:rsid w:val="00717F5D"/>
    <w:rsid w:val="00721317"/>
    <w:rsid w:val="007215FE"/>
    <w:rsid w:val="007221B8"/>
    <w:rsid w:val="0072270A"/>
    <w:rsid w:val="00722813"/>
    <w:rsid w:val="0072303F"/>
    <w:rsid w:val="007232B6"/>
    <w:rsid w:val="007236CF"/>
    <w:rsid w:val="00724446"/>
    <w:rsid w:val="0072491B"/>
    <w:rsid w:val="00724CED"/>
    <w:rsid w:val="0072568C"/>
    <w:rsid w:val="00725AC0"/>
    <w:rsid w:val="00726209"/>
    <w:rsid w:val="007265FB"/>
    <w:rsid w:val="00726973"/>
    <w:rsid w:val="00726C32"/>
    <w:rsid w:val="00726E66"/>
    <w:rsid w:val="00731011"/>
    <w:rsid w:val="0073114F"/>
    <w:rsid w:val="00731611"/>
    <w:rsid w:val="00731861"/>
    <w:rsid w:val="007319FD"/>
    <w:rsid w:val="00732D1D"/>
    <w:rsid w:val="00732EE8"/>
    <w:rsid w:val="00733103"/>
    <w:rsid w:val="00733586"/>
    <w:rsid w:val="00733A25"/>
    <w:rsid w:val="00733B0C"/>
    <w:rsid w:val="007348B9"/>
    <w:rsid w:val="007348C7"/>
    <w:rsid w:val="00734AE3"/>
    <w:rsid w:val="00734E82"/>
    <w:rsid w:val="00735328"/>
    <w:rsid w:val="00735960"/>
    <w:rsid w:val="0073596A"/>
    <w:rsid w:val="007359AA"/>
    <w:rsid w:val="00735DB0"/>
    <w:rsid w:val="0073685B"/>
    <w:rsid w:val="00737321"/>
    <w:rsid w:val="00737D3F"/>
    <w:rsid w:val="0074099B"/>
    <w:rsid w:val="00740A27"/>
    <w:rsid w:val="00740FF1"/>
    <w:rsid w:val="00741739"/>
    <w:rsid w:val="0074189C"/>
    <w:rsid w:val="00741F12"/>
    <w:rsid w:val="007420B7"/>
    <w:rsid w:val="00742CE4"/>
    <w:rsid w:val="0074419F"/>
    <w:rsid w:val="00744680"/>
    <w:rsid w:val="00744933"/>
    <w:rsid w:val="00744C9D"/>
    <w:rsid w:val="00744D3C"/>
    <w:rsid w:val="00744D41"/>
    <w:rsid w:val="007451E5"/>
    <w:rsid w:val="007453BE"/>
    <w:rsid w:val="0074628C"/>
    <w:rsid w:val="00746431"/>
    <w:rsid w:val="00746CBD"/>
    <w:rsid w:val="00746E1A"/>
    <w:rsid w:val="00746E7E"/>
    <w:rsid w:val="007474AD"/>
    <w:rsid w:val="007474E1"/>
    <w:rsid w:val="00747513"/>
    <w:rsid w:val="00747B2E"/>
    <w:rsid w:val="007502EF"/>
    <w:rsid w:val="00750AAC"/>
    <w:rsid w:val="0075135D"/>
    <w:rsid w:val="007517BA"/>
    <w:rsid w:val="0075193C"/>
    <w:rsid w:val="00751A6B"/>
    <w:rsid w:val="00752FD9"/>
    <w:rsid w:val="0075300A"/>
    <w:rsid w:val="0075390E"/>
    <w:rsid w:val="00753E66"/>
    <w:rsid w:val="00754148"/>
    <w:rsid w:val="00754375"/>
    <w:rsid w:val="00754496"/>
    <w:rsid w:val="00754B90"/>
    <w:rsid w:val="00755897"/>
    <w:rsid w:val="00755F00"/>
    <w:rsid w:val="007562B4"/>
    <w:rsid w:val="00756390"/>
    <w:rsid w:val="00756708"/>
    <w:rsid w:val="007568A1"/>
    <w:rsid w:val="00757F5A"/>
    <w:rsid w:val="00760A2D"/>
    <w:rsid w:val="00761020"/>
    <w:rsid w:val="007612A4"/>
    <w:rsid w:val="007612D2"/>
    <w:rsid w:val="00761F42"/>
    <w:rsid w:val="0076249B"/>
    <w:rsid w:val="007625DF"/>
    <w:rsid w:val="00763633"/>
    <w:rsid w:val="00765205"/>
    <w:rsid w:val="007652F5"/>
    <w:rsid w:val="00765A20"/>
    <w:rsid w:val="00765A8E"/>
    <w:rsid w:val="00765F1C"/>
    <w:rsid w:val="007677E1"/>
    <w:rsid w:val="00767F15"/>
    <w:rsid w:val="0077047F"/>
    <w:rsid w:val="00770CD2"/>
    <w:rsid w:val="00771F95"/>
    <w:rsid w:val="0077200F"/>
    <w:rsid w:val="00773263"/>
    <w:rsid w:val="00773284"/>
    <w:rsid w:val="007734AB"/>
    <w:rsid w:val="00773E17"/>
    <w:rsid w:val="007740A9"/>
    <w:rsid w:val="00774AEF"/>
    <w:rsid w:val="00774C2A"/>
    <w:rsid w:val="00774E00"/>
    <w:rsid w:val="00774FBE"/>
    <w:rsid w:val="00775058"/>
    <w:rsid w:val="007761DD"/>
    <w:rsid w:val="00776226"/>
    <w:rsid w:val="00776422"/>
    <w:rsid w:val="00776684"/>
    <w:rsid w:val="007767F8"/>
    <w:rsid w:val="00776C9A"/>
    <w:rsid w:val="00776C9E"/>
    <w:rsid w:val="00780825"/>
    <w:rsid w:val="007808D1"/>
    <w:rsid w:val="0078090B"/>
    <w:rsid w:val="0078098F"/>
    <w:rsid w:val="0078160C"/>
    <w:rsid w:val="007823FE"/>
    <w:rsid w:val="00782F9F"/>
    <w:rsid w:val="00783A56"/>
    <w:rsid w:val="00783BE1"/>
    <w:rsid w:val="00784A28"/>
    <w:rsid w:val="00784CE2"/>
    <w:rsid w:val="007857DB"/>
    <w:rsid w:val="0078615C"/>
    <w:rsid w:val="00786524"/>
    <w:rsid w:val="00786B7E"/>
    <w:rsid w:val="007870CF"/>
    <w:rsid w:val="00787B4D"/>
    <w:rsid w:val="007900C8"/>
    <w:rsid w:val="00791C1F"/>
    <w:rsid w:val="00791FCC"/>
    <w:rsid w:val="007924C3"/>
    <w:rsid w:val="0079275B"/>
    <w:rsid w:val="0079283C"/>
    <w:rsid w:val="007929DD"/>
    <w:rsid w:val="0079344C"/>
    <w:rsid w:val="0079380B"/>
    <w:rsid w:val="007938C4"/>
    <w:rsid w:val="00794038"/>
    <w:rsid w:val="00794537"/>
    <w:rsid w:val="00794778"/>
    <w:rsid w:val="0079509E"/>
    <w:rsid w:val="00795460"/>
    <w:rsid w:val="007957C4"/>
    <w:rsid w:val="00795A5E"/>
    <w:rsid w:val="00795D24"/>
    <w:rsid w:val="00796F39"/>
    <w:rsid w:val="00797215"/>
    <w:rsid w:val="007A057B"/>
    <w:rsid w:val="007A0807"/>
    <w:rsid w:val="007A12BD"/>
    <w:rsid w:val="007A159F"/>
    <w:rsid w:val="007A1B47"/>
    <w:rsid w:val="007A2173"/>
    <w:rsid w:val="007A2233"/>
    <w:rsid w:val="007A23BD"/>
    <w:rsid w:val="007A2528"/>
    <w:rsid w:val="007A30D5"/>
    <w:rsid w:val="007A46E8"/>
    <w:rsid w:val="007A4728"/>
    <w:rsid w:val="007A4C13"/>
    <w:rsid w:val="007A53B9"/>
    <w:rsid w:val="007A5CBE"/>
    <w:rsid w:val="007A5F8F"/>
    <w:rsid w:val="007A616D"/>
    <w:rsid w:val="007A674C"/>
    <w:rsid w:val="007A69EB"/>
    <w:rsid w:val="007A71C6"/>
    <w:rsid w:val="007A7224"/>
    <w:rsid w:val="007B115F"/>
    <w:rsid w:val="007B1774"/>
    <w:rsid w:val="007B18BC"/>
    <w:rsid w:val="007B251D"/>
    <w:rsid w:val="007B32E5"/>
    <w:rsid w:val="007B3A29"/>
    <w:rsid w:val="007B3A52"/>
    <w:rsid w:val="007B3CC8"/>
    <w:rsid w:val="007B42A7"/>
    <w:rsid w:val="007B4E6A"/>
    <w:rsid w:val="007B5122"/>
    <w:rsid w:val="007B53D9"/>
    <w:rsid w:val="007B6042"/>
    <w:rsid w:val="007B6563"/>
    <w:rsid w:val="007B6F15"/>
    <w:rsid w:val="007B7215"/>
    <w:rsid w:val="007B7336"/>
    <w:rsid w:val="007B77D1"/>
    <w:rsid w:val="007C04AC"/>
    <w:rsid w:val="007C0A90"/>
    <w:rsid w:val="007C0E31"/>
    <w:rsid w:val="007C1959"/>
    <w:rsid w:val="007C1B47"/>
    <w:rsid w:val="007C2382"/>
    <w:rsid w:val="007C28E5"/>
    <w:rsid w:val="007C3098"/>
    <w:rsid w:val="007C3D84"/>
    <w:rsid w:val="007C3DCF"/>
    <w:rsid w:val="007C41DB"/>
    <w:rsid w:val="007C4653"/>
    <w:rsid w:val="007C46F7"/>
    <w:rsid w:val="007C4C5B"/>
    <w:rsid w:val="007C5065"/>
    <w:rsid w:val="007C519E"/>
    <w:rsid w:val="007C5A7D"/>
    <w:rsid w:val="007C6B47"/>
    <w:rsid w:val="007C6F1C"/>
    <w:rsid w:val="007C7578"/>
    <w:rsid w:val="007C790E"/>
    <w:rsid w:val="007C7A24"/>
    <w:rsid w:val="007C7E0B"/>
    <w:rsid w:val="007D0624"/>
    <w:rsid w:val="007D08FD"/>
    <w:rsid w:val="007D0B38"/>
    <w:rsid w:val="007D0E5C"/>
    <w:rsid w:val="007D1748"/>
    <w:rsid w:val="007D176B"/>
    <w:rsid w:val="007D1904"/>
    <w:rsid w:val="007D23C2"/>
    <w:rsid w:val="007D2581"/>
    <w:rsid w:val="007D4C68"/>
    <w:rsid w:val="007D5072"/>
    <w:rsid w:val="007D54FF"/>
    <w:rsid w:val="007D5814"/>
    <w:rsid w:val="007D71C5"/>
    <w:rsid w:val="007D7B24"/>
    <w:rsid w:val="007D7FEC"/>
    <w:rsid w:val="007E0747"/>
    <w:rsid w:val="007E075C"/>
    <w:rsid w:val="007E0CFD"/>
    <w:rsid w:val="007E17E2"/>
    <w:rsid w:val="007E181E"/>
    <w:rsid w:val="007E1E4A"/>
    <w:rsid w:val="007E23B7"/>
    <w:rsid w:val="007E25F0"/>
    <w:rsid w:val="007E2759"/>
    <w:rsid w:val="007E2C8D"/>
    <w:rsid w:val="007E2CDF"/>
    <w:rsid w:val="007E3450"/>
    <w:rsid w:val="007E3C6C"/>
    <w:rsid w:val="007E3F0D"/>
    <w:rsid w:val="007E483E"/>
    <w:rsid w:val="007E502A"/>
    <w:rsid w:val="007E557B"/>
    <w:rsid w:val="007E5700"/>
    <w:rsid w:val="007E578B"/>
    <w:rsid w:val="007E61AD"/>
    <w:rsid w:val="007E6536"/>
    <w:rsid w:val="007E6A4F"/>
    <w:rsid w:val="007E7C98"/>
    <w:rsid w:val="007E7C9C"/>
    <w:rsid w:val="007F1017"/>
    <w:rsid w:val="007F2107"/>
    <w:rsid w:val="007F252F"/>
    <w:rsid w:val="007F2F72"/>
    <w:rsid w:val="007F3579"/>
    <w:rsid w:val="007F3ACD"/>
    <w:rsid w:val="007F3B89"/>
    <w:rsid w:val="007F3C6F"/>
    <w:rsid w:val="007F43F1"/>
    <w:rsid w:val="007F43F4"/>
    <w:rsid w:val="007F4A3F"/>
    <w:rsid w:val="007F4B32"/>
    <w:rsid w:val="007F619C"/>
    <w:rsid w:val="007F62AD"/>
    <w:rsid w:val="007F6871"/>
    <w:rsid w:val="007F6A9E"/>
    <w:rsid w:val="007F6E01"/>
    <w:rsid w:val="007F75E8"/>
    <w:rsid w:val="007F7F0D"/>
    <w:rsid w:val="00800097"/>
    <w:rsid w:val="00800945"/>
    <w:rsid w:val="00800D57"/>
    <w:rsid w:val="00800EA5"/>
    <w:rsid w:val="0080211E"/>
    <w:rsid w:val="008024A3"/>
    <w:rsid w:val="00802838"/>
    <w:rsid w:val="00802BED"/>
    <w:rsid w:val="00802D39"/>
    <w:rsid w:val="00802E23"/>
    <w:rsid w:val="00803414"/>
    <w:rsid w:val="008037C5"/>
    <w:rsid w:val="00803A18"/>
    <w:rsid w:val="00803E1F"/>
    <w:rsid w:val="00804422"/>
    <w:rsid w:val="00804B98"/>
    <w:rsid w:val="0080511A"/>
    <w:rsid w:val="00805142"/>
    <w:rsid w:val="008054F5"/>
    <w:rsid w:val="00805EC3"/>
    <w:rsid w:val="008062CB"/>
    <w:rsid w:val="00806470"/>
    <w:rsid w:val="00807884"/>
    <w:rsid w:val="00807A8B"/>
    <w:rsid w:val="008100C1"/>
    <w:rsid w:val="0081017B"/>
    <w:rsid w:val="00810491"/>
    <w:rsid w:val="0081076A"/>
    <w:rsid w:val="008109E0"/>
    <w:rsid w:val="00810BCD"/>
    <w:rsid w:val="008115D1"/>
    <w:rsid w:val="00812149"/>
    <w:rsid w:val="008123C1"/>
    <w:rsid w:val="00812D5D"/>
    <w:rsid w:val="00813075"/>
    <w:rsid w:val="00813117"/>
    <w:rsid w:val="00813665"/>
    <w:rsid w:val="00813B88"/>
    <w:rsid w:val="0081428C"/>
    <w:rsid w:val="008155B5"/>
    <w:rsid w:val="00815B3E"/>
    <w:rsid w:val="00815BD2"/>
    <w:rsid w:val="00816001"/>
    <w:rsid w:val="008166EF"/>
    <w:rsid w:val="00816C56"/>
    <w:rsid w:val="00816E0F"/>
    <w:rsid w:val="00816F64"/>
    <w:rsid w:val="008170A4"/>
    <w:rsid w:val="00817449"/>
    <w:rsid w:val="00817795"/>
    <w:rsid w:val="00817852"/>
    <w:rsid w:val="00817BA9"/>
    <w:rsid w:val="008206CE"/>
    <w:rsid w:val="00820A82"/>
    <w:rsid w:val="00820EF6"/>
    <w:rsid w:val="008213FC"/>
    <w:rsid w:val="00821CB6"/>
    <w:rsid w:val="00821CC5"/>
    <w:rsid w:val="0082288F"/>
    <w:rsid w:val="008228FA"/>
    <w:rsid w:val="00822ACA"/>
    <w:rsid w:val="008232C0"/>
    <w:rsid w:val="00823342"/>
    <w:rsid w:val="008233C7"/>
    <w:rsid w:val="008237C7"/>
    <w:rsid w:val="008245C7"/>
    <w:rsid w:val="00824891"/>
    <w:rsid w:val="008258E4"/>
    <w:rsid w:val="008259A2"/>
    <w:rsid w:val="00825CA3"/>
    <w:rsid w:val="0082611A"/>
    <w:rsid w:val="00826472"/>
    <w:rsid w:val="008264EB"/>
    <w:rsid w:val="00826667"/>
    <w:rsid w:val="008269B6"/>
    <w:rsid w:val="00826F20"/>
    <w:rsid w:val="008273D7"/>
    <w:rsid w:val="008303DD"/>
    <w:rsid w:val="00830CE2"/>
    <w:rsid w:val="0083282F"/>
    <w:rsid w:val="00832D71"/>
    <w:rsid w:val="00832F01"/>
    <w:rsid w:val="00832F1D"/>
    <w:rsid w:val="00833517"/>
    <w:rsid w:val="008340DB"/>
    <w:rsid w:val="00834316"/>
    <w:rsid w:val="0083479E"/>
    <w:rsid w:val="008353EC"/>
    <w:rsid w:val="00836C2A"/>
    <w:rsid w:val="008400CD"/>
    <w:rsid w:val="008400D3"/>
    <w:rsid w:val="00840C93"/>
    <w:rsid w:val="00840CA2"/>
    <w:rsid w:val="0084122F"/>
    <w:rsid w:val="00841240"/>
    <w:rsid w:val="00841915"/>
    <w:rsid w:val="008419D9"/>
    <w:rsid w:val="00841FA4"/>
    <w:rsid w:val="0084217C"/>
    <w:rsid w:val="0084271C"/>
    <w:rsid w:val="00842B0F"/>
    <w:rsid w:val="00842D21"/>
    <w:rsid w:val="0084311D"/>
    <w:rsid w:val="0084349E"/>
    <w:rsid w:val="00843B76"/>
    <w:rsid w:val="00843E20"/>
    <w:rsid w:val="00843F0C"/>
    <w:rsid w:val="0084476D"/>
    <w:rsid w:val="00844DA6"/>
    <w:rsid w:val="008456B4"/>
    <w:rsid w:val="008458BA"/>
    <w:rsid w:val="008459A5"/>
    <w:rsid w:val="00846357"/>
    <w:rsid w:val="00846503"/>
    <w:rsid w:val="008466FD"/>
    <w:rsid w:val="00846C1C"/>
    <w:rsid w:val="008470AD"/>
    <w:rsid w:val="00847742"/>
    <w:rsid w:val="008479BA"/>
    <w:rsid w:val="008503B7"/>
    <w:rsid w:val="00850C31"/>
    <w:rsid w:val="00850D60"/>
    <w:rsid w:val="008511DF"/>
    <w:rsid w:val="00851B1A"/>
    <w:rsid w:val="00851F38"/>
    <w:rsid w:val="00852F1D"/>
    <w:rsid w:val="0085386E"/>
    <w:rsid w:val="00854252"/>
    <w:rsid w:val="00854301"/>
    <w:rsid w:val="008544BE"/>
    <w:rsid w:val="00854893"/>
    <w:rsid w:val="00854F6B"/>
    <w:rsid w:val="0085501B"/>
    <w:rsid w:val="00855D03"/>
    <w:rsid w:val="0085611D"/>
    <w:rsid w:val="008561ED"/>
    <w:rsid w:val="008561F3"/>
    <w:rsid w:val="00856E43"/>
    <w:rsid w:val="00856E9A"/>
    <w:rsid w:val="00857097"/>
    <w:rsid w:val="0085791B"/>
    <w:rsid w:val="00857A03"/>
    <w:rsid w:val="00860543"/>
    <w:rsid w:val="008607C5"/>
    <w:rsid w:val="00861226"/>
    <w:rsid w:val="00861F0C"/>
    <w:rsid w:val="00862130"/>
    <w:rsid w:val="00862742"/>
    <w:rsid w:val="0086296A"/>
    <w:rsid w:val="00862A9D"/>
    <w:rsid w:val="00862CB8"/>
    <w:rsid w:val="008631FC"/>
    <w:rsid w:val="00863722"/>
    <w:rsid w:val="00864389"/>
    <w:rsid w:val="0086449C"/>
    <w:rsid w:val="00864993"/>
    <w:rsid w:val="00865167"/>
    <w:rsid w:val="00865B36"/>
    <w:rsid w:val="00866BCE"/>
    <w:rsid w:val="0086779B"/>
    <w:rsid w:val="00867A11"/>
    <w:rsid w:val="00867D31"/>
    <w:rsid w:val="00867E2B"/>
    <w:rsid w:val="008705DA"/>
    <w:rsid w:val="0087089E"/>
    <w:rsid w:val="008713DE"/>
    <w:rsid w:val="0087283A"/>
    <w:rsid w:val="00872DAE"/>
    <w:rsid w:val="00873F0F"/>
    <w:rsid w:val="008742A5"/>
    <w:rsid w:val="008748D9"/>
    <w:rsid w:val="00874DD7"/>
    <w:rsid w:val="0087684C"/>
    <w:rsid w:val="00877678"/>
    <w:rsid w:val="008779D0"/>
    <w:rsid w:val="00877EFD"/>
    <w:rsid w:val="00880107"/>
    <w:rsid w:val="008802AE"/>
    <w:rsid w:val="0088099F"/>
    <w:rsid w:val="00880EAC"/>
    <w:rsid w:val="00881069"/>
    <w:rsid w:val="008821D0"/>
    <w:rsid w:val="0088251C"/>
    <w:rsid w:val="0088263C"/>
    <w:rsid w:val="00882874"/>
    <w:rsid w:val="00882D4F"/>
    <w:rsid w:val="00882F0F"/>
    <w:rsid w:val="0088307D"/>
    <w:rsid w:val="00883443"/>
    <w:rsid w:val="00883787"/>
    <w:rsid w:val="00883CC1"/>
    <w:rsid w:val="00884F89"/>
    <w:rsid w:val="00885488"/>
    <w:rsid w:val="00885D37"/>
    <w:rsid w:val="00886A7E"/>
    <w:rsid w:val="008871AD"/>
    <w:rsid w:val="00887AEE"/>
    <w:rsid w:val="0089045F"/>
    <w:rsid w:val="00890827"/>
    <w:rsid w:val="00890973"/>
    <w:rsid w:val="00890AC6"/>
    <w:rsid w:val="00890E48"/>
    <w:rsid w:val="00890F01"/>
    <w:rsid w:val="00891FF7"/>
    <w:rsid w:val="0089204B"/>
    <w:rsid w:val="00892B1D"/>
    <w:rsid w:val="00892C32"/>
    <w:rsid w:val="0089353A"/>
    <w:rsid w:val="0089406E"/>
    <w:rsid w:val="008943C5"/>
    <w:rsid w:val="008946D5"/>
    <w:rsid w:val="00894DDF"/>
    <w:rsid w:val="00894FD8"/>
    <w:rsid w:val="00895309"/>
    <w:rsid w:val="008953E2"/>
    <w:rsid w:val="00895430"/>
    <w:rsid w:val="0089582C"/>
    <w:rsid w:val="008963A5"/>
    <w:rsid w:val="008964B8"/>
    <w:rsid w:val="00896CEC"/>
    <w:rsid w:val="008977C1"/>
    <w:rsid w:val="00897B7D"/>
    <w:rsid w:val="00897D56"/>
    <w:rsid w:val="00897D7C"/>
    <w:rsid w:val="00897F76"/>
    <w:rsid w:val="008A0219"/>
    <w:rsid w:val="008A1306"/>
    <w:rsid w:val="008A17FC"/>
    <w:rsid w:val="008A1EEC"/>
    <w:rsid w:val="008A2040"/>
    <w:rsid w:val="008A21DD"/>
    <w:rsid w:val="008A2403"/>
    <w:rsid w:val="008A2471"/>
    <w:rsid w:val="008A2DB1"/>
    <w:rsid w:val="008A3923"/>
    <w:rsid w:val="008A3B97"/>
    <w:rsid w:val="008A3C3E"/>
    <w:rsid w:val="008A5162"/>
    <w:rsid w:val="008A521C"/>
    <w:rsid w:val="008A527D"/>
    <w:rsid w:val="008A554E"/>
    <w:rsid w:val="008A5902"/>
    <w:rsid w:val="008A5903"/>
    <w:rsid w:val="008A5FF6"/>
    <w:rsid w:val="008A67EC"/>
    <w:rsid w:val="008A6EC4"/>
    <w:rsid w:val="008A6F18"/>
    <w:rsid w:val="008A700E"/>
    <w:rsid w:val="008A7799"/>
    <w:rsid w:val="008A79DE"/>
    <w:rsid w:val="008A7F6C"/>
    <w:rsid w:val="008B096D"/>
    <w:rsid w:val="008B0FAB"/>
    <w:rsid w:val="008B14B0"/>
    <w:rsid w:val="008B1C42"/>
    <w:rsid w:val="008B1DAA"/>
    <w:rsid w:val="008B2030"/>
    <w:rsid w:val="008B2D05"/>
    <w:rsid w:val="008B31E1"/>
    <w:rsid w:val="008B3604"/>
    <w:rsid w:val="008B3690"/>
    <w:rsid w:val="008B3BBF"/>
    <w:rsid w:val="008B4062"/>
    <w:rsid w:val="008B4742"/>
    <w:rsid w:val="008B4894"/>
    <w:rsid w:val="008B48F0"/>
    <w:rsid w:val="008B493B"/>
    <w:rsid w:val="008B4BCC"/>
    <w:rsid w:val="008B55BE"/>
    <w:rsid w:val="008B5FB3"/>
    <w:rsid w:val="008B61DB"/>
    <w:rsid w:val="008B68F3"/>
    <w:rsid w:val="008B6E4E"/>
    <w:rsid w:val="008B7A43"/>
    <w:rsid w:val="008B7AE8"/>
    <w:rsid w:val="008B7D7E"/>
    <w:rsid w:val="008B7EEE"/>
    <w:rsid w:val="008C006C"/>
    <w:rsid w:val="008C0189"/>
    <w:rsid w:val="008C199C"/>
    <w:rsid w:val="008C1A47"/>
    <w:rsid w:val="008C2341"/>
    <w:rsid w:val="008C27AA"/>
    <w:rsid w:val="008C2B75"/>
    <w:rsid w:val="008C3F90"/>
    <w:rsid w:val="008C428B"/>
    <w:rsid w:val="008C4F87"/>
    <w:rsid w:val="008C55DF"/>
    <w:rsid w:val="008C55E3"/>
    <w:rsid w:val="008C5AF3"/>
    <w:rsid w:val="008C5DA4"/>
    <w:rsid w:val="008C5E91"/>
    <w:rsid w:val="008C6485"/>
    <w:rsid w:val="008C6A4D"/>
    <w:rsid w:val="008C6B85"/>
    <w:rsid w:val="008C7A46"/>
    <w:rsid w:val="008C7ECB"/>
    <w:rsid w:val="008D0793"/>
    <w:rsid w:val="008D0972"/>
    <w:rsid w:val="008D0CA0"/>
    <w:rsid w:val="008D181D"/>
    <w:rsid w:val="008D19A9"/>
    <w:rsid w:val="008D1D89"/>
    <w:rsid w:val="008D2120"/>
    <w:rsid w:val="008D23F5"/>
    <w:rsid w:val="008D2A4C"/>
    <w:rsid w:val="008D2E29"/>
    <w:rsid w:val="008D3C51"/>
    <w:rsid w:val="008D3CC4"/>
    <w:rsid w:val="008D4A3A"/>
    <w:rsid w:val="008D4D18"/>
    <w:rsid w:val="008D5DFB"/>
    <w:rsid w:val="008D66F6"/>
    <w:rsid w:val="008D6E5D"/>
    <w:rsid w:val="008D6E95"/>
    <w:rsid w:val="008D759B"/>
    <w:rsid w:val="008D7678"/>
    <w:rsid w:val="008D79F0"/>
    <w:rsid w:val="008D7C48"/>
    <w:rsid w:val="008E0C2F"/>
    <w:rsid w:val="008E0C42"/>
    <w:rsid w:val="008E104A"/>
    <w:rsid w:val="008E174C"/>
    <w:rsid w:val="008E1816"/>
    <w:rsid w:val="008E19DE"/>
    <w:rsid w:val="008E1B9E"/>
    <w:rsid w:val="008E2157"/>
    <w:rsid w:val="008E2626"/>
    <w:rsid w:val="008E2A39"/>
    <w:rsid w:val="008E3576"/>
    <w:rsid w:val="008E3914"/>
    <w:rsid w:val="008E3E53"/>
    <w:rsid w:val="008E4271"/>
    <w:rsid w:val="008E4583"/>
    <w:rsid w:val="008E49E2"/>
    <w:rsid w:val="008E4B95"/>
    <w:rsid w:val="008E60D0"/>
    <w:rsid w:val="008E60FA"/>
    <w:rsid w:val="008E6622"/>
    <w:rsid w:val="008E6675"/>
    <w:rsid w:val="008E6AE0"/>
    <w:rsid w:val="008E7815"/>
    <w:rsid w:val="008F01DE"/>
    <w:rsid w:val="008F0F02"/>
    <w:rsid w:val="008F1214"/>
    <w:rsid w:val="008F1A85"/>
    <w:rsid w:val="008F1EC2"/>
    <w:rsid w:val="008F1ECA"/>
    <w:rsid w:val="008F2279"/>
    <w:rsid w:val="008F22BA"/>
    <w:rsid w:val="008F2375"/>
    <w:rsid w:val="008F2C5A"/>
    <w:rsid w:val="008F2C91"/>
    <w:rsid w:val="008F2D4A"/>
    <w:rsid w:val="008F31D5"/>
    <w:rsid w:val="008F4051"/>
    <w:rsid w:val="008F439C"/>
    <w:rsid w:val="008F4586"/>
    <w:rsid w:val="008F473A"/>
    <w:rsid w:val="008F48B5"/>
    <w:rsid w:val="008F48EB"/>
    <w:rsid w:val="008F4F0B"/>
    <w:rsid w:val="008F5113"/>
    <w:rsid w:val="008F5CA7"/>
    <w:rsid w:val="008F5CF2"/>
    <w:rsid w:val="008F5D20"/>
    <w:rsid w:val="008F6734"/>
    <w:rsid w:val="008F681E"/>
    <w:rsid w:val="008F68FD"/>
    <w:rsid w:val="008F6B78"/>
    <w:rsid w:val="008F76A3"/>
    <w:rsid w:val="008F7C16"/>
    <w:rsid w:val="009010CF"/>
    <w:rsid w:val="009013EE"/>
    <w:rsid w:val="0090182A"/>
    <w:rsid w:val="00901A50"/>
    <w:rsid w:val="00901BD3"/>
    <w:rsid w:val="00901BFF"/>
    <w:rsid w:val="00901C88"/>
    <w:rsid w:val="009036C9"/>
    <w:rsid w:val="00903A9C"/>
    <w:rsid w:val="00904031"/>
    <w:rsid w:val="00904C3F"/>
    <w:rsid w:val="00905287"/>
    <w:rsid w:val="009062A5"/>
    <w:rsid w:val="00906E10"/>
    <w:rsid w:val="009075B8"/>
    <w:rsid w:val="00907CBE"/>
    <w:rsid w:val="00907F71"/>
    <w:rsid w:val="009110CE"/>
    <w:rsid w:val="00911272"/>
    <w:rsid w:val="00911F08"/>
    <w:rsid w:val="00912031"/>
    <w:rsid w:val="00912356"/>
    <w:rsid w:val="00912420"/>
    <w:rsid w:val="00912691"/>
    <w:rsid w:val="0091293B"/>
    <w:rsid w:val="0091311A"/>
    <w:rsid w:val="009133AD"/>
    <w:rsid w:val="009136BC"/>
    <w:rsid w:val="00913F67"/>
    <w:rsid w:val="00914AD2"/>
    <w:rsid w:val="00914BFB"/>
    <w:rsid w:val="00915484"/>
    <w:rsid w:val="0091591B"/>
    <w:rsid w:val="009160E5"/>
    <w:rsid w:val="00916363"/>
    <w:rsid w:val="009163B4"/>
    <w:rsid w:val="009168E0"/>
    <w:rsid w:val="0091722B"/>
    <w:rsid w:val="009175F5"/>
    <w:rsid w:val="00917F4A"/>
    <w:rsid w:val="00921065"/>
    <w:rsid w:val="0092187C"/>
    <w:rsid w:val="009218B7"/>
    <w:rsid w:val="00921C33"/>
    <w:rsid w:val="009224C6"/>
    <w:rsid w:val="00922523"/>
    <w:rsid w:val="00922993"/>
    <w:rsid w:val="00922F9E"/>
    <w:rsid w:val="009236E8"/>
    <w:rsid w:val="00924B89"/>
    <w:rsid w:val="00924D9E"/>
    <w:rsid w:val="0092529D"/>
    <w:rsid w:val="009258A1"/>
    <w:rsid w:val="009259BD"/>
    <w:rsid w:val="009268F6"/>
    <w:rsid w:val="00926900"/>
    <w:rsid w:val="009274D2"/>
    <w:rsid w:val="009274F4"/>
    <w:rsid w:val="009275CA"/>
    <w:rsid w:val="00927D4A"/>
    <w:rsid w:val="009302CF"/>
    <w:rsid w:val="009305F0"/>
    <w:rsid w:val="00930D07"/>
    <w:rsid w:val="00930D16"/>
    <w:rsid w:val="00931148"/>
    <w:rsid w:val="0093117E"/>
    <w:rsid w:val="00931935"/>
    <w:rsid w:val="00931A0B"/>
    <w:rsid w:val="00931D0C"/>
    <w:rsid w:val="00932435"/>
    <w:rsid w:val="009325E3"/>
    <w:rsid w:val="00932832"/>
    <w:rsid w:val="00932F0F"/>
    <w:rsid w:val="00933C86"/>
    <w:rsid w:val="00933D89"/>
    <w:rsid w:val="00934244"/>
    <w:rsid w:val="0093467E"/>
    <w:rsid w:val="00934B8C"/>
    <w:rsid w:val="00935654"/>
    <w:rsid w:val="00935D18"/>
    <w:rsid w:val="00935D2B"/>
    <w:rsid w:val="0093610A"/>
    <w:rsid w:val="00936149"/>
    <w:rsid w:val="00936343"/>
    <w:rsid w:val="00936877"/>
    <w:rsid w:val="00936FA5"/>
    <w:rsid w:val="00937336"/>
    <w:rsid w:val="00937902"/>
    <w:rsid w:val="00937920"/>
    <w:rsid w:val="00937C42"/>
    <w:rsid w:val="0094023C"/>
    <w:rsid w:val="00940A02"/>
    <w:rsid w:val="00940A72"/>
    <w:rsid w:val="00940B18"/>
    <w:rsid w:val="00940C1D"/>
    <w:rsid w:val="00940FF0"/>
    <w:rsid w:val="00941036"/>
    <w:rsid w:val="00941047"/>
    <w:rsid w:val="00941049"/>
    <w:rsid w:val="00941A7B"/>
    <w:rsid w:val="00941EF2"/>
    <w:rsid w:val="00942AFF"/>
    <w:rsid w:val="00942EC1"/>
    <w:rsid w:val="00942F64"/>
    <w:rsid w:val="00942F67"/>
    <w:rsid w:val="00943736"/>
    <w:rsid w:val="00943C34"/>
    <w:rsid w:val="00943C8F"/>
    <w:rsid w:val="009440CD"/>
    <w:rsid w:val="009445C0"/>
    <w:rsid w:val="00944B15"/>
    <w:rsid w:val="00944DD0"/>
    <w:rsid w:val="009459E8"/>
    <w:rsid w:val="009466FE"/>
    <w:rsid w:val="009474CC"/>
    <w:rsid w:val="00947588"/>
    <w:rsid w:val="00947888"/>
    <w:rsid w:val="0094799C"/>
    <w:rsid w:val="00947EAB"/>
    <w:rsid w:val="00950276"/>
    <w:rsid w:val="009505B7"/>
    <w:rsid w:val="009513B7"/>
    <w:rsid w:val="009518D1"/>
    <w:rsid w:val="009526F8"/>
    <w:rsid w:val="009528EA"/>
    <w:rsid w:val="00952AC2"/>
    <w:rsid w:val="00953209"/>
    <w:rsid w:val="0095323F"/>
    <w:rsid w:val="0095338B"/>
    <w:rsid w:val="00953406"/>
    <w:rsid w:val="009539EA"/>
    <w:rsid w:val="00953C2D"/>
    <w:rsid w:val="00953E03"/>
    <w:rsid w:val="00954029"/>
    <w:rsid w:val="0095432A"/>
    <w:rsid w:val="00954571"/>
    <w:rsid w:val="009556DA"/>
    <w:rsid w:val="009558DA"/>
    <w:rsid w:val="00955CF8"/>
    <w:rsid w:val="00956D44"/>
    <w:rsid w:val="00957555"/>
    <w:rsid w:val="00957AAF"/>
    <w:rsid w:val="00960277"/>
    <w:rsid w:val="00960553"/>
    <w:rsid w:val="0096078F"/>
    <w:rsid w:val="00960963"/>
    <w:rsid w:val="009610C2"/>
    <w:rsid w:val="009612F9"/>
    <w:rsid w:val="00961AF9"/>
    <w:rsid w:val="00962A27"/>
    <w:rsid w:val="00962CB9"/>
    <w:rsid w:val="00963637"/>
    <w:rsid w:val="00963737"/>
    <w:rsid w:val="0096398B"/>
    <w:rsid w:val="00963DD3"/>
    <w:rsid w:val="00964312"/>
    <w:rsid w:val="00964A14"/>
    <w:rsid w:val="00964C38"/>
    <w:rsid w:val="00964DBE"/>
    <w:rsid w:val="00964FEF"/>
    <w:rsid w:val="0096534F"/>
    <w:rsid w:val="00965BFA"/>
    <w:rsid w:val="00965CF4"/>
    <w:rsid w:val="00965E50"/>
    <w:rsid w:val="009660B2"/>
    <w:rsid w:val="00966428"/>
    <w:rsid w:val="009667AE"/>
    <w:rsid w:val="00966805"/>
    <w:rsid w:val="00966919"/>
    <w:rsid w:val="009677F7"/>
    <w:rsid w:val="00967808"/>
    <w:rsid w:val="00970335"/>
    <w:rsid w:val="00970B66"/>
    <w:rsid w:val="00970E24"/>
    <w:rsid w:val="00971451"/>
    <w:rsid w:val="009717A9"/>
    <w:rsid w:val="00971A06"/>
    <w:rsid w:val="009722F1"/>
    <w:rsid w:val="0097242C"/>
    <w:rsid w:val="00972682"/>
    <w:rsid w:val="00972CDC"/>
    <w:rsid w:val="009736D1"/>
    <w:rsid w:val="00974559"/>
    <w:rsid w:val="009748F1"/>
    <w:rsid w:val="00974A7B"/>
    <w:rsid w:val="00974AC5"/>
    <w:rsid w:val="00975019"/>
    <w:rsid w:val="00976065"/>
    <w:rsid w:val="0097689B"/>
    <w:rsid w:val="009768D8"/>
    <w:rsid w:val="0097723C"/>
    <w:rsid w:val="00977F2C"/>
    <w:rsid w:val="0098002F"/>
    <w:rsid w:val="00980885"/>
    <w:rsid w:val="00980ADF"/>
    <w:rsid w:val="00980E83"/>
    <w:rsid w:val="009813B6"/>
    <w:rsid w:val="009819F3"/>
    <w:rsid w:val="00981F13"/>
    <w:rsid w:val="00982B47"/>
    <w:rsid w:val="00982BD4"/>
    <w:rsid w:val="00982CAD"/>
    <w:rsid w:val="00982D7E"/>
    <w:rsid w:val="00982E1F"/>
    <w:rsid w:val="00982F2D"/>
    <w:rsid w:val="0098345D"/>
    <w:rsid w:val="009837E6"/>
    <w:rsid w:val="00983E57"/>
    <w:rsid w:val="00983F0B"/>
    <w:rsid w:val="0098425C"/>
    <w:rsid w:val="009847A1"/>
    <w:rsid w:val="00985E9D"/>
    <w:rsid w:val="0098638E"/>
    <w:rsid w:val="0098643F"/>
    <w:rsid w:val="00986517"/>
    <w:rsid w:val="00986D3B"/>
    <w:rsid w:val="00987979"/>
    <w:rsid w:val="0098797A"/>
    <w:rsid w:val="00990649"/>
    <w:rsid w:val="00991044"/>
    <w:rsid w:val="00991115"/>
    <w:rsid w:val="009916E2"/>
    <w:rsid w:val="009917E4"/>
    <w:rsid w:val="0099200D"/>
    <w:rsid w:val="00992E7F"/>
    <w:rsid w:val="009937EF"/>
    <w:rsid w:val="00993BA0"/>
    <w:rsid w:val="00993EB8"/>
    <w:rsid w:val="00994276"/>
    <w:rsid w:val="0099434F"/>
    <w:rsid w:val="00995786"/>
    <w:rsid w:val="0099609E"/>
    <w:rsid w:val="009964EC"/>
    <w:rsid w:val="00996B1A"/>
    <w:rsid w:val="00996B29"/>
    <w:rsid w:val="00996ED3"/>
    <w:rsid w:val="00997862"/>
    <w:rsid w:val="00997867"/>
    <w:rsid w:val="00997B8E"/>
    <w:rsid w:val="009A0398"/>
    <w:rsid w:val="009A045D"/>
    <w:rsid w:val="009A0775"/>
    <w:rsid w:val="009A0AA7"/>
    <w:rsid w:val="009A0AF5"/>
    <w:rsid w:val="009A0B48"/>
    <w:rsid w:val="009A0B72"/>
    <w:rsid w:val="009A0D0E"/>
    <w:rsid w:val="009A0FE5"/>
    <w:rsid w:val="009A1092"/>
    <w:rsid w:val="009A171A"/>
    <w:rsid w:val="009A1B2C"/>
    <w:rsid w:val="009A1E0F"/>
    <w:rsid w:val="009A27A6"/>
    <w:rsid w:val="009A3178"/>
    <w:rsid w:val="009A3796"/>
    <w:rsid w:val="009A3905"/>
    <w:rsid w:val="009A40D7"/>
    <w:rsid w:val="009A501E"/>
    <w:rsid w:val="009A5481"/>
    <w:rsid w:val="009A6ADE"/>
    <w:rsid w:val="009A6B51"/>
    <w:rsid w:val="009A6BA3"/>
    <w:rsid w:val="009A6C1A"/>
    <w:rsid w:val="009A6F09"/>
    <w:rsid w:val="009B007A"/>
    <w:rsid w:val="009B01E7"/>
    <w:rsid w:val="009B1111"/>
    <w:rsid w:val="009B1C67"/>
    <w:rsid w:val="009B288B"/>
    <w:rsid w:val="009B2BAB"/>
    <w:rsid w:val="009B2F16"/>
    <w:rsid w:val="009B315A"/>
    <w:rsid w:val="009B316C"/>
    <w:rsid w:val="009B3953"/>
    <w:rsid w:val="009B3E26"/>
    <w:rsid w:val="009B4A10"/>
    <w:rsid w:val="009B506C"/>
    <w:rsid w:val="009B53F0"/>
    <w:rsid w:val="009B5FFA"/>
    <w:rsid w:val="009B62E3"/>
    <w:rsid w:val="009B63DB"/>
    <w:rsid w:val="009B6A99"/>
    <w:rsid w:val="009B6C76"/>
    <w:rsid w:val="009B6F1A"/>
    <w:rsid w:val="009B713B"/>
    <w:rsid w:val="009B75D8"/>
    <w:rsid w:val="009B76E0"/>
    <w:rsid w:val="009B7A4E"/>
    <w:rsid w:val="009C041F"/>
    <w:rsid w:val="009C3087"/>
    <w:rsid w:val="009C392D"/>
    <w:rsid w:val="009C3CB9"/>
    <w:rsid w:val="009C479D"/>
    <w:rsid w:val="009C4913"/>
    <w:rsid w:val="009C4D4D"/>
    <w:rsid w:val="009C4DFC"/>
    <w:rsid w:val="009C5672"/>
    <w:rsid w:val="009C599A"/>
    <w:rsid w:val="009C5DDB"/>
    <w:rsid w:val="009C62C9"/>
    <w:rsid w:val="009C6975"/>
    <w:rsid w:val="009C721C"/>
    <w:rsid w:val="009C76A0"/>
    <w:rsid w:val="009D0602"/>
    <w:rsid w:val="009D0657"/>
    <w:rsid w:val="009D0937"/>
    <w:rsid w:val="009D0DCE"/>
    <w:rsid w:val="009D14D4"/>
    <w:rsid w:val="009D159D"/>
    <w:rsid w:val="009D1F70"/>
    <w:rsid w:val="009D2156"/>
    <w:rsid w:val="009D218D"/>
    <w:rsid w:val="009D25C9"/>
    <w:rsid w:val="009D2831"/>
    <w:rsid w:val="009D2965"/>
    <w:rsid w:val="009D2AF0"/>
    <w:rsid w:val="009D2B62"/>
    <w:rsid w:val="009D2BE6"/>
    <w:rsid w:val="009D2EE0"/>
    <w:rsid w:val="009D3171"/>
    <w:rsid w:val="009D32F1"/>
    <w:rsid w:val="009D3A6D"/>
    <w:rsid w:val="009D3F73"/>
    <w:rsid w:val="009D42BA"/>
    <w:rsid w:val="009D4924"/>
    <w:rsid w:val="009D53C8"/>
    <w:rsid w:val="009D5B3A"/>
    <w:rsid w:val="009D5B91"/>
    <w:rsid w:val="009D63EF"/>
    <w:rsid w:val="009D70E9"/>
    <w:rsid w:val="009D79DF"/>
    <w:rsid w:val="009D79F0"/>
    <w:rsid w:val="009D7C69"/>
    <w:rsid w:val="009D7DAE"/>
    <w:rsid w:val="009E0018"/>
    <w:rsid w:val="009E1B4E"/>
    <w:rsid w:val="009E1FA2"/>
    <w:rsid w:val="009E263F"/>
    <w:rsid w:val="009E26B3"/>
    <w:rsid w:val="009E29E7"/>
    <w:rsid w:val="009E2A14"/>
    <w:rsid w:val="009E3040"/>
    <w:rsid w:val="009E37AE"/>
    <w:rsid w:val="009E4083"/>
    <w:rsid w:val="009E4104"/>
    <w:rsid w:val="009E43BD"/>
    <w:rsid w:val="009E4868"/>
    <w:rsid w:val="009E4AA8"/>
    <w:rsid w:val="009E4C07"/>
    <w:rsid w:val="009E5427"/>
    <w:rsid w:val="009E5B45"/>
    <w:rsid w:val="009E5E3A"/>
    <w:rsid w:val="009E6838"/>
    <w:rsid w:val="009E6CED"/>
    <w:rsid w:val="009E7550"/>
    <w:rsid w:val="009E7816"/>
    <w:rsid w:val="009E781C"/>
    <w:rsid w:val="009E7C31"/>
    <w:rsid w:val="009F0B63"/>
    <w:rsid w:val="009F0E86"/>
    <w:rsid w:val="009F10F4"/>
    <w:rsid w:val="009F1F11"/>
    <w:rsid w:val="009F2301"/>
    <w:rsid w:val="009F3497"/>
    <w:rsid w:val="009F37D4"/>
    <w:rsid w:val="009F3A93"/>
    <w:rsid w:val="009F44E4"/>
    <w:rsid w:val="009F4AB8"/>
    <w:rsid w:val="009F52EE"/>
    <w:rsid w:val="009F5587"/>
    <w:rsid w:val="009F5807"/>
    <w:rsid w:val="009F5A00"/>
    <w:rsid w:val="009F6485"/>
    <w:rsid w:val="009F6B87"/>
    <w:rsid w:val="009F739D"/>
    <w:rsid w:val="009F792E"/>
    <w:rsid w:val="009F79AC"/>
    <w:rsid w:val="009F7BEE"/>
    <w:rsid w:val="009F7C79"/>
    <w:rsid w:val="00A00D0E"/>
    <w:rsid w:val="00A00F0F"/>
    <w:rsid w:val="00A01076"/>
    <w:rsid w:val="00A01497"/>
    <w:rsid w:val="00A019D1"/>
    <w:rsid w:val="00A021D4"/>
    <w:rsid w:val="00A02242"/>
    <w:rsid w:val="00A02A63"/>
    <w:rsid w:val="00A02A93"/>
    <w:rsid w:val="00A02F20"/>
    <w:rsid w:val="00A03303"/>
    <w:rsid w:val="00A03D43"/>
    <w:rsid w:val="00A04209"/>
    <w:rsid w:val="00A04380"/>
    <w:rsid w:val="00A04D98"/>
    <w:rsid w:val="00A05A52"/>
    <w:rsid w:val="00A05A56"/>
    <w:rsid w:val="00A05B96"/>
    <w:rsid w:val="00A070EB"/>
    <w:rsid w:val="00A07382"/>
    <w:rsid w:val="00A0750B"/>
    <w:rsid w:val="00A079EB"/>
    <w:rsid w:val="00A07BA0"/>
    <w:rsid w:val="00A07BD1"/>
    <w:rsid w:val="00A1028D"/>
    <w:rsid w:val="00A104DD"/>
    <w:rsid w:val="00A11BD7"/>
    <w:rsid w:val="00A11CAF"/>
    <w:rsid w:val="00A11FED"/>
    <w:rsid w:val="00A1288E"/>
    <w:rsid w:val="00A12A19"/>
    <w:rsid w:val="00A12D24"/>
    <w:rsid w:val="00A12E09"/>
    <w:rsid w:val="00A133A0"/>
    <w:rsid w:val="00A13449"/>
    <w:rsid w:val="00A138BE"/>
    <w:rsid w:val="00A13948"/>
    <w:rsid w:val="00A13B82"/>
    <w:rsid w:val="00A13E74"/>
    <w:rsid w:val="00A141BA"/>
    <w:rsid w:val="00A14C74"/>
    <w:rsid w:val="00A157B3"/>
    <w:rsid w:val="00A15B44"/>
    <w:rsid w:val="00A1608A"/>
    <w:rsid w:val="00A16997"/>
    <w:rsid w:val="00A17359"/>
    <w:rsid w:val="00A1771B"/>
    <w:rsid w:val="00A17809"/>
    <w:rsid w:val="00A17816"/>
    <w:rsid w:val="00A17C7F"/>
    <w:rsid w:val="00A20243"/>
    <w:rsid w:val="00A202BC"/>
    <w:rsid w:val="00A21605"/>
    <w:rsid w:val="00A21B40"/>
    <w:rsid w:val="00A22395"/>
    <w:rsid w:val="00A22F28"/>
    <w:rsid w:val="00A230FD"/>
    <w:rsid w:val="00A23270"/>
    <w:rsid w:val="00A2327C"/>
    <w:rsid w:val="00A2331C"/>
    <w:rsid w:val="00A233F2"/>
    <w:rsid w:val="00A23DA2"/>
    <w:rsid w:val="00A24298"/>
    <w:rsid w:val="00A25752"/>
    <w:rsid w:val="00A25AF1"/>
    <w:rsid w:val="00A25FF9"/>
    <w:rsid w:val="00A26224"/>
    <w:rsid w:val="00A265CE"/>
    <w:rsid w:val="00A26A62"/>
    <w:rsid w:val="00A273D4"/>
    <w:rsid w:val="00A27AEC"/>
    <w:rsid w:val="00A310D8"/>
    <w:rsid w:val="00A31E71"/>
    <w:rsid w:val="00A32709"/>
    <w:rsid w:val="00A3298A"/>
    <w:rsid w:val="00A32F81"/>
    <w:rsid w:val="00A3300E"/>
    <w:rsid w:val="00A3353C"/>
    <w:rsid w:val="00A33F01"/>
    <w:rsid w:val="00A33F98"/>
    <w:rsid w:val="00A34E50"/>
    <w:rsid w:val="00A35B42"/>
    <w:rsid w:val="00A35D16"/>
    <w:rsid w:val="00A36ADC"/>
    <w:rsid w:val="00A36D27"/>
    <w:rsid w:val="00A377AF"/>
    <w:rsid w:val="00A40345"/>
    <w:rsid w:val="00A41CBF"/>
    <w:rsid w:val="00A42119"/>
    <w:rsid w:val="00A42152"/>
    <w:rsid w:val="00A4257F"/>
    <w:rsid w:val="00A426EF"/>
    <w:rsid w:val="00A42D42"/>
    <w:rsid w:val="00A432BE"/>
    <w:rsid w:val="00A4363E"/>
    <w:rsid w:val="00A43C59"/>
    <w:rsid w:val="00A43E99"/>
    <w:rsid w:val="00A44345"/>
    <w:rsid w:val="00A44552"/>
    <w:rsid w:val="00A445C0"/>
    <w:rsid w:val="00A44707"/>
    <w:rsid w:val="00A44DC7"/>
    <w:rsid w:val="00A45436"/>
    <w:rsid w:val="00A4564A"/>
    <w:rsid w:val="00A45EDF"/>
    <w:rsid w:val="00A46360"/>
    <w:rsid w:val="00A46361"/>
    <w:rsid w:val="00A46718"/>
    <w:rsid w:val="00A47DEF"/>
    <w:rsid w:val="00A50ECD"/>
    <w:rsid w:val="00A51059"/>
    <w:rsid w:val="00A5137E"/>
    <w:rsid w:val="00A51CD9"/>
    <w:rsid w:val="00A52198"/>
    <w:rsid w:val="00A52729"/>
    <w:rsid w:val="00A52E69"/>
    <w:rsid w:val="00A53076"/>
    <w:rsid w:val="00A53283"/>
    <w:rsid w:val="00A53675"/>
    <w:rsid w:val="00A53D0E"/>
    <w:rsid w:val="00A54115"/>
    <w:rsid w:val="00A5444A"/>
    <w:rsid w:val="00A54EF7"/>
    <w:rsid w:val="00A55232"/>
    <w:rsid w:val="00A562DA"/>
    <w:rsid w:val="00A564E2"/>
    <w:rsid w:val="00A56731"/>
    <w:rsid w:val="00A5692A"/>
    <w:rsid w:val="00A569DD"/>
    <w:rsid w:val="00A56B6A"/>
    <w:rsid w:val="00A5747D"/>
    <w:rsid w:val="00A578DC"/>
    <w:rsid w:val="00A602DD"/>
    <w:rsid w:val="00A60375"/>
    <w:rsid w:val="00A62290"/>
    <w:rsid w:val="00A624C9"/>
    <w:rsid w:val="00A62AD6"/>
    <w:rsid w:val="00A640EB"/>
    <w:rsid w:val="00A643EF"/>
    <w:rsid w:val="00A644E2"/>
    <w:rsid w:val="00A65237"/>
    <w:rsid w:val="00A6582F"/>
    <w:rsid w:val="00A662E2"/>
    <w:rsid w:val="00A6725B"/>
    <w:rsid w:val="00A67A29"/>
    <w:rsid w:val="00A67FDA"/>
    <w:rsid w:val="00A7033B"/>
    <w:rsid w:val="00A710BE"/>
    <w:rsid w:val="00A7116C"/>
    <w:rsid w:val="00A714D9"/>
    <w:rsid w:val="00A718F1"/>
    <w:rsid w:val="00A7199B"/>
    <w:rsid w:val="00A719E8"/>
    <w:rsid w:val="00A71ECA"/>
    <w:rsid w:val="00A7227B"/>
    <w:rsid w:val="00A72356"/>
    <w:rsid w:val="00A730C9"/>
    <w:rsid w:val="00A7325C"/>
    <w:rsid w:val="00A7325F"/>
    <w:rsid w:val="00A73A73"/>
    <w:rsid w:val="00A73CD0"/>
    <w:rsid w:val="00A74124"/>
    <w:rsid w:val="00A746A4"/>
    <w:rsid w:val="00A74799"/>
    <w:rsid w:val="00A75B08"/>
    <w:rsid w:val="00A75FAC"/>
    <w:rsid w:val="00A76091"/>
    <w:rsid w:val="00A76148"/>
    <w:rsid w:val="00A76F9A"/>
    <w:rsid w:val="00A8039B"/>
    <w:rsid w:val="00A80696"/>
    <w:rsid w:val="00A8082B"/>
    <w:rsid w:val="00A81DC9"/>
    <w:rsid w:val="00A821C0"/>
    <w:rsid w:val="00A827D0"/>
    <w:rsid w:val="00A82C58"/>
    <w:rsid w:val="00A82E87"/>
    <w:rsid w:val="00A8315A"/>
    <w:rsid w:val="00A83343"/>
    <w:rsid w:val="00A83BE0"/>
    <w:rsid w:val="00A83FBB"/>
    <w:rsid w:val="00A84043"/>
    <w:rsid w:val="00A841A4"/>
    <w:rsid w:val="00A84980"/>
    <w:rsid w:val="00A84DEB"/>
    <w:rsid w:val="00A858B0"/>
    <w:rsid w:val="00A85DA1"/>
    <w:rsid w:val="00A86BA9"/>
    <w:rsid w:val="00A86E8B"/>
    <w:rsid w:val="00A86FE3"/>
    <w:rsid w:val="00A87346"/>
    <w:rsid w:val="00A87382"/>
    <w:rsid w:val="00A873C2"/>
    <w:rsid w:val="00A8792D"/>
    <w:rsid w:val="00A9047D"/>
    <w:rsid w:val="00A9060B"/>
    <w:rsid w:val="00A907EF"/>
    <w:rsid w:val="00A909C5"/>
    <w:rsid w:val="00A924AE"/>
    <w:rsid w:val="00A92CEA"/>
    <w:rsid w:val="00A92FC3"/>
    <w:rsid w:val="00A9303B"/>
    <w:rsid w:val="00A93072"/>
    <w:rsid w:val="00A93EDE"/>
    <w:rsid w:val="00A940A6"/>
    <w:rsid w:val="00A94A16"/>
    <w:rsid w:val="00A95A14"/>
    <w:rsid w:val="00A964E6"/>
    <w:rsid w:val="00A96E0B"/>
    <w:rsid w:val="00A971EC"/>
    <w:rsid w:val="00A978DE"/>
    <w:rsid w:val="00A97990"/>
    <w:rsid w:val="00AA02EE"/>
    <w:rsid w:val="00AA042F"/>
    <w:rsid w:val="00AA0A07"/>
    <w:rsid w:val="00AA0F59"/>
    <w:rsid w:val="00AA1082"/>
    <w:rsid w:val="00AA1609"/>
    <w:rsid w:val="00AA16B4"/>
    <w:rsid w:val="00AA19C2"/>
    <w:rsid w:val="00AA1D9A"/>
    <w:rsid w:val="00AA2324"/>
    <w:rsid w:val="00AA34DD"/>
    <w:rsid w:val="00AA3554"/>
    <w:rsid w:val="00AA3843"/>
    <w:rsid w:val="00AA3B85"/>
    <w:rsid w:val="00AA3EEA"/>
    <w:rsid w:val="00AA41E8"/>
    <w:rsid w:val="00AA48FF"/>
    <w:rsid w:val="00AA4A08"/>
    <w:rsid w:val="00AA4E24"/>
    <w:rsid w:val="00AA50BF"/>
    <w:rsid w:val="00AA5AC0"/>
    <w:rsid w:val="00AA60F8"/>
    <w:rsid w:val="00AA63DB"/>
    <w:rsid w:val="00AA6660"/>
    <w:rsid w:val="00AA6A2C"/>
    <w:rsid w:val="00AA7717"/>
    <w:rsid w:val="00AB042A"/>
    <w:rsid w:val="00AB070E"/>
    <w:rsid w:val="00AB1838"/>
    <w:rsid w:val="00AB21A4"/>
    <w:rsid w:val="00AB23CE"/>
    <w:rsid w:val="00AB2E6A"/>
    <w:rsid w:val="00AB3430"/>
    <w:rsid w:val="00AB3B4B"/>
    <w:rsid w:val="00AB3F87"/>
    <w:rsid w:val="00AB41C9"/>
    <w:rsid w:val="00AB4AA8"/>
    <w:rsid w:val="00AB50BD"/>
    <w:rsid w:val="00AB5F2C"/>
    <w:rsid w:val="00AB630F"/>
    <w:rsid w:val="00AB6739"/>
    <w:rsid w:val="00AB73D0"/>
    <w:rsid w:val="00AB7C38"/>
    <w:rsid w:val="00AB7CFA"/>
    <w:rsid w:val="00AB7F31"/>
    <w:rsid w:val="00AC01F9"/>
    <w:rsid w:val="00AC08F6"/>
    <w:rsid w:val="00AC10C0"/>
    <w:rsid w:val="00AC168D"/>
    <w:rsid w:val="00AC1B1C"/>
    <w:rsid w:val="00AC2390"/>
    <w:rsid w:val="00AC26C9"/>
    <w:rsid w:val="00AC276D"/>
    <w:rsid w:val="00AC2BE9"/>
    <w:rsid w:val="00AC310A"/>
    <w:rsid w:val="00AC33F3"/>
    <w:rsid w:val="00AC364F"/>
    <w:rsid w:val="00AC3768"/>
    <w:rsid w:val="00AC3FD3"/>
    <w:rsid w:val="00AC4270"/>
    <w:rsid w:val="00AC4721"/>
    <w:rsid w:val="00AC4C79"/>
    <w:rsid w:val="00AC5C91"/>
    <w:rsid w:val="00AC62FA"/>
    <w:rsid w:val="00AC64D4"/>
    <w:rsid w:val="00AC6B12"/>
    <w:rsid w:val="00AC6CE8"/>
    <w:rsid w:val="00AC6DB4"/>
    <w:rsid w:val="00AC7778"/>
    <w:rsid w:val="00AC7840"/>
    <w:rsid w:val="00AD02AE"/>
    <w:rsid w:val="00AD05A4"/>
    <w:rsid w:val="00AD064C"/>
    <w:rsid w:val="00AD074D"/>
    <w:rsid w:val="00AD085B"/>
    <w:rsid w:val="00AD1258"/>
    <w:rsid w:val="00AD1285"/>
    <w:rsid w:val="00AD148B"/>
    <w:rsid w:val="00AD149D"/>
    <w:rsid w:val="00AD19FC"/>
    <w:rsid w:val="00AD2124"/>
    <w:rsid w:val="00AD225B"/>
    <w:rsid w:val="00AD2E8C"/>
    <w:rsid w:val="00AD2FD3"/>
    <w:rsid w:val="00AD3E3D"/>
    <w:rsid w:val="00AD40C9"/>
    <w:rsid w:val="00AD5321"/>
    <w:rsid w:val="00AD54EF"/>
    <w:rsid w:val="00AD5FD5"/>
    <w:rsid w:val="00AD69BC"/>
    <w:rsid w:val="00AD7441"/>
    <w:rsid w:val="00AD75B6"/>
    <w:rsid w:val="00AD7B83"/>
    <w:rsid w:val="00AE079A"/>
    <w:rsid w:val="00AE09DF"/>
    <w:rsid w:val="00AE0C6A"/>
    <w:rsid w:val="00AE1628"/>
    <w:rsid w:val="00AE1B41"/>
    <w:rsid w:val="00AE21F8"/>
    <w:rsid w:val="00AE3316"/>
    <w:rsid w:val="00AE3CDD"/>
    <w:rsid w:val="00AE4A6B"/>
    <w:rsid w:val="00AE4BD6"/>
    <w:rsid w:val="00AE4CC3"/>
    <w:rsid w:val="00AE4F15"/>
    <w:rsid w:val="00AE59DA"/>
    <w:rsid w:val="00AE5A4D"/>
    <w:rsid w:val="00AE5DC4"/>
    <w:rsid w:val="00AE61BB"/>
    <w:rsid w:val="00AE63E2"/>
    <w:rsid w:val="00AE65DF"/>
    <w:rsid w:val="00AE7F56"/>
    <w:rsid w:val="00AF0010"/>
    <w:rsid w:val="00AF0693"/>
    <w:rsid w:val="00AF0BC1"/>
    <w:rsid w:val="00AF1F64"/>
    <w:rsid w:val="00AF20BB"/>
    <w:rsid w:val="00AF23ED"/>
    <w:rsid w:val="00AF27B0"/>
    <w:rsid w:val="00AF2834"/>
    <w:rsid w:val="00AF2C9E"/>
    <w:rsid w:val="00AF31F9"/>
    <w:rsid w:val="00AF3640"/>
    <w:rsid w:val="00AF39D1"/>
    <w:rsid w:val="00AF40EE"/>
    <w:rsid w:val="00AF4CFA"/>
    <w:rsid w:val="00AF5BDD"/>
    <w:rsid w:val="00AF5E3E"/>
    <w:rsid w:val="00AF66FB"/>
    <w:rsid w:val="00AF6C76"/>
    <w:rsid w:val="00AF7376"/>
    <w:rsid w:val="00AF7A9A"/>
    <w:rsid w:val="00AF7EF3"/>
    <w:rsid w:val="00AF7F59"/>
    <w:rsid w:val="00AF7FD6"/>
    <w:rsid w:val="00B00406"/>
    <w:rsid w:val="00B00D80"/>
    <w:rsid w:val="00B00D8F"/>
    <w:rsid w:val="00B018B9"/>
    <w:rsid w:val="00B01E4F"/>
    <w:rsid w:val="00B01F7E"/>
    <w:rsid w:val="00B02121"/>
    <w:rsid w:val="00B02316"/>
    <w:rsid w:val="00B02B2E"/>
    <w:rsid w:val="00B02D25"/>
    <w:rsid w:val="00B02E3A"/>
    <w:rsid w:val="00B02F80"/>
    <w:rsid w:val="00B0338A"/>
    <w:rsid w:val="00B034AC"/>
    <w:rsid w:val="00B03748"/>
    <w:rsid w:val="00B03C40"/>
    <w:rsid w:val="00B0498E"/>
    <w:rsid w:val="00B05131"/>
    <w:rsid w:val="00B0611D"/>
    <w:rsid w:val="00B078CE"/>
    <w:rsid w:val="00B07E4D"/>
    <w:rsid w:val="00B07F08"/>
    <w:rsid w:val="00B1014B"/>
    <w:rsid w:val="00B11026"/>
    <w:rsid w:val="00B11622"/>
    <w:rsid w:val="00B11831"/>
    <w:rsid w:val="00B11CA2"/>
    <w:rsid w:val="00B12A13"/>
    <w:rsid w:val="00B135C2"/>
    <w:rsid w:val="00B1383B"/>
    <w:rsid w:val="00B13F7E"/>
    <w:rsid w:val="00B141F0"/>
    <w:rsid w:val="00B14207"/>
    <w:rsid w:val="00B14667"/>
    <w:rsid w:val="00B14A94"/>
    <w:rsid w:val="00B14ADA"/>
    <w:rsid w:val="00B15480"/>
    <w:rsid w:val="00B157DA"/>
    <w:rsid w:val="00B15C77"/>
    <w:rsid w:val="00B16B14"/>
    <w:rsid w:val="00B17222"/>
    <w:rsid w:val="00B17BF2"/>
    <w:rsid w:val="00B17F42"/>
    <w:rsid w:val="00B20595"/>
    <w:rsid w:val="00B20802"/>
    <w:rsid w:val="00B20A0A"/>
    <w:rsid w:val="00B2106F"/>
    <w:rsid w:val="00B211FF"/>
    <w:rsid w:val="00B21342"/>
    <w:rsid w:val="00B218AD"/>
    <w:rsid w:val="00B21923"/>
    <w:rsid w:val="00B21C49"/>
    <w:rsid w:val="00B21D9D"/>
    <w:rsid w:val="00B21FD3"/>
    <w:rsid w:val="00B22A28"/>
    <w:rsid w:val="00B233B6"/>
    <w:rsid w:val="00B23B63"/>
    <w:rsid w:val="00B24B8F"/>
    <w:rsid w:val="00B254F2"/>
    <w:rsid w:val="00B255A8"/>
    <w:rsid w:val="00B258E1"/>
    <w:rsid w:val="00B25A5F"/>
    <w:rsid w:val="00B2620A"/>
    <w:rsid w:val="00B264B2"/>
    <w:rsid w:val="00B264DF"/>
    <w:rsid w:val="00B267CD"/>
    <w:rsid w:val="00B26B6E"/>
    <w:rsid w:val="00B26F00"/>
    <w:rsid w:val="00B270F0"/>
    <w:rsid w:val="00B2796C"/>
    <w:rsid w:val="00B27AFF"/>
    <w:rsid w:val="00B300B1"/>
    <w:rsid w:val="00B303B3"/>
    <w:rsid w:val="00B303E2"/>
    <w:rsid w:val="00B304A6"/>
    <w:rsid w:val="00B306DC"/>
    <w:rsid w:val="00B31BFF"/>
    <w:rsid w:val="00B31F30"/>
    <w:rsid w:val="00B32407"/>
    <w:rsid w:val="00B32A3A"/>
    <w:rsid w:val="00B32E92"/>
    <w:rsid w:val="00B32F54"/>
    <w:rsid w:val="00B346CE"/>
    <w:rsid w:val="00B34D3D"/>
    <w:rsid w:val="00B34E47"/>
    <w:rsid w:val="00B3513C"/>
    <w:rsid w:val="00B360D7"/>
    <w:rsid w:val="00B3795E"/>
    <w:rsid w:val="00B37FA0"/>
    <w:rsid w:val="00B403A1"/>
    <w:rsid w:val="00B4084F"/>
    <w:rsid w:val="00B40D44"/>
    <w:rsid w:val="00B40E14"/>
    <w:rsid w:val="00B40ECF"/>
    <w:rsid w:val="00B41387"/>
    <w:rsid w:val="00B41AB6"/>
    <w:rsid w:val="00B41AC9"/>
    <w:rsid w:val="00B41DA2"/>
    <w:rsid w:val="00B42299"/>
    <w:rsid w:val="00B424DE"/>
    <w:rsid w:val="00B42851"/>
    <w:rsid w:val="00B434AC"/>
    <w:rsid w:val="00B437FD"/>
    <w:rsid w:val="00B43860"/>
    <w:rsid w:val="00B43A20"/>
    <w:rsid w:val="00B43A3E"/>
    <w:rsid w:val="00B43BFA"/>
    <w:rsid w:val="00B440D1"/>
    <w:rsid w:val="00B4524F"/>
    <w:rsid w:val="00B45460"/>
    <w:rsid w:val="00B4579C"/>
    <w:rsid w:val="00B471D1"/>
    <w:rsid w:val="00B4737C"/>
    <w:rsid w:val="00B473D8"/>
    <w:rsid w:val="00B4744A"/>
    <w:rsid w:val="00B47B43"/>
    <w:rsid w:val="00B47D31"/>
    <w:rsid w:val="00B47F5F"/>
    <w:rsid w:val="00B50559"/>
    <w:rsid w:val="00B513F5"/>
    <w:rsid w:val="00B516EB"/>
    <w:rsid w:val="00B519A2"/>
    <w:rsid w:val="00B52353"/>
    <w:rsid w:val="00B532D2"/>
    <w:rsid w:val="00B54505"/>
    <w:rsid w:val="00B546B2"/>
    <w:rsid w:val="00B54B5B"/>
    <w:rsid w:val="00B55112"/>
    <w:rsid w:val="00B552CF"/>
    <w:rsid w:val="00B5562E"/>
    <w:rsid w:val="00B55F18"/>
    <w:rsid w:val="00B5698C"/>
    <w:rsid w:val="00B57000"/>
    <w:rsid w:val="00B57625"/>
    <w:rsid w:val="00B57F69"/>
    <w:rsid w:val="00B6011F"/>
    <w:rsid w:val="00B608CF"/>
    <w:rsid w:val="00B60939"/>
    <w:rsid w:val="00B60A9D"/>
    <w:rsid w:val="00B60AFD"/>
    <w:rsid w:val="00B60C11"/>
    <w:rsid w:val="00B60E6A"/>
    <w:rsid w:val="00B61160"/>
    <w:rsid w:val="00B61537"/>
    <w:rsid w:val="00B61954"/>
    <w:rsid w:val="00B619DC"/>
    <w:rsid w:val="00B61DED"/>
    <w:rsid w:val="00B61F02"/>
    <w:rsid w:val="00B61FA3"/>
    <w:rsid w:val="00B62715"/>
    <w:rsid w:val="00B63354"/>
    <w:rsid w:val="00B635DF"/>
    <w:rsid w:val="00B64070"/>
    <w:rsid w:val="00B64127"/>
    <w:rsid w:val="00B64150"/>
    <w:rsid w:val="00B642A9"/>
    <w:rsid w:val="00B64DE4"/>
    <w:rsid w:val="00B65449"/>
    <w:rsid w:val="00B6600A"/>
    <w:rsid w:val="00B66AB0"/>
    <w:rsid w:val="00B66E68"/>
    <w:rsid w:val="00B674DB"/>
    <w:rsid w:val="00B674DD"/>
    <w:rsid w:val="00B70338"/>
    <w:rsid w:val="00B706E2"/>
    <w:rsid w:val="00B70A06"/>
    <w:rsid w:val="00B70AAA"/>
    <w:rsid w:val="00B70C52"/>
    <w:rsid w:val="00B70DB7"/>
    <w:rsid w:val="00B71B1E"/>
    <w:rsid w:val="00B71B54"/>
    <w:rsid w:val="00B72210"/>
    <w:rsid w:val="00B722B8"/>
    <w:rsid w:val="00B72D21"/>
    <w:rsid w:val="00B72F64"/>
    <w:rsid w:val="00B7389D"/>
    <w:rsid w:val="00B73C0E"/>
    <w:rsid w:val="00B745C8"/>
    <w:rsid w:val="00B7478A"/>
    <w:rsid w:val="00B75125"/>
    <w:rsid w:val="00B75454"/>
    <w:rsid w:val="00B755C8"/>
    <w:rsid w:val="00B759C3"/>
    <w:rsid w:val="00B75B0E"/>
    <w:rsid w:val="00B773B0"/>
    <w:rsid w:val="00B777A6"/>
    <w:rsid w:val="00B77A3A"/>
    <w:rsid w:val="00B77B18"/>
    <w:rsid w:val="00B77D5C"/>
    <w:rsid w:val="00B801F3"/>
    <w:rsid w:val="00B807FD"/>
    <w:rsid w:val="00B80910"/>
    <w:rsid w:val="00B811A7"/>
    <w:rsid w:val="00B815D9"/>
    <w:rsid w:val="00B815F9"/>
    <w:rsid w:val="00B818A4"/>
    <w:rsid w:val="00B81CAE"/>
    <w:rsid w:val="00B82098"/>
    <w:rsid w:val="00B82914"/>
    <w:rsid w:val="00B830DC"/>
    <w:rsid w:val="00B83243"/>
    <w:rsid w:val="00B833E2"/>
    <w:rsid w:val="00B83D43"/>
    <w:rsid w:val="00B856BA"/>
    <w:rsid w:val="00B85758"/>
    <w:rsid w:val="00B85803"/>
    <w:rsid w:val="00B85FCE"/>
    <w:rsid w:val="00B8649C"/>
    <w:rsid w:val="00B86D67"/>
    <w:rsid w:val="00B87919"/>
    <w:rsid w:val="00B9020F"/>
    <w:rsid w:val="00B90BD3"/>
    <w:rsid w:val="00B920A3"/>
    <w:rsid w:val="00B921D7"/>
    <w:rsid w:val="00B92D0B"/>
    <w:rsid w:val="00B92D26"/>
    <w:rsid w:val="00B93D24"/>
    <w:rsid w:val="00B94945"/>
    <w:rsid w:val="00B94BB2"/>
    <w:rsid w:val="00B94D62"/>
    <w:rsid w:val="00B95745"/>
    <w:rsid w:val="00B95F70"/>
    <w:rsid w:val="00B96652"/>
    <w:rsid w:val="00B966FA"/>
    <w:rsid w:val="00B9682E"/>
    <w:rsid w:val="00B97037"/>
    <w:rsid w:val="00B971E7"/>
    <w:rsid w:val="00B97AFF"/>
    <w:rsid w:val="00BA0C32"/>
    <w:rsid w:val="00BA0D33"/>
    <w:rsid w:val="00BA114D"/>
    <w:rsid w:val="00BA12E9"/>
    <w:rsid w:val="00BA1995"/>
    <w:rsid w:val="00BA1A9D"/>
    <w:rsid w:val="00BA1C1D"/>
    <w:rsid w:val="00BA1CA1"/>
    <w:rsid w:val="00BA3088"/>
    <w:rsid w:val="00BA348E"/>
    <w:rsid w:val="00BA35D6"/>
    <w:rsid w:val="00BA3AD6"/>
    <w:rsid w:val="00BA3E94"/>
    <w:rsid w:val="00BA3FEF"/>
    <w:rsid w:val="00BA401C"/>
    <w:rsid w:val="00BA40F0"/>
    <w:rsid w:val="00BA4CAF"/>
    <w:rsid w:val="00BA4DD0"/>
    <w:rsid w:val="00BA4F57"/>
    <w:rsid w:val="00BA5231"/>
    <w:rsid w:val="00BA5680"/>
    <w:rsid w:val="00BA56B2"/>
    <w:rsid w:val="00BA5717"/>
    <w:rsid w:val="00BA5F2B"/>
    <w:rsid w:val="00BA6739"/>
    <w:rsid w:val="00BA696C"/>
    <w:rsid w:val="00BA748D"/>
    <w:rsid w:val="00BA7669"/>
    <w:rsid w:val="00BB0033"/>
    <w:rsid w:val="00BB0264"/>
    <w:rsid w:val="00BB05E1"/>
    <w:rsid w:val="00BB1966"/>
    <w:rsid w:val="00BB27B0"/>
    <w:rsid w:val="00BB3400"/>
    <w:rsid w:val="00BB36B1"/>
    <w:rsid w:val="00BB39D4"/>
    <w:rsid w:val="00BB4225"/>
    <w:rsid w:val="00BB4CB8"/>
    <w:rsid w:val="00BB5763"/>
    <w:rsid w:val="00BB5981"/>
    <w:rsid w:val="00BB628C"/>
    <w:rsid w:val="00BB634B"/>
    <w:rsid w:val="00BB6AC7"/>
    <w:rsid w:val="00BB75F2"/>
    <w:rsid w:val="00BB7A03"/>
    <w:rsid w:val="00BB7A17"/>
    <w:rsid w:val="00BB7EAF"/>
    <w:rsid w:val="00BC13F6"/>
    <w:rsid w:val="00BC1557"/>
    <w:rsid w:val="00BC1693"/>
    <w:rsid w:val="00BC1C6B"/>
    <w:rsid w:val="00BC1CA0"/>
    <w:rsid w:val="00BC1D11"/>
    <w:rsid w:val="00BC2077"/>
    <w:rsid w:val="00BC20E0"/>
    <w:rsid w:val="00BC379F"/>
    <w:rsid w:val="00BC3DCE"/>
    <w:rsid w:val="00BC3EF5"/>
    <w:rsid w:val="00BC4686"/>
    <w:rsid w:val="00BC475F"/>
    <w:rsid w:val="00BC47A4"/>
    <w:rsid w:val="00BC641C"/>
    <w:rsid w:val="00BC6D96"/>
    <w:rsid w:val="00BC710D"/>
    <w:rsid w:val="00BD0BDD"/>
    <w:rsid w:val="00BD0E3E"/>
    <w:rsid w:val="00BD19A6"/>
    <w:rsid w:val="00BD1CF8"/>
    <w:rsid w:val="00BD231B"/>
    <w:rsid w:val="00BD2971"/>
    <w:rsid w:val="00BD2C04"/>
    <w:rsid w:val="00BD31CA"/>
    <w:rsid w:val="00BD3416"/>
    <w:rsid w:val="00BD355F"/>
    <w:rsid w:val="00BD37A4"/>
    <w:rsid w:val="00BD44FF"/>
    <w:rsid w:val="00BD46BE"/>
    <w:rsid w:val="00BD4831"/>
    <w:rsid w:val="00BD52A3"/>
    <w:rsid w:val="00BD5902"/>
    <w:rsid w:val="00BD5D82"/>
    <w:rsid w:val="00BD66FD"/>
    <w:rsid w:val="00BD673E"/>
    <w:rsid w:val="00BD676B"/>
    <w:rsid w:val="00BD6D64"/>
    <w:rsid w:val="00BD70C2"/>
    <w:rsid w:val="00BD7942"/>
    <w:rsid w:val="00BD7960"/>
    <w:rsid w:val="00BD7EA6"/>
    <w:rsid w:val="00BE06B8"/>
    <w:rsid w:val="00BE0CF3"/>
    <w:rsid w:val="00BE1E9F"/>
    <w:rsid w:val="00BE2180"/>
    <w:rsid w:val="00BE2B67"/>
    <w:rsid w:val="00BE2DAE"/>
    <w:rsid w:val="00BE4275"/>
    <w:rsid w:val="00BE45D6"/>
    <w:rsid w:val="00BE57AE"/>
    <w:rsid w:val="00BE5A49"/>
    <w:rsid w:val="00BE69D2"/>
    <w:rsid w:val="00BE6BE7"/>
    <w:rsid w:val="00BE6F80"/>
    <w:rsid w:val="00BE712E"/>
    <w:rsid w:val="00BE7347"/>
    <w:rsid w:val="00BE7432"/>
    <w:rsid w:val="00BE75BD"/>
    <w:rsid w:val="00BE7D8A"/>
    <w:rsid w:val="00BF0375"/>
    <w:rsid w:val="00BF04E5"/>
    <w:rsid w:val="00BF09D4"/>
    <w:rsid w:val="00BF1913"/>
    <w:rsid w:val="00BF1F50"/>
    <w:rsid w:val="00BF23ED"/>
    <w:rsid w:val="00BF2433"/>
    <w:rsid w:val="00BF2A25"/>
    <w:rsid w:val="00BF3246"/>
    <w:rsid w:val="00BF327B"/>
    <w:rsid w:val="00BF390C"/>
    <w:rsid w:val="00BF41D1"/>
    <w:rsid w:val="00BF4CB8"/>
    <w:rsid w:val="00BF5082"/>
    <w:rsid w:val="00BF5BA3"/>
    <w:rsid w:val="00BF5D75"/>
    <w:rsid w:val="00BF5E34"/>
    <w:rsid w:val="00BF60FB"/>
    <w:rsid w:val="00BF61C9"/>
    <w:rsid w:val="00BF70D5"/>
    <w:rsid w:val="00BF7473"/>
    <w:rsid w:val="00BF7977"/>
    <w:rsid w:val="00C0088F"/>
    <w:rsid w:val="00C00EA0"/>
    <w:rsid w:val="00C012D6"/>
    <w:rsid w:val="00C01841"/>
    <w:rsid w:val="00C01CFB"/>
    <w:rsid w:val="00C025AD"/>
    <w:rsid w:val="00C02A46"/>
    <w:rsid w:val="00C02DA6"/>
    <w:rsid w:val="00C049AF"/>
    <w:rsid w:val="00C04BF4"/>
    <w:rsid w:val="00C054BD"/>
    <w:rsid w:val="00C057F9"/>
    <w:rsid w:val="00C05D96"/>
    <w:rsid w:val="00C06861"/>
    <w:rsid w:val="00C069F2"/>
    <w:rsid w:val="00C06FE8"/>
    <w:rsid w:val="00C07235"/>
    <w:rsid w:val="00C07D49"/>
    <w:rsid w:val="00C109DB"/>
    <w:rsid w:val="00C10A3C"/>
    <w:rsid w:val="00C10F76"/>
    <w:rsid w:val="00C113BE"/>
    <w:rsid w:val="00C115A3"/>
    <w:rsid w:val="00C11928"/>
    <w:rsid w:val="00C127EF"/>
    <w:rsid w:val="00C1369F"/>
    <w:rsid w:val="00C13A90"/>
    <w:rsid w:val="00C13AEF"/>
    <w:rsid w:val="00C13B6C"/>
    <w:rsid w:val="00C14A63"/>
    <w:rsid w:val="00C14A98"/>
    <w:rsid w:val="00C14B1B"/>
    <w:rsid w:val="00C152D0"/>
    <w:rsid w:val="00C1541A"/>
    <w:rsid w:val="00C1584F"/>
    <w:rsid w:val="00C16819"/>
    <w:rsid w:val="00C16853"/>
    <w:rsid w:val="00C169D6"/>
    <w:rsid w:val="00C175CE"/>
    <w:rsid w:val="00C17B32"/>
    <w:rsid w:val="00C20044"/>
    <w:rsid w:val="00C200F2"/>
    <w:rsid w:val="00C2036D"/>
    <w:rsid w:val="00C20962"/>
    <w:rsid w:val="00C20C49"/>
    <w:rsid w:val="00C20E46"/>
    <w:rsid w:val="00C20EE9"/>
    <w:rsid w:val="00C21570"/>
    <w:rsid w:val="00C228F8"/>
    <w:rsid w:val="00C2394E"/>
    <w:rsid w:val="00C239AC"/>
    <w:rsid w:val="00C2525F"/>
    <w:rsid w:val="00C25418"/>
    <w:rsid w:val="00C25C54"/>
    <w:rsid w:val="00C25D9C"/>
    <w:rsid w:val="00C25E7F"/>
    <w:rsid w:val="00C26973"/>
    <w:rsid w:val="00C26A9F"/>
    <w:rsid w:val="00C26D83"/>
    <w:rsid w:val="00C26DD1"/>
    <w:rsid w:val="00C26ECA"/>
    <w:rsid w:val="00C272C0"/>
    <w:rsid w:val="00C27B5B"/>
    <w:rsid w:val="00C302DD"/>
    <w:rsid w:val="00C303D4"/>
    <w:rsid w:val="00C30BF8"/>
    <w:rsid w:val="00C30DBE"/>
    <w:rsid w:val="00C31649"/>
    <w:rsid w:val="00C3176E"/>
    <w:rsid w:val="00C31C20"/>
    <w:rsid w:val="00C325EA"/>
    <w:rsid w:val="00C32DE9"/>
    <w:rsid w:val="00C33697"/>
    <w:rsid w:val="00C33F2C"/>
    <w:rsid w:val="00C34089"/>
    <w:rsid w:val="00C34321"/>
    <w:rsid w:val="00C34513"/>
    <w:rsid w:val="00C34B90"/>
    <w:rsid w:val="00C34D34"/>
    <w:rsid w:val="00C35C22"/>
    <w:rsid w:val="00C35D25"/>
    <w:rsid w:val="00C3659F"/>
    <w:rsid w:val="00C36839"/>
    <w:rsid w:val="00C374CB"/>
    <w:rsid w:val="00C3761F"/>
    <w:rsid w:val="00C37CA0"/>
    <w:rsid w:val="00C37F50"/>
    <w:rsid w:val="00C40035"/>
    <w:rsid w:val="00C40385"/>
    <w:rsid w:val="00C403C2"/>
    <w:rsid w:val="00C40D7F"/>
    <w:rsid w:val="00C41051"/>
    <w:rsid w:val="00C41189"/>
    <w:rsid w:val="00C419C9"/>
    <w:rsid w:val="00C41A51"/>
    <w:rsid w:val="00C43357"/>
    <w:rsid w:val="00C443FB"/>
    <w:rsid w:val="00C4440F"/>
    <w:rsid w:val="00C449A4"/>
    <w:rsid w:val="00C4526A"/>
    <w:rsid w:val="00C464A3"/>
    <w:rsid w:val="00C465DA"/>
    <w:rsid w:val="00C46985"/>
    <w:rsid w:val="00C46C42"/>
    <w:rsid w:val="00C46D87"/>
    <w:rsid w:val="00C46F2F"/>
    <w:rsid w:val="00C471E0"/>
    <w:rsid w:val="00C4746B"/>
    <w:rsid w:val="00C5005C"/>
    <w:rsid w:val="00C51874"/>
    <w:rsid w:val="00C51E69"/>
    <w:rsid w:val="00C52852"/>
    <w:rsid w:val="00C53170"/>
    <w:rsid w:val="00C5328F"/>
    <w:rsid w:val="00C539EA"/>
    <w:rsid w:val="00C53B1C"/>
    <w:rsid w:val="00C550FF"/>
    <w:rsid w:val="00C552EF"/>
    <w:rsid w:val="00C557C3"/>
    <w:rsid w:val="00C558BD"/>
    <w:rsid w:val="00C55A5F"/>
    <w:rsid w:val="00C55BB1"/>
    <w:rsid w:val="00C55C39"/>
    <w:rsid w:val="00C55FB6"/>
    <w:rsid w:val="00C56EC6"/>
    <w:rsid w:val="00C57324"/>
    <w:rsid w:val="00C57549"/>
    <w:rsid w:val="00C577D9"/>
    <w:rsid w:val="00C600B1"/>
    <w:rsid w:val="00C60905"/>
    <w:rsid w:val="00C60B6C"/>
    <w:rsid w:val="00C617F6"/>
    <w:rsid w:val="00C619C8"/>
    <w:rsid w:val="00C61A36"/>
    <w:rsid w:val="00C627A6"/>
    <w:rsid w:val="00C62892"/>
    <w:rsid w:val="00C62DD3"/>
    <w:rsid w:val="00C62FC0"/>
    <w:rsid w:val="00C63CB8"/>
    <w:rsid w:val="00C64418"/>
    <w:rsid w:val="00C64D56"/>
    <w:rsid w:val="00C6552A"/>
    <w:rsid w:val="00C65576"/>
    <w:rsid w:val="00C6590F"/>
    <w:rsid w:val="00C66165"/>
    <w:rsid w:val="00C664D4"/>
    <w:rsid w:val="00C66717"/>
    <w:rsid w:val="00C667A4"/>
    <w:rsid w:val="00C66DAF"/>
    <w:rsid w:val="00C66E02"/>
    <w:rsid w:val="00C67AA3"/>
    <w:rsid w:val="00C67CF4"/>
    <w:rsid w:val="00C70E05"/>
    <w:rsid w:val="00C71093"/>
    <w:rsid w:val="00C71455"/>
    <w:rsid w:val="00C71C32"/>
    <w:rsid w:val="00C721C3"/>
    <w:rsid w:val="00C723EC"/>
    <w:rsid w:val="00C7253C"/>
    <w:rsid w:val="00C72CFE"/>
    <w:rsid w:val="00C74D84"/>
    <w:rsid w:val="00C75291"/>
    <w:rsid w:val="00C753AA"/>
    <w:rsid w:val="00C75C85"/>
    <w:rsid w:val="00C75D15"/>
    <w:rsid w:val="00C7654D"/>
    <w:rsid w:val="00C7699D"/>
    <w:rsid w:val="00C76AA1"/>
    <w:rsid w:val="00C801FE"/>
    <w:rsid w:val="00C815FE"/>
    <w:rsid w:val="00C8184A"/>
    <w:rsid w:val="00C8213F"/>
    <w:rsid w:val="00C82182"/>
    <w:rsid w:val="00C822C4"/>
    <w:rsid w:val="00C82796"/>
    <w:rsid w:val="00C8399C"/>
    <w:rsid w:val="00C83D6A"/>
    <w:rsid w:val="00C84980"/>
    <w:rsid w:val="00C84996"/>
    <w:rsid w:val="00C85BC5"/>
    <w:rsid w:val="00C86EAA"/>
    <w:rsid w:val="00C87216"/>
    <w:rsid w:val="00C8744C"/>
    <w:rsid w:val="00C8797A"/>
    <w:rsid w:val="00C87A2F"/>
    <w:rsid w:val="00C9087F"/>
    <w:rsid w:val="00C908FD"/>
    <w:rsid w:val="00C909C7"/>
    <w:rsid w:val="00C92269"/>
    <w:rsid w:val="00C92297"/>
    <w:rsid w:val="00C9300E"/>
    <w:rsid w:val="00C930ED"/>
    <w:rsid w:val="00C93362"/>
    <w:rsid w:val="00C938CF"/>
    <w:rsid w:val="00C93DB7"/>
    <w:rsid w:val="00C941B8"/>
    <w:rsid w:val="00C9467F"/>
    <w:rsid w:val="00C948F4"/>
    <w:rsid w:val="00C94921"/>
    <w:rsid w:val="00C949FE"/>
    <w:rsid w:val="00C9509C"/>
    <w:rsid w:val="00C95339"/>
    <w:rsid w:val="00C959E1"/>
    <w:rsid w:val="00C96990"/>
    <w:rsid w:val="00C97521"/>
    <w:rsid w:val="00C9767B"/>
    <w:rsid w:val="00C97C89"/>
    <w:rsid w:val="00C97D0D"/>
    <w:rsid w:val="00CA05E9"/>
    <w:rsid w:val="00CA0AE7"/>
    <w:rsid w:val="00CA0C0B"/>
    <w:rsid w:val="00CA1060"/>
    <w:rsid w:val="00CA1B48"/>
    <w:rsid w:val="00CA1FDB"/>
    <w:rsid w:val="00CA272E"/>
    <w:rsid w:val="00CA29C9"/>
    <w:rsid w:val="00CA2BF1"/>
    <w:rsid w:val="00CA3AE9"/>
    <w:rsid w:val="00CA3E31"/>
    <w:rsid w:val="00CA4AD5"/>
    <w:rsid w:val="00CA4B30"/>
    <w:rsid w:val="00CA4DCE"/>
    <w:rsid w:val="00CA5245"/>
    <w:rsid w:val="00CA5479"/>
    <w:rsid w:val="00CA55CE"/>
    <w:rsid w:val="00CA5BF6"/>
    <w:rsid w:val="00CA5CC8"/>
    <w:rsid w:val="00CA5E47"/>
    <w:rsid w:val="00CA65C9"/>
    <w:rsid w:val="00CA6DA0"/>
    <w:rsid w:val="00CA7880"/>
    <w:rsid w:val="00CA7B09"/>
    <w:rsid w:val="00CA7EA5"/>
    <w:rsid w:val="00CB0179"/>
    <w:rsid w:val="00CB04AE"/>
    <w:rsid w:val="00CB0654"/>
    <w:rsid w:val="00CB0FE0"/>
    <w:rsid w:val="00CB1204"/>
    <w:rsid w:val="00CB1FBF"/>
    <w:rsid w:val="00CB243C"/>
    <w:rsid w:val="00CB290F"/>
    <w:rsid w:val="00CB2C29"/>
    <w:rsid w:val="00CB3732"/>
    <w:rsid w:val="00CB39B7"/>
    <w:rsid w:val="00CB3ACC"/>
    <w:rsid w:val="00CB3D09"/>
    <w:rsid w:val="00CB464F"/>
    <w:rsid w:val="00CB49C6"/>
    <w:rsid w:val="00CB5B1A"/>
    <w:rsid w:val="00CB5BAC"/>
    <w:rsid w:val="00CB6780"/>
    <w:rsid w:val="00CB6BA5"/>
    <w:rsid w:val="00CB6C3F"/>
    <w:rsid w:val="00CB6EA5"/>
    <w:rsid w:val="00CB701A"/>
    <w:rsid w:val="00CC0432"/>
    <w:rsid w:val="00CC083D"/>
    <w:rsid w:val="00CC0E86"/>
    <w:rsid w:val="00CC121E"/>
    <w:rsid w:val="00CC1BEE"/>
    <w:rsid w:val="00CC238E"/>
    <w:rsid w:val="00CC295E"/>
    <w:rsid w:val="00CC3270"/>
    <w:rsid w:val="00CC3FC5"/>
    <w:rsid w:val="00CC42B9"/>
    <w:rsid w:val="00CC46CA"/>
    <w:rsid w:val="00CC4726"/>
    <w:rsid w:val="00CC476F"/>
    <w:rsid w:val="00CC50F1"/>
    <w:rsid w:val="00CC5C47"/>
    <w:rsid w:val="00CC5D52"/>
    <w:rsid w:val="00CC627A"/>
    <w:rsid w:val="00CC6C5A"/>
    <w:rsid w:val="00CD034A"/>
    <w:rsid w:val="00CD0425"/>
    <w:rsid w:val="00CD12BD"/>
    <w:rsid w:val="00CD130E"/>
    <w:rsid w:val="00CD1940"/>
    <w:rsid w:val="00CD1DFF"/>
    <w:rsid w:val="00CD28D1"/>
    <w:rsid w:val="00CD2A88"/>
    <w:rsid w:val="00CD2F15"/>
    <w:rsid w:val="00CD3171"/>
    <w:rsid w:val="00CD35C4"/>
    <w:rsid w:val="00CD47A5"/>
    <w:rsid w:val="00CD492D"/>
    <w:rsid w:val="00CD4E5C"/>
    <w:rsid w:val="00CD52BF"/>
    <w:rsid w:val="00CD570F"/>
    <w:rsid w:val="00CD5D07"/>
    <w:rsid w:val="00CD5EE7"/>
    <w:rsid w:val="00CD6353"/>
    <w:rsid w:val="00CD6543"/>
    <w:rsid w:val="00CD657B"/>
    <w:rsid w:val="00CD6ADC"/>
    <w:rsid w:val="00CD732C"/>
    <w:rsid w:val="00CD7A6A"/>
    <w:rsid w:val="00CE1D93"/>
    <w:rsid w:val="00CE263C"/>
    <w:rsid w:val="00CE280A"/>
    <w:rsid w:val="00CE2B77"/>
    <w:rsid w:val="00CE339F"/>
    <w:rsid w:val="00CE3483"/>
    <w:rsid w:val="00CE3A9E"/>
    <w:rsid w:val="00CE4BFF"/>
    <w:rsid w:val="00CE4F4D"/>
    <w:rsid w:val="00CE513B"/>
    <w:rsid w:val="00CE56E3"/>
    <w:rsid w:val="00CE57EF"/>
    <w:rsid w:val="00CE59D4"/>
    <w:rsid w:val="00CE59F9"/>
    <w:rsid w:val="00CE5A16"/>
    <w:rsid w:val="00CE5B06"/>
    <w:rsid w:val="00CE5C73"/>
    <w:rsid w:val="00CE6274"/>
    <w:rsid w:val="00CE62C5"/>
    <w:rsid w:val="00CE68EA"/>
    <w:rsid w:val="00CE6D75"/>
    <w:rsid w:val="00CE7042"/>
    <w:rsid w:val="00CE70E4"/>
    <w:rsid w:val="00CF0A13"/>
    <w:rsid w:val="00CF110C"/>
    <w:rsid w:val="00CF14E3"/>
    <w:rsid w:val="00CF1C19"/>
    <w:rsid w:val="00CF1D6B"/>
    <w:rsid w:val="00CF27F3"/>
    <w:rsid w:val="00CF31F9"/>
    <w:rsid w:val="00CF346C"/>
    <w:rsid w:val="00CF37FB"/>
    <w:rsid w:val="00CF4098"/>
    <w:rsid w:val="00CF41BC"/>
    <w:rsid w:val="00CF456B"/>
    <w:rsid w:val="00CF4593"/>
    <w:rsid w:val="00CF4D23"/>
    <w:rsid w:val="00CF5855"/>
    <w:rsid w:val="00CF5A22"/>
    <w:rsid w:val="00CF60EF"/>
    <w:rsid w:val="00CF62E8"/>
    <w:rsid w:val="00CF64CD"/>
    <w:rsid w:val="00CF685A"/>
    <w:rsid w:val="00CF75FC"/>
    <w:rsid w:val="00CF78A8"/>
    <w:rsid w:val="00CF7E3C"/>
    <w:rsid w:val="00CF7F76"/>
    <w:rsid w:val="00D00220"/>
    <w:rsid w:val="00D00748"/>
    <w:rsid w:val="00D00875"/>
    <w:rsid w:val="00D00C59"/>
    <w:rsid w:val="00D010F0"/>
    <w:rsid w:val="00D013D3"/>
    <w:rsid w:val="00D01E82"/>
    <w:rsid w:val="00D0262E"/>
    <w:rsid w:val="00D02A4A"/>
    <w:rsid w:val="00D03064"/>
    <w:rsid w:val="00D03138"/>
    <w:rsid w:val="00D038C5"/>
    <w:rsid w:val="00D03B13"/>
    <w:rsid w:val="00D03D7E"/>
    <w:rsid w:val="00D04404"/>
    <w:rsid w:val="00D04604"/>
    <w:rsid w:val="00D049EC"/>
    <w:rsid w:val="00D04C42"/>
    <w:rsid w:val="00D04DB8"/>
    <w:rsid w:val="00D05CBD"/>
    <w:rsid w:val="00D06468"/>
    <w:rsid w:val="00D06F46"/>
    <w:rsid w:val="00D06FCB"/>
    <w:rsid w:val="00D06FD4"/>
    <w:rsid w:val="00D07184"/>
    <w:rsid w:val="00D075FA"/>
    <w:rsid w:val="00D07928"/>
    <w:rsid w:val="00D079CA"/>
    <w:rsid w:val="00D07AF1"/>
    <w:rsid w:val="00D10955"/>
    <w:rsid w:val="00D10ACA"/>
    <w:rsid w:val="00D110BD"/>
    <w:rsid w:val="00D111D9"/>
    <w:rsid w:val="00D11D6C"/>
    <w:rsid w:val="00D127C7"/>
    <w:rsid w:val="00D129CA"/>
    <w:rsid w:val="00D12AF5"/>
    <w:rsid w:val="00D12E53"/>
    <w:rsid w:val="00D13999"/>
    <w:rsid w:val="00D1441F"/>
    <w:rsid w:val="00D144F3"/>
    <w:rsid w:val="00D145E8"/>
    <w:rsid w:val="00D14D82"/>
    <w:rsid w:val="00D15640"/>
    <w:rsid w:val="00D15CD3"/>
    <w:rsid w:val="00D16761"/>
    <w:rsid w:val="00D173CD"/>
    <w:rsid w:val="00D178A6"/>
    <w:rsid w:val="00D17D6C"/>
    <w:rsid w:val="00D201E0"/>
    <w:rsid w:val="00D209A6"/>
    <w:rsid w:val="00D20A32"/>
    <w:rsid w:val="00D212DA"/>
    <w:rsid w:val="00D21D2B"/>
    <w:rsid w:val="00D21E62"/>
    <w:rsid w:val="00D21EDE"/>
    <w:rsid w:val="00D2215A"/>
    <w:rsid w:val="00D222BF"/>
    <w:rsid w:val="00D22304"/>
    <w:rsid w:val="00D22E00"/>
    <w:rsid w:val="00D230A7"/>
    <w:rsid w:val="00D2380C"/>
    <w:rsid w:val="00D23C89"/>
    <w:rsid w:val="00D2405B"/>
    <w:rsid w:val="00D24E43"/>
    <w:rsid w:val="00D25349"/>
    <w:rsid w:val="00D255E1"/>
    <w:rsid w:val="00D25EC9"/>
    <w:rsid w:val="00D263AB"/>
    <w:rsid w:val="00D26809"/>
    <w:rsid w:val="00D2686F"/>
    <w:rsid w:val="00D26876"/>
    <w:rsid w:val="00D27474"/>
    <w:rsid w:val="00D30306"/>
    <w:rsid w:val="00D30B9F"/>
    <w:rsid w:val="00D30E02"/>
    <w:rsid w:val="00D3198A"/>
    <w:rsid w:val="00D31AA6"/>
    <w:rsid w:val="00D32906"/>
    <w:rsid w:val="00D32EA4"/>
    <w:rsid w:val="00D3331F"/>
    <w:rsid w:val="00D338E6"/>
    <w:rsid w:val="00D33CC0"/>
    <w:rsid w:val="00D3414B"/>
    <w:rsid w:val="00D34257"/>
    <w:rsid w:val="00D34270"/>
    <w:rsid w:val="00D349AD"/>
    <w:rsid w:val="00D356EC"/>
    <w:rsid w:val="00D3646A"/>
    <w:rsid w:val="00D37022"/>
    <w:rsid w:val="00D37632"/>
    <w:rsid w:val="00D37DEA"/>
    <w:rsid w:val="00D37F15"/>
    <w:rsid w:val="00D40091"/>
    <w:rsid w:val="00D40610"/>
    <w:rsid w:val="00D4061B"/>
    <w:rsid w:val="00D4073C"/>
    <w:rsid w:val="00D40F9B"/>
    <w:rsid w:val="00D41997"/>
    <w:rsid w:val="00D41C9F"/>
    <w:rsid w:val="00D41F9F"/>
    <w:rsid w:val="00D427A5"/>
    <w:rsid w:val="00D42805"/>
    <w:rsid w:val="00D4393A"/>
    <w:rsid w:val="00D43E6E"/>
    <w:rsid w:val="00D4490C"/>
    <w:rsid w:val="00D44ABD"/>
    <w:rsid w:val="00D44C6A"/>
    <w:rsid w:val="00D44FC5"/>
    <w:rsid w:val="00D4517E"/>
    <w:rsid w:val="00D4527D"/>
    <w:rsid w:val="00D454A7"/>
    <w:rsid w:val="00D458F1"/>
    <w:rsid w:val="00D462A3"/>
    <w:rsid w:val="00D46C57"/>
    <w:rsid w:val="00D46E73"/>
    <w:rsid w:val="00D47081"/>
    <w:rsid w:val="00D47F49"/>
    <w:rsid w:val="00D5065D"/>
    <w:rsid w:val="00D50C47"/>
    <w:rsid w:val="00D50D85"/>
    <w:rsid w:val="00D5128A"/>
    <w:rsid w:val="00D5199B"/>
    <w:rsid w:val="00D5207F"/>
    <w:rsid w:val="00D52F6C"/>
    <w:rsid w:val="00D53602"/>
    <w:rsid w:val="00D54EBC"/>
    <w:rsid w:val="00D5529C"/>
    <w:rsid w:val="00D5552F"/>
    <w:rsid w:val="00D55AAC"/>
    <w:rsid w:val="00D560E1"/>
    <w:rsid w:val="00D5630D"/>
    <w:rsid w:val="00D57BC4"/>
    <w:rsid w:val="00D57E6F"/>
    <w:rsid w:val="00D57F06"/>
    <w:rsid w:val="00D60A71"/>
    <w:rsid w:val="00D60AAF"/>
    <w:rsid w:val="00D60AEF"/>
    <w:rsid w:val="00D614FA"/>
    <w:rsid w:val="00D61921"/>
    <w:rsid w:val="00D61F05"/>
    <w:rsid w:val="00D62031"/>
    <w:rsid w:val="00D62C29"/>
    <w:rsid w:val="00D63149"/>
    <w:rsid w:val="00D632B8"/>
    <w:rsid w:val="00D63D43"/>
    <w:rsid w:val="00D6501F"/>
    <w:rsid w:val="00D651A1"/>
    <w:rsid w:val="00D66408"/>
    <w:rsid w:val="00D6689B"/>
    <w:rsid w:val="00D669F5"/>
    <w:rsid w:val="00D66D94"/>
    <w:rsid w:val="00D67850"/>
    <w:rsid w:val="00D678B3"/>
    <w:rsid w:val="00D67BB4"/>
    <w:rsid w:val="00D67C73"/>
    <w:rsid w:val="00D67FD3"/>
    <w:rsid w:val="00D70843"/>
    <w:rsid w:val="00D71D43"/>
    <w:rsid w:val="00D71E1C"/>
    <w:rsid w:val="00D727AD"/>
    <w:rsid w:val="00D727CA"/>
    <w:rsid w:val="00D7304E"/>
    <w:rsid w:val="00D736AE"/>
    <w:rsid w:val="00D736EB"/>
    <w:rsid w:val="00D73B9E"/>
    <w:rsid w:val="00D73EF3"/>
    <w:rsid w:val="00D74007"/>
    <w:rsid w:val="00D74139"/>
    <w:rsid w:val="00D7422C"/>
    <w:rsid w:val="00D746A0"/>
    <w:rsid w:val="00D7476A"/>
    <w:rsid w:val="00D74AD7"/>
    <w:rsid w:val="00D74D76"/>
    <w:rsid w:val="00D75E6A"/>
    <w:rsid w:val="00D76A44"/>
    <w:rsid w:val="00D77214"/>
    <w:rsid w:val="00D772BC"/>
    <w:rsid w:val="00D775E0"/>
    <w:rsid w:val="00D77AE5"/>
    <w:rsid w:val="00D806E2"/>
    <w:rsid w:val="00D80A35"/>
    <w:rsid w:val="00D811EA"/>
    <w:rsid w:val="00D82333"/>
    <w:rsid w:val="00D8244B"/>
    <w:rsid w:val="00D8255B"/>
    <w:rsid w:val="00D82CA8"/>
    <w:rsid w:val="00D82E52"/>
    <w:rsid w:val="00D83548"/>
    <w:rsid w:val="00D83842"/>
    <w:rsid w:val="00D844D3"/>
    <w:rsid w:val="00D8476F"/>
    <w:rsid w:val="00D84C67"/>
    <w:rsid w:val="00D84EBB"/>
    <w:rsid w:val="00D86121"/>
    <w:rsid w:val="00D86F52"/>
    <w:rsid w:val="00D8787E"/>
    <w:rsid w:val="00D879AE"/>
    <w:rsid w:val="00D903EA"/>
    <w:rsid w:val="00D9050F"/>
    <w:rsid w:val="00D9076F"/>
    <w:rsid w:val="00D90AF9"/>
    <w:rsid w:val="00D90D9C"/>
    <w:rsid w:val="00D91FEF"/>
    <w:rsid w:val="00D921B4"/>
    <w:rsid w:val="00D930E2"/>
    <w:rsid w:val="00D93753"/>
    <w:rsid w:val="00D94D37"/>
    <w:rsid w:val="00D94E52"/>
    <w:rsid w:val="00D95004"/>
    <w:rsid w:val="00D953E4"/>
    <w:rsid w:val="00D958D3"/>
    <w:rsid w:val="00D95BB7"/>
    <w:rsid w:val="00D95C73"/>
    <w:rsid w:val="00D95FCE"/>
    <w:rsid w:val="00D961E2"/>
    <w:rsid w:val="00D968D0"/>
    <w:rsid w:val="00D96B2E"/>
    <w:rsid w:val="00D96D1D"/>
    <w:rsid w:val="00D96DE0"/>
    <w:rsid w:val="00D971CD"/>
    <w:rsid w:val="00D9780D"/>
    <w:rsid w:val="00D9791C"/>
    <w:rsid w:val="00DA0DD5"/>
    <w:rsid w:val="00DA13CE"/>
    <w:rsid w:val="00DA1643"/>
    <w:rsid w:val="00DA19DA"/>
    <w:rsid w:val="00DA1AE6"/>
    <w:rsid w:val="00DA1DFD"/>
    <w:rsid w:val="00DA20B9"/>
    <w:rsid w:val="00DA2A84"/>
    <w:rsid w:val="00DA2AA2"/>
    <w:rsid w:val="00DA426E"/>
    <w:rsid w:val="00DA517E"/>
    <w:rsid w:val="00DA51ED"/>
    <w:rsid w:val="00DA5302"/>
    <w:rsid w:val="00DA5CFF"/>
    <w:rsid w:val="00DA6171"/>
    <w:rsid w:val="00DA629A"/>
    <w:rsid w:val="00DA62F7"/>
    <w:rsid w:val="00DA634F"/>
    <w:rsid w:val="00DA7761"/>
    <w:rsid w:val="00DA77A5"/>
    <w:rsid w:val="00DA786B"/>
    <w:rsid w:val="00DB07DB"/>
    <w:rsid w:val="00DB08FF"/>
    <w:rsid w:val="00DB0A9B"/>
    <w:rsid w:val="00DB0B5E"/>
    <w:rsid w:val="00DB105A"/>
    <w:rsid w:val="00DB18CF"/>
    <w:rsid w:val="00DB1AEE"/>
    <w:rsid w:val="00DB1BDB"/>
    <w:rsid w:val="00DB1DD4"/>
    <w:rsid w:val="00DB2919"/>
    <w:rsid w:val="00DB2AD2"/>
    <w:rsid w:val="00DB35D8"/>
    <w:rsid w:val="00DB3879"/>
    <w:rsid w:val="00DB3EA4"/>
    <w:rsid w:val="00DB4411"/>
    <w:rsid w:val="00DB45EC"/>
    <w:rsid w:val="00DB4EC8"/>
    <w:rsid w:val="00DB5390"/>
    <w:rsid w:val="00DB541E"/>
    <w:rsid w:val="00DB552D"/>
    <w:rsid w:val="00DB597D"/>
    <w:rsid w:val="00DB5C32"/>
    <w:rsid w:val="00DB73F9"/>
    <w:rsid w:val="00DC0555"/>
    <w:rsid w:val="00DC0653"/>
    <w:rsid w:val="00DC156F"/>
    <w:rsid w:val="00DC1662"/>
    <w:rsid w:val="00DC1DBE"/>
    <w:rsid w:val="00DC2CCE"/>
    <w:rsid w:val="00DC2D3C"/>
    <w:rsid w:val="00DC3276"/>
    <w:rsid w:val="00DC3B37"/>
    <w:rsid w:val="00DC3D79"/>
    <w:rsid w:val="00DC4842"/>
    <w:rsid w:val="00DC53D7"/>
    <w:rsid w:val="00DC5501"/>
    <w:rsid w:val="00DC55A6"/>
    <w:rsid w:val="00DC5679"/>
    <w:rsid w:val="00DC71C8"/>
    <w:rsid w:val="00DC768B"/>
    <w:rsid w:val="00DC76C4"/>
    <w:rsid w:val="00DD0081"/>
    <w:rsid w:val="00DD033F"/>
    <w:rsid w:val="00DD0592"/>
    <w:rsid w:val="00DD09A1"/>
    <w:rsid w:val="00DD112F"/>
    <w:rsid w:val="00DD1559"/>
    <w:rsid w:val="00DD1601"/>
    <w:rsid w:val="00DD1A30"/>
    <w:rsid w:val="00DD1F3E"/>
    <w:rsid w:val="00DD2072"/>
    <w:rsid w:val="00DD240D"/>
    <w:rsid w:val="00DD2630"/>
    <w:rsid w:val="00DD2892"/>
    <w:rsid w:val="00DD2976"/>
    <w:rsid w:val="00DD310A"/>
    <w:rsid w:val="00DD328A"/>
    <w:rsid w:val="00DD3CB0"/>
    <w:rsid w:val="00DD3CF5"/>
    <w:rsid w:val="00DD3F28"/>
    <w:rsid w:val="00DD4126"/>
    <w:rsid w:val="00DD4523"/>
    <w:rsid w:val="00DD4537"/>
    <w:rsid w:val="00DD4E15"/>
    <w:rsid w:val="00DD52E9"/>
    <w:rsid w:val="00DD5A7B"/>
    <w:rsid w:val="00DD5FB4"/>
    <w:rsid w:val="00DD6050"/>
    <w:rsid w:val="00DD6BBA"/>
    <w:rsid w:val="00DD6CEF"/>
    <w:rsid w:val="00DD6F1C"/>
    <w:rsid w:val="00DD7650"/>
    <w:rsid w:val="00DD7AB2"/>
    <w:rsid w:val="00DE07D6"/>
    <w:rsid w:val="00DE08EA"/>
    <w:rsid w:val="00DE0CCA"/>
    <w:rsid w:val="00DE0D4D"/>
    <w:rsid w:val="00DE0E83"/>
    <w:rsid w:val="00DE1629"/>
    <w:rsid w:val="00DE30CF"/>
    <w:rsid w:val="00DE3529"/>
    <w:rsid w:val="00DE3779"/>
    <w:rsid w:val="00DE47D0"/>
    <w:rsid w:val="00DE4A5F"/>
    <w:rsid w:val="00DE4AAA"/>
    <w:rsid w:val="00DE4FCB"/>
    <w:rsid w:val="00DE50B8"/>
    <w:rsid w:val="00DE53DE"/>
    <w:rsid w:val="00DE5475"/>
    <w:rsid w:val="00DE5807"/>
    <w:rsid w:val="00DE583B"/>
    <w:rsid w:val="00DE629C"/>
    <w:rsid w:val="00DE687C"/>
    <w:rsid w:val="00DE6BC0"/>
    <w:rsid w:val="00DE7BA1"/>
    <w:rsid w:val="00DE7BB7"/>
    <w:rsid w:val="00DF0A1F"/>
    <w:rsid w:val="00DF133B"/>
    <w:rsid w:val="00DF17FE"/>
    <w:rsid w:val="00DF1A49"/>
    <w:rsid w:val="00DF20C8"/>
    <w:rsid w:val="00DF2209"/>
    <w:rsid w:val="00DF23EE"/>
    <w:rsid w:val="00DF2486"/>
    <w:rsid w:val="00DF24C2"/>
    <w:rsid w:val="00DF2F13"/>
    <w:rsid w:val="00DF31E0"/>
    <w:rsid w:val="00DF33C4"/>
    <w:rsid w:val="00DF34DE"/>
    <w:rsid w:val="00DF35A2"/>
    <w:rsid w:val="00DF4A5F"/>
    <w:rsid w:val="00DF4C4C"/>
    <w:rsid w:val="00DF4F89"/>
    <w:rsid w:val="00DF512C"/>
    <w:rsid w:val="00DF51B3"/>
    <w:rsid w:val="00DF596B"/>
    <w:rsid w:val="00DF5E50"/>
    <w:rsid w:val="00DF678A"/>
    <w:rsid w:val="00DF7387"/>
    <w:rsid w:val="00DF7822"/>
    <w:rsid w:val="00DF7FA5"/>
    <w:rsid w:val="00E00628"/>
    <w:rsid w:val="00E00824"/>
    <w:rsid w:val="00E00D58"/>
    <w:rsid w:val="00E011C1"/>
    <w:rsid w:val="00E01212"/>
    <w:rsid w:val="00E02033"/>
    <w:rsid w:val="00E02160"/>
    <w:rsid w:val="00E0241A"/>
    <w:rsid w:val="00E02B76"/>
    <w:rsid w:val="00E02F5B"/>
    <w:rsid w:val="00E034ED"/>
    <w:rsid w:val="00E03956"/>
    <w:rsid w:val="00E03EA5"/>
    <w:rsid w:val="00E04033"/>
    <w:rsid w:val="00E055BB"/>
    <w:rsid w:val="00E069E1"/>
    <w:rsid w:val="00E06B28"/>
    <w:rsid w:val="00E06F21"/>
    <w:rsid w:val="00E070C1"/>
    <w:rsid w:val="00E10149"/>
    <w:rsid w:val="00E10403"/>
    <w:rsid w:val="00E10F98"/>
    <w:rsid w:val="00E10FD4"/>
    <w:rsid w:val="00E1112B"/>
    <w:rsid w:val="00E112A7"/>
    <w:rsid w:val="00E126BD"/>
    <w:rsid w:val="00E128F2"/>
    <w:rsid w:val="00E12B2D"/>
    <w:rsid w:val="00E12B30"/>
    <w:rsid w:val="00E12BC5"/>
    <w:rsid w:val="00E14770"/>
    <w:rsid w:val="00E14874"/>
    <w:rsid w:val="00E14C6C"/>
    <w:rsid w:val="00E15069"/>
    <w:rsid w:val="00E150A6"/>
    <w:rsid w:val="00E1565C"/>
    <w:rsid w:val="00E15709"/>
    <w:rsid w:val="00E1586D"/>
    <w:rsid w:val="00E15938"/>
    <w:rsid w:val="00E1604E"/>
    <w:rsid w:val="00E16372"/>
    <w:rsid w:val="00E163B5"/>
    <w:rsid w:val="00E16547"/>
    <w:rsid w:val="00E166DA"/>
    <w:rsid w:val="00E16740"/>
    <w:rsid w:val="00E16D97"/>
    <w:rsid w:val="00E17147"/>
    <w:rsid w:val="00E172B0"/>
    <w:rsid w:val="00E17348"/>
    <w:rsid w:val="00E1763E"/>
    <w:rsid w:val="00E177F4"/>
    <w:rsid w:val="00E17F42"/>
    <w:rsid w:val="00E20237"/>
    <w:rsid w:val="00E202E6"/>
    <w:rsid w:val="00E2042E"/>
    <w:rsid w:val="00E2084E"/>
    <w:rsid w:val="00E20A60"/>
    <w:rsid w:val="00E20ED6"/>
    <w:rsid w:val="00E21358"/>
    <w:rsid w:val="00E21876"/>
    <w:rsid w:val="00E21B49"/>
    <w:rsid w:val="00E21FEC"/>
    <w:rsid w:val="00E2249B"/>
    <w:rsid w:val="00E228B0"/>
    <w:rsid w:val="00E22F73"/>
    <w:rsid w:val="00E23449"/>
    <w:rsid w:val="00E238FF"/>
    <w:rsid w:val="00E246F6"/>
    <w:rsid w:val="00E2476D"/>
    <w:rsid w:val="00E25DE9"/>
    <w:rsid w:val="00E26054"/>
    <w:rsid w:val="00E26BC7"/>
    <w:rsid w:val="00E273BF"/>
    <w:rsid w:val="00E2771E"/>
    <w:rsid w:val="00E27A4D"/>
    <w:rsid w:val="00E30229"/>
    <w:rsid w:val="00E30A70"/>
    <w:rsid w:val="00E31218"/>
    <w:rsid w:val="00E31CD4"/>
    <w:rsid w:val="00E31DE3"/>
    <w:rsid w:val="00E32330"/>
    <w:rsid w:val="00E32962"/>
    <w:rsid w:val="00E34493"/>
    <w:rsid w:val="00E34563"/>
    <w:rsid w:val="00E3458D"/>
    <w:rsid w:val="00E34959"/>
    <w:rsid w:val="00E37569"/>
    <w:rsid w:val="00E37A5F"/>
    <w:rsid w:val="00E400A2"/>
    <w:rsid w:val="00E40E69"/>
    <w:rsid w:val="00E41050"/>
    <w:rsid w:val="00E41E30"/>
    <w:rsid w:val="00E41FE8"/>
    <w:rsid w:val="00E42237"/>
    <w:rsid w:val="00E433F1"/>
    <w:rsid w:val="00E4414B"/>
    <w:rsid w:val="00E44A06"/>
    <w:rsid w:val="00E44AB5"/>
    <w:rsid w:val="00E45134"/>
    <w:rsid w:val="00E4557D"/>
    <w:rsid w:val="00E45602"/>
    <w:rsid w:val="00E462AB"/>
    <w:rsid w:val="00E465DA"/>
    <w:rsid w:val="00E468CF"/>
    <w:rsid w:val="00E469F4"/>
    <w:rsid w:val="00E476F3"/>
    <w:rsid w:val="00E47835"/>
    <w:rsid w:val="00E47B2C"/>
    <w:rsid w:val="00E5087A"/>
    <w:rsid w:val="00E50A05"/>
    <w:rsid w:val="00E50AF0"/>
    <w:rsid w:val="00E519D9"/>
    <w:rsid w:val="00E5208A"/>
    <w:rsid w:val="00E52232"/>
    <w:rsid w:val="00E522E7"/>
    <w:rsid w:val="00E52F8B"/>
    <w:rsid w:val="00E53664"/>
    <w:rsid w:val="00E538E4"/>
    <w:rsid w:val="00E545D7"/>
    <w:rsid w:val="00E5493A"/>
    <w:rsid w:val="00E55424"/>
    <w:rsid w:val="00E5580F"/>
    <w:rsid w:val="00E558FF"/>
    <w:rsid w:val="00E5593F"/>
    <w:rsid w:val="00E55E93"/>
    <w:rsid w:val="00E56610"/>
    <w:rsid w:val="00E566CB"/>
    <w:rsid w:val="00E56827"/>
    <w:rsid w:val="00E57D36"/>
    <w:rsid w:val="00E603A7"/>
    <w:rsid w:val="00E60654"/>
    <w:rsid w:val="00E608B6"/>
    <w:rsid w:val="00E60E07"/>
    <w:rsid w:val="00E614E9"/>
    <w:rsid w:val="00E61D88"/>
    <w:rsid w:val="00E63499"/>
    <w:rsid w:val="00E637EC"/>
    <w:rsid w:val="00E643A1"/>
    <w:rsid w:val="00E64854"/>
    <w:rsid w:val="00E65394"/>
    <w:rsid w:val="00E65990"/>
    <w:rsid w:val="00E65AC4"/>
    <w:rsid w:val="00E65AD3"/>
    <w:rsid w:val="00E65E79"/>
    <w:rsid w:val="00E66536"/>
    <w:rsid w:val="00E669B8"/>
    <w:rsid w:val="00E669E5"/>
    <w:rsid w:val="00E67041"/>
    <w:rsid w:val="00E67416"/>
    <w:rsid w:val="00E67C0B"/>
    <w:rsid w:val="00E67C11"/>
    <w:rsid w:val="00E701A6"/>
    <w:rsid w:val="00E702A0"/>
    <w:rsid w:val="00E702EF"/>
    <w:rsid w:val="00E705DC"/>
    <w:rsid w:val="00E71334"/>
    <w:rsid w:val="00E713F6"/>
    <w:rsid w:val="00E7162C"/>
    <w:rsid w:val="00E7183E"/>
    <w:rsid w:val="00E718B0"/>
    <w:rsid w:val="00E718B6"/>
    <w:rsid w:val="00E7204B"/>
    <w:rsid w:val="00E72078"/>
    <w:rsid w:val="00E7274E"/>
    <w:rsid w:val="00E727BC"/>
    <w:rsid w:val="00E72FBB"/>
    <w:rsid w:val="00E73581"/>
    <w:rsid w:val="00E7362A"/>
    <w:rsid w:val="00E73D00"/>
    <w:rsid w:val="00E7449A"/>
    <w:rsid w:val="00E749B7"/>
    <w:rsid w:val="00E7602E"/>
    <w:rsid w:val="00E76215"/>
    <w:rsid w:val="00E763F4"/>
    <w:rsid w:val="00E76736"/>
    <w:rsid w:val="00E76AB5"/>
    <w:rsid w:val="00E7765D"/>
    <w:rsid w:val="00E779AB"/>
    <w:rsid w:val="00E806B8"/>
    <w:rsid w:val="00E80895"/>
    <w:rsid w:val="00E80DE2"/>
    <w:rsid w:val="00E81949"/>
    <w:rsid w:val="00E82610"/>
    <w:rsid w:val="00E83BDF"/>
    <w:rsid w:val="00E83C27"/>
    <w:rsid w:val="00E83D20"/>
    <w:rsid w:val="00E8430E"/>
    <w:rsid w:val="00E846AB"/>
    <w:rsid w:val="00E847F0"/>
    <w:rsid w:val="00E84AE5"/>
    <w:rsid w:val="00E855CF"/>
    <w:rsid w:val="00E85979"/>
    <w:rsid w:val="00E862C3"/>
    <w:rsid w:val="00E86536"/>
    <w:rsid w:val="00E86744"/>
    <w:rsid w:val="00E86D8F"/>
    <w:rsid w:val="00E87A57"/>
    <w:rsid w:val="00E87EE8"/>
    <w:rsid w:val="00E900C9"/>
    <w:rsid w:val="00E9115E"/>
    <w:rsid w:val="00E911E2"/>
    <w:rsid w:val="00E915E1"/>
    <w:rsid w:val="00E91B12"/>
    <w:rsid w:val="00E91D6B"/>
    <w:rsid w:val="00E92225"/>
    <w:rsid w:val="00E92351"/>
    <w:rsid w:val="00E92D8B"/>
    <w:rsid w:val="00E93A79"/>
    <w:rsid w:val="00E947B5"/>
    <w:rsid w:val="00E947EC"/>
    <w:rsid w:val="00E949C6"/>
    <w:rsid w:val="00E94F33"/>
    <w:rsid w:val="00E9577D"/>
    <w:rsid w:val="00E963A2"/>
    <w:rsid w:val="00E964FD"/>
    <w:rsid w:val="00E96865"/>
    <w:rsid w:val="00E96BC0"/>
    <w:rsid w:val="00E96CDE"/>
    <w:rsid w:val="00E9701E"/>
    <w:rsid w:val="00E971CC"/>
    <w:rsid w:val="00EA06E2"/>
    <w:rsid w:val="00EA093A"/>
    <w:rsid w:val="00EA0A9A"/>
    <w:rsid w:val="00EA0CDE"/>
    <w:rsid w:val="00EA0D3B"/>
    <w:rsid w:val="00EA0EB9"/>
    <w:rsid w:val="00EA1505"/>
    <w:rsid w:val="00EA179F"/>
    <w:rsid w:val="00EA1CFA"/>
    <w:rsid w:val="00EA25DC"/>
    <w:rsid w:val="00EA2EF8"/>
    <w:rsid w:val="00EA3864"/>
    <w:rsid w:val="00EA436E"/>
    <w:rsid w:val="00EA4571"/>
    <w:rsid w:val="00EA51F2"/>
    <w:rsid w:val="00EA54A8"/>
    <w:rsid w:val="00EA5947"/>
    <w:rsid w:val="00EA6290"/>
    <w:rsid w:val="00EA6596"/>
    <w:rsid w:val="00EA75A2"/>
    <w:rsid w:val="00EA7728"/>
    <w:rsid w:val="00EA7E59"/>
    <w:rsid w:val="00EA7EFA"/>
    <w:rsid w:val="00EB0C98"/>
    <w:rsid w:val="00EB0ED1"/>
    <w:rsid w:val="00EB11A3"/>
    <w:rsid w:val="00EB1214"/>
    <w:rsid w:val="00EB1773"/>
    <w:rsid w:val="00EB1974"/>
    <w:rsid w:val="00EB1D89"/>
    <w:rsid w:val="00EB1FAA"/>
    <w:rsid w:val="00EB2726"/>
    <w:rsid w:val="00EB2C56"/>
    <w:rsid w:val="00EB361F"/>
    <w:rsid w:val="00EB3943"/>
    <w:rsid w:val="00EB3B5C"/>
    <w:rsid w:val="00EB5126"/>
    <w:rsid w:val="00EB5963"/>
    <w:rsid w:val="00EB61CA"/>
    <w:rsid w:val="00EB734D"/>
    <w:rsid w:val="00EB7C7C"/>
    <w:rsid w:val="00EC00C9"/>
    <w:rsid w:val="00EC02D2"/>
    <w:rsid w:val="00EC0833"/>
    <w:rsid w:val="00EC10FA"/>
    <w:rsid w:val="00EC1AED"/>
    <w:rsid w:val="00EC1EAB"/>
    <w:rsid w:val="00EC32BA"/>
    <w:rsid w:val="00EC3775"/>
    <w:rsid w:val="00EC3AA4"/>
    <w:rsid w:val="00EC518B"/>
    <w:rsid w:val="00EC5610"/>
    <w:rsid w:val="00EC6960"/>
    <w:rsid w:val="00EC6E0A"/>
    <w:rsid w:val="00EC7226"/>
    <w:rsid w:val="00EC7293"/>
    <w:rsid w:val="00EC7515"/>
    <w:rsid w:val="00ED15B8"/>
    <w:rsid w:val="00ED1AE8"/>
    <w:rsid w:val="00ED1CB1"/>
    <w:rsid w:val="00ED2228"/>
    <w:rsid w:val="00ED2484"/>
    <w:rsid w:val="00ED2AF0"/>
    <w:rsid w:val="00ED36D5"/>
    <w:rsid w:val="00ED3909"/>
    <w:rsid w:val="00ED3CD9"/>
    <w:rsid w:val="00ED3EEB"/>
    <w:rsid w:val="00ED4220"/>
    <w:rsid w:val="00ED49CE"/>
    <w:rsid w:val="00ED4A72"/>
    <w:rsid w:val="00ED5B39"/>
    <w:rsid w:val="00ED5C96"/>
    <w:rsid w:val="00ED648E"/>
    <w:rsid w:val="00ED6F45"/>
    <w:rsid w:val="00EE0281"/>
    <w:rsid w:val="00EE07D3"/>
    <w:rsid w:val="00EE0BE3"/>
    <w:rsid w:val="00EE1BA6"/>
    <w:rsid w:val="00EE1EE8"/>
    <w:rsid w:val="00EE2307"/>
    <w:rsid w:val="00EE3207"/>
    <w:rsid w:val="00EE3E9D"/>
    <w:rsid w:val="00EE42D4"/>
    <w:rsid w:val="00EE4648"/>
    <w:rsid w:val="00EE4CB7"/>
    <w:rsid w:val="00EE50A0"/>
    <w:rsid w:val="00EE5A13"/>
    <w:rsid w:val="00EE5BD4"/>
    <w:rsid w:val="00EE5CDD"/>
    <w:rsid w:val="00EE7212"/>
    <w:rsid w:val="00EE75FB"/>
    <w:rsid w:val="00EF021C"/>
    <w:rsid w:val="00EF0B06"/>
    <w:rsid w:val="00EF1563"/>
    <w:rsid w:val="00EF1AA2"/>
    <w:rsid w:val="00EF33C1"/>
    <w:rsid w:val="00EF4316"/>
    <w:rsid w:val="00EF5C8D"/>
    <w:rsid w:val="00EF5DB3"/>
    <w:rsid w:val="00EF6646"/>
    <w:rsid w:val="00EF78AF"/>
    <w:rsid w:val="00F0023C"/>
    <w:rsid w:val="00F00310"/>
    <w:rsid w:val="00F004A0"/>
    <w:rsid w:val="00F00FE0"/>
    <w:rsid w:val="00F01F31"/>
    <w:rsid w:val="00F02243"/>
    <w:rsid w:val="00F0285A"/>
    <w:rsid w:val="00F03175"/>
    <w:rsid w:val="00F03A80"/>
    <w:rsid w:val="00F04985"/>
    <w:rsid w:val="00F058C9"/>
    <w:rsid w:val="00F05C83"/>
    <w:rsid w:val="00F067A2"/>
    <w:rsid w:val="00F06A63"/>
    <w:rsid w:val="00F06B09"/>
    <w:rsid w:val="00F106EA"/>
    <w:rsid w:val="00F10DC6"/>
    <w:rsid w:val="00F10F1B"/>
    <w:rsid w:val="00F1100C"/>
    <w:rsid w:val="00F11435"/>
    <w:rsid w:val="00F1236F"/>
    <w:rsid w:val="00F12B92"/>
    <w:rsid w:val="00F12E3C"/>
    <w:rsid w:val="00F13001"/>
    <w:rsid w:val="00F139EF"/>
    <w:rsid w:val="00F13EA1"/>
    <w:rsid w:val="00F14BB4"/>
    <w:rsid w:val="00F1524F"/>
    <w:rsid w:val="00F15277"/>
    <w:rsid w:val="00F152CA"/>
    <w:rsid w:val="00F15746"/>
    <w:rsid w:val="00F15A9F"/>
    <w:rsid w:val="00F15B64"/>
    <w:rsid w:val="00F15DF3"/>
    <w:rsid w:val="00F16087"/>
    <w:rsid w:val="00F16285"/>
    <w:rsid w:val="00F1705A"/>
    <w:rsid w:val="00F17603"/>
    <w:rsid w:val="00F20824"/>
    <w:rsid w:val="00F216BE"/>
    <w:rsid w:val="00F218C6"/>
    <w:rsid w:val="00F21C9B"/>
    <w:rsid w:val="00F21E9F"/>
    <w:rsid w:val="00F222AB"/>
    <w:rsid w:val="00F2259F"/>
    <w:rsid w:val="00F22DFD"/>
    <w:rsid w:val="00F23720"/>
    <w:rsid w:val="00F23B40"/>
    <w:rsid w:val="00F2448D"/>
    <w:rsid w:val="00F24837"/>
    <w:rsid w:val="00F24897"/>
    <w:rsid w:val="00F24AC1"/>
    <w:rsid w:val="00F256EA"/>
    <w:rsid w:val="00F2575F"/>
    <w:rsid w:val="00F25F31"/>
    <w:rsid w:val="00F26713"/>
    <w:rsid w:val="00F274C6"/>
    <w:rsid w:val="00F30216"/>
    <w:rsid w:val="00F304E6"/>
    <w:rsid w:val="00F308FC"/>
    <w:rsid w:val="00F30F7F"/>
    <w:rsid w:val="00F31100"/>
    <w:rsid w:val="00F31346"/>
    <w:rsid w:val="00F31D86"/>
    <w:rsid w:val="00F31E2B"/>
    <w:rsid w:val="00F328E9"/>
    <w:rsid w:val="00F32AB7"/>
    <w:rsid w:val="00F32D50"/>
    <w:rsid w:val="00F32F7E"/>
    <w:rsid w:val="00F338FF"/>
    <w:rsid w:val="00F33C55"/>
    <w:rsid w:val="00F33DE9"/>
    <w:rsid w:val="00F33E72"/>
    <w:rsid w:val="00F357F4"/>
    <w:rsid w:val="00F35A18"/>
    <w:rsid w:val="00F3619A"/>
    <w:rsid w:val="00F36C35"/>
    <w:rsid w:val="00F372B0"/>
    <w:rsid w:val="00F37626"/>
    <w:rsid w:val="00F40156"/>
    <w:rsid w:val="00F409A5"/>
    <w:rsid w:val="00F41169"/>
    <w:rsid w:val="00F416B8"/>
    <w:rsid w:val="00F41A54"/>
    <w:rsid w:val="00F423D5"/>
    <w:rsid w:val="00F42C00"/>
    <w:rsid w:val="00F42C6B"/>
    <w:rsid w:val="00F42D2F"/>
    <w:rsid w:val="00F42E82"/>
    <w:rsid w:val="00F4302C"/>
    <w:rsid w:val="00F43472"/>
    <w:rsid w:val="00F4451A"/>
    <w:rsid w:val="00F4451F"/>
    <w:rsid w:val="00F44ADC"/>
    <w:rsid w:val="00F44B49"/>
    <w:rsid w:val="00F45015"/>
    <w:rsid w:val="00F45B9E"/>
    <w:rsid w:val="00F45D05"/>
    <w:rsid w:val="00F4656A"/>
    <w:rsid w:val="00F46CB6"/>
    <w:rsid w:val="00F4763E"/>
    <w:rsid w:val="00F47904"/>
    <w:rsid w:val="00F50C17"/>
    <w:rsid w:val="00F535E9"/>
    <w:rsid w:val="00F538CB"/>
    <w:rsid w:val="00F53F84"/>
    <w:rsid w:val="00F54332"/>
    <w:rsid w:val="00F54DFC"/>
    <w:rsid w:val="00F556CB"/>
    <w:rsid w:val="00F55D58"/>
    <w:rsid w:val="00F55E73"/>
    <w:rsid w:val="00F5608E"/>
    <w:rsid w:val="00F567E3"/>
    <w:rsid w:val="00F5741D"/>
    <w:rsid w:val="00F57B36"/>
    <w:rsid w:val="00F60666"/>
    <w:rsid w:val="00F60946"/>
    <w:rsid w:val="00F609B1"/>
    <w:rsid w:val="00F60EA8"/>
    <w:rsid w:val="00F61AEA"/>
    <w:rsid w:val="00F61C6A"/>
    <w:rsid w:val="00F61DA3"/>
    <w:rsid w:val="00F626CA"/>
    <w:rsid w:val="00F62708"/>
    <w:rsid w:val="00F637FD"/>
    <w:rsid w:val="00F64373"/>
    <w:rsid w:val="00F649ED"/>
    <w:rsid w:val="00F64E2E"/>
    <w:rsid w:val="00F656A4"/>
    <w:rsid w:val="00F66517"/>
    <w:rsid w:val="00F66BA9"/>
    <w:rsid w:val="00F67531"/>
    <w:rsid w:val="00F704A2"/>
    <w:rsid w:val="00F7142F"/>
    <w:rsid w:val="00F715DF"/>
    <w:rsid w:val="00F71908"/>
    <w:rsid w:val="00F71D12"/>
    <w:rsid w:val="00F71F1F"/>
    <w:rsid w:val="00F722AB"/>
    <w:rsid w:val="00F72FCC"/>
    <w:rsid w:val="00F7337E"/>
    <w:rsid w:val="00F738CA"/>
    <w:rsid w:val="00F73951"/>
    <w:rsid w:val="00F739C3"/>
    <w:rsid w:val="00F73E7E"/>
    <w:rsid w:val="00F73FDC"/>
    <w:rsid w:val="00F741E4"/>
    <w:rsid w:val="00F745E1"/>
    <w:rsid w:val="00F746A8"/>
    <w:rsid w:val="00F746E9"/>
    <w:rsid w:val="00F74AE1"/>
    <w:rsid w:val="00F74FEA"/>
    <w:rsid w:val="00F755F3"/>
    <w:rsid w:val="00F756F8"/>
    <w:rsid w:val="00F7579E"/>
    <w:rsid w:val="00F75D3E"/>
    <w:rsid w:val="00F76245"/>
    <w:rsid w:val="00F767E2"/>
    <w:rsid w:val="00F76CF6"/>
    <w:rsid w:val="00F7702E"/>
    <w:rsid w:val="00F77182"/>
    <w:rsid w:val="00F77472"/>
    <w:rsid w:val="00F803C2"/>
    <w:rsid w:val="00F80537"/>
    <w:rsid w:val="00F8083E"/>
    <w:rsid w:val="00F80980"/>
    <w:rsid w:val="00F809D6"/>
    <w:rsid w:val="00F80E5D"/>
    <w:rsid w:val="00F81A07"/>
    <w:rsid w:val="00F81C69"/>
    <w:rsid w:val="00F822E4"/>
    <w:rsid w:val="00F82CA0"/>
    <w:rsid w:val="00F83267"/>
    <w:rsid w:val="00F83B1D"/>
    <w:rsid w:val="00F83D53"/>
    <w:rsid w:val="00F842BD"/>
    <w:rsid w:val="00F8446F"/>
    <w:rsid w:val="00F84B44"/>
    <w:rsid w:val="00F84F0F"/>
    <w:rsid w:val="00F84FC1"/>
    <w:rsid w:val="00F851CE"/>
    <w:rsid w:val="00F85571"/>
    <w:rsid w:val="00F86CE2"/>
    <w:rsid w:val="00F87CCD"/>
    <w:rsid w:val="00F901A5"/>
    <w:rsid w:val="00F9038C"/>
    <w:rsid w:val="00F911DB"/>
    <w:rsid w:val="00F9155D"/>
    <w:rsid w:val="00F9157E"/>
    <w:rsid w:val="00F91D69"/>
    <w:rsid w:val="00F923FD"/>
    <w:rsid w:val="00F92F61"/>
    <w:rsid w:val="00F92FB0"/>
    <w:rsid w:val="00F94BD0"/>
    <w:rsid w:val="00F95213"/>
    <w:rsid w:val="00F95812"/>
    <w:rsid w:val="00F95E5C"/>
    <w:rsid w:val="00F95F1F"/>
    <w:rsid w:val="00F967B3"/>
    <w:rsid w:val="00F97A78"/>
    <w:rsid w:val="00FA0B38"/>
    <w:rsid w:val="00FA0FE0"/>
    <w:rsid w:val="00FA186C"/>
    <w:rsid w:val="00FA1AC8"/>
    <w:rsid w:val="00FA20DC"/>
    <w:rsid w:val="00FA29EB"/>
    <w:rsid w:val="00FA2B23"/>
    <w:rsid w:val="00FA394C"/>
    <w:rsid w:val="00FA3D03"/>
    <w:rsid w:val="00FA3EF2"/>
    <w:rsid w:val="00FA471A"/>
    <w:rsid w:val="00FA4C67"/>
    <w:rsid w:val="00FA4DF6"/>
    <w:rsid w:val="00FA50CC"/>
    <w:rsid w:val="00FA512F"/>
    <w:rsid w:val="00FA5672"/>
    <w:rsid w:val="00FA56A3"/>
    <w:rsid w:val="00FA6941"/>
    <w:rsid w:val="00FA71AD"/>
    <w:rsid w:val="00FA7353"/>
    <w:rsid w:val="00FA753A"/>
    <w:rsid w:val="00FA760B"/>
    <w:rsid w:val="00FA7C60"/>
    <w:rsid w:val="00FA7CD4"/>
    <w:rsid w:val="00FB054B"/>
    <w:rsid w:val="00FB0B39"/>
    <w:rsid w:val="00FB0D32"/>
    <w:rsid w:val="00FB1448"/>
    <w:rsid w:val="00FB1993"/>
    <w:rsid w:val="00FB1C0B"/>
    <w:rsid w:val="00FB2EDE"/>
    <w:rsid w:val="00FB2FCB"/>
    <w:rsid w:val="00FB3157"/>
    <w:rsid w:val="00FB338D"/>
    <w:rsid w:val="00FB3680"/>
    <w:rsid w:val="00FB3693"/>
    <w:rsid w:val="00FB3BD5"/>
    <w:rsid w:val="00FB3FFD"/>
    <w:rsid w:val="00FB5138"/>
    <w:rsid w:val="00FB51F7"/>
    <w:rsid w:val="00FB5570"/>
    <w:rsid w:val="00FB5D44"/>
    <w:rsid w:val="00FB5EB8"/>
    <w:rsid w:val="00FB629E"/>
    <w:rsid w:val="00FB6868"/>
    <w:rsid w:val="00FB6DED"/>
    <w:rsid w:val="00FB6ECB"/>
    <w:rsid w:val="00FB7B5C"/>
    <w:rsid w:val="00FC00B1"/>
    <w:rsid w:val="00FC01C4"/>
    <w:rsid w:val="00FC0CE7"/>
    <w:rsid w:val="00FC1074"/>
    <w:rsid w:val="00FC15EC"/>
    <w:rsid w:val="00FC1884"/>
    <w:rsid w:val="00FC29E3"/>
    <w:rsid w:val="00FC2DAC"/>
    <w:rsid w:val="00FC4215"/>
    <w:rsid w:val="00FC4809"/>
    <w:rsid w:val="00FC50BE"/>
    <w:rsid w:val="00FC587B"/>
    <w:rsid w:val="00FC5B11"/>
    <w:rsid w:val="00FC616E"/>
    <w:rsid w:val="00FC6D1D"/>
    <w:rsid w:val="00FC74F6"/>
    <w:rsid w:val="00FC766B"/>
    <w:rsid w:val="00FC7D7E"/>
    <w:rsid w:val="00FD027C"/>
    <w:rsid w:val="00FD0313"/>
    <w:rsid w:val="00FD1C33"/>
    <w:rsid w:val="00FD2100"/>
    <w:rsid w:val="00FD3692"/>
    <w:rsid w:val="00FD37AD"/>
    <w:rsid w:val="00FD43C4"/>
    <w:rsid w:val="00FD446D"/>
    <w:rsid w:val="00FD496B"/>
    <w:rsid w:val="00FD4D10"/>
    <w:rsid w:val="00FD5714"/>
    <w:rsid w:val="00FD5866"/>
    <w:rsid w:val="00FD5FC9"/>
    <w:rsid w:val="00FD6EDF"/>
    <w:rsid w:val="00FD7CA0"/>
    <w:rsid w:val="00FD7E04"/>
    <w:rsid w:val="00FE0155"/>
    <w:rsid w:val="00FE0293"/>
    <w:rsid w:val="00FE02D9"/>
    <w:rsid w:val="00FE255D"/>
    <w:rsid w:val="00FE2775"/>
    <w:rsid w:val="00FE4316"/>
    <w:rsid w:val="00FE4A3C"/>
    <w:rsid w:val="00FE4D08"/>
    <w:rsid w:val="00FE4E27"/>
    <w:rsid w:val="00FE5860"/>
    <w:rsid w:val="00FE5B27"/>
    <w:rsid w:val="00FE6B68"/>
    <w:rsid w:val="00FE70B2"/>
    <w:rsid w:val="00FE7164"/>
    <w:rsid w:val="00FE7406"/>
    <w:rsid w:val="00FE7436"/>
    <w:rsid w:val="00FE7A63"/>
    <w:rsid w:val="00FF0647"/>
    <w:rsid w:val="00FF07EF"/>
    <w:rsid w:val="00FF1D1F"/>
    <w:rsid w:val="00FF2FF1"/>
    <w:rsid w:val="00FF3DCF"/>
    <w:rsid w:val="00FF4526"/>
    <w:rsid w:val="00FF4A1D"/>
    <w:rsid w:val="00FF4A75"/>
    <w:rsid w:val="00FF51F9"/>
    <w:rsid w:val="00FF5404"/>
    <w:rsid w:val="00FF5431"/>
    <w:rsid w:val="00FF5AA3"/>
    <w:rsid w:val="00FF5F38"/>
    <w:rsid w:val="00FF5FFF"/>
    <w:rsid w:val="00FF6A73"/>
    <w:rsid w:val="00FF70C8"/>
    <w:rsid w:val="00FF72B7"/>
    <w:rsid w:val="00FF7481"/>
    <w:rsid w:val="00FF755B"/>
    <w:rsid w:val="00FF7BB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3373CA"/>
    <w:pPr>
      <w:ind w:left="720" w:hanging="720"/>
      <w:outlineLvl w:val="0"/>
    </w:pPr>
    <w:rPr>
      <w:rFonts w:ascii="Arial Bold" w:hAnsi="Arial Bold"/>
      <w:b/>
      <w:sz w:val="28"/>
    </w:rPr>
  </w:style>
  <w:style w:type="paragraph" w:styleId="Heading2">
    <w:name w:val="heading 2"/>
    <w:basedOn w:val="PBACheading1"/>
    <w:next w:val="Normal"/>
    <w:link w:val="Heading2Char"/>
    <w:qFormat/>
    <w:rsid w:val="003373CA"/>
    <w:pPr>
      <w:outlineLvl w:val="1"/>
    </w:pPr>
    <w:rPr>
      <w:b/>
    </w:rPr>
  </w:style>
  <w:style w:type="paragraph" w:styleId="Heading3">
    <w:name w:val="heading 3"/>
    <w:basedOn w:val="Normal"/>
    <w:next w:val="Normal"/>
    <w:qFormat/>
    <w:rsid w:val="00B27AFF"/>
    <w:pPr>
      <w:outlineLvl w:val="2"/>
    </w:pPr>
    <w:rPr>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373C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A72356"/>
    <w:rPr>
      <w:rFonts w:ascii="Arial Narrow" w:hAnsi="Arial Narrow"/>
      <w:b/>
      <w:bCs/>
      <w:color w:val="000000" w:themeColor="text1"/>
      <w:sz w:val="20"/>
      <w:szCs w:val="18"/>
    </w:rPr>
  </w:style>
  <w:style w:type="character" w:customStyle="1" w:styleId="CaptionChar">
    <w:name w:val="Caption Char"/>
    <w:link w:val="Caption"/>
    <w:rsid w:val="00A72356"/>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styleId="FootnoteText">
    <w:name w:val="footnote text"/>
    <w:basedOn w:val="Normal"/>
    <w:link w:val="FootnoteTextChar"/>
    <w:uiPriority w:val="99"/>
    <w:semiHidden/>
    <w:unhideWhenUsed/>
    <w:rsid w:val="00757F5A"/>
    <w:rPr>
      <w:sz w:val="20"/>
    </w:rPr>
  </w:style>
  <w:style w:type="character" w:customStyle="1" w:styleId="FootnoteTextChar">
    <w:name w:val="Footnote Text Char"/>
    <w:basedOn w:val="DefaultParagraphFont"/>
    <w:link w:val="FootnoteText"/>
    <w:uiPriority w:val="99"/>
    <w:semiHidden/>
    <w:rsid w:val="00757F5A"/>
    <w:rPr>
      <w:rFonts w:ascii="Arial" w:hAnsi="Arial" w:cs="Arial"/>
      <w:snapToGrid w:val="0"/>
      <w:lang w:eastAsia="en-US"/>
    </w:rPr>
  </w:style>
  <w:style w:type="character" w:styleId="FootnoteReference">
    <w:name w:val="footnote reference"/>
    <w:basedOn w:val="DefaultParagraphFont"/>
    <w:uiPriority w:val="99"/>
    <w:semiHidden/>
    <w:unhideWhenUsed/>
    <w:rsid w:val="00757F5A"/>
    <w:rPr>
      <w:vertAlign w:val="superscript"/>
    </w:rPr>
  </w:style>
  <w:style w:type="character" w:customStyle="1" w:styleId="Small">
    <w:name w:val="Small"/>
    <w:basedOn w:val="DefaultParagraphFont"/>
    <w:uiPriority w:val="4"/>
    <w:qFormat/>
    <w:rsid w:val="008943C5"/>
    <w:rPr>
      <w:rFonts w:ascii="Candara" w:hAnsi="Candara"/>
      <w:sz w:val="20"/>
    </w:rPr>
  </w:style>
  <w:style w:type="paragraph" w:customStyle="1" w:styleId="NormalBulletList">
    <w:name w:val="Normal Bullet List"/>
    <w:basedOn w:val="Normal"/>
    <w:uiPriority w:val="3"/>
    <w:qFormat/>
    <w:rsid w:val="00E522E7"/>
    <w:pPr>
      <w:widowControl/>
      <w:numPr>
        <w:numId w:val="4"/>
      </w:numPr>
      <w:spacing w:after="240" w:line="276" w:lineRule="auto"/>
      <w:contextualSpacing/>
      <w:jc w:val="left"/>
    </w:pPr>
    <w:rPr>
      <w:rFonts w:ascii="Candara" w:eastAsiaTheme="majorEastAsia" w:hAnsi="Candara" w:cstheme="majorBidi"/>
      <w:snapToGrid/>
      <w:sz w:val="24"/>
      <w:szCs w:val="22"/>
      <w:lang w:bidi="en-US"/>
    </w:rPr>
  </w:style>
  <w:style w:type="paragraph" w:customStyle="1" w:styleId="Table">
    <w:name w:val="Table"/>
    <w:basedOn w:val="Normal"/>
    <w:link w:val="TableChar"/>
    <w:qFormat/>
    <w:rsid w:val="006C2AB6"/>
    <w:pPr>
      <w:keepLines/>
      <w:widowControl/>
      <w:jc w:val="left"/>
    </w:pPr>
    <w:rPr>
      <w:rFonts w:asciiTheme="minorHAnsi" w:eastAsiaTheme="majorEastAsia" w:hAnsiTheme="minorHAnsi" w:cstheme="majorBidi"/>
      <w:snapToGrid/>
      <w:sz w:val="20"/>
      <w:szCs w:val="22"/>
      <w:lang w:bidi="en-US"/>
    </w:rPr>
  </w:style>
  <w:style w:type="paragraph" w:customStyle="1" w:styleId="TableBullets">
    <w:name w:val="Table Bullets"/>
    <w:basedOn w:val="Table"/>
    <w:link w:val="TableBulletsChar"/>
    <w:uiPriority w:val="5"/>
    <w:qFormat/>
    <w:rsid w:val="006C2AB6"/>
    <w:pPr>
      <w:numPr>
        <w:numId w:val="5"/>
      </w:numPr>
    </w:pPr>
  </w:style>
  <w:style w:type="character" w:customStyle="1" w:styleId="TableChar">
    <w:name w:val="Table Char"/>
    <w:basedOn w:val="DefaultParagraphFont"/>
    <w:link w:val="Table"/>
    <w:locked/>
    <w:rsid w:val="006C2AB6"/>
    <w:rPr>
      <w:rFonts w:asciiTheme="minorHAnsi" w:eastAsiaTheme="majorEastAsia" w:hAnsiTheme="minorHAnsi" w:cstheme="majorBidi"/>
      <w:szCs w:val="22"/>
      <w:lang w:eastAsia="en-US" w:bidi="en-US"/>
    </w:rPr>
  </w:style>
  <w:style w:type="character" w:customStyle="1" w:styleId="TableBulletsChar">
    <w:name w:val="Table Bullets Char"/>
    <w:basedOn w:val="TableChar"/>
    <w:link w:val="TableBullets"/>
    <w:uiPriority w:val="5"/>
    <w:rsid w:val="006C2AB6"/>
    <w:rPr>
      <w:rFonts w:asciiTheme="minorHAnsi" w:eastAsiaTheme="majorEastAsia" w:hAnsiTheme="minorHAnsi" w:cstheme="majorBidi"/>
      <w:szCs w:val="22"/>
      <w:lang w:eastAsia="en-US" w:bidi="en-US"/>
    </w:rPr>
  </w:style>
  <w:style w:type="paragraph" w:customStyle="1" w:styleId="Default">
    <w:name w:val="Default"/>
    <w:rsid w:val="00136F2F"/>
    <w:pPr>
      <w:autoSpaceDE w:val="0"/>
      <w:autoSpaceDN w:val="0"/>
      <w:adjustRightInd w:val="0"/>
    </w:pPr>
    <w:rPr>
      <w:rFonts w:ascii="Arial" w:hAnsi="Arial" w:cs="Arial"/>
      <w:color w:val="000000"/>
      <w:sz w:val="24"/>
      <w:szCs w:val="24"/>
    </w:rPr>
  </w:style>
  <w:style w:type="character" w:customStyle="1" w:styleId="Font">
    <w:name w:val="Font"/>
    <w:basedOn w:val="DefaultParagraphFont"/>
    <w:uiPriority w:val="1"/>
    <w:qFormat/>
    <w:rsid w:val="00587370"/>
    <w:rPr>
      <w:rFonts w:ascii="Candara" w:hAnsi="Candara"/>
      <w:sz w:val="24"/>
    </w:rPr>
  </w:style>
  <w:style w:type="paragraph" w:customStyle="1" w:styleId="PBACHeading10">
    <w:name w:val="PBAC Heading 1"/>
    <w:qFormat/>
    <w:rsid w:val="0033268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FD4D10"/>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82B84"/>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105FEC"/>
    <w:rPr>
      <w:color w:val="800080" w:themeColor="followedHyperlink"/>
      <w:u w:val="single"/>
    </w:rPr>
  </w:style>
  <w:style w:type="paragraph" w:styleId="Subtitle">
    <w:name w:val="Subtitle"/>
    <w:aliases w:val="PBAC Paragraph"/>
    <w:basedOn w:val="ListParagraph"/>
    <w:next w:val="Normal"/>
    <w:link w:val="SubtitleChar"/>
    <w:uiPriority w:val="11"/>
    <w:qFormat/>
    <w:rsid w:val="00101327"/>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101327"/>
    <w:rPr>
      <w:rFonts w:eastAsiaTheme="majorEastAsia" w:cs="Arial"/>
      <w:snapToGrid w:val="0"/>
      <w:sz w:val="24"/>
      <w:szCs w:val="24"/>
      <w:lang w:eastAsia="en-US"/>
    </w:rPr>
  </w:style>
  <w:style w:type="paragraph" w:styleId="IntenseQuote">
    <w:name w:val="Intense Quote"/>
    <w:aliases w:val="Dot point"/>
    <w:basedOn w:val="ListParagraph"/>
    <w:next w:val="Normal"/>
    <w:link w:val="IntenseQuoteChar"/>
    <w:uiPriority w:val="30"/>
    <w:qFormat/>
    <w:rsid w:val="00101327"/>
    <w:pPr>
      <w:widowControl/>
      <w:spacing w:before="240" w:after="240"/>
      <w:ind w:left="1434" w:hanging="357"/>
      <w:jc w:val="left"/>
    </w:pPr>
    <w:rPr>
      <w:rFonts w:ascii="Times New Roman" w:hAnsi="Times New Roman"/>
      <w:sz w:val="24"/>
      <w:szCs w:val="24"/>
    </w:rPr>
  </w:style>
  <w:style w:type="character" w:customStyle="1" w:styleId="IntenseQuoteChar">
    <w:name w:val="Intense Quote Char"/>
    <w:aliases w:val="Dot point Char"/>
    <w:basedOn w:val="DefaultParagraphFont"/>
    <w:link w:val="IntenseQuote"/>
    <w:uiPriority w:val="30"/>
    <w:rsid w:val="00101327"/>
    <w:rPr>
      <w:rFonts w:cs="Arial"/>
      <w:snapToGrid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3373CA"/>
    <w:pPr>
      <w:ind w:left="720" w:hanging="720"/>
      <w:outlineLvl w:val="0"/>
    </w:pPr>
    <w:rPr>
      <w:rFonts w:ascii="Arial Bold" w:hAnsi="Arial Bold"/>
      <w:b/>
      <w:sz w:val="28"/>
    </w:rPr>
  </w:style>
  <w:style w:type="paragraph" w:styleId="Heading2">
    <w:name w:val="heading 2"/>
    <w:basedOn w:val="PBACheading1"/>
    <w:next w:val="Normal"/>
    <w:link w:val="Heading2Char"/>
    <w:qFormat/>
    <w:rsid w:val="003373CA"/>
    <w:pPr>
      <w:outlineLvl w:val="1"/>
    </w:pPr>
    <w:rPr>
      <w:b/>
    </w:rPr>
  </w:style>
  <w:style w:type="paragraph" w:styleId="Heading3">
    <w:name w:val="heading 3"/>
    <w:basedOn w:val="Normal"/>
    <w:next w:val="Normal"/>
    <w:qFormat/>
    <w:rsid w:val="00B27AFF"/>
    <w:pPr>
      <w:outlineLvl w:val="2"/>
    </w:pPr>
    <w:rPr>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373C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A72356"/>
    <w:rPr>
      <w:rFonts w:ascii="Arial Narrow" w:hAnsi="Arial Narrow"/>
      <w:b/>
      <w:bCs/>
      <w:color w:val="000000" w:themeColor="text1"/>
      <w:sz w:val="20"/>
      <w:szCs w:val="18"/>
    </w:rPr>
  </w:style>
  <w:style w:type="character" w:customStyle="1" w:styleId="CaptionChar">
    <w:name w:val="Caption Char"/>
    <w:link w:val="Caption"/>
    <w:rsid w:val="00A72356"/>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styleId="FootnoteText">
    <w:name w:val="footnote text"/>
    <w:basedOn w:val="Normal"/>
    <w:link w:val="FootnoteTextChar"/>
    <w:uiPriority w:val="99"/>
    <w:semiHidden/>
    <w:unhideWhenUsed/>
    <w:rsid w:val="00757F5A"/>
    <w:rPr>
      <w:sz w:val="20"/>
    </w:rPr>
  </w:style>
  <w:style w:type="character" w:customStyle="1" w:styleId="FootnoteTextChar">
    <w:name w:val="Footnote Text Char"/>
    <w:basedOn w:val="DefaultParagraphFont"/>
    <w:link w:val="FootnoteText"/>
    <w:uiPriority w:val="99"/>
    <w:semiHidden/>
    <w:rsid w:val="00757F5A"/>
    <w:rPr>
      <w:rFonts w:ascii="Arial" w:hAnsi="Arial" w:cs="Arial"/>
      <w:snapToGrid w:val="0"/>
      <w:lang w:eastAsia="en-US"/>
    </w:rPr>
  </w:style>
  <w:style w:type="character" w:styleId="FootnoteReference">
    <w:name w:val="footnote reference"/>
    <w:basedOn w:val="DefaultParagraphFont"/>
    <w:uiPriority w:val="99"/>
    <w:semiHidden/>
    <w:unhideWhenUsed/>
    <w:rsid w:val="00757F5A"/>
    <w:rPr>
      <w:vertAlign w:val="superscript"/>
    </w:rPr>
  </w:style>
  <w:style w:type="character" w:customStyle="1" w:styleId="Small">
    <w:name w:val="Small"/>
    <w:basedOn w:val="DefaultParagraphFont"/>
    <w:uiPriority w:val="4"/>
    <w:qFormat/>
    <w:rsid w:val="008943C5"/>
    <w:rPr>
      <w:rFonts w:ascii="Candara" w:hAnsi="Candara"/>
      <w:sz w:val="20"/>
    </w:rPr>
  </w:style>
  <w:style w:type="paragraph" w:customStyle="1" w:styleId="NormalBulletList">
    <w:name w:val="Normal Bullet List"/>
    <w:basedOn w:val="Normal"/>
    <w:uiPriority w:val="3"/>
    <w:qFormat/>
    <w:rsid w:val="00E522E7"/>
    <w:pPr>
      <w:widowControl/>
      <w:numPr>
        <w:numId w:val="4"/>
      </w:numPr>
      <w:spacing w:after="240" w:line="276" w:lineRule="auto"/>
      <w:contextualSpacing/>
      <w:jc w:val="left"/>
    </w:pPr>
    <w:rPr>
      <w:rFonts w:ascii="Candara" w:eastAsiaTheme="majorEastAsia" w:hAnsi="Candara" w:cstheme="majorBidi"/>
      <w:snapToGrid/>
      <w:sz w:val="24"/>
      <w:szCs w:val="22"/>
      <w:lang w:bidi="en-US"/>
    </w:rPr>
  </w:style>
  <w:style w:type="paragraph" w:customStyle="1" w:styleId="Table">
    <w:name w:val="Table"/>
    <w:basedOn w:val="Normal"/>
    <w:link w:val="TableChar"/>
    <w:qFormat/>
    <w:rsid w:val="006C2AB6"/>
    <w:pPr>
      <w:keepLines/>
      <w:widowControl/>
      <w:jc w:val="left"/>
    </w:pPr>
    <w:rPr>
      <w:rFonts w:asciiTheme="minorHAnsi" w:eastAsiaTheme="majorEastAsia" w:hAnsiTheme="minorHAnsi" w:cstheme="majorBidi"/>
      <w:snapToGrid/>
      <w:sz w:val="20"/>
      <w:szCs w:val="22"/>
      <w:lang w:bidi="en-US"/>
    </w:rPr>
  </w:style>
  <w:style w:type="paragraph" w:customStyle="1" w:styleId="TableBullets">
    <w:name w:val="Table Bullets"/>
    <w:basedOn w:val="Table"/>
    <w:link w:val="TableBulletsChar"/>
    <w:uiPriority w:val="5"/>
    <w:qFormat/>
    <w:rsid w:val="006C2AB6"/>
    <w:pPr>
      <w:numPr>
        <w:numId w:val="5"/>
      </w:numPr>
    </w:pPr>
  </w:style>
  <w:style w:type="character" w:customStyle="1" w:styleId="TableChar">
    <w:name w:val="Table Char"/>
    <w:basedOn w:val="DefaultParagraphFont"/>
    <w:link w:val="Table"/>
    <w:locked/>
    <w:rsid w:val="006C2AB6"/>
    <w:rPr>
      <w:rFonts w:asciiTheme="minorHAnsi" w:eastAsiaTheme="majorEastAsia" w:hAnsiTheme="minorHAnsi" w:cstheme="majorBidi"/>
      <w:szCs w:val="22"/>
      <w:lang w:eastAsia="en-US" w:bidi="en-US"/>
    </w:rPr>
  </w:style>
  <w:style w:type="character" w:customStyle="1" w:styleId="TableBulletsChar">
    <w:name w:val="Table Bullets Char"/>
    <w:basedOn w:val="TableChar"/>
    <w:link w:val="TableBullets"/>
    <w:uiPriority w:val="5"/>
    <w:rsid w:val="006C2AB6"/>
    <w:rPr>
      <w:rFonts w:asciiTheme="minorHAnsi" w:eastAsiaTheme="majorEastAsia" w:hAnsiTheme="minorHAnsi" w:cstheme="majorBidi"/>
      <w:szCs w:val="22"/>
      <w:lang w:eastAsia="en-US" w:bidi="en-US"/>
    </w:rPr>
  </w:style>
  <w:style w:type="paragraph" w:customStyle="1" w:styleId="Default">
    <w:name w:val="Default"/>
    <w:rsid w:val="00136F2F"/>
    <w:pPr>
      <w:autoSpaceDE w:val="0"/>
      <w:autoSpaceDN w:val="0"/>
      <w:adjustRightInd w:val="0"/>
    </w:pPr>
    <w:rPr>
      <w:rFonts w:ascii="Arial" w:hAnsi="Arial" w:cs="Arial"/>
      <w:color w:val="000000"/>
      <w:sz w:val="24"/>
      <w:szCs w:val="24"/>
    </w:rPr>
  </w:style>
  <w:style w:type="character" w:customStyle="1" w:styleId="Font">
    <w:name w:val="Font"/>
    <w:basedOn w:val="DefaultParagraphFont"/>
    <w:uiPriority w:val="1"/>
    <w:qFormat/>
    <w:rsid w:val="00587370"/>
    <w:rPr>
      <w:rFonts w:ascii="Candara" w:hAnsi="Candara"/>
      <w:sz w:val="24"/>
    </w:rPr>
  </w:style>
  <w:style w:type="paragraph" w:customStyle="1" w:styleId="PBACHeading10">
    <w:name w:val="PBAC Heading 1"/>
    <w:qFormat/>
    <w:rsid w:val="0033268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FD4D10"/>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82B84"/>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105FEC"/>
    <w:rPr>
      <w:color w:val="800080" w:themeColor="followedHyperlink"/>
      <w:u w:val="single"/>
    </w:rPr>
  </w:style>
  <w:style w:type="paragraph" w:styleId="Subtitle">
    <w:name w:val="Subtitle"/>
    <w:aliases w:val="PBAC Paragraph"/>
    <w:basedOn w:val="ListParagraph"/>
    <w:next w:val="Normal"/>
    <w:link w:val="SubtitleChar"/>
    <w:uiPriority w:val="11"/>
    <w:qFormat/>
    <w:rsid w:val="00101327"/>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101327"/>
    <w:rPr>
      <w:rFonts w:eastAsiaTheme="majorEastAsia" w:cs="Arial"/>
      <w:snapToGrid w:val="0"/>
      <w:sz w:val="24"/>
      <w:szCs w:val="24"/>
      <w:lang w:eastAsia="en-US"/>
    </w:rPr>
  </w:style>
  <w:style w:type="paragraph" w:styleId="IntenseQuote">
    <w:name w:val="Intense Quote"/>
    <w:aliases w:val="Dot point"/>
    <w:basedOn w:val="ListParagraph"/>
    <w:next w:val="Normal"/>
    <w:link w:val="IntenseQuoteChar"/>
    <w:uiPriority w:val="30"/>
    <w:qFormat/>
    <w:rsid w:val="00101327"/>
    <w:pPr>
      <w:widowControl/>
      <w:spacing w:before="240" w:after="240"/>
      <w:ind w:left="1434" w:hanging="357"/>
      <w:jc w:val="left"/>
    </w:pPr>
    <w:rPr>
      <w:rFonts w:ascii="Times New Roman" w:hAnsi="Times New Roman"/>
      <w:sz w:val="24"/>
      <w:szCs w:val="24"/>
    </w:rPr>
  </w:style>
  <w:style w:type="character" w:customStyle="1" w:styleId="IntenseQuoteChar">
    <w:name w:val="Intense Quote Char"/>
    <w:aliases w:val="Dot point Char"/>
    <w:basedOn w:val="DefaultParagraphFont"/>
    <w:link w:val="IntenseQuote"/>
    <w:uiPriority w:val="30"/>
    <w:rsid w:val="00101327"/>
    <w:rPr>
      <w:rFonts w:cs="Arial"/>
      <w:snapToGrid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322468">
      <w:bodyDiv w:val="1"/>
      <w:marLeft w:val="0"/>
      <w:marRight w:val="0"/>
      <w:marTop w:val="0"/>
      <w:marBottom w:val="0"/>
      <w:divBdr>
        <w:top w:val="none" w:sz="0" w:space="0" w:color="auto"/>
        <w:left w:val="none" w:sz="0" w:space="0" w:color="auto"/>
        <w:bottom w:val="none" w:sz="0" w:space="0" w:color="auto"/>
        <w:right w:val="none" w:sz="0" w:space="0" w:color="auto"/>
      </w:divBdr>
      <w:divsChild>
        <w:div w:id="11618061">
          <w:marLeft w:val="0"/>
          <w:marRight w:val="0"/>
          <w:marTop w:val="0"/>
          <w:marBottom w:val="0"/>
          <w:divBdr>
            <w:top w:val="none" w:sz="0" w:space="0" w:color="auto"/>
            <w:left w:val="none" w:sz="0" w:space="0" w:color="auto"/>
            <w:bottom w:val="none" w:sz="0" w:space="0" w:color="auto"/>
            <w:right w:val="none" w:sz="0" w:space="0" w:color="auto"/>
          </w:divBdr>
          <w:divsChild>
            <w:div w:id="800806261">
              <w:marLeft w:val="0"/>
              <w:marRight w:val="0"/>
              <w:marTop w:val="0"/>
              <w:marBottom w:val="0"/>
              <w:divBdr>
                <w:top w:val="none" w:sz="0" w:space="0" w:color="auto"/>
                <w:left w:val="none" w:sz="0" w:space="0" w:color="auto"/>
                <w:bottom w:val="none" w:sz="0" w:space="0" w:color="auto"/>
                <w:right w:val="none" w:sz="0" w:space="0" w:color="auto"/>
              </w:divBdr>
              <w:divsChild>
                <w:div w:id="183861188">
                  <w:marLeft w:val="0"/>
                  <w:marRight w:val="0"/>
                  <w:marTop w:val="0"/>
                  <w:marBottom w:val="0"/>
                  <w:divBdr>
                    <w:top w:val="none" w:sz="0" w:space="0" w:color="auto"/>
                    <w:left w:val="none" w:sz="0" w:space="0" w:color="auto"/>
                    <w:bottom w:val="none" w:sz="0" w:space="0" w:color="auto"/>
                    <w:right w:val="none" w:sz="0" w:space="0" w:color="auto"/>
                  </w:divBdr>
                  <w:divsChild>
                    <w:div w:id="60837423">
                      <w:marLeft w:val="0"/>
                      <w:marRight w:val="0"/>
                      <w:marTop w:val="0"/>
                      <w:marBottom w:val="0"/>
                      <w:divBdr>
                        <w:top w:val="none" w:sz="0" w:space="0" w:color="auto"/>
                        <w:left w:val="none" w:sz="0" w:space="0" w:color="auto"/>
                        <w:bottom w:val="none" w:sz="0" w:space="0" w:color="auto"/>
                        <w:right w:val="none" w:sz="0" w:space="0" w:color="auto"/>
                      </w:divBdr>
                      <w:divsChild>
                        <w:div w:id="462507027">
                          <w:marLeft w:val="0"/>
                          <w:marRight w:val="0"/>
                          <w:marTop w:val="0"/>
                          <w:marBottom w:val="0"/>
                          <w:divBdr>
                            <w:top w:val="none" w:sz="0" w:space="0" w:color="auto"/>
                            <w:left w:val="none" w:sz="0" w:space="0" w:color="auto"/>
                            <w:bottom w:val="none" w:sz="0" w:space="0" w:color="auto"/>
                            <w:right w:val="none" w:sz="0" w:space="0" w:color="auto"/>
                          </w:divBdr>
                          <w:divsChild>
                            <w:div w:id="7204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749785">
      <w:bodyDiv w:val="1"/>
      <w:marLeft w:val="0"/>
      <w:marRight w:val="0"/>
      <w:marTop w:val="0"/>
      <w:marBottom w:val="0"/>
      <w:divBdr>
        <w:top w:val="none" w:sz="0" w:space="0" w:color="auto"/>
        <w:left w:val="none" w:sz="0" w:space="0" w:color="auto"/>
        <w:bottom w:val="none" w:sz="0" w:space="0" w:color="auto"/>
        <w:right w:val="none" w:sz="0" w:space="0" w:color="auto"/>
      </w:divBdr>
    </w:div>
    <w:div w:id="1759058013">
      <w:bodyDiv w:val="1"/>
      <w:marLeft w:val="0"/>
      <w:marRight w:val="0"/>
      <w:marTop w:val="0"/>
      <w:marBottom w:val="0"/>
      <w:divBdr>
        <w:top w:val="none" w:sz="0" w:space="0" w:color="auto"/>
        <w:left w:val="none" w:sz="0" w:space="0" w:color="auto"/>
        <w:bottom w:val="none" w:sz="0" w:space="0" w:color="auto"/>
        <w:right w:val="none" w:sz="0" w:space="0" w:color="auto"/>
      </w:divBdr>
      <w:divsChild>
        <w:div w:id="119418802">
          <w:marLeft w:val="0"/>
          <w:marRight w:val="0"/>
          <w:marTop w:val="0"/>
          <w:marBottom w:val="0"/>
          <w:divBdr>
            <w:top w:val="none" w:sz="0" w:space="0" w:color="auto"/>
            <w:left w:val="none" w:sz="0" w:space="0" w:color="auto"/>
            <w:bottom w:val="none" w:sz="0" w:space="0" w:color="auto"/>
            <w:right w:val="none" w:sz="0" w:space="0" w:color="auto"/>
          </w:divBdr>
          <w:divsChild>
            <w:div w:id="318265263">
              <w:marLeft w:val="0"/>
              <w:marRight w:val="0"/>
              <w:marTop w:val="0"/>
              <w:marBottom w:val="0"/>
              <w:divBdr>
                <w:top w:val="none" w:sz="0" w:space="0" w:color="auto"/>
                <w:left w:val="none" w:sz="0" w:space="0" w:color="auto"/>
                <w:bottom w:val="none" w:sz="0" w:space="0" w:color="auto"/>
                <w:right w:val="none" w:sz="0" w:space="0" w:color="auto"/>
              </w:divBdr>
              <w:divsChild>
                <w:div w:id="543516870">
                  <w:marLeft w:val="0"/>
                  <w:marRight w:val="0"/>
                  <w:marTop w:val="0"/>
                  <w:marBottom w:val="0"/>
                  <w:divBdr>
                    <w:top w:val="none" w:sz="0" w:space="0" w:color="auto"/>
                    <w:left w:val="none" w:sz="0" w:space="0" w:color="auto"/>
                    <w:bottom w:val="none" w:sz="0" w:space="0" w:color="auto"/>
                    <w:right w:val="none" w:sz="0" w:space="0" w:color="auto"/>
                  </w:divBdr>
                  <w:divsChild>
                    <w:div w:id="413405529">
                      <w:marLeft w:val="0"/>
                      <w:marRight w:val="0"/>
                      <w:marTop w:val="0"/>
                      <w:marBottom w:val="0"/>
                      <w:divBdr>
                        <w:top w:val="none" w:sz="0" w:space="0" w:color="auto"/>
                        <w:left w:val="none" w:sz="0" w:space="0" w:color="auto"/>
                        <w:bottom w:val="none" w:sz="0" w:space="0" w:color="auto"/>
                        <w:right w:val="none" w:sz="0" w:space="0" w:color="auto"/>
                      </w:divBdr>
                      <w:divsChild>
                        <w:div w:id="1474549">
                          <w:marLeft w:val="0"/>
                          <w:marRight w:val="0"/>
                          <w:marTop w:val="0"/>
                          <w:marBottom w:val="0"/>
                          <w:divBdr>
                            <w:top w:val="none" w:sz="0" w:space="0" w:color="auto"/>
                            <w:left w:val="none" w:sz="0" w:space="0" w:color="auto"/>
                            <w:bottom w:val="none" w:sz="0" w:space="0" w:color="auto"/>
                            <w:right w:val="none" w:sz="0" w:space="0" w:color="auto"/>
                          </w:divBdr>
                          <w:divsChild>
                            <w:div w:id="1727680786">
                              <w:marLeft w:val="0"/>
                              <w:marRight w:val="0"/>
                              <w:marTop w:val="0"/>
                              <w:marBottom w:val="0"/>
                              <w:divBdr>
                                <w:top w:val="none" w:sz="0" w:space="0" w:color="auto"/>
                                <w:left w:val="none" w:sz="0" w:space="0" w:color="auto"/>
                                <w:bottom w:val="none" w:sz="0" w:space="0" w:color="auto"/>
                                <w:right w:val="none" w:sz="0" w:space="0" w:color="auto"/>
                              </w:divBdr>
                            </w:div>
                            <w:div w:id="9136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5654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36"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 Id="rId35"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fo/publication/factsheets/shared/cmwg-report-to-pbac" TargetMode="External"/><Relationship Id="rId2" Type="http://schemas.openxmlformats.org/officeDocument/2006/relationships/hyperlink" Target="http://ir.celgene.com/releasedetail.cfm?releaseid=872240" TargetMode="External"/><Relationship Id="rId1" Type="http://schemas.openxmlformats.org/officeDocument/2006/relationships/hyperlink" Target="https://www.nice.org.uk/guidance/TA419/chapter/1-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Ste04</b:Tag>
    <b:SourceType>JournalArticle</b:SourceType>
    <b:Guid>{E4CD7D1C-4EFC-4A6A-B7B1-F79EB92A04F9}</b:Guid>
    <b:Author>
      <b:Author>
        <b:NameList>
          <b:Person>
            <b:Last>Stern</b:Last>
            <b:First>R.S.</b:First>
          </b:Person>
          <b:Person>
            <b:Last>Nijsten</b:Last>
            <b:First>T.</b:First>
          </b:Person>
          <b:Person>
            <b:Last>Feldman</b:Last>
            <b:First>S.R.</b:First>
          </b:Person>
          <b:Person>
            <b:Last>Margolis</b:Last>
            <b:First>D.J.</b:First>
          </b:Person>
          <b:Person>
            <b:Last>T.</b:Last>
            <b:First>Rolstad</b:First>
          </b:Person>
        </b:NameList>
      </b:Author>
    </b:Author>
    <b:Title>Psoriasis is common, carries a sbstantial burden even when no extensive, and is associated with widespread treatment dissatisfaction</b:Title>
    <b:JournalName>J Investig Dermatol Symp Proc</b:JournalName>
    <b:Year>2004</b:Year>
    <b:Pages>9:136-139</b:Pages>
    <b:RefOrder>52</b:RefOrder>
  </b:Source>
</b:Sources>
</file>

<file path=customXml/itemProps1.xml><?xml version="1.0" encoding="utf-8"?>
<ds:datastoreItem xmlns:ds="http://schemas.openxmlformats.org/officeDocument/2006/customXml" ds:itemID="{2FA4A464-73DB-43CB-8CAE-21A5846D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9005</Words>
  <Characters>53512</Characters>
  <Application>Microsoft Office Word</Application>
  <DocSecurity>0</DocSecurity>
  <Lines>445</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2017-02-21T04:46:00Z</dcterms:created>
  <dcterms:modified xsi:type="dcterms:W3CDTF">2017-02-21T21:44:00Z</dcterms:modified>
</cp:coreProperties>
</file>