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068" w:rsidRDefault="00DE1068" w:rsidP="00DE1068">
      <w:pPr>
        <w:autoSpaceDE w:val="0"/>
        <w:autoSpaceDN w:val="0"/>
        <w:adjustRightInd w:val="0"/>
        <w:spacing w:after="0" w:line="240" w:lineRule="auto"/>
        <w:rPr>
          <w:rFonts w:cs="Times New Roman"/>
          <w:szCs w:val="24"/>
        </w:rPr>
      </w:pPr>
      <w:bookmarkStart w:id="0" w:name="_GoBack"/>
      <w:bookmarkEnd w:id="0"/>
      <w:r>
        <w:rPr>
          <w:rFonts w:cs="Times New Roman"/>
          <w:szCs w:val="24"/>
        </w:rPr>
        <w:t>_____________________________________________________________________</w:t>
      </w:r>
    </w:p>
    <w:p w:rsidR="00C943A1" w:rsidRDefault="00C943A1" w:rsidP="000F4663">
      <w:pPr>
        <w:pStyle w:val="Title"/>
      </w:pPr>
    </w:p>
    <w:p w:rsidR="00C943A1" w:rsidRDefault="00C943A1" w:rsidP="000F4663">
      <w:pPr>
        <w:pStyle w:val="Title"/>
      </w:pPr>
    </w:p>
    <w:p w:rsidR="00DE1068" w:rsidRDefault="00DE1068" w:rsidP="000F4663">
      <w:pPr>
        <w:pStyle w:val="Title"/>
        <w:jc w:val="center"/>
        <w:rPr>
          <w:rFonts w:asciiTheme="majorHAnsi" w:hAnsiTheme="majorHAnsi"/>
          <w:b/>
        </w:rPr>
      </w:pPr>
      <w:r w:rsidRPr="00AE1C37">
        <w:rPr>
          <w:rFonts w:asciiTheme="majorHAnsi" w:hAnsiTheme="majorHAnsi"/>
          <w:b/>
        </w:rPr>
        <w:t>INDEPENDENT REVIEW</w:t>
      </w:r>
    </w:p>
    <w:p w:rsidR="000A12A2" w:rsidRPr="000A12A2" w:rsidRDefault="000A12A2" w:rsidP="000A12A2">
      <w:pPr>
        <w:pStyle w:val="Title"/>
        <w:jc w:val="center"/>
        <w:rPr>
          <w:rFonts w:asciiTheme="majorHAnsi" w:hAnsiTheme="majorHAnsi"/>
          <w:b/>
          <w:sz w:val="40"/>
        </w:rPr>
      </w:pPr>
      <w:r w:rsidRPr="000A12A2">
        <w:rPr>
          <w:rFonts w:asciiTheme="majorHAnsi" w:hAnsiTheme="majorHAnsi"/>
          <w:b/>
          <w:sz w:val="40"/>
        </w:rPr>
        <w:t>May 2013</w:t>
      </w:r>
    </w:p>
    <w:p w:rsidR="00C943A1" w:rsidRPr="00C943A1" w:rsidRDefault="00C943A1" w:rsidP="000F4663">
      <w:pPr>
        <w:jc w:val="center"/>
      </w:pPr>
    </w:p>
    <w:p w:rsidR="00DE1068" w:rsidRDefault="00DE1068" w:rsidP="000F4663">
      <w:pPr>
        <w:pStyle w:val="Title"/>
        <w:jc w:val="center"/>
        <w:rPr>
          <w:rFonts w:asciiTheme="majorHAnsi" w:hAnsiTheme="majorHAnsi"/>
          <w:b/>
          <w:sz w:val="44"/>
          <w:szCs w:val="44"/>
        </w:rPr>
      </w:pPr>
      <w:r w:rsidRPr="00AE1C37">
        <w:rPr>
          <w:rFonts w:asciiTheme="majorHAnsi" w:hAnsiTheme="majorHAnsi"/>
          <w:b/>
          <w:sz w:val="44"/>
          <w:szCs w:val="44"/>
        </w:rPr>
        <w:t>PHARMACEUTICAL BENEFITS SCHEME</w:t>
      </w:r>
    </w:p>
    <w:p w:rsidR="00ED2D6D" w:rsidRDefault="00ED2D6D" w:rsidP="00ED2D6D"/>
    <w:p w:rsidR="00ED2D6D" w:rsidRDefault="00ED2D6D" w:rsidP="00ED2D6D">
      <w:pPr>
        <w:pStyle w:val="Title"/>
        <w:jc w:val="center"/>
        <w:rPr>
          <w:rFonts w:asciiTheme="majorHAnsi" w:hAnsiTheme="majorHAnsi"/>
          <w:b/>
          <w:sz w:val="40"/>
        </w:rPr>
      </w:pPr>
      <w:r w:rsidRPr="00ED2D6D">
        <w:rPr>
          <w:rFonts w:asciiTheme="majorHAnsi" w:hAnsiTheme="majorHAnsi"/>
          <w:b/>
          <w:sz w:val="40"/>
        </w:rPr>
        <w:t>NAPROXEN with ESOMEPRAZOLE</w:t>
      </w:r>
    </w:p>
    <w:p w:rsidR="00F5523F" w:rsidRDefault="00F5523F" w:rsidP="00F5523F">
      <w:pPr>
        <w:pStyle w:val="Title"/>
        <w:jc w:val="center"/>
        <w:rPr>
          <w:rFonts w:asciiTheme="majorHAnsi" w:hAnsiTheme="majorHAnsi"/>
          <w:b/>
          <w:sz w:val="40"/>
        </w:rPr>
      </w:pPr>
    </w:p>
    <w:p w:rsidR="00C943A1" w:rsidRDefault="00335FA4" w:rsidP="000F4663">
      <w:r>
        <w:rPr>
          <w:noProof/>
          <w:lang w:eastAsia="en-AU"/>
        </w:rPr>
        <mc:AlternateContent>
          <mc:Choice Requires="wps">
            <w:drawing>
              <wp:anchor distT="0" distB="0" distL="114300" distR="114300" simplePos="0" relativeHeight="251666432" behindDoc="0" locked="0" layoutInCell="1" allowOverlap="1" wp14:editId="36B11C9B">
                <wp:simplePos x="0" y="0"/>
                <wp:positionH relativeFrom="column">
                  <wp:align>center</wp:align>
                </wp:positionH>
                <wp:positionV relativeFrom="paragraph">
                  <wp:posOffset>0</wp:posOffset>
                </wp:positionV>
                <wp:extent cx="2374265" cy="140398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95000"/>
                          </a:schemeClr>
                        </a:solidFill>
                        <a:ln w="9525">
                          <a:solidFill>
                            <a:srgbClr val="000000"/>
                          </a:solidFill>
                          <a:miter lim="800000"/>
                          <a:headEnd/>
                          <a:tailEnd/>
                        </a:ln>
                      </wps:spPr>
                      <wps:txbx>
                        <w:txbxContent>
                          <w:p w:rsidR="00335FA4" w:rsidRPr="00335FA4" w:rsidRDefault="00335FA4">
                            <w:pPr>
                              <w:rPr>
                                <w:i/>
                              </w:rPr>
                            </w:pPr>
                            <w:r w:rsidRPr="00335FA4">
                              <w:rPr>
                                <w:i/>
                              </w:rPr>
                              <w:t>Names of reviewers redacted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86.95pt;height:110.55pt;z-index:25166643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" fillcolor="#f2f2f2 [3052]">
                <v:textbox style="mso-fit-shape-to-text:t">
                  <w:txbxContent>
                    <w:p w:rsidR="00335FA4" w:rsidRPr="00335FA4" w:rsidRDefault="00335FA4">
                      <w:pPr>
                        <w:rPr>
                          <w:i/>
                        </w:rPr>
                      </w:pPr>
                      <w:r w:rsidRPr="00335FA4">
                        <w:rPr>
                          <w:i/>
                        </w:rPr>
                        <w:t>Names of reviewers redacted</w:t>
                      </w:r>
                    </w:p>
                  </w:txbxContent>
                </v:textbox>
              </v:shape>
            </w:pict>
          </mc:Fallback>
        </mc:AlternateContent>
      </w:r>
    </w:p>
    <w:p w:rsidR="00C943A1" w:rsidRPr="00C943A1" w:rsidRDefault="00C943A1" w:rsidP="000F4663"/>
    <w:p w:rsidR="00C943A1" w:rsidRDefault="00C943A1" w:rsidP="00DE1068">
      <w:pPr>
        <w:autoSpaceDE w:val="0"/>
        <w:autoSpaceDN w:val="0"/>
        <w:adjustRightInd w:val="0"/>
        <w:spacing w:after="0" w:line="240" w:lineRule="auto"/>
        <w:rPr>
          <w:rFonts w:cs="Times New Roman"/>
          <w:b/>
          <w:bCs/>
          <w:szCs w:val="24"/>
        </w:rPr>
      </w:pPr>
    </w:p>
    <w:p w:rsidR="00C943A1" w:rsidRDefault="00C943A1">
      <w:pPr>
        <w:rPr>
          <w:rFonts w:cs="Times New Roman"/>
          <w:b/>
          <w:bCs/>
          <w:szCs w:val="24"/>
        </w:rPr>
      </w:pPr>
      <w:r>
        <w:rPr>
          <w:rFonts w:cs="Times New Roman"/>
          <w:b/>
          <w:bCs/>
          <w:szCs w:val="24"/>
        </w:rPr>
        <w:br w:type="page"/>
      </w:r>
    </w:p>
    <w:sdt>
      <w:sdtPr>
        <w:rPr>
          <w:rFonts w:eastAsiaTheme="minorHAnsi" w:cstheme="minorBidi"/>
          <w:spacing w:val="0"/>
          <w:kern w:val="0"/>
          <w:sz w:val="24"/>
          <w:szCs w:val="22"/>
        </w:rPr>
        <w:id w:val="84582243"/>
        <w:docPartObj>
          <w:docPartGallery w:val="Table of Contents"/>
          <w:docPartUnique/>
        </w:docPartObj>
      </w:sdtPr>
      <w:sdtEndPr>
        <w:rPr>
          <w:rFonts w:cstheme="minorHAnsi"/>
          <w:b/>
          <w:bCs/>
          <w:noProof/>
          <w:sz w:val="20"/>
          <w:szCs w:val="20"/>
        </w:rPr>
      </w:sdtEndPr>
      <w:sdtContent>
        <w:p w:rsidR="003046B2" w:rsidRPr="00AE1C37" w:rsidRDefault="003046B2" w:rsidP="000F4663">
          <w:pPr>
            <w:pStyle w:val="Title"/>
            <w:rPr>
              <w:rFonts w:asciiTheme="majorHAnsi" w:hAnsiTheme="majorHAnsi"/>
            </w:rPr>
          </w:pPr>
          <w:r w:rsidRPr="00AE1C37">
            <w:rPr>
              <w:rFonts w:asciiTheme="majorHAnsi" w:hAnsiTheme="majorHAnsi"/>
            </w:rPr>
            <w:t>Contents</w:t>
          </w:r>
        </w:p>
        <w:p w:rsidR="00BF320E" w:rsidRPr="00BF320E" w:rsidRDefault="00373465" w:rsidP="007B5049">
          <w:pPr>
            <w:pStyle w:val="TOC1"/>
            <w:rPr>
              <w:rFonts w:eastAsiaTheme="minorEastAsia"/>
              <w:lang w:eastAsia="en-AU"/>
            </w:rPr>
          </w:pPr>
          <w:r w:rsidRPr="0095668C">
            <w:rPr>
              <w:rFonts w:cstheme="minorHAnsi"/>
              <w:noProof w:val="0"/>
            </w:rPr>
            <w:fldChar w:fldCharType="begin"/>
          </w:r>
          <w:r w:rsidR="003046B2" w:rsidRPr="0095668C">
            <w:rPr>
              <w:rFonts w:cstheme="minorHAnsi"/>
            </w:rPr>
            <w:instrText xml:space="preserve"> TOC \o "1-3" \h \z \u </w:instrText>
          </w:r>
          <w:r w:rsidRPr="0095668C">
            <w:rPr>
              <w:rFonts w:cstheme="minorHAnsi"/>
              <w:noProof w:val="0"/>
            </w:rPr>
            <w:fldChar w:fldCharType="separate"/>
          </w:r>
          <w:hyperlink w:anchor="_Toc356560726" w:history="1">
            <w:r w:rsidR="00BF320E" w:rsidRPr="00BF320E">
              <w:rPr>
                <w:rStyle w:val="Hyperlink"/>
              </w:rPr>
              <w:t>REQUESTED LISTING</w:t>
            </w:r>
            <w:r w:rsidR="00BF320E" w:rsidRPr="00BF320E">
              <w:rPr>
                <w:webHidden/>
              </w:rPr>
              <w:tab/>
            </w:r>
            <w:r w:rsidR="00BF320E" w:rsidRPr="00BF320E">
              <w:rPr>
                <w:webHidden/>
              </w:rPr>
              <w:fldChar w:fldCharType="begin"/>
            </w:r>
            <w:r w:rsidR="00BF320E" w:rsidRPr="00BF320E">
              <w:rPr>
                <w:webHidden/>
              </w:rPr>
              <w:instrText xml:space="preserve"> PAGEREF _Toc356560726 \h </w:instrText>
            </w:r>
            <w:r w:rsidR="00BF320E" w:rsidRPr="00BF320E">
              <w:rPr>
                <w:webHidden/>
              </w:rPr>
            </w:r>
            <w:r w:rsidR="00BF320E" w:rsidRPr="00BF320E">
              <w:rPr>
                <w:webHidden/>
              </w:rPr>
              <w:fldChar w:fldCharType="separate"/>
            </w:r>
            <w:r w:rsidR="00A172DC">
              <w:rPr>
                <w:webHidden/>
              </w:rPr>
              <w:t>4</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27" w:history="1">
            <w:r w:rsidR="00BF320E" w:rsidRPr="00BF320E">
              <w:rPr>
                <w:rStyle w:val="Hyperlink"/>
              </w:rPr>
              <w:t>SCOPE OF THE REVIEW</w:t>
            </w:r>
            <w:r w:rsidR="00BF320E" w:rsidRPr="00BF320E">
              <w:rPr>
                <w:webHidden/>
              </w:rPr>
              <w:tab/>
            </w:r>
            <w:r w:rsidR="00BF320E" w:rsidRPr="00BF320E">
              <w:rPr>
                <w:webHidden/>
              </w:rPr>
              <w:fldChar w:fldCharType="begin"/>
            </w:r>
            <w:r w:rsidR="00BF320E" w:rsidRPr="00BF320E">
              <w:rPr>
                <w:webHidden/>
              </w:rPr>
              <w:instrText xml:space="preserve"> PAGEREF _Toc356560727 \h </w:instrText>
            </w:r>
            <w:r w:rsidR="00BF320E" w:rsidRPr="00BF320E">
              <w:rPr>
                <w:webHidden/>
              </w:rPr>
            </w:r>
            <w:r w:rsidR="00BF320E" w:rsidRPr="00BF320E">
              <w:rPr>
                <w:webHidden/>
              </w:rPr>
              <w:fldChar w:fldCharType="separate"/>
            </w:r>
            <w:r w:rsidR="00A172DC">
              <w:rPr>
                <w:webHidden/>
              </w:rPr>
              <w:t>5</w:t>
            </w:r>
            <w:r w:rsidR="00BF320E" w:rsidRPr="00BF320E">
              <w:rPr>
                <w:webHidden/>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28" w:history="1">
            <w:r w:rsidR="00BF320E" w:rsidRPr="00BF320E">
              <w:rPr>
                <w:rStyle w:val="Hyperlink"/>
                <w:noProof/>
                <w:sz w:val="20"/>
                <w:szCs w:val="20"/>
              </w:rPr>
              <w:t>History of submissions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_Toc356560728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5</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29" w:history="1">
            <w:r w:rsidR="00BF320E" w:rsidRPr="00BF320E">
              <w:rPr>
                <w:rStyle w:val="Hyperlink"/>
                <w:noProof/>
                <w:sz w:val="20"/>
                <w:szCs w:val="20"/>
              </w:rPr>
              <w:t>Grounds for Review</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_Toc356560729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5</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30" w:history="1">
            <w:r w:rsidR="00BF320E" w:rsidRPr="00BF320E">
              <w:rPr>
                <w:rStyle w:val="Hyperlink"/>
              </w:rPr>
              <w:t>DESCRIPTION OF THE REVIEW</w:t>
            </w:r>
            <w:r w:rsidR="00BF320E" w:rsidRPr="00BF320E">
              <w:rPr>
                <w:webHidden/>
              </w:rPr>
              <w:tab/>
            </w:r>
            <w:r w:rsidR="00BF320E" w:rsidRPr="00BF320E">
              <w:rPr>
                <w:webHidden/>
              </w:rPr>
              <w:fldChar w:fldCharType="begin"/>
            </w:r>
            <w:r w:rsidR="00BF320E" w:rsidRPr="00BF320E">
              <w:rPr>
                <w:webHidden/>
              </w:rPr>
              <w:instrText xml:space="preserve"> PAGEREF _Toc356560730 \h </w:instrText>
            </w:r>
            <w:r w:rsidR="00BF320E" w:rsidRPr="00BF320E">
              <w:rPr>
                <w:webHidden/>
              </w:rPr>
            </w:r>
            <w:r w:rsidR="00BF320E" w:rsidRPr="00BF320E">
              <w:rPr>
                <w:webHidden/>
              </w:rPr>
              <w:fldChar w:fldCharType="separate"/>
            </w:r>
            <w:r w:rsidR="00A172DC">
              <w:rPr>
                <w:webHidden/>
              </w:rPr>
              <w:t>7</w:t>
            </w:r>
            <w:r w:rsidR="00BF320E" w:rsidRPr="00BF320E">
              <w:rPr>
                <w:webHidden/>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31" w:history="1">
            <w:r w:rsidR="00BF320E" w:rsidRPr="00BF320E">
              <w:rPr>
                <w:rStyle w:val="Hyperlink"/>
                <w:noProof/>
                <w:sz w:val="20"/>
                <w:szCs w:val="20"/>
              </w:rPr>
              <w:t>Approach to the Review</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_Toc356560731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7</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32" w:history="1">
            <w:r w:rsidR="00BF320E" w:rsidRPr="00BF320E">
              <w:rPr>
                <w:rStyle w:val="Hyperlink"/>
                <w:noProof/>
                <w:sz w:val="20"/>
                <w:szCs w:val="20"/>
              </w:rPr>
              <w:t>Reviewers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_Toc356560732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7</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33" w:history="1">
            <w:r w:rsidR="00BF320E" w:rsidRPr="00BF320E">
              <w:rPr>
                <w:rStyle w:val="Hyperlink"/>
                <w:noProof/>
                <w:sz w:val="20"/>
                <w:szCs w:val="20"/>
              </w:rPr>
              <w:t>Structure of the report</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_Toc356560733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7</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34" w:history="1">
            <w:r w:rsidR="00BF320E" w:rsidRPr="00BF320E">
              <w:rPr>
                <w:rStyle w:val="Hyperlink"/>
                <w:noProof/>
                <w:sz w:val="20"/>
                <w:szCs w:val="20"/>
              </w:rPr>
              <w:t>General process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_Toc356560734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7</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35" w:history="1">
            <w:r w:rsidR="00BF320E" w:rsidRPr="00BF320E">
              <w:rPr>
                <w:rStyle w:val="Hyperlink"/>
              </w:rPr>
              <w:t>PRIMARY REVIEWER REPORT</w:t>
            </w:r>
            <w:r w:rsidR="00BF320E" w:rsidRPr="00BF320E">
              <w:rPr>
                <w:webHidden/>
              </w:rPr>
              <w:tab/>
            </w:r>
            <w:r w:rsidR="00BF320E" w:rsidRPr="00BF320E">
              <w:rPr>
                <w:webHidden/>
              </w:rPr>
              <w:fldChar w:fldCharType="begin"/>
            </w:r>
            <w:r w:rsidR="00BF320E" w:rsidRPr="00BF320E">
              <w:rPr>
                <w:webHidden/>
              </w:rPr>
              <w:instrText xml:space="preserve"> PAGEREF _Toc356560735 \h </w:instrText>
            </w:r>
            <w:r w:rsidR="00BF320E" w:rsidRPr="00BF320E">
              <w:rPr>
                <w:webHidden/>
              </w:rPr>
            </w:r>
            <w:r w:rsidR="00BF320E" w:rsidRPr="00BF320E">
              <w:rPr>
                <w:webHidden/>
              </w:rPr>
              <w:fldChar w:fldCharType="separate"/>
            </w:r>
            <w:r w:rsidR="00A172DC">
              <w:rPr>
                <w:webHidden/>
              </w:rPr>
              <w:t>8</w:t>
            </w:r>
            <w:r w:rsidR="00BF320E" w:rsidRPr="00BF320E">
              <w:rPr>
                <w:webHidden/>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36" w:history="1">
            <w:r w:rsidR="00BF320E" w:rsidRPr="00BF320E">
              <w:rPr>
                <w:rStyle w:val="Hyperlink"/>
                <w:noProof/>
                <w:sz w:val="20"/>
                <w:szCs w:val="20"/>
              </w:rPr>
              <w:t>Introduction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_Toc356560736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8</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37" w:history="1">
            <w:r w:rsidR="00BF320E" w:rsidRPr="00BF320E">
              <w:rPr>
                <w:rStyle w:val="Hyperlink"/>
                <w:noProof/>
                <w:sz w:val="20"/>
                <w:szCs w:val="20"/>
              </w:rPr>
              <w:t>PBAC Criteria for Fixed Dose Combination Products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_Toc356560737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9</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after="0" w:line="240" w:lineRule="auto"/>
            <w:rPr>
              <w:rFonts w:eastAsiaTheme="minorEastAsia"/>
              <w:noProof/>
              <w:sz w:val="20"/>
              <w:szCs w:val="20"/>
              <w:lang w:eastAsia="en-AU"/>
            </w:rPr>
          </w:pPr>
          <w:hyperlink w:anchor="_Toc356560738" w:history="1">
            <w:r w:rsidR="00BF320E" w:rsidRPr="00BF320E">
              <w:rPr>
                <w:rStyle w:val="Hyperlink"/>
                <w:rFonts w:cstheme="minorHAnsi"/>
                <w:noProof/>
                <w:sz w:val="20"/>
                <w:szCs w:val="20"/>
              </w:rPr>
              <w:t>Conclusions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_Toc356560738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11</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39" w:history="1">
            <w:r w:rsidR="00BF320E" w:rsidRPr="00BF320E">
              <w:rPr>
                <w:rStyle w:val="Hyperlink"/>
                <w:rFonts w:cstheme="minorHAnsi"/>
                <w:noProof/>
                <w:sz w:val="20"/>
                <w:szCs w:val="20"/>
              </w:rPr>
              <w:t>Validity of the surrogate outcome and non-inferiority</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_Toc356560739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12</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40" w:history="1">
            <w:r w:rsidR="00BF320E" w:rsidRPr="00BF320E">
              <w:rPr>
                <w:rStyle w:val="Hyperlink"/>
                <w:rFonts w:cstheme="minorHAnsi"/>
                <w:noProof/>
                <w:sz w:val="20"/>
                <w:szCs w:val="20"/>
              </w:rPr>
              <w:t>Validity of the surrogate in principle</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_Toc356560740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12</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after="0" w:line="240" w:lineRule="auto"/>
            <w:rPr>
              <w:rFonts w:eastAsiaTheme="minorEastAsia"/>
              <w:noProof/>
              <w:sz w:val="20"/>
              <w:szCs w:val="20"/>
              <w:lang w:eastAsia="en-AU"/>
            </w:rPr>
          </w:pPr>
          <w:hyperlink w:anchor="_Toc356560741" w:history="1">
            <w:r w:rsidR="00BF320E" w:rsidRPr="00BF320E">
              <w:rPr>
                <w:rStyle w:val="Hyperlink"/>
                <w:rFonts w:cstheme="minorHAnsi"/>
                <w:noProof/>
                <w:sz w:val="20"/>
                <w:szCs w:val="20"/>
              </w:rPr>
              <w:t>Conclusions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_Toc356560741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14</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42" w:history="1">
            <w:r w:rsidR="00BF320E" w:rsidRPr="00BF320E">
              <w:rPr>
                <w:rStyle w:val="Hyperlink"/>
                <w:rFonts w:cstheme="minorHAnsi"/>
                <w:noProof/>
                <w:sz w:val="20"/>
                <w:szCs w:val="20"/>
              </w:rPr>
              <w:t>Adequacy of assessment of non-inferiority</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_Toc356560742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15</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after="0" w:line="240" w:lineRule="auto"/>
            <w:rPr>
              <w:rFonts w:eastAsiaTheme="minorEastAsia"/>
              <w:noProof/>
              <w:sz w:val="20"/>
              <w:szCs w:val="20"/>
              <w:lang w:eastAsia="en-AU"/>
            </w:rPr>
          </w:pPr>
          <w:hyperlink w:anchor="_Toc356560743" w:history="1">
            <w:r w:rsidR="00BF320E" w:rsidRPr="00BF320E">
              <w:rPr>
                <w:rStyle w:val="Hyperlink"/>
                <w:rFonts w:cstheme="minorHAnsi"/>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_Toc356560743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15</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after="0" w:line="240" w:lineRule="auto"/>
            <w:rPr>
              <w:rFonts w:eastAsiaTheme="minorEastAsia"/>
              <w:noProof/>
              <w:sz w:val="20"/>
              <w:szCs w:val="20"/>
              <w:lang w:eastAsia="en-AU"/>
            </w:rPr>
          </w:pPr>
          <w:hyperlink w:anchor="_Toc356560744" w:history="1">
            <w:r w:rsidR="00BF320E" w:rsidRPr="00BF320E">
              <w:rPr>
                <w:rStyle w:val="Hyperlink"/>
                <w:noProof/>
                <w:sz w:val="20"/>
                <w:szCs w:val="20"/>
              </w:rPr>
              <w:t>Recommendations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_Toc356560744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15</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45" w:history="1">
            <w:r w:rsidR="00BF320E" w:rsidRPr="00BF320E">
              <w:rPr>
                <w:rStyle w:val="Hyperlink"/>
                <w:rFonts w:cstheme="minorHAnsi"/>
                <w:noProof/>
                <w:sz w:val="20"/>
                <w:szCs w:val="20"/>
              </w:rPr>
              <w:t>Continuing concern that the listing of Vimovo® could result in increased costs to the PBS</w:t>
            </w:r>
            <w:r w:rsidR="00BF320E" w:rsidRPr="00BF320E">
              <w:rPr>
                <w:rStyle w:val="Hyperlink"/>
                <w:noProof/>
                <w:sz w:val="20"/>
                <w:szCs w:val="20"/>
              </w:rPr>
              <w:t>.</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_Toc356560745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16</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after="0" w:line="240" w:lineRule="auto"/>
            <w:rPr>
              <w:rFonts w:eastAsiaTheme="minorEastAsia"/>
              <w:noProof/>
              <w:sz w:val="20"/>
              <w:szCs w:val="20"/>
              <w:lang w:eastAsia="en-AU"/>
            </w:rPr>
          </w:pPr>
          <w:hyperlink w:anchor="_Toc356560746" w:history="1">
            <w:r w:rsidR="00BF320E" w:rsidRPr="00BF320E">
              <w:rPr>
                <w:rStyle w:val="Hyperlink"/>
                <w:rFonts w:cstheme="minorHAnsi"/>
                <w:noProof/>
                <w:sz w:val="20"/>
                <w:szCs w:val="20"/>
              </w:rPr>
              <w:t>Conclusions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_Toc356560746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17</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47" w:history="1">
            <w:r w:rsidR="00BF320E" w:rsidRPr="00BF320E">
              <w:rPr>
                <w:rStyle w:val="Hyperlink"/>
                <w:rFonts w:cstheme="minorHAnsi"/>
                <w:noProof/>
                <w:sz w:val="20"/>
                <w:szCs w:val="20"/>
              </w:rPr>
              <w:t>Overall 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_Toc356560747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17</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after="0" w:line="240" w:lineRule="auto"/>
            <w:rPr>
              <w:rFonts w:eastAsiaTheme="minorEastAsia"/>
              <w:noProof/>
              <w:sz w:val="20"/>
              <w:szCs w:val="20"/>
              <w:lang w:eastAsia="en-AU"/>
            </w:rPr>
          </w:pPr>
          <w:hyperlink w:anchor="_Toc356560748" w:history="1">
            <w:r w:rsidR="00BF320E" w:rsidRPr="00BF320E">
              <w:rPr>
                <w:rStyle w:val="Hyperlink"/>
                <w:noProof/>
                <w:sz w:val="20"/>
                <w:szCs w:val="20"/>
              </w:rPr>
              <w:t>Overall Recommendation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_Toc356560748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18</w:t>
            </w:r>
            <w:r w:rsidR="00BF320E" w:rsidRPr="00BF320E">
              <w:rPr>
                <w:noProof/>
                <w:webHidden/>
                <w:sz w:val="20"/>
                <w:szCs w:val="20"/>
              </w:rPr>
              <w:fldChar w:fldCharType="end"/>
            </w:r>
          </w:hyperlink>
        </w:p>
        <w:p w:rsidR="00BF320E" w:rsidRPr="007B5049" w:rsidRDefault="00BF320E" w:rsidP="007B5049">
          <w:pPr>
            <w:pStyle w:val="TOC1"/>
            <w:rPr>
              <w:rStyle w:val="Hyperlink"/>
              <w:color w:val="auto"/>
            </w:rPr>
          </w:pPr>
        </w:p>
        <w:p w:rsidR="00BF320E" w:rsidRPr="00BF320E" w:rsidRDefault="00CD7B03" w:rsidP="007B5049">
          <w:pPr>
            <w:pStyle w:val="TOC1"/>
            <w:rPr>
              <w:rFonts w:eastAsiaTheme="minorEastAsia"/>
              <w:lang w:eastAsia="en-AU"/>
            </w:rPr>
          </w:pPr>
          <w:hyperlink w:anchor="_Toc356560749" w:history="1">
            <w:r w:rsidR="00BF320E" w:rsidRPr="00BF320E">
              <w:rPr>
                <w:rStyle w:val="Hyperlink"/>
                <w:rFonts w:cstheme="minorHAnsi"/>
              </w:rPr>
              <w:t>Attachment 1</w:t>
            </w:r>
            <w:r w:rsidR="00BF320E" w:rsidRPr="00BF320E">
              <w:rPr>
                <w:webHidden/>
              </w:rPr>
              <w:tab/>
            </w:r>
            <w:r w:rsidR="00BF320E" w:rsidRPr="00BF320E">
              <w:rPr>
                <w:webHidden/>
              </w:rPr>
              <w:fldChar w:fldCharType="begin"/>
            </w:r>
            <w:r w:rsidR="00BF320E" w:rsidRPr="00BF320E">
              <w:rPr>
                <w:webHidden/>
              </w:rPr>
              <w:instrText xml:space="preserve"> PAGEREF _Toc356560749 \h </w:instrText>
            </w:r>
            <w:r w:rsidR="00BF320E" w:rsidRPr="00BF320E">
              <w:rPr>
                <w:webHidden/>
              </w:rPr>
            </w:r>
            <w:r w:rsidR="00BF320E" w:rsidRPr="00BF320E">
              <w:rPr>
                <w:webHidden/>
              </w:rPr>
              <w:fldChar w:fldCharType="separate"/>
            </w:r>
            <w:r w:rsidR="00A172DC">
              <w:rPr>
                <w:webHidden/>
              </w:rPr>
              <w:t>19</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50" w:history="1">
            <w:r w:rsidR="00BF320E" w:rsidRPr="00BF320E">
              <w:rPr>
                <w:rStyle w:val="Hyperlink"/>
              </w:rPr>
              <w:t>PBAC CRITERIA FOR FIXED DOSE COMBINATION PRODUCTS</w:t>
            </w:r>
            <w:r w:rsidR="00BF320E" w:rsidRPr="00BF320E">
              <w:rPr>
                <w:webHidden/>
              </w:rPr>
              <w:tab/>
            </w:r>
            <w:r w:rsidR="00BF320E" w:rsidRPr="00BF320E">
              <w:rPr>
                <w:webHidden/>
              </w:rPr>
              <w:fldChar w:fldCharType="begin"/>
            </w:r>
            <w:r w:rsidR="00BF320E" w:rsidRPr="00BF320E">
              <w:rPr>
                <w:webHidden/>
              </w:rPr>
              <w:instrText xml:space="preserve"> PAGEREF _Toc356560750 \h </w:instrText>
            </w:r>
            <w:r w:rsidR="00BF320E" w:rsidRPr="00BF320E">
              <w:rPr>
                <w:webHidden/>
              </w:rPr>
            </w:r>
            <w:r w:rsidR="00BF320E" w:rsidRPr="00BF320E">
              <w:rPr>
                <w:webHidden/>
              </w:rPr>
              <w:fldChar w:fldCharType="separate"/>
            </w:r>
            <w:r w:rsidR="00A172DC">
              <w:rPr>
                <w:webHidden/>
              </w:rPr>
              <w:t>20</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51" w:history="1">
            <w:r w:rsidR="00BF320E" w:rsidRPr="00BF320E">
              <w:rPr>
                <w:rStyle w:val="Hyperlink"/>
              </w:rPr>
              <w:t>Reviewer</w:t>
            </w:r>
            <w:r w:rsidR="00BF320E" w:rsidRPr="00BF320E">
              <w:rPr>
                <w:webHidden/>
              </w:rPr>
              <w:tab/>
            </w:r>
            <w:r w:rsidR="00BF320E" w:rsidRPr="00BF320E">
              <w:rPr>
                <w:webHidden/>
              </w:rPr>
              <w:fldChar w:fldCharType="begin"/>
            </w:r>
            <w:r w:rsidR="00BF320E" w:rsidRPr="00BF320E">
              <w:rPr>
                <w:webHidden/>
              </w:rPr>
              <w:instrText xml:space="preserve"> PAGEREF _Toc356560751 \h </w:instrText>
            </w:r>
            <w:r w:rsidR="00BF320E" w:rsidRPr="00BF320E">
              <w:rPr>
                <w:webHidden/>
              </w:rPr>
            </w:r>
            <w:r w:rsidR="00BF320E" w:rsidRPr="00BF320E">
              <w:rPr>
                <w:webHidden/>
              </w:rPr>
              <w:fldChar w:fldCharType="separate"/>
            </w:r>
            <w:r w:rsidR="00A172DC">
              <w:rPr>
                <w:webHidden/>
              </w:rPr>
              <w:t>20</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52" w:history="1">
            <w:r w:rsidR="00BF320E" w:rsidRPr="00BF320E">
              <w:rPr>
                <w:rStyle w:val="Hyperlink"/>
              </w:rPr>
              <w:t>Matters detailed in the Independent Review Request</w:t>
            </w:r>
            <w:r w:rsidR="00BF320E" w:rsidRPr="00BF320E">
              <w:rPr>
                <w:webHidden/>
              </w:rPr>
              <w:tab/>
            </w:r>
            <w:r w:rsidR="00BF320E" w:rsidRPr="00BF320E">
              <w:rPr>
                <w:webHidden/>
              </w:rPr>
              <w:fldChar w:fldCharType="begin"/>
            </w:r>
            <w:r w:rsidR="00BF320E" w:rsidRPr="00BF320E">
              <w:rPr>
                <w:webHidden/>
              </w:rPr>
              <w:instrText xml:space="preserve"> PAGEREF _Toc356560752 \h </w:instrText>
            </w:r>
            <w:r w:rsidR="00BF320E" w:rsidRPr="00BF320E">
              <w:rPr>
                <w:webHidden/>
              </w:rPr>
            </w:r>
            <w:r w:rsidR="00BF320E" w:rsidRPr="00BF320E">
              <w:rPr>
                <w:webHidden/>
              </w:rPr>
              <w:fldChar w:fldCharType="separate"/>
            </w:r>
            <w:r w:rsidR="00A172DC">
              <w:rPr>
                <w:webHidden/>
              </w:rPr>
              <w:t>20</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53" w:history="1">
            <w:r w:rsidR="00BF320E" w:rsidRPr="00BF320E">
              <w:rPr>
                <w:rStyle w:val="Hyperlink"/>
              </w:rPr>
              <w:t>Reviewer’s understanding of the matters to be reviewed</w:t>
            </w:r>
            <w:r w:rsidR="00BF320E" w:rsidRPr="00BF320E">
              <w:rPr>
                <w:webHidden/>
              </w:rPr>
              <w:tab/>
            </w:r>
            <w:r w:rsidR="00BF320E" w:rsidRPr="00BF320E">
              <w:rPr>
                <w:webHidden/>
              </w:rPr>
              <w:fldChar w:fldCharType="begin"/>
            </w:r>
            <w:r w:rsidR="00BF320E" w:rsidRPr="00BF320E">
              <w:rPr>
                <w:webHidden/>
              </w:rPr>
              <w:instrText xml:space="preserve"> PAGEREF _Toc356560753 \h </w:instrText>
            </w:r>
            <w:r w:rsidR="00BF320E" w:rsidRPr="00BF320E">
              <w:rPr>
                <w:webHidden/>
              </w:rPr>
            </w:r>
            <w:r w:rsidR="00BF320E" w:rsidRPr="00BF320E">
              <w:rPr>
                <w:webHidden/>
              </w:rPr>
              <w:fldChar w:fldCharType="separate"/>
            </w:r>
            <w:r w:rsidR="00A172DC">
              <w:rPr>
                <w:webHidden/>
              </w:rPr>
              <w:t>21</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54" w:history="1">
            <w:r w:rsidR="00BF320E" w:rsidRPr="00BF320E">
              <w:rPr>
                <w:rStyle w:val="Hyperlink"/>
              </w:rPr>
              <w:t>Status and purpose of the PBAC Guidelines</w:t>
            </w:r>
            <w:r w:rsidR="00BF320E" w:rsidRPr="00BF320E">
              <w:rPr>
                <w:webHidden/>
              </w:rPr>
              <w:tab/>
            </w:r>
            <w:r w:rsidR="00BF320E" w:rsidRPr="00BF320E">
              <w:rPr>
                <w:webHidden/>
              </w:rPr>
              <w:fldChar w:fldCharType="begin"/>
            </w:r>
            <w:r w:rsidR="00BF320E" w:rsidRPr="00BF320E">
              <w:rPr>
                <w:webHidden/>
              </w:rPr>
              <w:instrText xml:space="preserve"> PAGEREF _Toc356560754 \h </w:instrText>
            </w:r>
            <w:r w:rsidR="00BF320E" w:rsidRPr="00BF320E">
              <w:rPr>
                <w:webHidden/>
              </w:rPr>
            </w:r>
            <w:r w:rsidR="00BF320E" w:rsidRPr="00BF320E">
              <w:rPr>
                <w:webHidden/>
              </w:rPr>
              <w:fldChar w:fldCharType="separate"/>
            </w:r>
            <w:r w:rsidR="00A172DC">
              <w:rPr>
                <w:webHidden/>
              </w:rPr>
              <w:t>21</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55" w:history="1">
            <w:r w:rsidR="00BF320E" w:rsidRPr="00BF320E">
              <w:rPr>
                <w:rStyle w:val="Hyperlink"/>
                <w:noProof/>
                <w:sz w:val="20"/>
                <w:szCs w:val="20"/>
              </w:rPr>
              <w:t>What are information requests?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_Toc356560755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22</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56" w:history="1">
            <w:r w:rsidR="00BF320E" w:rsidRPr="00BF320E">
              <w:rPr>
                <w:rStyle w:val="Hyperlink"/>
                <w:noProof/>
                <w:sz w:val="20"/>
                <w:szCs w:val="20"/>
              </w:rPr>
              <w:t>Are information requests the same as minimum requirements?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_Toc356560756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22</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57"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_Toc356560757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24</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58" w:history="1">
            <w:r w:rsidR="00BF320E" w:rsidRPr="00BF320E">
              <w:rPr>
                <w:rStyle w:val="Hyperlink"/>
                <w:noProof/>
                <w:sz w:val="20"/>
                <w:szCs w:val="20"/>
              </w:rPr>
              <w:t>Recommendation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_Toc356560758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25</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59" w:history="1">
            <w:r w:rsidR="00BF320E" w:rsidRPr="00BF320E">
              <w:rPr>
                <w:rStyle w:val="Hyperlink"/>
              </w:rPr>
              <w:t>Did PBAC communicate its concerns and requirements consistently to the Sponsor throughout the assessment process?</w:t>
            </w:r>
            <w:r w:rsidR="00BF320E" w:rsidRPr="00BF320E">
              <w:rPr>
                <w:webHidden/>
              </w:rPr>
              <w:tab/>
            </w:r>
            <w:r w:rsidR="00BF320E" w:rsidRPr="00BF320E">
              <w:rPr>
                <w:webHidden/>
              </w:rPr>
              <w:fldChar w:fldCharType="begin"/>
            </w:r>
            <w:r w:rsidR="00BF320E" w:rsidRPr="00BF320E">
              <w:rPr>
                <w:webHidden/>
              </w:rPr>
              <w:instrText xml:space="preserve"> PAGEREF _Toc356560759 \h </w:instrText>
            </w:r>
            <w:r w:rsidR="00BF320E" w:rsidRPr="00BF320E">
              <w:rPr>
                <w:webHidden/>
              </w:rPr>
            </w:r>
            <w:r w:rsidR="00BF320E" w:rsidRPr="00BF320E">
              <w:rPr>
                <w:webHidden/>
              </w:rPr>
              <w:fldChar w:fldCharType="separate"/>
            </w:r>
            <w:r w:rsidR="00A172DC">
              <w:rPr>
                <w:webHidden/>
              </w:rPr>
              <w:t>26</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60"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_Toc356560760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26</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61" w:history="1">
            <w:r w:rsidR="00BF320E" w:rsidRPr="00BF320E">
              <w:rPr>
                <w:rStyle w:val="Hyperlink"/>
              </w:rPr>
              <w:t>Is PBAC required to apply these minimum requirements consistently?</w:t>
            </w:r>
            <w:r w:rsidR="00BF320E" w:rsidRPr="00BF320E">
              <w:rPr>
                <w:webHidden/>
              </w:rPr>
              <w:tab/>
            </w:r>
            <w:r w:rsidR="00BF320E" w:rsidRPr="00BF320E">
              <w:rPr>
                <w:webHidden/>
              </w:rPr>
              <w:fldChar w:fldCharType="begin"/>
            </w:r>
            <w:r w:rsidR="00BF320E" w:rsidRPr="00BF320E">
              <w:rPr>
                <w:webHidden/>
              </w:rPr>
              <w:instrText xml:space="preserve"> PAGEREF _Toc356560761 \h </w:instrText>
            </w:r>
            <w:r w:rsidR="00BF320E" w:rsidRPr="00BF320E">
              <w:rPr>
                <w:webHidden/>
              </w:rPr>
            </w:r>
            <w:r w:rsidR="00BF320E" w:rsidRPr="00BF320E">
              <w:rPr>
                <w:webHidden/>
              </w:rPr>
              <w:fldChar w:fldCharType="separate"/>
            </w:r>
            <w:r w:rsidR="00A172DC">
              <w:rPr>
                <w:webHidden/>
              </w:rPr>
              <w:t>27</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62"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_Toc356560762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27</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63" w:history="1">
            <w:r w:rsidR="00BF320E" w:rsidRPr="00BF320E">
              <w:rPr>
                <w:rStyle w:val="Hyperlink"/>
              </w:rPr>
              <w:t>Reviewer’s summary of findings on this aspect of the Review</w:t>
            </w:r>
            <w:r w:rsidR="00BF320E" w:rsidRPr="00BF320E">
              <w:rPr>
                <w:webHidden/>
              </w:rPr>
              <w:tab/>
            </w:r>
            <w:r w:rsidR="00BF320E" w:rsidRPr="00BF320E">
              <w:rPr>
                <w:webHidden/>
              </w:rPr>
              <w:fldChar w:fldCharType="begin"/>
            </w:r>
            <w:r w:rsidR="00BF320E" w:rsidRPr="00BF320E">
              <w:rPr>
                <w:webHidden/>
              </w:rPr>
              <w:instrText xml:space="preserve"> PAGEREF _Toc356560763 \h </w:instrText>
            </w:r>
            <w:r w:rsidR="00BF320E" w:rsidRPr="00BF320E">
              <w:rPr>
                <w:webHidden/>
              </w:rPr>
            </w:r>
            <w:r w:rsidR="00BF320E" w:rsidRPr="00BF320E">
              <w:rPr>
                <w:webHidden/>
              </w:rPr>
              <w:fldChar w:fldCharType="separate"/>
            </w:r>
            <w:r w:rsidR="00A172DC">
              <w:rPr>
                <w:webHidden/>
              </w:rPr>
              <w:t>28</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64" w:history="1">
            <w:r w:rsidR="00BF320E" w:rsidRPr="00BF320E">
              <w:rPr>
                <w:rStyle w:val="Hyperlink"/>
              </w:rPr>
              <w:t>Annexure 1: Material used in preparing the report</w:t>
            </w:r>
            <w:r w:rsidR="00BF320E" w:rsidRPr="00BF320E">
              <w:rPr>
                <w:webHidden/>
              </w:rPr>
              <w:tab/>
            </w:r>
            <w:r w:rsidR="00BF320E" w:rsidRPr="00BF320E">
              <w:rPr>
                <w:webHidden/>
              </w:rPr>
              <w:fldChar w:fldCharType="begin"/>
            </w:r>
            <w:r w:rsidR="00BF320E" w:rsidRPr="00BF320E">
              <w:rPr>
                <w:webHidden/>
              </w:rPr>
              <w:instrText xml:space="preserve"> PAGEREF _Toc356560764 \h </w:instrText>
            </w:r>
            <w:r w:rsidR="00BF320E" w:rsidRPr="00BF320E">
              <w:rPr>
                <w:webHidden/>
              </w:rPr>
            </w:r>
            <w:r w:rsidR="00BF320E" w:rsidRPr="00BF320E">
              <w:rPr>
                <w:webHidden/>
              </w:rPr>
              <w:fldChar w:fldCharType="separate"/>
            </w:r>
            <w:r w:rsidR="00A172DC">
              <w:rPr>
                <w:webHidden/>
              </w:rPr>
              <w:t>29</w:t>
            </w:r>
            <w:r w:rsidR="00BF320E" w:rsidRPr="00BF320E">
              <w:rPr>
                <w:webHidden/>
              </w:rPr>
              <w:fldChar w:fldCharType="end"/>
            </w:r>
          </w:hyperlink>
        </w:p>
        <w:p w:rsidR="00BF320E" w:rsidRPr="007B5049" w:rsidRDefault="00BF320E" w:rsidP="007B5049">
          <w:pPr>
            <w:pStyle w:val="TOC1"/>
            <w:rPr>
              <w:rStyle w:val="Hyperlink"/>
              <w:color w:val="auto"/>
            </w:rPr>
          </w:pPr>
        </w:p>
        <w:p w:rsidR="00BF320E" w:rsidRPr="00BF320E" w:rsidRDefault="00CD7B03" w:rsidP="007B5049">
          <w:pPr>
            <w:pStyle w:val="TOC1"/>
            <w:rPr>
              <w:rFonts w:eastAsiaTheme="minorEastAsia"/>
              <w:lang w:eastAsia="en-AU"/>
            </w:rPr>
          </w:pPr>
          <w:hyperlink w:anchor="_Toc356560765" w:history="1">
            <w:r w:rsidR="00BF320E" w:rsidRPr="00BF320E">
              <w:rPr>
                <w:rStyle w:val="Hyperlink"/>
              </w:rPr>
              <w:t>Attachment 2</w:t>
            </w:r>
            <w:r w:rsidR="00BF320E" w:rsidRPr="00BF320E">
              <w:rPr>
                <w:webHidden/>
              </w:rPr>
              <w:tab/>
            </w:r>
            <w:r w:rsidR="00BF320E" w:rsidRPr="00BF320E">
              <w:rPr>
                <w:webHidden/>
              </w:rPr>
              <w:fldChar w:fldCharType="begin"/>
            </w:r>
            <w:r w:rsidR="00BF320E" w:rsidRPr="00BF320E">
              <w:rPr>
                <w:webHidden/>
              </w:rPr>
              <w:instrText xml:space="preserve"> PAGEREF _Toc356560765 \h </w:instrText>
            </w:r>
            <w:r w:rsidR="00BF320E" w:rsidRPr="00BF320E">
              <w:rPr>
                <w:webHidden/>
              </w:rPr>
            </w:r>
            <w:r w:rsidR="00BF320E" w:rsidRPr="00BF320E">
              <w:rPr>
                <w:webHidden/>
              </w:rPr>
              <w:fldChar w:fldCharType="separate"/>
            </w:r>
            <w:r w:rsidR="00A172DC">
              <w:rPr>
                <w:webHidden/>
              </w:rPr>
              <w:t>32</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66" w:history="1">
            <w:r w:rsidR="00BF320E" w:rsidRPr="00BF320E">
              <w:rPr>
                <w:rStyle w:val="Hyperlink"/>
              </w:rPr>
              <w:t>VALIDITY OF THE SURROGATE OUTCOME AND NON-INFERIORITY</w:t>
            </w:r>
            <w:r w:rsidR="00BF320E" w:rsidRPr="00BF320E">
              <w:rPr>
                <w:webHidden/>
              </w:rPr>
              <w:tab/>
            </w:r>
            <w:r w:rsidR="00BF320E" w:rsidRPr="00BF320E">
              <w:rPr>
                <w:webHidden/>
              </w:rPr>
              <w:fldChar w:fldCharType="begin"/>
            </w:r>
            <w:r w:rsidR="00BF320E" w:rsidRPr="00BF320E">
              <w:rPr>
                <w:webHidden/>
              </w:rPr>
              <w:instrText xml:space="preserve"> PAGEREF _Toc356560766 \h </w:instrText>
            </w:r>
            <w:r w:rsidR="00BF320E" w:rsidRPr="00BF320E">
              <w:rPr>
                <w:webHidden/>
              </w:rPr>
            </w:r>
            <w:r w:rsidR="00BF320E" w:rsidRPr="00BF320E">
              <w:rPr>
                <w:webHidden/>
              </w:rPr>
              <w:fldChar w:fldCharType="separate"/>
            </w:r>
            <w:r w:rsidR="00A172DC">
              <w:rPr>
                <w:webHidden/>
              </w:rPr>
              <w:t>32</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67" w:history="1">
            <w:r w:rsidR="00BF320E" w:rsidRPr="00BF320E">
              <w:rPr>
                <w:rStyle w:val="Hyperlink"/>
              </w:rPr>
              <w:t>Reviewer</w:t>
            </w:r>
            <w:r w:rsidR="00BF320E" w:rsidRPr="00BF320E">
              <w:rPr>
                <w:webHidden/>
              </w:rPr>
              <w:tab/>
            </w:r>
            <w:r w:rsidR="00BF320E" w:rsidRPr="00BF320E">
              <w:rPr>
                <w:webHidden/>
              </w:rPr>
              <w:fldChar w:fldCharType="begin"/>
            </w:r>
            <w:r w:rsidR="00BF320E" w:rsidRPr="00BF320E">
              <w:rPr>
                <w:webHidden/>
              </w:rPr>
              <w:instrText xml:space="preserve"> PAGEREF _Toc356560767 \h </w:instrText>
            </w:r>
            <w:r w:rsidR="00BF320E" w:rsidRPr="00BF320E">
              <w:rPr>
                <w:webHidden/>
              </w:rPr>
            </w:r>
            <w:r w:rsidR="00BF320E" w:rsidRPr="00BF320E">
              <w:rPr>
                <w:webHidden/>
              </w:rPr>
              <w:fldChar w:fldCharType="separate"/>
            </w:r>
            <w:r w:rsidR="00A172DC">
              <w:rPr>
                <w:webHidden/>
              </w:rPr>
              <w:t>33</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68" w:history="1">
            <w:r w:rsidR="00BF320E" w:rsidRPr="00BF320E">
              <w:rPr>
                <w:rStyle w:val="Hyperlink"/>
              </w:rPr>
              <w:t>Matter detailed in the Independent Review Request</w:t>
            </w:r>
            <w:r w:rsidR="00BF320E" w:rsidRPr="00BF320E">
              <w:rPr>
                <w:webHidden/>
              </w:rPr>
              <w:tab/>
            </w:r>
            <w:r w:rsidR="00BF320E" w:rsidRPr="00BF320E">
              <w:rPr>
                <w:webHidden/>
              </w:rPr>
              <w:fldChar w:fldCharType="begin"/>
            </w:r>
            <w:r w:rsidR="00BF320E" w:rsidRPr="00BF320E">
              <w:rPr>
                <w:webHidden/>
              </w:rPr>
              <w:instrText xml:space="preserve"> PAGEREF _Toc356560768 \h </w:instrText>
            </w:r>
            <w:r w:rsidR="00BF320E" w:rsidRPr="00BF320E">
              <w:rPr>
                <w:webHidden/>
              </w:rPr>
            </w:r>
            <w:r w:rsidR="00BF320E" w:rsidRPr="00BF320E">
              <w:rPr>
                <w:webHidden/>
              </w:rPr>
              <w:fldChar w:fldCharType="separate"/>
            </w:r>
            <w:r w:rsidR="00A172DC">
              <w:rPr>
                <w:webHidden/>
              </w:rPr>
              <w:t>33</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69" w:history="1">
            <w:r w:rsidR="00BF320E" w:rsidRPr="00BF320E">
              <w:rPr>
                <w:rStyle w:val="Hyperlink"/>
              </w:rPr>
              <w:t>Reviewer’s understanding of the matter to be reviewed</w:t>
            </w:r>
            <w:r w:rsidR="00BF320E" w:rsidRPr="00BF320E">
              <w:rPr>
                <w:webHidden/>
              </w:rPr>
              <w:tab/>
            </w:r>
            <w:r w:rsidR="00BF320E" w:rsidRPr="00BF320E">
              <w:rPr>
                <w:webHidden/>
              </w:rPr>
              <w:fldChar w:fldCharType="begin"/>
            </w:r>
            <w:r w:rsidR="00BF320E" w:rsidRPr="00BF320E">
              <w:rPr>
                <w:webHidden/>
              </w:rPr>
              <w:instrText xml:space="preserve"> PAGEREF _Toc356560769 \h </w:instrText>
            </w:r>
            <w:r w:rsidR="00BF320E" w:rsidRPr="00BF320E">
              <w:rPr>
                <w:webHidden/>
              </w:rPr>
            </w:r>
            <w:r w:rsidR="00BF320E" w:rsidRPr="00BF320E">
              <w:rPr>
                <w:webHidden/>
              </w:rPr>
              <w:fldChar w:fldCharType="separate"/>
            </w:r>
            <w:r w:rsidR="00A172DC">
              <w:rPr>
                <w:webHidden/>
              </w:rPr>
              <w:t>33</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70" w:history="1">
            <w:r w:rsidR="00BF320E" w:rsidRPr="00BF320E">
              <w:rPr>
                <w:rStyle w:val="Hyperlink"/>
                <w:noProof/>
                <w:sz w:val="20"/>
                <w:szCs w:val="20"/>
              </w:rPr>
              <w:t>Abbreviations and terms used in this report</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_Toc356560770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33</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71" w:history="1">
            <w:r w:rsidR="00BF320E" w:rsidRPr="00BF320E">
              <w:rPr>
                <w:rStyle w:val="Hyperlink"/>
                <w:lang w:val="en-GB"/>
              </w:rPr>
              <w:t>Validity of the surrogate in principle</w:t>
            </w:r>
            <w:r w:rsidR="00BF320E" w:rsidRPr="00BF320E">
              <w:rPr>
                <w:webHidden/>
              </w:rPr>
              <w:tab/>
            </w:r>
            <w:r w:rsidR="00BF320E" w:rsidRPr="00BF320E">
              <w:rPr>
                <w:webHidden/>
              </w:rPr>
              <w:fldChar w:fldCharType="begin"/>
            </w:r>
            <w:r w:rsidR="00BF320E" w:rsidRPr="00BF320E">
              <w:rPr>
                <w:webHidden/>
              </w:rPr>
              <w:instrText xml:space="preserve"> PAGEREF _Toc356560771 \h </w:instrText>
            </w:r>
            <w:r w:rsidR="00BF320E" w:rsidRPr="00BF320E">
              <w:rPr>
                <w:webHidden/>
              </w:rPr>
            </w:r>
            <w:r w:rsidR="00BF320E" w:rsidRPr="00BF320E">
              <w:rPr>
                <w:webHidden/>
              </w:rPr>
              <w:fldChar w:fldCharType="separate"/>
            </w:r>
            <w:r w:rsidR="00A172DC">
              <w:rPr>
                <w:webHidden/>
              </w:rPr>
              <w:t>34</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72" w:history="1">
            <w:r w:rsidR="00BF320E" w:rsidRPr="00BF320E">
              <w:rPr>
                <w:rStyle w:val="Hyperlink"/>
                <w:noProof/>
                <w:sz w:val="20"/>
                <w:szCs w:val="20"/>
              </w:rPr>
              <w:t>Part One of the STFOWG: Definition, selection and measurement of the Proposed Surrogate Measure [PSM] and the Target Clinical Outcome [TCO]</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_Toc356560772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35</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line="240" w:lineRule="auto"/>
            <w:rPr>
              <w:rFonts w:eastAsiaTheme="minorEastAsia"/>
              <w:noProof/>
              <w:sz w:val="20"/>
              <w:szCs w:val="20"/>
              <w:lang w:eastAsia="en-AU"/>
            </w:rPr>
          </w:pPr>
          <w:hyperlink w:anchor="_Toc356560773"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_Toc356560773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35</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74" w:history="1">
            <w:r w:rsidR="00BF320E" w:rsidRPr="00BF320E">
              <w:rPr>
                <w:rStyle w:val="Hyperlink"/>
                <w:noProof/>
                <w:sz w:val="20"/>
                <w:szCs w:val="20"/>
              </w:rPr>
              <w:t>Part Two of the STFOWG: Biological reasoning and epidemiological evidence supporting the relationship between the PSM and TCO, independent of any intervention.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_Toc356560774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35</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line="240" w:lineRule="auto"/>
            <w:rPr>
              <w:rFonts w:eastAsiaTheme="minorEastAsia"/>
              <w:noProof/>
              <w:sz w:val="20"/>
              <w:szCs w:val="20"/>
              <w:lang w:eastAsia="en-AU"/>
            </w:rPr>
          </w:pPr>
          <w:hyperlink w:anchor="_Toc356560775"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_Toc356560775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36</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76" w:history="1">
            <w:r w:rsidR="00BF320E" w:rsidRPr="00BF320E">
              <w:rPr>
                <w:rStyle w:val="Hyperlink"/>
                <w:noProof/>
                <w:sz w:val="20"/>
                <w:szCs w:val="20"/>
              </w:rPr>
              <w:t>Part Three of the STFOWG: Randomised trial evidence using other drugs to show that there is a basis to conclude that a comparative treatment effect on the PSM has satisfactorily predicted a comparative treatment effect on the TCO.</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_Toc356560776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37</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line="240" w:lineRule="auto"/>
            <w:rPr>
              <w:rFonts w:eastAsiaTheme="minorEastAsia"/>
              <w:noProof/>
              <w:sz w:val="20"/>
              <w:szCs w:val="20"/>
              <w:lang w:eastAsia="en-AU"/>
            </w:rPr>
          </w:pPr>
          <w:hyperlink w:anchor="_Toc356560777"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_Toc356560777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39</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78" w:history="1">
            <w:r w:rsidR="00BF320E" w:rsidRPr="00BF320E">
              <w:rPr>
                <w:rStyle w:val="Hyperlink"/>
                <w:noProof/>
                <w:sz w:val="20"/>
                <w:szCs w:val="20"/>
              </w:rPr>
              <w:t>Part Four of the STFOWG: Support for why the relationship between the comparative treatment effects on the PSM and TCO with these other drugs is likely to apply to the proposed drug.  Information about the comparative treatment effect of the proposed drug on the PSM.</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_Toc356560778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39</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line="240" w:lineRule="auto"/>
            <w:rPr>
              <w:rFonts w:eastAsiaTheme="minorEastAsia"/>
              <w:noProof/>
              <w:sz w:val="20"/>
              <w:szCs w:val="20"/>
              <w:lang w:eastAsia="en-AU"/>
            </w:rPr>
          </w:pPr>
          <w:hyperlink w:anchor="_Toc356560779"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_Toc356560779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39</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80" w:history="1">
            <w:r w:rsidR="00BF320E" w:rsidRPr="00BF320E">
              <w:rPr>
                <w:rStyle w:val="Hyperlink"/>
                <w:noProof/>
                <w:sz w:val="20"/>
                <w:szCs w:val="20"/>
              </w:rPr>
              <w:t>Part Five of the STFOWG: Relevant considerations for incorporation of the comparative treatment effect based on the PSM into the economic evaluation.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_Toc356560780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40</w:t>
            </w:r>
            <w:r w:rsidR="00BF320E" w:rsidRPr="00BF320E">
              <w:rPr>
                <w:noProof/>
                <w:webHidden/>
                <w:sz w:val="20"/>
                <w:szCs w:val="20"/>
              </w:rPr>
              <w:fldChar w:fldCharType="end"/>
            </w:r>
          </w:hyperlink>
        </w:p>
        <w:p w:rsidR="00BF320E" w:rsidRPr="00BF320E" w:rsidRDefault="00CD7B03" w:rsidP="00BF320E">
          <w:pPr>
            <w:pStyle w:val="TOC3"/>
            <w:tabs>
              <w:tab w:val="right" w:leader="dot" w:pos="9017"/>
            </w:tabs>
            <w:spacing w:line="240" w:lineRule="auto"/>
            <w:rPr>
              <w:rFonts w:eastAsiaTheme="minorEastAsia"/>
              <w:noProof/>
              <w:sz w:val="20"/>
              <w:szCs w:val="20"/>
              <w:lang w:eastAsia="en-AU"/>
            </w:rPr>
          </w:pPr>
          <w:hyperlink w:anchor="_Toc356560781"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_Toc356560781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40</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82" w:history="1">
            <w:r w:rsidR="00BF320E" w:rsidRPr="00BF320E">
              <w:rPr>
                <w:rStyle w:val="Hyperlink"/>
                <w:noProof/>
                <w:sz w:val="20"/>
                <w:szCs w:val="20"/>
              </w:rPr>
              <w:t>Overall Conclusion about the validity of the surrogate in principle.</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_Toc356560782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40</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83" w:history="1">
            <w:r w:rsidR="00BF320E" w:rsidRPr="00BF320E">
              <w:rPr>
                <w:rStyle w:val="Hyperlink"/>
              </w:rPr>
              <w:t>Adequacy of assessment of non-inferiority</w:t>
            </w:r>
            <w:r w:rsidR="00BF320E" w:rsidRPr="00BF320E">
              <w:rPr>
                <w:webHidden/>
              </w:rPr>
              <w:tab/>
            </w:r>
            <w:r w:rsidR="00BF320E" w:rsidRPr="00BF320E">
              <w:rPr>
                <w:webHidden/>
              </w:rPr>
              <w:fldChar w:fldCharType="begin"/>
            </w:r>
            <w:r w:rsidR="00BF320E" w:rsidRPr="00BF320E">
              <w:rPr>
                <w:webHidden/>
              </w:rPr>
              <w:instrText xml:space="preserve"> PAGEREF _Toc356560783 \h </w:instrText>
            </w:r>
            <w:r w:rsidR="00BF320E" w:rsidRPr="00BF320E">
              <w:rPr>
                <w:webHidden/>
              </w:rPr>
            </w:r>
            <w:r w:rsidR="00BF320E" w:rsidRPr="00BF320E">
              <w:rPr>
                <w:webHidden/>
              </w:rPr>
              <w:fldChar w:fldCharType="separate"/>
            </w:r>
            <w:r w:rsidR="00A172DC">
              <w:rPr>
                <w:webHidden/>
              </w:rPr>
              <w:t>41</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84"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_Toc356560784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44</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85" w:history="1">
            <w:r w:rsidR="00BF320E" w:rsidRPr="00BF320E">
              <w:rPr>
                <w:rStyle w:val="Hyperlink"/>
              </w:rPr>
              <w:t>Recommendations</w:t>
            </w:r>
            <w:r w:rsidR="00BF320E" w:rsidRPr="00BF320E">
              <w:rPr>
                <w:webHidden/>
              </w:rPr>
              <w:tab/>
            </w:r>
            <w:r w:rsidR="00BF320E" w:rsidRPr="00BF320E">
              <w:rPr>
                <w:webHidden/>
              </w:rPr>
              <w:fldChar w:fldCharType="begin"/>
            </w:r>
            <w:r w:rsidR="00BF320E" w:rsidRPr="00BF320E">
              <w:rPr>
                <w:webHidden/>
              </w:rPr>
              <w:instrText xml:space="preserve"> PAGEREF _Toc356560785 \h </w:instrText>
            </w:r>
            <w:r w:rsidR="00BF320E" w:rsidRPr="00BF320E">
              <w:rPr>
                <w:webHidden/>
              </w:rPr>
            </w:r>
            <w:r w:rsidR="00BF320E" w:rsidRPr="00BF320E">
              <w:rPr>
                <w:webHidden/>
              </w:rPr>
              <w:fldChar w:fldCharType="separate"/>
            </w:r>
            <w:r w:rsidR="00A172DC">
              <w:rPr>
                <w:webHidden/>
              </w:rPr>
              <w:t>44</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86" w:history="1">
            <w:r w:rsidR="00BF320E" w:rsidRPr="00BF320E">
              <w:rPr>
                <w:rStyle w:val="Hyperlink"/>
              </w:rPr>
              <w:t>Annexure 1:  Material used in this report</w:t>
            </w:r>
            <w:r w:rsidR="00BF320E" w:rsidRPr="00BF320E">
              <w:rPr>
                <w:webHidden/>
              </w:rPr>
              <w:tab/>
            </w:r>
            <w:r w:rsidR="00BF320E" w:rsidRPr="00BF320E">
              <w:rPr>
                <w:webHidden/>
              </w:rPr>
              <w:fldChar w:fldCharType="begin"/>
            </w:r>
            <w:r w:rsidR="00BF320E" w:rsidRPr="00BF320E">
              <w:rPr>
                <w:webHidden/>
              </w:rPr>
              <w:instrText xml:space="preserve"> PAGEREF _Toc356560786 \h </w:instrText>
            </w:r>
            <w:r w:rsidR="00BF320E" w:rsidRPr="00BF320E">
              <w:rPr>
                <w:webHidden/>
              </w:rPr>
            </w:r>
            <w:r w:rsidR="00BF320E" w:rsidRPr="00BF320E">
              <w:rPr>
                <w:webHidden/>
              </w:rPr>
              <w:fldChar w:fldCharType="separate"/>
            </w:r>
            <w:r w:rsidR="00A172DC">
              <w:rPr>
                <w:webHidden/>
              </w:rPr>
              <w:t>45</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87" w:history="1">
            <w:r w:rsidR="00BF320E" w:rsidRPr="00BF320E">
              <w:rPr>
                <w:rStyle w:val="Hyperlink"/>
              </w:rPr>
              <w:t>Annexure 2:  References</w:t>
            </w:r>
            <w:r w:rsidR="00BF320E" w:rsidRPr="00BF320E">
              <w:rPr>
                <w:webHidden/>
              </w:rPr>
              <w:tab/>
            </w:r>
            <w:r w:rsidR="00BF320E" w:rsidRPr="00BF320E">
              <w:rPr>
                <w:webHidden/>
              </w:rPr>
              <w:fldChar w:fldCharType="begin"/>
            </w:r>
            <w:r w:rsidR="00BF320E" w:rsidRPr="00BF320E">
              <w:rPr>
                <w:webHidden/>
              </w:rPr>
              <w:instrText xml:space="preserve"> PAGEREF _Toc356560787 \h </w:instrText>
            </w:r>
            <w:r w:rsidR="00BF320E" w:rsidRPr="00BF320E">
              <w:rPr>
                <w:webHidden/>
              </w:rPr>
            </w:r>
            <w:r w:rsidR="00BF320E" w:rsidRPr="00BF320E">
              <w:rPr>
                <w:webHidden/>
              </w:rPr>
              <w:fldChar w:fldCharType="separate"/>
            </w:r>
            <w:r w:rsidR="00A172DC">
              <w:rPr>
                <w:webHidden/>
              </w:rPr>
              <w:t>45</w:t>
            </w:r>
            <w:r w:rsidR="00BF320E" w:rsidRPr="00BF320E">
              <w:rPr>
                <w:webHidden/>
              </w:rPr>
              <w:fldChar w:fldCharType="end"/>
            </w:r>
          </w:hyperlink>
        </w:p>
        <w:p w:rsidR="00BF320E" w:rsidRPr="007B5049" w:rsidRDefault="00BF320E" w:rsidP="007B5049">
          <w:pPr>
            <w:pStyle w:val="TOC1"/>
            <w:rPr>
              <w:rStyle w:val="Hyperlink"/>
              <w:color w:val="auto"/>
            </w:rPr>
          </w:pPr>
        </w:p>
        <w:p w:rsidR="00BF320E" w:rsidRPr="00BF320E" w:rsidRDefault="00CD7B03" w:rsidP="007B5049">
          <w:pPr>
            <w:pStyle w:val="TOC1"/>
            <w:rPr>
              <w:rFonts w:eastAsiaTheme="minorEastAsia"/>
              <w:lang w:eastAsia="en-AU"/>
            </w:rPr>
          </w:pPr>
          <w:hyperlink w:anchor="_Toc356560788" w:history="1">
            <w:r w:rsidR="00BF320E" w:rsidRPr="00BF320E">
              <w:rPr>
                <w:rStyle w:val="Hyperlink"/>
              </w:rPr>
              <w:t>Attachment 3</w:t>
            </w:r>
            <w:r w:rsidR="00BF320E" w:rsidRPr="00BF320E">
              <w:rPr>
                <w:webHidden/>
              </w:rPr>
              <w:tab/>
            </w:r>
            <w:r w:rsidR="00BF320E" w:rsidRPr="00BF320E">
              <w:rPr>
                <w:webHidden/>
              </w:rPr>
              <w:fldChar w:fldCharType="begin"/>
            </w:r>
            <w:r w:rsidR="00BF320E" w:rsidRPr="00BF320E">
              <w:rPr>
                <w:webHidden/>
              </w:rPr>
              <w:instrText xml:space="preserve"> PAGEREF _Toc356560788 \h </w:instrText>
            </w:r>
            <w:r w:rsidR="00BF320E" w:rsidRPr="00BF320E">
              <w:rPr>
                <w:webHidden/>
              </w:rPr>
            </w:r>
            <w:r w:rsidR="00BF320E" w:rsidRPr="00BF320E">
              <w:rPr>
                <w:webHidden/>
              </w:rPr>
              <w:fldChar w:fldCharType="separate"/>
            </w:r>
            <w:r w:rsidR="00A172DC">
              <w:rPr>
                <w:webHidden/>
              </w:rPr>
              <w:t>47</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89" w:history="1">
            <w:r w:rsidR="00BF320E" w:rsidRPr="00BF320E">
              <w:rPr>
                <w:rStyle w:val="Hyperlink"/>
              </w:rPr>
              <w:t>CONTINUING CONCERN THAT THE LISTING OF VIMOVO COULD RESULT IN INCREASED COSTS TO THE PBS.</w:t>
            </w:r>
            <w:r w:rsidR="00BF320E" w:rsidRPr="00BF320E">
              <w:rPr>
                <w:webHidden/>
              </w:rPr>
              <w:tab/>
            </w:r>
            <w:r w:rsidR="00BF320E" w:rsidRPr="00BF320E">
              <w:rPr>
                <w:webHidden/>
              </w:rPr>
              <w:fldChar w:fldCharType="begin"/>
            </w:r>
            <w:r w:rsidR="00BF320E" w:rsidRPr="00BF320E">
              <w:rPr>
                <w:webHidden/>
              </w:rPr>
              <w:instrText xml:space="preserve"> PAGEREF _Toc356560789 \h </w:instrText>
            </w:r>
            <w:r w:rsidR="00BF320E" w:rsidRPr="00BF320E">
              <w:rPr>
                <w:webHidden/>
              </w:rPr>
            </w:r>
            <w:r w:rsidR="00BF320E" w:rsidRPr="00BF320E">
              <w:rPr>
                <w:webHidden/>
              </w:rPr>
              <w:fldChar w:fldCharType="separate"/>
            </w:r>
            <w:r w:rsidR="00A172DC">
              <w:rPr>
                <w:webHidden/>
              </w:rPr>
              <w:t>47</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90" w:history="1">
            <w:r w:rsidR="00BF320E" w:rsidRPr="00BF320E">
              <w:rPr>
                <w:rStyle w:val="Hyperlink"/>
              </w:rPr>
              <w:t>Reviewers</w:t>
            </w:r>
            <w:r w:rsidR="00BF320E" w:rsidRPr="00BF320E">
              <w:rPr>
                <w:webHidden/>
              </w:rPr>
              <w:tab/>
            </w:r>
            <w:r w:rsidR="00BF320E" w:rsidRPr="00BF320E">
              <w:rPr>
                <w:webHidden/>
              </w:rPr>
              <w:fldChar w:fldCharType="begin"/>
            </w:r>
            <w:r w:rsidR="00BF320E" w:rsidRPr="00BF320E">
              <w:rPr>
                <w:webHidden/>
              </w:rPr>
              <w:instrText xml:space="preserve"> PAGEREF _Toc356560790 \h </w:instrText>
            </w:r>
            <w:r w:rsidR="00BF320E" w:rsidRPr="00BF320E">
              <w:rPr>
                <w:webHidden/>
              </w:rPr>
            </w:r>
            <w:r w:rsidR="00BF320E" w:rsidRPr="00BF320E">
              <w:rPr>
                <w:webHidden/>
              </w:rPr>
              <w:fldChar w:fldCharType="separate"/>
            </w:r>
            <w:r w:rsidR="00A172DC">
              <w:rPr>
                <w:webHidden/>
              </w:rPr>
              <w:t>48</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91" w:history="1">
            <w:r w:rsidR="00BF320E" w:rsidRPr="00BF320E">
              <w:rPr>
                <w:rStyle w:val="Hyperlink"/>
              </w:rPr>
              <w:t>Matter detailed in the Independent Review Request</w:t>
            </w:r>
            <w:r w:rsidR="00BF320E" w:rsidRPr="00BF320E">
              <w:rPr>
                <w:webHidden/>
              </w:rPr>
              <w:tab/>
            </w:r>
            <w:r w:rsidR="00BF320E" w:rsidRPr="00BF320E">
              <w:rPr>
                <w:webHidden/>
              </w:rPr>
              <w:fldChar w:fldCharType="begin"/>
            </w:r>
            <w:r w:rsidR="00BF320E" w:rsidRPr="00BF320E">
              <w:rPr>
                <w:webHidden/>
              </w:rPr>
              <w:instrText xml:space="preserve"> PAGEREF _Toc356560791 \h </w:instrText>
            </w:r>
            <w:r w:rsidR="00BF320E" w:rsidRPr="00BF320E">
              <w:rPr>
                <w:webHidden/>
              </w:rPr>
            </w:r>
            <w:r w:rsidR="00BF320E" w:rsidRPr="00BF320E">
              <w:rPr>
                <w:webHidden/>
              </w:rPr>
              <w:fldChar w:fldCharType="separate"/>
            </w:r>
            <w:r w:rsidR="00A172DC">
              <w:rPr>
                <w:webHidden/>
              </w:rPr>
              <w:t>48</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92" w:history="1">
            <w:r w:rsidR="00BF320E" w:rsidRPr="00BF320E">
              <w:rPr>
                <w:rStyle w:val="Hyperlink"/>
              </w:rPr>
              <w:t>Reviewer’s understanding of the matter to be reviewed</w:t>
            </w:r>
            <w:r w:rsidR="00BF320E" w:rsidRPr="00BF320E">
              <w:rPr>
                <w:webHidden/>
              </w:rPr>
              <w:tab/>
            </w:r>
            <w:r w:rsidR="00BF320E" w:rsidRPr="00BF320E">
              <w:rPr>
                <w:webHidden/>
              </w:rPr>
              <w:fldChar w:fldCharType="begin"/>
            </w:r>
            <w:r w:rsidR="00BF320E" w:rsidRPr="00BF320E">
              <w:rPr>
                <w:webHidden/>
              </w:rPr>
              <w:instrText xml:space="preserve"> PAGEREF _Toc356560792 \h </w:instrText>
            </w:r>
            <w:r w:rsidR="00BF320E" w:rsidRPr="00BF320E">
              <w:rPr>
                <w:webHidden/>
              </w:rPr>
            </w:r>
            <w:r w:rsidR="00BF320E" w:rsidRPr="00BF320E">
              <w:rPr>
                <w:webHidden/>
              </w:rPr>
              <w:fldChar w:fldCharType="separate"/>
            </w:r>
            <w:r w:rsidR="00A172DC">
              <w:rPr>
                <w:webHidden/>
              </w:rPr>
              <w:t>48</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793" w:history="1">
            <w:r w:rsidR="00BF320E" w:rsidRPr="00BF320E">
              <w:rPr>
                <w:rStyle w:val="Hyperlink"/>
              </w:rPr>
              <w:t>PBAC’s continuing concern that the listing of Vimovo® on the PBS could result in increased costs to the PBS</w:t>
            </w:r>
            <w:r w:rsidR="00BF320E" w:rsidRPr="00BF320E">
              <w:rPr>
                <w:webHidden/>
              </w:rPr>
              <w:tab/>
            </w:r>
            <w:r w:rsidR="00BF320E" w:rsidRPr="00BF320E">
              <w:rPr>
                <w:webHidden/>
              </w:rPr>
              <w:fldChar w:fldCharType="begin"/>
            </w:r>
            <w:r w:rsidR="00BF320E" w:rsidRPr="00BF320E">
              <w:rPr>
                <w:webHidden/>
              </w:rPr>
              <w:instrText xml:space="preserve"> PAGEREF _Toc356560793 \h </w:instrText>
            </w:r>
            <w:r w:rsidR="00BF320E" w:rsidRPr="00BF320E">
              <w:rPr>
                <w:webHidden/>
              </w:rPr>
            </w:r>
            <w:r w:rsidR="00BF320E" w:rsidRPr="00BF320E">
              <w:rPr>
                <w:webHidden/>
              </w:rPr>
              <w:fldChar w:fldCharType="separate"/>
            </w:r>
            <w:r w:rsidR="00A172DC">
              <w:rPr>
                <w:webHidden/>
              </w:rPr>
              <w:t>50</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94" w:history="1">
            <w:r w:rsidR="00BF320E" w:rsidRPr="00BF320E">
              <w:rPr>
                <w:rStyle w:val="Hyperlink"/>
                <w:noProof/>
                <w:sz w:val="20"/>
                <w:szCs w:val="20"/>
              </w:rPr>
              <w:t>Information presented to PBAC that demonstrated the likelihood of increased costs to the PBS?</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_Toc356560794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51</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95" w:history="1">
            <w:r w:rsidR="00BF320E" w:rsidRPr="00BF320E">
              <w:rPr>
                <w:rStyle w:val="Hyperlink"/>
                <w:noProof/>
                <w:sz w:val="20"/>
                <w:szCs w:val="20"/>
              </w:rPr>
              <w:t>Quantitative estimate of uncertainty</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_Toc356560795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52</w:t>
            </w:r>
            <w:r w:rsidR="00BF320E" w:rsidRPr="00BF320E">
              <w:rPr>
                <w:noProof/>
                <w:webHidden/>
                <w:sz w:val="20"/>
                <w:szCs w:val="20"/>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96"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_Toc356560796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52</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97" w:history="1">
            <w:r w:rsidR="00BF320E" w:rsidRPr="00BF320E">
              <w:rPr>
                <w:rStyle w:val="Hyperlink"/>
              </w:rPr>
              <w:t>Is PBAC required to apply The Guidelines [Part II, Section E  p 151 “Costs over five years” consistently?</w:t>
            </w:r>
            <w:r w:rsidR="00BF320E" w:rsidRPr="00BF320E">
              <w:rPr>
                <w:webHidden/>
              </w:rPr>
              <w:tab/>
            </w:r>
            <w:r w:rsidR="00BF320E" w:rsidRPr="00BF320E">
              <w:rPr>
                <w:webHidden/>
              </w:rPr>
              <w:fldChar w:fldCharType="begin"/>
            </w:r>
            <w:r w:rsidR="00BF320E" w:rsidRPr="00BF320E">
              <w:rPr>
                <w:webHidden/>
              </w:rPr>
              <w:instrText xml:space="preserve"> PAGEREF _Toc356560797 \h </w:instrText>
            </w:r>
            <w:r w:rsidR="00BF320E" w:rsidRPr="00BF320E">
              <w:rPr>
                <w:webHidden/>
              </w:rPr>
            </w:r>
            <w:r w:rsidR="00BF320E" w:rsidRPr="00BF320E">
              <w:rPr>
                <w:webHidden/>
              </w:rPr>
              <w:fldChar w:fldCharType="separate"/>
            </w:r>
            <w:r w:rsidR="00A172DC">
              <w:rPr>
                <w:webHidden/>
              </w:rPr>
              <w:t>53</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798"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_Toc356560798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53</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799" w:history="1">
            <w:r w:rsidR="00BF320E" w:rsidRPr="00BF320E">
              <w:rPr>
                <w:rStyle w:val="Hyperlink"/>
              </w:rPr>
              <w:t>Under which scenarios would Vimovo® would increase costs to the PBS?</w:t>
            </w:r>
            <w:r w:rsidR="00BF320E" w:rsidRPr="00BF320E">
              <w:rPr>
                <w:webHidden/>
              </w:rPr>
              <w:tab/>
            </w:r>
            <w:r w:rsidR="00BF320E" w:rsidRPr="00BF320E">
              <w:rPr>
                <w:webHidden/>
              </w:rPr>
              <w:fldChar w:fldCharType="begin"/>
            </w:r>
            <w:r w:rsidR="00BF320E" w:rsidRPr="00BF320E">
              <w:rPr>
                <w:webHidden/>
              </w:rPr>
              <w:instrText xml:space="preserve"> PAGEREF _Toc356560799 \h </w:instrText>
            </w:r>
            <w:r w:rsidR="00BF320E" w:rsidRPr="00BF320E">
              <w:rPr>
                <w:webHidden/>
              </w:rPr>
            </w:r>
            <w:r w:rsidR="00BF320E" w:rsidRPr="00BF320E">
              <w:rPr>
                <w:webHidden/>
              </w:rPr>
              <w:fldChar w:fldCharType="separate"/>
            </w:r>
            <w:r w:rsidR="00A172DC">
              <w:rPr>
                <w:webHidden/>
              </w:rPr>
              <w:t>54</w:t>
            </w:r>
            <w:r w:rsidR="00BF320E" w:rsidRPr="00BF320E">
              <w:rPr>
                <w:webHidden/>
              </w:rPr>
              <w:fldChar w:fldCharType="end"/>
            </w:r>
          </w:hyperlink>
        </w:p>
        <w:p w:rsidR="00BF320E" w:rsidRPr="00BF320E" w:rsidRDefault="00CD7B03" w:rsidP="00BF320E">
          <w:pPr>
            <w:pStyle w:val="TOC2"/>
            <w:tabs>
              <w:tab w:val="right" w:leader="dot" w:pos="9017"/>
            </w:tabs>
            <w:spacing w:line="240" w:lineRule="auto"/>
            <w:rPr>
              <w:rFonts w:eastAsiaTheme="minorEastAsia"/>
              <w:noProof/>
              <w:sz w:val="20"/>
              <w:szCs w:val="20"/>
              <w:lang w:eastAsia="en-AU"/>
            </w:rPr>
          </w:pPr>
          <w:hyperlink w:anchor="_Toc356560800" w:history="1">
            <w:r w:rsidR="00BF320E" w:rsidRPr="00BF320E">
              <w:rPr>
                <w:rStyle w:val="Hyperlink"/>
                <w:noProof/>
                <w:sz w:val="20"/>
                <w:szCs w:val="20"/>
              </w:rPr>
              <w:t>Conclusion</w:t>
            </w:r>
            <w:r w:rsidR="00BF320E" w:rsidRPr="00BF320E">
              <w:rPr>
                <w:noProof/>
                <w:webHidden/>
                <w:sz w:val="20"/>
                <w:szCs w:val="20"/>
              </w:rPr>
              <w:tab/>
            </w:r>
            <w:r w:rsidR="00BF320E" w:rsidRPr="00BF320E">
              <w:rPr>
                <w:noProof/>
                <w:webHidden/>
                <w:sz w:val="20"/>
                <w:szCs w:val="20"/>
              </w:rPr>
              <w:fldChar w:fldCharType="begin"/>
            </w:r>
            <w:r w:rsidR="00BF320E" w:rsidRPr="00BF320E">
              <w:rPr>
                <w:noProof/>
                <w:webHidden/>
                <w:sz w:val="20"/>
                <w:szCs w:val="20"/>
              </w:rPr>
              <w:instrText xml:space="preserve"> PAGEREF _Toc356560800 \h </w:instrText>
            </w:r>
            <w:r w:rsidR="00BF320E" w:rsidRPr="00BF320E">
              <w:rPr>
                <w:noProof/>
                <w:webHidden/>
                <w:sz w:val="20"/>
                <w:szCs w:val="20"/>
              </w:rPr>
            </w:r>
            <w:r w:rsidR="00BF320E" w:rsidRPr="00BF320E">
              <w:rPr>
                <w:noProof/>
                <w:webHidden/>
                <w:sz w:val="20"/>
                <w:szCs w:val="20"/>
              </w:rPr>
              <w:fldChar w:fldCharType="separate"/>
            </w:r>
            <w:r w:rsidR="00A172DC">
              <w:rPr>
                <w:noProof/>
                <w:webHidden/>
                <w:sz w:val="20"/>
                <w:szCs w:val="20"/>
              </w:rPr>
              <w:t>61</w:t>
            </w:r>
            <w:r w:rsidR="00BF320E" w:rsidRPr="00BF320E">
              <w:rPr>
                <w:noProof/>
                <w:webHidden/>
                <w:sz w:val="20"/>
                <w:szCs w:val="20"/>
              </w:rPr>
              <w:fldChar w:fldCharType="end"/>
            </w:r>
          </w:hyperlink>
        </w:p>
        <w:p w:rsidR="00BF320E" w:rsidRPr="00BF320E" w:rsidRDefault="00CD7B03" w:rsidP="007B5049">
          <w:pPr>
            <w:pStyle w:val="TOC1"/>
            <w:rPr>
              <w:rFonts w:eastAsiaTheme="minorEastAsia"/>
              <w:lang w:eastAsia="en-AU"/>
            </w:rPr>
          </w:pPr>
          <w:hyperlink w:anchor="_Toc356560801" w:history="1">
            <w:r w:rsidR="00BF320E" w:rsidRPr="00BF320E">
              <w:rPr>
                <w:rStyle w:val="Hyperlink"/>
              </w:rPr>
              <w:t>Reviewers summary of findings on this aspect of the Review</w:t>
            </w:r>
            <w:r w:rsidR="00BF320E" w:rsidRPr="00BF320E">
              <w:rPr>
                <w:webHidden/>
              </w:rPr>
              <w:tab/>
            </w:r>
            <w:r w:rsidR="00BF320E" w:rsidRPr="00BF320E">
              <w:rPr>
                <w:webHidden/>
              </w:rPr>
              <w:fldChar w:fldCharType="begin"/>
            </w:r>
            <w:r w:rsidR="00BF320E" w:rsidRPr="00BF320E">
              <w:rPr>
                <w:webHidden/>
              </w:rPr>
              <w:instrText xml:space="preserve"> PAGEREF _Toc356560801 \h </w:instrText>
            </w:r>
            <w:r w:rsidR="00BF320E" w:rsidRPr="00BF320E">
              <w:rPr>
                <w:webHidden/>
              </w:rPr>
            </w:r>
            <w:r w:rsidR="00BF320E" w:rsidRPr="00BF320E">
              <w:rPr>
                <w:webHidden/>
              </w:rPr>
              <w:fldChar w:fldCharType="separate"/>
            </w:r>
            <w:r w:rsidR="00A172DC">
              <w:rPr>
                <w:webHidden/>
              </w:rPr>
              <w:t>62</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802" w:history="1">
            <w:r w:rsidR="00BF320E" w:rsidRPr="00BF320E">
              <w:rPr>
                <w:rStyle w:val="Hyperlink"/>
              </w:rPr>
              <w:t>Annexure 1:  Material used in preparing the report</w:t>
            </w:r>
            <w:r w:rsidR="00BF320E" w:rsidRPr="00BF320E">
              <w:rPr>
                <w:webHidden/>
              </w:rPr>
              <w:tab/>
            </w:r>
            <w:r w:rsidR="00BF320E" w:rsidRPr="00BF320E">
              <w:rPr>
                <w:webHidden/>
              </w:rPr>
              <w:fldChar w:fldCharType="begin"/>
            </w:r>
            <w:r w:rsidR="00BF320E" w:rsidRPr="00BF320E">
              <w:rPr>
                <w:webHidden/>
              </w:rPr>
              <w:instrText xml:space="preserve"> PAGEREF _Toc356560802 \h </w:instrText>
            </w:r>
            <w:r w:rsidR="00BF320E" w:rsidRPr="00BF320E">
              <w:rPr>
                <w:webHidden/>
              </w:rPr>
            </w:r>
            <w:r w:rsidR="00BF320E" w:rsidRPr="00BF320E">
              <w:rPr>
                <w:webHidden/>
              </w:rPr>
              <w:fldChar w:fldCharType="separate"/>
            </w:r>
            <w:r w:rsidR="00A172DC">
              <w:rPr>
                <w:webHidden/>
              </w:rPr>
              <w:t>63</w:t>
            </w:r>
            <w:r w:rsidR="00BF320E" w:rsidRPr="00BF320E">
              <w:rPr>
                <w:webHidden/>
              </w:rPr>
              <w:fldChar w:fldCharType="end"/>
            </w:r>
          </w:hyperlink>
        </w:p>
        <w:p w:rsidR="00BF320E" w:rsidRPr="007B5049" w:rsidRDefault="00BF320E" w:rsidP="007B5049">
          <w:pPr>
            <w:pStyle w:val="TOC1"/>
            <w:rPr>
              <w:rStyle w:val="Hyperlink"/>
              <w:color w:val="auto"/>
            </w:rPr>
          </w:pPr>
        </w:p>
        <w:p w:rsidR="00BF320E" w:rsidRPr="00BF320E" w:rsidRDefault="00CD7B03" w:rsidP="007B5049">
          <w:pPr>
            <w:pStyle w:val="TOC1"/>
            <w:rPr>
              <w:rFonts w:eastAsiaTheme="minorEastAsia"/>
              <w:lang w:eastAsia="en-AU"/>
            </w:rPr>
          </w:pPr>
          <w:hyperlink w:anchor="_Toc356560803" w:history="1">
            <w:r w:rsidR="00BF320E" w:rsidRPr="00BF320E">
              <w:rPr>
                <w:rStyle w:val="Hyperlink"/>
              </w:rPr>
              <w:t>Attachment 4</w:t>
            </w:r>
            <w:r w:rsidR="00BF320E" w:rsidRPr="00BF320E">
              <w:rPr>
                <w:webHidden/>
              </w:rPr>
              <w:tab/>
            </w:r>
            <w:r w:rsidR="00BF320E" w:rsidRPr="00BF320E">
              <w:rPr>
                <w:webHidden/>
              </w:rPr>
              <w:fldChar w:fldCharType="begin"/>
            </w:r>
            <w:r w:rsidR="00BF320E" w:rsidRPr="00BF320E">
              <w:rPr>
                <w:webHidden/>
              </w:rPr>
              <w:instrText xml:space="preserve"> PAGEREF _Toc356560803 \h </w:instrText>
            </w:r>
            <w:r w:rsidR="00BF320E" w:rsidRPr="00BF320E">
              <w:rPr>
                <w:webHidden/>
              </w:rPr>
            </w:r>
            <w:r w:rsidR="00BF320E" w:rsidRPr="00BF320E">
              <w:rPr>
                <w:webHidden/>
              </w:rPr>
              <w:fldChar w:fldCharType="separate"/>
            </w:r>
            <w:r w:rsidR="00A172DC">
              <w:rPr>
                <w:webHidden/>
              </w:rPr>
              <w:t>64</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804" w:history="1">
            <w:r w:rsidR="00BF320E" w:rsidRPr="00BF320E">
              <w:rPr>
                <w:rStyle w:val="Hyperlink"/>
              </w:rPr>
              <w:t>DOCUMENTS USED IN THE REVIEW</w:t>
            </w:r>
            <w:r w:rsidR="00BF320E" w:rsidRPr="00BF320E">
              <w:rPr>
                <w:webHidden/>
              </w:rPr>
              <w:tab/>
            </w:r>
            <w:r w:rsidR="00BF320E" w:rsidRPr="00BF320E">
              <w:rPr>
                <w:webHidden/>
              </w:rPr>
              <w:fldChar w:fldCharType="begin"/>
            </w:r>
            <w:r w:rsidR="00BF320E" w:rsidRPr="00BF320E">
              <w:rPr>
                <w:webHidden/>
              </w:rPr>
              <w:instrText xml:space="preserve"> PAGEREF _Toc356560804 \h </w:instrText>
            </w:r>
            <w:r w:rsidR="00BF320E" w:rsidRPr="00BF320E">
              <w:rPr>
                <w:webHidden/>
              </w:rPr>
            </w:r>
            <w:r w:rsidR="00BF320E" w:rsidRPr="00BF320E">
              <w:rPr>
                <w:webHidden/>
              </w:rPr>
              <w:fldChar w:fldCharType="separate"/>
            </w:r>
            <w:r w:rsidR="00A172DC">
              <w:rPr>
                <w:webHidden/>
              </w:rPr>
              <w:t>64</w:t>
            </w:r>
            <w:r w:rsidR="00BF320E" w:rsidRPr="00BF320E">
              <w:rPr>
                <w:webHidden/>
              </w:rPr>
              <w:fldChar w:fldCharType="end"/>
            </w:r>
          </w:hyperlink>
        </w:p>
        <w:p w:rsidR="00BF320E" w:rsidRPr="007B5049" w:rsidRDefault="00BF320E" w:rsidP="007B5049">
          <w:pPr>
            <w:pStyle w:val="TOC1"/>
            <w:rPr>
              <w:rStyle w:val="Hyperlink"/>
              <w:color w:val="auto"/>
            </w:rPr>
          </w:pPr>
        </w:p>
        <w:p w:rsidR="00BF320E" w:rsidRPr="00BF320E" w:rsidRDefault="00CD7B03" w:rsidP="007B5049">
          <w:pPr>
            <w:pStyle w:val="TOC1"/>
            <w:rPr>
              <w:rFonts w:eastAsiaTheme="minorEastAsia"/>
              <w:lang w:eastAsia="en-AU"/>
            </w:rPr>
          </w:pPr>
          <w:hyperlink w:anchor="_Toc356560805" w:history="1">
            <w:r w:rsidR="00BF320E" w:rsidRPr="00BF320E">
              <w:rPr>
                <w:rStyle w:val="Hyperlink"/>
              </w:rPr>
              <w:t>Attachment 5</w:t>
            </w:r>
            <w:r w:rsidR="00BF320E" w:rsidRPr="00BF320E">
              <w:rPr>
                <w:webHidden/>
              </w:rPr>
              <w:tab/>
            </w:r>
            <w:r w:rsidR="00BF320E" w:rsidRPr="00BF320E">
              <w:rPr>
                <w:webHidden/>
              </w:rPr>
              <w:fldChar w:fldCharType="begin"/>
            </w:r>
            <w:r w:rsidR="00BF320E" w:rsidRPr="00BF320E">
              <w:rPr>
                <w:webHidden/>
              </w:rPr>
              <w:instrText xml:space="preserve"> PAGEREF _Toc356560805 \h </w:instrText>
            </w:r>
            <w:r w:rsidR="00BF320E" w:rsidRPr="00BF320E">
              <w:rPr>
                <w:webHidden/>
              </w:rPr>
            </w:r>
            <w:r w:rsidR="00BF320E" w:rsidRPr="00BF320E">
              <w:rPr>
                <w:webHidden/>
              </w:rPr>
              <w:fldChar w:fldCharType="separate"/>
            </w:r>
            <w:r w:rsidR="00A172DC">
              <w:rPr>
                <w:webHidden/>
              </w:rPr>
              <w:t>69</w:t>
            </w:r>
            <w:r w:rsidR="00BF320E" w:rsidRPr="00BF320E">
              <w:rPr>
                <w:webHidden/>
              </w:rPr>
              <w:fldChar w:fldCharType="end"/>
            </w:r>
          </w:hyperlink>
        </w:p>
        <w:p w:rsidR="00BF320E" w:rsidRPr="00BF320E" w:rsidRDefault="00CD7B03" w:rsidP="007B5049">
          <w:pPr>
            <w:pStyle w:val="TOC1"/>
            <w:rPr>
              <w:rFonts w:eastAsiaTheme="minorEastAsia"/>
              <w:lang w:eastAsia="en-AU"/>
            </w:rPr>
          </w:pPr>
          <w:hyperlink w:anchor="_Toc356560806" w:history="1">
            <w:r w:rsidR="00BF320E" w:rsidRPr="00BF320E">
              <w:rPr>
                <w:rStyle w:val="Hyperlink"/>
              </w:rPr>
              <w:t>INDEPENDENT REVIEW REQUEST FROM ASTRAZENECA PTY LTD</w:t>
            </w:r>
            <w:r w:rsidR="00BF320E" w:rsidRPr="00BF320E">
              <w:rPr>
                <w:webHidden/>
              </w:rPr>
              <w:tab/>
            </w:r>
            <w:r w:rsidR="00BF320E" w:rsidRPr="00BF320E">
              <w:rPr>
                <w:webHidden/>
              </w:rPr>
              <w:fldChar w:fldCharType="begin"/>
            </w:r>
            <w:r w:rsidR="00BF320E" w:rsidRPr="00BF320E">
              <w:rPr>
                <w:webHidden/>
              </w:rPr>
              <w:instrText xml:space="preserve"> PAGEREF _Toc356560806 \h </w:instrText>
            </w:r>
            <w:r w:rsidR="00BF320E" w:rsidRPr="00BF320E">
              <w:rPr>
                <w:webHidden/>
              </w:rPr>
            </w:r>
            <w:r w:rsidR="00BF320E" w:rsidRPr="00BF320E">
              <w:rPr>
                <w:webHidden/>
              </w:rPr>
              <w:fldChar w:fldCharType="separate"/>
            </w:r>
            <w:r w:rsidR="00A172DC">
              <w:rPr>
                <w:webHidden/>
              </w:rPr>
              <w:t>69</w:t>
            </w:r>
            <w:r w:rsidR="00BF320E" w:rsidRPr="00BF320E">
              <w:rPr>
                <w:webHidden/>
              </w:rPr>
              <w:fldChar w:fldCharType="end"/>
            </w:r>
          </w:hyperlink>
        </w:p>
        <w:p w:rsidR="003046B2" w:rsidRPr="006002F9" w:rsidRDefault="00373465" w:rsidP="0095668C">
          <w:pPr>
            <w:spacing w:after="0" w:line="240" w:lineRule="auto"/>
            <w:rPr>
              <w:rFonts w:cstheme="minorHAnsi"/>
              <w:sz w:val="20"/>
              <w:szCs w:val="20"/>
            </w:rPr>
          </w:pPr>
          <w:r w:rsidRPr="0095668C">
            <w:rPr>
              <w:rFonts w:cstheme="minorHAnsi"/>
              <w:b/>
              <w:bCs/>
              <w:noProof/>
              <w:sz w:val="20"/>
              <w:szCs w:val="20"/>
            </w:rPr>
            <w:fldChar w:fldCharType="end"/>
          </w:r>
        </w:p>
      </w:sdtContent>
    </w:sdt>
    <w:p w:rsidR="00C55166" w:rsidRDefault="00C55166" w:rsidP="000F4663">
      <w:pPr>
        <w:pStyle w:val="Heading1"/>
        <w:rPr>
          <w:rFonts w:cs="Times New Roman"/>
          <w:b w:val="0"/>
          <w:bCs w:val="0"/>
          <w:szCs w:val="24"/>
        </w:rPr>
        <w:sectPr w:rsidR="00C55166" w:rsidSect="00F5523F">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pPr>
    </w:p>
    <w:p w:rsidR="003046B2" w:rsidRDefault="00D458AC" w:rsidP="000F4663">
      <w:pPr>
        <w:pStyle w:val="Heading1"/>
      </w:pPr>
      <w:bookmarkStart w:id="1" w:name="_Toc229650941"/>
      <w:bookmarkStart w:id="2" w:name="_Toc356560726"/>
      <w:r>
        <w:lastRenderedPageBreak/>
        <w:t>REQUESTED LISTING</w:t>
      </w:r>
      <w:bookmarkEnd w:id="1"/>
      <w:bookmarkEnd w:id="2"/>
    </w:p>
    <w:p w:rsidR="003046B2" w:rsidRDefault="003046B2" w:rsidP="003046B2"/>
    <w:tbl>
      <w:tblPr>
        <w:tblStyle w:val="TableGrid"/>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Description w:val="Requested listing - Naproxen with esomeprazole"/>
      </w:tblPr>
      <w:tblGrid>
        <w:gridCol w:w="2034"/>
        <w:gridCol w:w="2316"/>
        <w:gridCol w:w="1813"/>
        <w:gridCol w:w="3190"/>
      </w:tblGrid>
      <w:tr w:rsidR="00372262" w:rsidRPr="000F4663" w:rsidTr="003F3694">
        <w:trPr>
          <w:tblHeader/>
          <w:tblCellSpacing w:w="20" w:type="dxa"/>
        </w:trPr>
        <w:tc>
          <w:tcPr>
            <w:tcW w:w="2513" w:type="dxa"/>
            <w:shd w:val="clear" w:color="auto" w:fill="BFBFBF" w:themeFill="background1" w:themeFillShade="BF"/>
          </w:tcPr>
          <w:p w:rsidR="00372262" w:rsidRPr="000F4663" w:rsidRDefault="00372262" w:rsidP="0058580E">
            <w:pPr>
              <w:rPr>
                <w:b/>
              </w:rPr>
            </w:pPr>
            <w:r w:rsidRPr="000F4663">
              <w:rPr>
                <w:b/>
              </w:rPr>
              <w:t>Submission type</w:t>
            </w:r>
          </w:p>
          <w:p w:rsidR="00372262" w:rsidRPr="000F4663" w:rsidRDefault="00372262" w:rsidP="0058580E">
            <w:pPr>
              <w:rPr>
                <w:b/>
              </w:rPr>
            </w:pPr>
            <w:r w:rsidRPr="000F4663">
              <w:rPr>
                <w:b/>
                <w:i/>
                <w:iCs/>
              </w:rPr>
              <w:t>(new drug application, changes to listings, resubmissions)</w:t>
            </w:r>
          </w:p>
        </w:tc>
        <w:tc>
          <w:tcPr>
            <w:tcW w:w="3079" w:type="dxa"/>
            <w:shd w:val="clear" w:color="auto" w:fill="BFBFBF" w:themeFill="background1" w:themeFillShade="BF"/>
          </w:tcPr>
          <w:p w:rsidR="00372262" w:rsidRPr="000F4663" w:rsidRDefault="00372262" w:rsidP="0058580E">
            <w:pPr>
              <w:rPr>
                <w:b/>
              </w:rPr>
            </w:pPr>
            <w:r w:rsidRPr="000F4663">
              <w:rPr>
                <w:b/>
              </w:rPr>
              <w:t xml:space="preserve">Drug Name, form(s), strength(s) and </w:t>
            </w:r>
            <w:r>
              <w:rPr>
                <w:b/>
              </w:rPr>
              <w:t>Sponsor</w:t>
            </w:r>
          </w:p>
          <w:p w:rsidR="00372262" w:rsidRPr="000F4663" w:rsidRDefault="00372262" w:rsidP="0058580E">
            <w:pPr>
              <w:rPr>
                <w:b/>
              </w:rPr>
            </w:pPr>
            <w:r w:rsidRPr="000F4663">
              <w:rPr>
                <w:b/>
                <w:i/>
                <w:iCs/>
              </w:rPr>
              <w:t xml:space="preserve">(Drug name, form, strength, Trade name®, </w:t>
            </w:r>
            <w:r>
              <w:rPr>
                <w:b/>
                <w:i/>
                <w:iCs/>
              </w:rPr>
              <w:t>Sponsor</w:t>
            </w:r>
            <w:r w:rsidRPr="000F4663">
              <w:rPr>
                <w:b/>
                <w:i/>
                <w:iCs/>
              </w:rPr>
              <w:t>)</w:t>
            </w:r>
          </w:p>
        </w:tc>
        <w:tc>
          <w:tcPr>
            <w:tcW w:w="2086" w:type="dxa"/>
            <w:shd w:val="clear" w:color="auto" w:fill="BFBFBF" w:themeFill="background1" w:themeFillShade="BF"/>
          </w:tcPr>
          <w:p w:rsidR="00372262" w:rsidRPr="000F4663" w:rsidRDefault="00372262" w:rsidP="0058580E">
            <w:pPr>
              <w:rPr>
                <w:b/>
              </w:rPr>
            </w:pPr>
            <w:r w:rsidRPr="000F4663">
              <w:rPr>
                <w:b/>
              </w:rPr>
              <w:t>Drug Type and Use</w:t>
            </w:r>
          </w:p>
          <w:p w:rsidR="00372262" w:rsidRPr="000F4663" w:rsidRDefault="00372262" w:rsidP="0058580E">
            <w:pPr>
              <w:rPr>
                <w:b/>
              </w:rPr>
            </w:pPr>
            <w:r w:rsidRPr="000F4663">
              <w:rPr>
                <w:b/>
                <w:i/>
                <w:iCs/>
              </w:rPr>
              <w:t>(What is the drug used to treat?)</w:t>
            </w:r>
          </w:p>
        </w:tc>
        <w:tc>
          <w:tcPr>
            <w:tcW w:w="6319" w:type="dxa"/>
            <w:shd w:val="clear" w:color="auto" w:fill="BFBFBF" w:themeFill="background1" w:themeFillShade="BF"/>
          </w:tcPr>
          <w:p w:rsidR="00372262" w:rsidRPr="000F4663" w:rsidRDefault="00372262" w:rsidP="0058580E">
            <w:pPr>
              <w:rPr>
                <w:b/>
              </w:rPr>
            </w:pPr>
            <w:r w:rsidRPr="000F4663">
              <w:rPr>
                <w:b/>
              </w:rPr>
              <w:t>Purpose of Submission</w:t>
            </w:r>
          </w:p>
        </w:tc>
      </w:tr>
      <w:tr w:rsidR="00372262" w:rsidTr="0058580E">
        <w:trPr>
          <w:tblCellSpacing w:w="20" w:type="dxa"/>
        </w:trPr>
        <w:tc>
          <w:tcPr>
            <w:tcW w:w="2513" w:type="dxa"/>
          </w:tcPr>
          <w:p w:rsidR="00372262" w:rsidRDefault="00372262" w:rsidP="0058580E"/>
          <w:p w:rsidR="00372262" w:rsidRDefault="00372262" w:rsidP="0058580E">
            <w:r>
              <w:t>Review</w:t>
            </w:r>
          </w:p>
        </w:tc>
        <w:tc>
          <w:tcPr>
            <w:tcW w:w="3079" w:type="dxa"/>
          </w:tcPr>
          <w:p w:rsidR="00372262" w:rsidRDefault="00372262" w:rsidP="0058580E"/>
          <w:p w:rsidR="00372262" w:rsidRDefault="00372262" w:rsidP="0058580E">
            <w:r>
              <w:t xml:space="preserve">NAPROXEN with ESOMEPRAZOLE, tablet, 500 mg – 20 mg (as magnesium trihydrate), </w:t>
            </w:r>
            <w:r w:rsidR="004B2048">
              <w:t>Vimovo</w:t>
            </w:r>
            <w:r>
              <w:t>®, AstraZeneca Pty Ltd</w:t>
            </w:r>
          </w:p>
          <w:p w:rsidR="00372262" w:rsidRDefault="00372262" w:rsidP="0058580E"/>
        </w:tc>
        <w:tc>
          <w:tcPr>
            <w:tcW w:w="2086" w:type="dxa"/>
          </w:tcPr>
          <w:p w:rsidR="00372262" w:rsidRDefault="00372262" w:rsidP="0058580E"/>
          <w:p w:rsidR="00372262" w:rsidRDefault="00372262" w:rsidP="0058580E">
            <w:r>
              <w:t>Symptomatic treatment of osteoarthritis, rheumatoid arthritis or ankylosing spondylitis</w:t>
            </w:r>
          </w:p>
          <w:p w:rsidR="00372262" w:rsidRDefault="00372262" w:rsidP="0058580E"/>
        </w:tc>
        <w:tc>
          <w:tcPr>
            <w:tcW w:w="6319" w:type="dxa"/>
          </w:tcPr>
          <w:p w:rsidR="00372262" w:rsidRDefault="00372262" w:rsidP="0058580E"/>
          <w:p w:rsidR="00372262" w:rsidRDefault="00372262" w:rsidP="0058580E">
            <w:r>
              <w:t>Report on the Independent Review for naproxen with esomeprazole for the symptomatic treatment of osteoarthritis, rheumatoid arthritis or ankylosing spondylitis.</w:t>
            </w:r>
          </w:p>
        </w:tc>
      </w:tr>
    </w:tbl>
    <w:p w:rsidR="002A5C7C" w:rsidRDefault="002A5C7C" w:rsidP="003046B2"/>
    <w:p w:rsidR="00372262" w:rsidRDefault="00372262" w:rsidP="003046B2"/>
    <w:p w:rsidR="00372262" w:rsidRDefault="00372262" w:rsidP="003046B2"/>
    <w:tbl>
      <w:tblPr>
        <w:tblStyle w:val="TableGrid"/>
        <w:tblW w:w="0" w:type="auto"/>
        <w:tblLook w:val="04A0" w:firstRow="1" w:lastRow="0" w:firstColumn="1" w:lastColumn="0" w:noHBand="0" w:noVBand="1"/>
        <w:tblDescription w:val="Naproxen with esomeprazole listing"/>
      </w:tblPr>
      <w:tblGrid>
        <w:gridCol w:w="2093"/>
        <w:gridCol w:w="7149"/>
      </w:tblGrid>
      <w:tr w:rsidR="003046B2" w:rsidTr="003F3694">
        <w:trPr>
          <w:tblHeader/>
        </w:trPr>
        <w:tc>
          <w:tcPr>
            <w:tcW w:w="2093" w:type="dxa"/>
          </w:tcPr>
          <w:p w:rsidR="003046B2" w:rsidRPr="000F4663" w:rsidRDefault="003046B2" w:rsidP="002A5C7C">
            <w:pPr>
              <w:rPr>
                <w:b/>
              </w:rPr>
            </w:pPr>
            <w:r w:rsidRPr="000F4663">
              <w:rPr>
                <w:b/>
              </w:rPr>
              <w:t>Name</w:t>
            </w:r>
          </w:p>
        </w:tc>
        <w:tc>
          <w:tcPr>
            <w:tcW w:w="7149" w:type="dxa"/>
          </w:tcPr>
          <w:p w:rsidR="003046B2" w:rsidRDefault="002A5C7C" w:rsidP="002A5C7C">
            <w:r>
              <w:t>Naproxen with esomeprazole magnesium trihydrate</w:t>
            </w:r>
          </w:p>
        </w:tc>
      </w:tr>
      <w:tr w:rsidR="003046B2" w:rsidTr="000F4663">
        <w:tc>
          <w:tcPr>
            <w:tcW w:w="2093" w:type="dxa"/>
          </w:tcPr>
          <w:p w:rsidR="003046B2" w:rsidRPr="000F4663" w:rsidRDefault="003046B2" w:rsidP="002A5C7C">
            <w:pPr>
              <w:rPr>
                <w:b/>
              </w:rPr>
            </w:pPr>
            <w:r w:rsidRPr="000F4663">
              <w:rPr>
                <w:b/>
              </w:rPr>
              <w:t>Restriction</w:t>
            </w:r>
          </w:p>
        </w:tc>
        <w:tc>
          <w:tcPr>
            <w:tcW w:w="7149" w:type="dxa"/>
          </w:tcPr>
          <w:p w:rsidR="003046B2" w:rsidRDefault="002A5C7C" w:rsidP="002A5C7C">
            <w:r>
              <w:t>N/A</w:t>
            </w:r>
          </w:p>
        </w:tc>
      </w:tr>
      <w:tr w:rsidR="002A5C7C" w:rsidTr="002A5C7C">
        <w:tc>
          <w:tcPr>
            <w:tcW w:w="2093" w:type="dxa"/>
          </w:tcPr>
          <w:p w:rsidR="002A5C7C" w:rsidRPr="000F4663" w:rsidRDefault="002A5C7C" w:rsidP="002A5C7C">
            <w:pPr>
              <w:rPr>
                <w:b/>
              </w:rPr>
            </w:pPr>
            <w:r w:rsidRPr="000F4663">
              <w:rPr>
                <w:b/>
              </w:rPr>
              <w:t>Strength</w:t>
            </w:r>
          </w:p>
        </w:tc>
        <w:tc>
          <w:tcPr>
            <w:tcW w:w="7149" w:type="dxa"/>
          </w:tcPr>
          <w:p w:rsidR="002A5C7C" w:rsidRDefault="002A5C7C" w:rsidP="002A5C7C">
            <w:r>
              <w:t>500</w:t>
            </w:r>
            <w:r w:rsidR="00D60CC5">
              <w:t>mg</w:t>
            </w:r>
            <w:r>
              <w:t>/20</w:t>
            </w:r>
            <w:r w:rsidR="00D60CC5">
              <w:t>mg</w:t>
            </w:r>
          </w:p>
        </w:tc>
      </w:tr>
      <w:tr w:rsidR="003046B2" w:rsidTr="000F4663">
        <w:tc>
          <w:tcPr>
            <w:tcW w:w="2093" w:type="dxa"/>
          </w:tcPr>
          <w:p w:rsidR="003046B2" w:rsidRPr="000F4663" w:rsidRDefault="002A5C7C" w:rsidP="002A5C7C">
            <w:pPr>
              <w:rPr>
                <w:b/>
              </w:rPr>
            </w:pPr>
            <w:r w:rsidRPr="000F4663">
              <w:rPr>
                <w:b/>
              </w:rPr>
              <w:t>Maximum quantity</w:t>
            </w:r>
          </w:p>
        </w:tc>
        <w:tc>
          <w:tcPr>
            <w:tcW w:w="7149" w:type="dxa"/>
          </w:tcPr>
          <w:p w:rsidR="003046B2" w:rsidRDefault="002A5C7C" w:rsidP="002A5C7C">
            <w:r>
              <w:t>60</w:t>
            </w:r>
          </w:p>
        </w:tc>
      </w:tr>
      <w:tr w:rsidR="003046B2" w:rsidTr="000F4663">
        <w:tc>
          <w:tcPr>
            <w:tcW w:w="2093" w:type="dxa"/>
          </w:tcPr>
          <w:p w:rsidR="003046B2" w:rsidRPr="000F4663" w:rsidRDefault="002A5C7C" w:rsidP="002A5C7C">
            <w:pPr>
              <w:rPr>
                <w:b/>
              </w:rPr>
            </w:pPr>
            <w:r w:rsidRPr="000F4663">
              <w:rPr>
                <w:b/>
              </w:rPr>
              <w:t>No. of repeats</w:t>
            </w:r>
          </w:p>
        </w:tc>
        <w:tc>
          <w:tcPr>
            <w:tcW w:w="7149" w:type="dxa"/>
          </w:tcPr>
          <w:p w:rsidR="003046B2" w:rsidRDefault="002A5C7C" w:rsidP="002A5C7C">
            <w:r>
              <w:t>3</w:t>
            </w:r>
          </w:p>
        </w:tc>
      </w:tr>
      <w:tr w:rsidR="002A5C7C" w:rsidTr="003046B2">
        <w:tc>
          <w:tcPr>
            <w:tcW w:w="2093" w:type="dxa"/>
          </w:tcPr>
          <w:p w:rsidR="002A5C7C" w:rsidRPr="000F4663" w:rsidRDefault="002A5C7C" w:rsidP="002A5C7C">
            <w:pPr>
              <w:rPr>
                <w:b/>
              </w:rPr>
            </w:pPr>
            <w:r w:rsidRPr="000F4663">
              <w:rPr>
                <w:b/>
              </w:rPr>
              <w:t>Dispensed price for maximum quantity (DPMQ)</w:t>
            </w:r>
          </w:p>
        </w:tc>
        <w:tc>
          <w:tcPr>
            <w:tcW w:w="7149" w:type="dxa"/>
          </w:tcPr>
          <w:p w:rsidR="002A5C7C" w:rsidRDefault="00FF7C84" w:rsidP="002A5C7C">
            <w:r>
              <w:t>$28.77</w:t>
            </w:r>
          </w:p>
        </w:tc>
      </w:tr>
      <w:tr w:rsidR="002A5C7C" w:rsidTr="003046B2">
        <w:tc>
          <w:tcPr>
            <w:tcW w:w="2093" w:type="dxa"/>
          </w:tcPr>
          <w:p w:rsidR="002A5C7C" w:rsidRPr="000F4663" w:rsidRDefault="002A5C7C" w:rsidP="002A5C7C">
            <w:pPr>
              <w:rPr>
                <w:b/>
              </w:rPr>
            </w:pPr>
            <w:r w:rsidRPr="000F4663">
              <w:rPr>
                <w:b/>
              </w:rPr>
              <w:t>Proprietary name</w:t>
            </w:r>
          </w:p>
        </w:tc>
        <w:tc>
          <w:tcPr>
            <w:tcW w:w="7149" w:type="dxa"/>
          </w:tcPr>
          <w:p w:rsidR="002A5C7C" w:rsidRDefault="004B2048" w:rsidP="002A5C7C">
            <w:r>
              <w:t>Vimovo®</w:t>
            </w:r>
          </w:p>
        </w:tc>
      </w:tr>
      <w:tr w:rsidR="002A5C7C" w:rsidTr="003046B2">
        <w:tc>
          <w:tcPr>
            <w:tcW w:w="2093" w:type="dxa"/>
          </w:tcPr>
          <w:p w:rsidR="002A5C7C" w:rsidRPr="000F4663" w:rsidRDefault="002A5C7C" w:rsidP="002A5C7C">
            <w:pPr>
              <w:rPr>
                <w:b/>
              </w:rPr>
            </w:pPr>
            <w:r w:rsidRPr="000F4663">
              <w:rPr>
                <w:b/>
              </w:rPr>
              <w:t>Manufacturer</w:t>
            </w:r>
          </w:p>
        </w:tc>
        <w:tc>
          <w:tcPr>
            <w:tcW w:w="7149" w:type="dxa"/>
          </w:tcPr>
          <w:p w:rsidR="002A5C7C" w:rsidRDefault="002A5C7C" w:rsidP="002A5C7C">
            <w:r>
              <w:t>AstraZeneca Pty Ltd</w:t>
            </w:r>
          </w:p>
        </w:tc>
      </w:tr>
      <w:tr w:rsidR="002A5C7C" w:rsidTr="003046B2">
        <w:tc>
          <w:tcPr>
            <w:tcW w:w="2093" w:type="dxa"/>
          </w:tcPr>
          <w:p w:rsidR="002A5C7C" w:rsidRPr="000F4663" w:rsidRDefault="002A5C7C" w:rsidP="002A5C7C">
            <w:pPr>
              <w:rPr>
                <w:b/>
              </w:rPr>
            </w:pPr>
          </w:p>
        </w:tc>
        <w:tc>
          <w:tcPr>
            <w:tcW w:w="7149" w:type="dxa"/>
          </w:tcPr>
          <w:p w:rsidR="002A5C7C" w:rsidRDefault="002A5C7C" w:rsidP="002A5C7C"/>
        </w:tc>
      </w:tr>
      <w:tr w:rsidR="002A5C7C" w:rsidTr="003046B2">
        <w:tc>
          <w:tcPr>
            <w:tcW w:w="2093" w:type="dxa"/>
          </w:tcPr>
          <w:p w:rsidR="002A5C7C" w:rsidRPr="000F4663" w:rsidRDefault="002A5C7C" w:rsidP="002A5C7C">
            <w:pPr>
              <w:rPr>
                <w:b/>
              </w:rPr>
            </w:pPr>
            <w:r w:rsidRPr="000F4663">
              <w:rPr>
                <w:b/>
              </w:rPr>
              <w:t>Section 100</w:t>
            </w:r>
          </w:p>
        </w:tc>
        <w:tc>
          <w:tcPr>
            <w:tcW w:w="7149" w:type="dxa"/>
          </w:tcPr>
          <w:p w:rsidR="002A5C7C" w:rsidRDefault="002A5C7C" w:rsidP="002A5C7C">
            <w:r>
              <w:t>N/A</w:t>
            </w:r>
          </w:p>
        </w:tc>
      </w:tr>
    </w:tbl>
    <w:p w:rsidR="006C4B7D" w:rsidRDefault="006C4B7D" w:rsidP="000F4663">
      <w:pPr>
        <w:pStyle w:val="Heading1"/>
        <w:sectPr w:rsidR="006C4B7D" w:rsidSect="00F5523F">
          <w:pgSz w:w="11907" w:h="16839" w:code="9"/>
          <w:pgMar w:top="1440" w:right="1440" w:bottom="1440" w:left="1440" w:header="720" w:footer="720" w:gutter="0"/>
          <w:cols w:space="720"/>
          <w:docGrid w:linePitch="360"/>
        </w:sectPr>
      </w:pPr>
      <w:bookmarkStart w:id="3" w:name="_Toc229650942"/>
    </w:p>
    <w:p w:rsidR="00DE1068" w:rsidRDefault="00D458AC" w:rsidP="000F4663">
      <w:pPr>
        <w:pStyle w:val="Heading1"/>
      </w:pPr>
      <w:bookmarkStart w:id="4" w:name="_Toc356560727"/>
      <w:r>
        <w:t>SCOPE OF THE REVIEW</w:t>
      </w:r>
      <w:bookmarkEnd w:id="3"/>
      <w:bookmarkEnd w:id="4"/>
    </w:p>
    <w:p w:rsidR="00236B3D" w:rsidRDefault="00236B3D" w:rsidP="00236B3D">
      <w:pPr>
        <w:pStyle w:val="Heading2"/>
      </w:pPr>
      <w:bookmarkStart w:id="5" w:name="_Toc229650943"/>
      <w:bookmarkStart w:id="6" w:name="_Toc356560728"/>
      <w:r>
        <w:t>History of submissions</w:t>
      </w:r>
      <w:bookmarkEnd w:id="5"/>
      <w:bookmarkEnd w:id="6"/>
    </w:p>
    <w:p w:rsidR="00236B3D" w:rsidRPr="00236B3D" w:rsidRDefault="00236B3D" w:rsidP="00236B3D">
      <w:r>
        <w:t xml:space="preserve">AstraZeneca have applied for a listing for </w:t>
      </w:r>
      <w:r w:rsidR="004B2048">
        <w:t>Vimovo®</w:t>
      </w:r>
      <w:r>
        <w:t xml:space="preserve"> on three occasions</w:t>
      </w:r>
      <w:r w:rsidR="00D37379">
        <w:t xml:space="preserve">, twice as a major submission and lastly, </w:t>
      </w:r>
      <w:r w:rsidR="004B2048">
        <w:t>on advice</w:t>
      </w:r>
      <w:r w:rsidR="00D37379">
        <w:t>, as a minor submission.  An abbreviated summary of the PBAC decisions on these three submissions follows.</w:t>
      </w:r>
      <w:r w:rsidR="00F66A0C">
        <w:t xml:space="preserve"> </w:t>
      </w:r>
      <w:r w:rsidR="00D37379">
        <w:t>The full minutes are on the PBAC website.</w:t>
      </w:r>
    </w:p>
    <w:p w:rsidR="005B0353" w:rsidRPr="005B0353" w:rsidRDefault="005B0353" w:rsidP="005B0353">
      <w:pPr>
        <w:rPr>
          <w:b/>
          <w:lang w:eastAsia="en-AU"/>
        </w:rPr>
      </w:pPr>
      <w:r w:rsidRPr="005B0353">
        <w:rPr>
          <w:b/>
          <w:lang w:eastAsia="en-AU"/>
        </w:rPr>
        <w:t>August 2011 Major Submission</w:t>
      </w:r>
    </w:p>
    <w:p w:rsidR="005B0353" w:rsidRPr="00D410D1" w:rsidRDefault="005B0353" w:rsidP="00D410D1">
      <w:pPr>
        <w:rPr>
          <w:lang w:eastAsia="en-AU"/>
        </w:rPr>
      </w:pPr>
      <w:r w:rsidRPr="00D410D1">
        <w:rPr>
          <w:lang w:eastAsia="en-AU"/>
        </w:rPr>
        <w:t xml:space="preserve">The PBAC </w:t>
      </w:r>
      <w:r w:rsidR="00D37379">
        <w:rPr>
          <w:lang w:eastAsia="en-AU"/>
        </w:rPr>
        <w:t>...</w:t>
      </w:r>
      <w:r w:rsidRPr="00D410D1">
        <w:rPr>
          <w:lang w:eastAsia="en-AU"/>
        </w:rPr>
        <w:t xml:space="preserve"> rejected the submission </w:t>
      </w:r>
      <w:r w:rsidRPr="00D410D1">
        <w:rPr>
          <w:snapToGrid w:val="0"/>
        </w:rPr>
        <w:t>because the comparator was inappropriate and there were no data to make a recommendation.</w:t>
      </w:r>
    </w:p>
    <w:p w:rsidR="005B0353" w:rsidRPr="005B0353" w:rsidRDefault="005B0353" w:rsidP="00236B3D">
      <w:pPr>
        <w:rPr>
          <w:b/>
        </w:rPr>
      </w:pPr>
      <w:r w:rsidRPr="005B0353">
        <w:rPr>
          <w:b/>
        </w:rPr>
        <w:t>March 2012 Major submission</w:t>
      </w:r>
    </w:p>
    <w:p w:rsidR="005B0353" w:rsidRDefault="00D37379" w:rsidP="005B0353">
      <w:r>
        <w:t>The PBAC r</w:t>
      </w:r>
      <w:r w:rsidR="005B0353">
        <w:t>ejected the submission on the basis of</w:t>
      </w:r>
      <w:r>
        <w:t>:</w:t>
      </w:r>
      <w:r w:rsidR="005B0353">
        <w:t xml:space="preserve"> …</w:t>
      </w:r>
    </w:p>
    <w:p w:rsidR="005B0353" w:rsidRDefault="005B0353" w:rsidP="008D0FDD">
      <w:pPr>
        <w:pStyle w:val="ListParagraph"/>
        <w:numPr>
          <w:ilvl w:val="0"/>
          <w:numId w:val="5"/>
        </w:numPr>
        <w:spacing w:after="0" w:line="240" w:lineRule="auto"/>
      </w:pPr>
      <w:r>
        <w:t>Inappropriate comparator</w:t>
      </w:r>
    </w:p>
    <w:p w:rsidR="005B0353" w:rsidRDefault="005B0353" w:rsidP="008D0FDD">
      <w:pPr>
        <w:pStyle w:val="ListParagraph"/>
        <w:numPr>
          <w:ilvl w:val="0"/>
          <w:numId w:val="5"/>
        </w:numPr>
        <w:spacing w:after="0" w:line="240" w:lineRule="auto"/>
      </w:pPr>
      <w:r>
        <w:t>Uncertainty regarding the validity of the surrogate outcome…</w:t>
      </w:r>
    </w:p>
    <w:p w:rsidR="005B0353" w:rsidRDefault="005B0353" w:rsidP="008D0FDD">
      <w:pPr>
        <w:pStyle w:val="ListParagraph"/>
        <w:numPr>
          <w:ilvl w:val="0"/>
          <w:numId w:val="5"/>
        </w:numPr>
        <w:spacing w:after="0" w:line="240" w:lineRule="auto"/>
      </w:pPr>
      <w:r>
        <w:t>Resultant uncertainty in the proposed cost-</w:t>
      </w:r>
      <w:r w:rsidR="00D37379">
        <w:t>minimisation</w:t>
      </w:r>
      <w:r>
        <w:t xml:space="preserve"> analysis</w:t>
      </w:r>
      <w:r w:rsidR="00D37379">
        <w:t>…</w:t>
      </w:r>
    </w:p>
    <w:p w:rsidR="005B0353" w:rsidRDefault="005B0353" w:rsidP="008D0FDD">
      <w:pPr>
        <w:pStyle w:val="ListParagraph"/>
        <w:numPr>
          <w:ilvl w:val="0"/>
          <w:numId w:val="5"/>
        </w:numPr>
        <w:spacing w:after="0" w:line="240" w:lineRule="auto"/>
      </w:pPr>
      <w:r>
        <w:t>An expectation that listing as requested could result in increased costs both overall and also to the PBS</w:t>
      </w:r>
      <w:r w:rsidR="00D37379">
        <w:t>.</w:t>
      </w:r>
    </w:p>
    <w:p w:rsidR="005B0353" w:rsidRDefault="005B0353" w:rsidP="005B0353">
      <w:pPr>
        <w:spacing w:after="0" w:line="240" w:lineRule="auto"/>
      </w:pPr>
    </w:p>
    <w:p w:rsidR="005B0353" w:rsidRDefault="005B0353" w:rsidP="00236B3D">
      <w:pPr>
        <w:rPr>
          <w:b/>
        </w:rPr>
      </w:pPr>
      <w:r w:rsidRPr="005B0353">
        <w:rPr>
          <w:b/>
        </w:rPr>
        <w:t>November 2012 Minor submission</w:t>
      </w:r>
    </w:p>
    <w:p w:rsidR="00D37379" w:rsidRDefault="00D37379" w:rsidP="00D37379">
      <w:r>
        <w:t>The PBAC rejected the submission on the basis of:</w:t>
      </w:r>
    </w:p>
    <w:p w:rsidR="00D37379" w:rsidRDefault="00D37379" w:rsidP="008D0FDD">
      <w:pPr>
        <w:pStyle w:val="ListParagraph"/>
        <w:numPr>
          <w:ilvl w:val="0"/>
          <w:numId w:val="5"/>
        </w:numPr>
        <w:spacing w:after="0" w:line="240" w:lineRule="auto"/>
      </w:pPr>
      <w:r>
        <w:t>Inappropriate comparator</w:t>
      </w:r>
    </w:p>
    <w:p w:rsidR="00D37379" w:rsidRDefault="00D37379" w:rsidP="008D0FDD">
      <w:pPr>
        <w:pStyle w:val="ListParagraph"/>
        <w:numPr>
          <w:ilvl w:val="0"/>
          <w:numId w:val="5"/>
        </w:numPr>
        <w:spacing w:after="0" w:line="240" w:lineRule="auto"/>
      </w:pPr>
      <w:r>
        <w:t>Uncertainty regarding the validity of the surrogate outcome…</w:t>
      </w:r>
    </w:p>
    <w:p w:rsidR="00D37379" w:rsidRDefault="00D37379" w:rsidP="008D0FDD">
      <w:pPr>
        <w:pStyle w:val="ListParagraph"/>
        <w:numPr>
          <w:ilvl w:val="0"/>
          <w:numId w:val="5"/>
        </w:numPr>
        <w:spacing w:after="0" w:line="240" w:lineRule="auto"/>
      </w:pPr>
      <w:r>
        <w:t>Resultant uncertainty in the proposed cost-minimisation analysis</w:t>
      </w:r>
    </w:p>
    <w:p w:rsidR="00D37379" w:rsidRDefault="00D37379" w:rsidP="008D0FDD">
      <w:pPr>
        <w:pStyle w:val="ListParagraph"/>
        <w:numPr>
          <w:ilvl w:val="0"/>
          <w:numId w:val="5"/>
        </w:numPr>
        <w:spacing w:after="0" w:line="240" w:lineRule="auto"/>
      </w:pPr>
      <w:r>
        <w:t>An expectation that listing as requested could result in increased costs both overall and also to the PBS.</w:t>
      </w:r>
    </w:p>
    <w:p w:rsidR="00D37379" w:rsidRDefault="00D37379" w:rsidP="00D37379">
      <w:pPr>
        <w:spacing w:after="0" w:line="240" w:lineRule="auto"/>
      </w:pPr>
    </w:p>
    <w:p w:rsidR="00D37379" w:rsidRDefault="00D37379" w:rsidP="00D37379">
      <w:pPr>
        <w:spacing w:after="0" w:line="240" w:lineRule="auto"/>
      </w:pPr>
      <w:r>
        <w:t xml:space="preserve">AstraZeneca applied for Independent Review on 4 January 2013 and asked that all three submissions and </w:t>
      </w:r>
      <w:r w:rsidR="004B2048">
        <w:t xml:space="preserve">associated </w:t>
      </w:r>
      <w:r>
        <w:t xml:space="preserve">PBAC </w:t>
      </w:r>
      <w:r w:rsidR="004B2048">
        <w:t xml:space="preserve">documentation </w:t>
      </w:r>
      <w:r>
        <w:t>were included in the review.</w:t>
      </w:r>
    </w:p>
    <w:p w:rsidR="00236B3D" w:rsidRPr="00236B3D" w:rsidRDefault="00236B3D" w:rsidP="00236B3D">
      <w:pPr>
        <w:pStyle w:val="Heading2"/>
      </w:pPr>
      <w:bookmarkStart w:id="7" w:name="_Toc229650944"/>
      <w:bookmarkStart w:id="8" w:name="_Toc356560729"/>
      <w:r>
        <w:t>Grounds for Review</w:t>
      </w:r>
      <w:bookmarkEnd w:id="7"/>
      <w:bookmarkEnd w:id="8"/>
    </w:p>
    <w:p w:rsidR="0097747A" w:rsidRDefault="0097747A" w:rsidP="00B803FF">
      <w:pPr>
        <w:autoSpaceDE w:val="0"/>
        <w:autoSpaceDN w:val="0"/>
        <w:adjustRightInd w:val="0"/>
        <w:spacing w:after="0" w:line="240" w:lineRule="auto"/>
        <w:rPr>
          <w:lang w:val="en-GB"/>
        </w:rPr>
      </w:pPr>
      <w:r>
        <w:rPr>
          <w:rFonts w:cs="Times New Roman"/>
          <w:szCs w:val="24"/>
        </w:rPr>
        <w:t xml:space="preserve">There are three grounds for review with a number of subordinate issues raised within them.  </w:t>
      </w:r>
      <w:r>
        <w:rPr>
          <w:lang w:val="en-GB"/>
        </w:rPr>
        <w:t>The grounds of review are as follows:</w:t>
      </w:r>
    </w:p>
    <w:p w:rsidR="0097747A" w:rsidRDefault="0097747A" w:rsidP="0097747A">
      <w:pPr>
        <w:spacing w:after="0"/>
        <w:rPr>
          <w:lang w:val="en-GB"/>
        </w:rPr>
      </w:pPr>
    </w:p>
    <w:p w:rsidR="00883775" w:rsidRPr="00DA0E4A" w:rsidRDefault="00DA0E4A" w:rsidP="008D0FDD">
      <w:pPr>
        <w:pStyle w:val="ListParagraph"/>
        <w:numPr>
          <w:ilvl w:val="0"/>
          <w:numId w:val="4"/>
        </w:numPr>
        <w:spacing w:after="0"/>
        <w:rPr>
          <w:lang w:val="en-GB"/>
        </w:rPr>
      </w:pPr>
      <w:r>
        <w:rPr>
          <w:b/>
        </w:rPr>
        <w:t xml:space="preserve"> </w:t>
      </w:r>
      <w:r w:rsidR="00883775" w:rsidRPr="00DA0E4A">
        <w:rPr>
          <w:b/>
        </w:rPr>
        <w:t>PBAC Criteria for Fixed Dose Combination Products</w:t>
      </w:r>
    </w:p>
    <w:p w:rsidR="00DA0E4A" w:rsidRDefault="0097747A" w:rsidP="00883775">
      <w:pPr>
        <w:spacing w:after="0"/>
        <w:ind w:left="360"/>
        <w:rPr>
          <w:lang w:val="en-GB"/>
        </w:rPr>
      </w:pPr>
      <w:r w:rsidRPr="00883775">
        <w:rPr>
          <w:lang w:val="en-GB"/>
        </w:rPr>
        <w:t>PBAC's conclusion "that not all PBAC criteria for combination products are met" (Ratified minutes of the November 2012 PBAC meeting, p</w:t>
      </w:r>
      <w:r w:rsidR="00FE16FB">
        <w:rPr>
          <w:lang w:val="en-GB"/>
        </w:rPr>
        <w:t xml:space="preserve">age </w:t>
      </w:r>
      <w:r w:rsidRPr="00883775">
        <w:rPr>
          <w:lang w:val="en-GB"/>
        </w:rPr>
        <w:t>2, paragraph 4) inappropriately applies the information requests as outlined on p</w:t>
      </w:r>
      <w:r w:rsidR="00FE16FB">
        <w:rPr>
          <w:lang w:val="en-GB"/>
        </w:rPr>
        <w:t xml:space="preserve">ages </w:t>
      </w:r>
      <w:r w:rsidRPr="00883775">
        <w:rPr>
          <w:lang w:val="en-GB"/>
        </w:rPr>
        <w:t xml:space="preserve">211-212 of Part IV of the </w:t>
      </w:r>
      <w:r w:rsidRPr="00FE16FB">
        <w:rPr>
          <w:i/>
          <w:lang w:val="en-GB"/>
        </w:rPr>
        <w:t xml:space="preserve">Guidelines for preparing submissions to the Pharmaceutical Benefits Advisory Committee </w:t>
      </w:r>
      <w:r w:rsidRPr="00883775">
        <w:rPr>
          <w:lang w:val="en-GB"/>
        </w:rPr>
        <w:t>(PBAC) (Version 4.3) as minimum mandatory requirements for combination products to be eligible for consideration by the PBAC for PBS listing.</w:t>
      </w:r>
    </w:p>
    <w:p w:rsidR="00DA0E4A" w:rsidRDefault="00DA0E4A" w:rsidP="00883775">
      <w:pPr>
        <w:spacing w:after="0"/>
        <w:ind w:left="360"/>
        <w:rPr>
          <w:lang w:val="en-GB"/>
        </w:rPr>
      </w:pPr>
    </w:p>
    <w:p w:rsidR="00DA0E4A" w:rsidRPr="00DA0E4A" w:rsidRDefault="00DA0E4A" w:rsidP="008D0FDD">
      <w:pPr>
        <w:pStyle w:val="ListParagraph"/>
        <w:numPr>
          <w:ilvl w:val="0"/>
          <w:numId w:val="4"/>
        </w:numPr>
        <w:rPr>
          <w:lang w:val="en-GB"/>
        </w:rPr>
      </w:pPr>
      <w:r>
        <w:rPr>
          <w:b/>
        </w:rPr>
        <w:t xml:space="preserve"> </w:t>
      </w:r>
      <w:r w:rsidRPr="00DA0E4A">
        <w:rPr>
          <w:b/>
        </w:rPr>
        <w:t>Validity of the surrogate outcome and non-inferiority</w:t>
      </w:r>
      <w:r w:rsidRPr="00DA0E4A">
        <w:rPr>
          <w:lang w:val="en-GB"/>
        </w:rPr>
        <w:t xml:space="preserve"> </w:t>
      </w:r>
    </w:p>
    <w:p w:rsidR="000A12A2" w:rsidRDefault="0097747A" w:rsidP="00DA0E4A">
      <w:pPr>
        <w:spacing w:after="0"/>
        <w:ind w:left="360"/>
        <w:rPr>
          <w:lang w:val="en-GB"/>
        </w:rPr>
      </w:pPr>
      <w:r w:rsidRPr="00DA0E4A">
        <w:rPr>
          <w:lang w:val="en-GB"/>
        </w:rPr>
        <w:t>PBAC's conclusion that there is "continuing uncertainty regarding the validity of the surrogate outcome for the purposes of demonstrating non-inferiority of more patient-relevant outcomes" (Ratified minutes of the November 2012 PBAC meeting, p</w:t>
      </w:r>
      <w:r w:rsidR="00FE16FB">
        <w:rPr>
          <w:lang w:val="en-GB"/>
        </w:rPr>
        <w:t xml:space="preserve">age </w:t>
      </w:r>
      <w:r w:rsidRPr="00DA0E4A">
        <w:rPr>
          <w:lang w:val="en-GB"/>
        </w:rPr>
        <w:t xml:space="preserve">2, paragraph 4) is based on insufficiently robust data which has been taken out of context. </w:t>
      </w:r>
    </w:p>
    <w:p w:rsidR="0097747A" w:rsidRPr="00DA0E4A" w:rsidRDefault="0097747A" w:rsidP="00DA0E4A">
      <w:pPr>
        <w:spacing w:after="0"/>
        <w:ind w:left="360"/>
        <w:rPr>
          <w:lang w:val="en-GB"/>
        </w:rPr>
      </w:pPr>
      <w:r w:rsidRPr="00DA0E4A">
        <w:rPr>
          <w:lang w:val="en-GB"/>
        </w:rPr>
        <w:t xml:space="preserve"> </w:t>
      </w:r>
    </w:p>
    <w:p w:rsidR="00DA0E4A" w:rsidRPr="00DA0E4A" w:rsidRDefault="00DA0E4A" w:rsidP="008D0FDD">
      <w:pPr>
        <w:pStyle w:val="ListParagraph"/>
        <w:numPr>
          <w:ilvl w:val="0"/>
          <w:numId w:val="4"/>
        </w:numPr>
        <w:rPr>
          <w:b/>
        </w:rPr>
      </w:pPr>
      <w:r w:rsidRPr="00DA0E4A">
        <w:rPr>
          <w:b/>
        </w:rPr>
        <w:t xml:space="preserve">Continuing concern that the listing of </w:t>
      </w:r>
      <w:r w:rsidR="004B2048">
        <w:rPr>
          <w:b/>
        </w:rPr>
        <w:t>Vimovo®</w:t>
      </w:r>
      <w:r w:rsidRPr="00DA0E4A">
        <w:rPr>
          <w:b/>
        </w:rPr>
        <w:t xml:space="preserve"> could result in increased costs to the PBS.</w:t>
      </w:r>
    </w:p>
    <w:p w:rsidR="0097747A" w:rsidRPr="00DA0E4A" w:rsidRDefault="0097747A" w:rsidP="00DA0E4A">
      <w:pPr>
        <w:spacing w:after="0"/>
        <w:ind w:left="360"/>
        <w:rPr>
          <w:lang w:val="en-GB"/>
        </w:rPr>
      </w:pPr>
      <w:r w:rsidRPr="00DA0E4A">
        <w:rPr>
          <w:lang w:val="en-GB"/>
        </w:rPr>
        <w:t>PBAC's conclusion that there is "continuing concern that the listing could result in increased costs to the PBS" (Ratified minutes of the November 2012 PBAC meeting, p</w:t>
      </w:r>
      <w:r w:rsidR="00FE16FB">
        <w:rPr>
          <w:lang w:val="en-GB"/>
        </w:rPr>
        <w:t xml:space="preserve">age </w:t>
      </w:r>
      <w:r w:rsidRPr="00DA0E4A">
        <w:rPr>
          <w:lang w:val="en-GB"/>
        </w:rPr>
        <w:t xml:space="preserve">2, paragraph 4) is unable to be reconciled with any costing analysis available. </w:t>
      </w:r>
    </w:p>
    <w:p w:rsidR="00B803FF" w:rsidRDefault="00B803FF" w:rsidP="00DE1068">
      <w:pPr>
        <w:autoSpaceDE w:val="0"/>
        <w:autoSpaceDN w:val="0"/>
        <w:adjustRightInd w:val="0"/>
        <w:spacing w:after="0" w:line="240" w:lineRule="auto"/>
        <w:rPr>
          <w:rFonts w:cs="Times New Roman"/>
          <w:szCs w:val="24"/>
        </w:rPr>
      </w:pPr>
    </w:p>
    <w:p w:rsidR="00DE1068" w:rsidRDefault="0097747A" w:rsidP="00DE1068">
      <w:pPr>
        <w:autoSpaceDE w:val="0"/>
        <w:autoSpaceDN w:val="0"/>
        <w:adjustRightInd w:val="0"/>
        <w:spacing w:after="0" w:line="240" w:lineRule="auto"/>
        <w:rPr>
          <w:rFonts w:cs="Times New Roman"/>
          <w:szCs w:val="24"/>
        </w:rPr>
      </w:pPr>
      <w:r>
        <w:rPr>
          <w:rFonts w:cs="Times New Roman"/>
          <w:szCs w:val="24"/>
        </w:rPr>
        <w:t xml:space="preserve">The </w:t>
      </w:r>
      <w:r w:rsidR="000A12A2">
        <w:rPr>
          <w:rFonts w:cs="Times New Roman"/>
          <w:szCs w:val="24"/>
        </w:rPr>
        <w:t>complete Independent Review Request</w:t>
      </w:r>
      <w:r>
        <w:rPr>
          <w:rFonts w:cs="Times New Roman"/>
          <w:szCs w:val="24"/>
        </w:rPr>
        <w:t xml:space="preserve"> is at </w:t>
      </w:r>
      <w:r w:rsidRPr="00BF320E">
        <w:rPr>
          <w:rFonts w:cs="Times New Roman"/>
          <w:szCs w:val="24"/>
        </w:rPr>
        <w:t xml:space="preserve">Attachment </w:t>
      </w:r>
      <w:r w:rsidR="000A12A2" w:rsidRPr="00BF320E">
        <w:rPr>
          <w:rFonts w:cs="Times New Roman"/>
          <w:szCs w:val="24"/>
        </w:rPr>
        <w:t>5</w:t>
      </w:r>
      <w:r>
        <w:rPr>
          <w:rFonts w:cs="Times New Roman"/>
          <w:szCs w:val="24"/>
        </w:rPr>
        <w:t>.</w:t>
      </w:r>
    </w:p>
    <w:p w:rsidR="00FF7C84" w:rsidRDefault="00FF7C84" w:rsidP="00DE1068">
      <w:pPr>
        <w:autoSpaceDE w:val="0"/>
        <w:autoSpaceDN w:val="0"/>
        <w:adjustRightInd w:val="0"/>
        <w:spacing w:after="0" w:line="240" w:lineRule="auto"/>
        <w:rPr>
          <w:rFonts w:cs="Times New Roman"/>
          <w:szCs w:val="24"/>
        </w:rPr>
      </w:pPr>
    </w:p>
    <w:p w:rsidR="00FF7C84" w:rsidRDefault="00FF7C84">
      <w:pPr>
        <w:rPr>
          <w:rFonts w:cs="Times New Roman"/>
          <w:szCs w:val="24"/>
        </w:rPr>
      </w:pPr>
      <w:r>
        <w:rPr>
          <w:rFonts w:cs="Times New Roman"/>
          <w:szCs w:val="24"/>
        </w:rPr>
        <w:br w:type="page"/>
      </w:r>
    </w:p>
    <w:p w:rsidR="00DE1068" w:rsidRDefault="00D458AC" w:rsidP="000F4663">
      <w:pPr>
        <w:pStyle w:val="Heading1"/>
      </w:pPr>
      <w:bookmarkStart w:id="9" w:name="_Toc229650945"/>
      <w:bookmarkStart w:id="10" w:name="_Toc356560730"/>
      <w:r>
        <w:t>DESCRIPTION OF THE REVIEW</w:t>
      </w:r>
      <w:bookmarkEnd w:id="9"/>
      <w:bookmarkEnd w:id="10"/>
    </w:p>
    <w:p w:rsidR="008B5C10" w:rsidRDefault="008B5C10" w:rsidP="000F4663">
      <w:pPr>
        <w:pStyle w:val="Heading2"/>
      </w:pPr>
      <w:bookmarkStart w:id="11" w:name="_Toc229650946"/>
      <w:bookmarkStart w:id="12" w:name="_Toc356560731"/>
      <w:r>
        <w:t>Approach to the Review</w:t>
      </w:r>
      <w:bookmarkEnd w:id="11"/>
      <w:bookmarkEnd w:id="12"/>
    </w:p>
    <w:p w:rsidR="008B5C10" w:rsidRDefault="008B5C10" w:rsidP="008B5C10">
      <w:pPr>
        <w:spacing w:after="0"/>
        <w:rPr>
          <w:lang w:val="en-GB"/>
        </w:rPr>
      </w:pPr>
      <w:r>
        <w:rPr>
          <w:lang w:val="en-GB"/>
        </w:rPr>
        <w:t>The Review covers three disparate grounds and as a result three Secondary Reviewers were engaged to support the Primary Reviewer who brings health economic expertise:</w:t>
      </w:r>
    </w:p>
    <w:p w:rsidR="000A12A2" w:rsidRDefault="000A12A2" w:rsidP="000A12A2">
      <w:pPr>
        <w:pStyle w:val="ListParagraph"/>
        <w:numPr>
          <w:ilvl w:val="0"/>
          <w:numId w:val="2"/>
        </w:numPr>
        <w:spacing w:after="0"/>
        <w:rPr>
          <w:lang w:val="en-GB"/>
        </w:rPr>
      </w:pPr>
      <w:r w:rsidRPr="00B803FF">
        <w:rPr>
          <w:lang w:val="en-GB"/>
        </w:rPr>
        <w:t>Epidemiological expertise to review non-inferiority and surrogate outcomes</w:t>
      </w:r>
      <w:r w:rsidR="00FE16FB">
        <w:rPr>
          <w:lang w:val="en-GB"/>
        </w:rPr>
        <w:t>;</w:t>
      </w:r>
    </w:p>
    <w:p w:rsidR="000A12A2" w:rsidRPr="00B803FF" w:rsidRDefault="000A12A2" w:rsidP="000A12A2">
      <w:pPr>
        <w:pStyle w:val="ListParagraph"/>
        <w:numPr>
          <w:ilvl w:val="0"/>
          <w:numId w:val="2"/>
        </w:numPr>
        <w:spacing w:after="0"/>
        <w:rPr>
          <w:lang w:val="en-GB"/>
        </w:rPr>
      </w:pPr>
      <w:r w:rsidRPr="00B803FF">
        <w:rPr>
          <w:lang w:val="en-GB"/>
        </w:rPr>
        <w:t xml:space="preserve">Pharmacological expertise to provide input on utilisation and on the various comparators to </w:t>
      </w:r>
      <w:r w:rsidR="004B2048">
        <w:rPr>
          <w:lang w:val="en-GB"/>
        </w:rPr>
        <w:t>Vimovo®</w:t>
      </w:r>
      <w:r w:rsidR="00FE16FB">
        <w:rPr>
          <w:lang w:val="en-GB"/>
        </w:rPr>
        <w:t>;</w:t>
      </w:r>
    </w:p>
    <w:p w:rsidR="008B5C10" w:rsidRPr="00B803FF" w:rsidRDefault="008B5C10" w:rsidP="008D0FDD">
      <w:pPr>
        <w:pStyle w:val="ListParagraph"/>
        <w:numPr>
          <w:ilvl w:val="0"/>
          <w:numId w:val="2"/>
        </w:numPr>
        <w:spacing w:after="0"/>
        <w:rPr>
          <w:lang w:val="en-GB"/>
        </w:rPr>
      </w:pPr>
      <w:r w:rsidRPr="00B803FF">
        <w:rPr>
          <w:lang w:val="en-GB"/>
        </w:rPr>
        <w:t xml:space="preserve">Public administration expertise in the use and purpose of </w:t>
      </w:r>
      <w:r w:rsidR="004B2048">
        <w:rPr>
          <w:lang w:val="en-GB"/>
        </w:rPr>
        <w:t>g</w:t>
      </w:r>
      <w:r w:rsidRPr="00B803FF">
        <w:rPr>
          <w:lang w:val="en-GB"/>
        </w:rPr>
        <w:t>uidelines by committees with a statutory role.</w:t>
      </w:r>
    </w:p>
    <w:p w:rsidR="00DE1068" w:rsidRDefault="00DE1068" w:rsidP="000F4663">
      <w:pPr>
        <w:pStyle w:val="Heading2"/>
      </w:pPr>
      <w:bookmarkStart w:id="13" w:name="_Toc356560732"/>
      <w:bookmarkStart w:id="14" w:name="_Toc229650947"/>
      <w:r>
        <w:t>Reviewer</w:t>
      </w:r>
      <w:r w:rsidR="00FF7C84">
        <w:t>s</w:t>
      </w:r>
      <w:bookmarkEnd w:id="13"/>
      <w:bookmarkEnd w:id="14"/>
    </w:p>
    <w:p w:rsidR="000F4663" w:rsidRPr="005B6605" w:rsidRDefault="006F68E3" w:rsidP="000F4663">
      <w:pPr>
        <w:spacing w:after="0" w:line="240" w:lineRule="auto"/>
        <w:rPr>
          <w:rFonts w:cstheme="minorHAnsi"/>
          <w:sz w:val="22"/>
          <w:lang w:val="en-US"/>
        </w:rPr>
      </w:pPr>
      <w:r>
        <w:rPr>
          <w:noProof/>
          <w:lang w:eastAsia="en-AU"/>
        </w:rPr>
        <mc:AlternateContent>
          <mc:Choice Requires="wps">
            <w:drawing>
              <wp:anchor distT="0" distB="0" distL="114300" distR="114300" simplePos="0" relativeHeight="251668480" behindDoc="0" locked="0" layoutInCell="1" allowOverlap="1" wp14:anchorId="2FC3766C" wp14:editId="78A2E13A">
                <wp:simplePos x="0" y="0"/>
                <wp:positionH relativeFrom="column">
                  <wp:posOffset>38100</wp:posOffset>
                </wp:positionH>
                <wp:positionV relativeFrom="paragraph">
                  <wp:posOffset>42545</wp:posOffset>
                </wp:positionV>
                <wp:extent cx="5707380" cy="1403985"/>
                <wp:effectExtent l="0" t="0" r="2667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403985"/>
                        </a:xfrm>
                        <a:prstGeom prst="rect">
                          <a:avLst/>
                        </a:prstGeom>
                        <a:solidFill>
                          <a:schemeClr val="bg1">
                            <a:lumMod val="95000"/>
                          </a:schemeClr>
                        </a:solidFill>
                        <a:ln w="9525">
                          <a:solidFill>
                            <a:srgbClr val="000000"/>
                          </a:solidFill>
                          <a:miter lim="800000"/>
                          <a:headEnd/>
                          <a:tailEnd/>
                        </a:ln>
                      </wps:spPr>
                      <wps:txbx>
                        <w:txbxContent>
                          <w:p w:rsidR="00335FA4" w:rsidRPr="00335FA4" w:rsidRDefault="00335FA4" w:rsidP="00335FA4">
                            <w:pPr>
                              <w:rPr>
                                <w:i/>
                              </w:rPr>
                            </w:pPr>
                            <w:r w:rsidRPr="00335FA4">
                              <w:rPr>
                                <w:i/>
                              </w:rPr>
                              <w:t xml:space="preserve">Names </w:t>
                            </w:r>
                            <w:r>
                              <w:rPr>
                                <w:i/>
                              </w:rPr>
                              <w:t xml:space="preserve">and short biography </w:t>
                            </w:r>
                            <w:r w:rsidRPr="00335FA4">
                              <w:rPr>
                                <w:i/>
                              </w:rPr>
                              <w:t>of reviewers redacted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pt;margin-top:3.35pt;width:449.4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" fillcolor="#f2f2f2 [3052]">
                <v:textbox style="mso-fit-shape-to-text:t">
                  <w:txbxContent>
                    <w:p w:rsidR="00335FA4" w:rsidRPr="00335FA4" w:rsidRDefault="00335FA4" w:rsidP="00335FA4">
                      <w:pPr>
                        <w:rPr>
                          <w:i/>
                        </w:rPr>
                      </w:pPr>
                      <w:r w:rsidRPr="00335FA4">
                        <w:rPr>
                          <w:i/>
                        </w:rPr>
                        <w:t xml:space="preserve">Names </w:t>
                      </w:r>
                      <w:r>
                        <w:rPr>
                          <w:i/>
                        </w:rPr>
                        <w:t xml:space="preserve">and short biography </w:t>
                      </w:r>
                      <w:r w:rsidRPr="00335FA4">
                        <w:rPr>
                          <w:i/>
                        </w:rPr>
                        <w:t>of reviewers redacted</w:t>
                      </w:r>
                    </w:p>
                  </w:txbxContent>
                </v:textbox>
              </v:shape>
            </w:pict>
          </mc:Fallback>
        </mc:AlternateContent>
      </w:r>
    </w:p>
    <w:p w:rsidR="00335FA4" w:rsidRDefault="00335FA4" w:rsidP="00335FA4"/>
    <w:p w:rsidR="000F4663" w:rsidRPr="005B6605" w:rsidRDefault="000F4663" w:rsidP="000F4663">
      <w:pPr>
        <w:rPr>
          <w:lang w:val="en-US"/>
        </w:rPr>
      </w:pPr>
    </w:p>
    <w:p w:rsidR="005F5F80" w:rsidRDefault="005F5F80" w:rsidP="000F4663">
      <w:pPr>
        <w:pStyle w:val="Heading2"/>
      </w:pPr>
      <w:bookmarkStart w:id="15" w:name="_Toc356560733"/>
      <w:bookmarkStart w:id="16" w:name="_Toc229650948"/>
      <w:r>
        <w:t>Structure of the report</w:t>
      </w:r>
      <w:bookmarkEnd w:id="15"/>
    </w:p>
    <w:p w:rsidR="005F5F80" w:rsidRDefault="005F5F80" w:rsidP="005F5F80">
      <w:r>
        <w:t xml:space="preserve">Upon investigation, many of the issues have a common theme.  Accordingly the report is structured with an overview in the main body which draws together the findings on each ground, but which also makes some overarching comments where there are common themes. </w:t>
      </w:r>
    </w:p>
    <w:p w:rsidR="00372262" w:rsidRPr="008B5C10" w:rsidRDefault="00372262" w:rsidP="005F5F80">
      <w:r>
        <w:t>Each report by a Secondary Reviewer is attached in full.</w:t>
      </w:r>
    </w:p>
    <w:p w:rsidR="00DE1068" w:rsidRDefault="00DE1068" w:rsidP="000F4663">
      <w:pPr>
        <w:pStyle w:val="Heading2"/>
      </w:pPr>
      <w:bookmarkStart w:id="17" w:name="_Toc356560734"/>
      <w:r>
        <w:t>General process</w:t>
      </w:r>
      <w:bookmarkEnd w:id="17"/>
      <w:r>
        <w:t xml:space="preserve"> </w:t>
      </w:r>
      <w:bookmarkEnd w:id="16"/>
    </w:p>
    <w:p w:rsidR="00D458AC" w:rsidRPr="000F4663" w:rsidRDefault="00D458AC" w:rsidP="000F4663">
      <w:r>
        <w:t>T</w:t>
      </w:r>
      <w:r w:rsidR="00FF7C84">
        <w:t xml:space="preserve">he list of materials </w:t>
      </w:r>
      <w:r>
        <w:t>considered by all reviewers is</w:t>
      </w:r>
      <w:r w:rsidR="00FF7C84">
        <w:t xml:space="preserve"> </w:t>
      </w:r>
      <w:r>
        <w:t>at</w:t>
      </w:r>
      <w:r w:rsidR="00FF7C84">
        <w:t xml:space="preserve"> Attachment </w:t>
      </w:r>
      <w:r w:rsidR="003130B0" w:rsidRPr="000A12A2">
        <w:t>4</w:t>
      </w:r>
      <w:r>
        <w:t>.  The individual reviewer reports include:</w:t>
      </w:r>
    </w:p>
    <w:p w:rsidR="00D458AC" w:rsidRPr="00D458AC" w:rsidRDefault="00D458AC" w:rsidP="000F4663">
      <w:pPr>
        <w:pStyle w:val="ListParagraph"/>
        <w:numPr>
          <w:ilvl w:val="0"/>
          <w:numId w:val="1"/>
        </w:numPr>
        <w:rPr>
          <w:rFonts w:cs="Times New Roman"/>
          <w:szCs w:val="24"/>
        </w:rPr>
      </w:pPr>
      <w:r w:rsidRPr="00D458AC">
        <w:rPr>
          <w:rFonts w:cs="Times New Roman"/>
          <w:szCs w:val="24"/>
        </w:rPr>
        <w:t xml:space="preserve">the answers </w:t>
      </w:r>
      <w:r w:rsidR="00AE1C37">
        <w:rPr>
          <w:rFonts w:cs="Times New Roman"/>
          <w:szCs w:val="24"/>
        </w:rPr>
        <w:t xml:space="preserve">to </w:t>
      </w:r>
      <w:r w:rsidRPr="00D458AC">
        <w:rPr>
          <w:rFonts w:cs="Times New Roman"/>
          <w:szCs w:val="24"/>
        </w:rPr>
        <w:t>questions asked of the department</w:t>
      </w:r>
      <w:r w:rsidR="00AE1C37">
        <w:rPr>
          <w:rFonts w:cs="Times New Roman"/>
          <w:szCs w:val="24"/>
        </w:rPr>
        <w:t xml:space="preserve"> or the </w:t>
      </w:r>
      <w:r w:rsidR="003824EF">
        <w:rPr>
          <w:rFonts w:cs="Times New Roman"/>
          <w:szCs w:val="24"/>
        </w:rPr>
        <w:t>Sponsor</w:t>
      </w:r>
    </w:p>
    <w:p w:rsidR="00D458AC" w:rsidRDefault="00D458AC" w:rsidP="000F4663">
      <w:pPr>
        <w:pStyle w:val="ListParagraph"/>
        <w:numPr>
          <w:ilvl w:val="0"/>
          <w:numId w:val="1"/>
        </w:numPr>
        <w:rPr>
          <w:rFonts w:cs="Times New Roman"/>
          <w:szCs w:val="24"/>
        </w:rPr>
      </w:pPr>
      <w:r w:rsidRPr="00D458AC">
        <w:rPr>
          <w:rFonts w:cs="Times New Roman"/>
          <w:szCs w:val="24"/>
        </w:rPr>
        <w:t>file notes of consultations</w:t>
      </w:r>
    </w:p>
    <w:p w:rsidR="00D458AC" w:rsidRDefault="005F5F80" w:rsidP="000F4663">
      <w:pPr>
        <w:pStyle w:val="ListParagraph"/>
        <w:numPr>
          <w:ilvl w:val="0"/>
          <w:numId w:val="1"/>
        </w:numPr>
        <w:rPr>
          <w:rFonts w:cs="Times New Roman"/>
          <w:szCs w:val="24"/>
        </w:rPr>
      </w:pPr>
      <w:r>
        <w:rPr>
          <w:rFonts w:cs="Times New Roman"/>
          <w:szCs w:val="24"/>
        </w:rPr>
        <w:t xml:space="preserve">any </w:t>
      </w:r>
      <w:r w:rsidR="00D458AC">
        <w:rPr>
          <w:rFonts w:cs="Times New Roman"/>
          <w:szCs w:val="24"/>
        </w:rPr>
        <w:t>other material considered in the review.</w:t>
      </w:r>
    </w:p>
    <w:p w:rsidR="00883775" w:rsidRPr="00883775" w:rsidRDefault="00883775" w:rsidP="00883775">
      <w:pPr>
        <w:rPr>
          <w:rFonts w:cs="Times New Roman"/>
          <w:szCs w:val="24"/>
        </w:rPr>
      </w:pPr>
      <w:r>
        <w:rPr>
          <w:rFonts w:cs="Times New Roman"/>
          <w:szCs w:val="24"/>
        </w:rPr>
        <w:t xml:space="preserve">There was one meeting of all reviewers with the Convenor, and a regular teleconference with each reviewer to monitor progress.  The Primary Reviewer also met weekly </w:t>
      </w:r>
      <w:r w:rsidR="00AE1C37">
        <w:rPr>
          <w:rFonts w:cs="Times New Roman"/>
          <w:szCs w:val="24"/>
        </w:rPr>
        <w:t xml:space="preserve">with </w:t>
      </w:r>
      <w:r w:rsidR="00335FA4">
        <w:rPr>
          <w:rFonts w:cs="Times New Roman"/>
          <w:szCs w:val="24"/>
        </w:rPr>
        <w:t>[</w:t>
      </w:r>
      <w:r w:rsidR="00335FA4" w:rsidRPr="00335FA4">
        <w:rPr>
          <w:rFonts w:cs="Times New Roman"/>
          <w:i/>
          <w:szCs w:val="24"/>
        </w:rPr>
        <w:t>names of reviewers redacted</w:t>
      </w:r>
      <w:r w:rsidR="00335FA4">
        <w:rPr>
          <w:rFonts w:cs="Times New Roman"/>
          <w:szCs w:val="24"/>
        </w:rPr>
        <w:t>]</w:t>
      </w:r>
      <w:r w:rsidR="00AE1C37">
        <w:rPr>
          <w:rFonts w:cs="Times New Roman"/>
          <w:szCs w:val="24"/>
        </w:rPr>
        <w:t>.</w:t>
      </w:r>
      <w:r>
        <w:rPr>
          <w:rFonts w:cs="Times New Roman"/>
          <w:szCs w:val="24"/>
        </w:rPr>
        <w:t xml:space="preserve"> </w:t>
      </w:r>
    </w:p>
    <w:p w:rsidR="00D458AC" w:rsidRDefault="00D458AC">
      <w:pPr>
        <w:rPr>
          <w:rFonts w:cs="Times New Roman"/>
          <w:szCs w:val="24"/>
        </w:rPr>
      </w:pPr>
      <w:r>
        <w:rPr>
          <w:rFonts w:cs="Times New Roman"/>
          <w:szCs w:val="24"/>
        </w:rPr>
        <w:br w:type="page"/>
      </w:r>
    </w:p>
    <w:p w:rsidR="00DE1068" w:rsidRDefault="00D609F8" w:rsidP="000F4663">
      <w:pPr>
        <w:pStyle w:val="Heading1"/>
      </w:pPr>
      <w:bookmarkStart w:id="18" w:name="_Toc229650949"/>
      <w:bookmarkStart w:id="19" w:name="_Toc356560735"/>
      <w:r>
        <w:t>PRIMARY REVIEWER REPORT</w:t>
      </w:r>
      <w:bookmarkEnd w:id="18"/>
      <w:bookmarkEnd w:id="19"/>
    </w:p>
    <w:p w:rsidR="008D0FDD" w:rsidRPr="009A0964" w:rsidRDefault="008D0FDD" w:rsidP="005F5F80">
      <w:pPr>
        <w:pStyle w:val="Heading2"/>
      </w:pPr>
      <w:bookmarkStart w:id="20" w:name="_Toc356560736"/>
      <w:r w:rsidRPr="00ED2D6D">
        <w:t>Introduction</w:t>
      </w:r>
      <w:bookmarkEnd w:id="20"/>
    </w:p>
    <w:p w:rsidR="008D0FDD" w:rsidRDefault="00A6657B" w:rsidP="00ED2D6D">
      <w:r>
        <w:t xml:space="preserve">The framework for this Independent Review has been informed by the two important processes that underpin </w:t>
      </w:r>
      <w:r w:rsidR="008D0FDD" w:rsidRPr="009A0964">
        <w:t>the Pharmaceutical Benefits Advisory Committee (PBAC) and its sub</w:t>
      </w:r>
      <w:r w:rsidR="000E03B7">
        <w:t>-</w:t>
      </w:r>
      <w:r w:rsidR="008D0FDD" w:rsidRPr="009A0964">
        <w:t xml:space="preserve">committees – the technical assessment of submissions and </w:t>
      </w:r>
      <w:r w:rsidR="0077513A">
        <w:t>the deliberations and judgement that underpin PBAC recommendations</w:t>
      </w:r>
      <w:r w:rsidR="008D0FDD" w:rsidRPr="009A0964">
        <w:t xml:space="preserve">.  </w:t>
      </w:r>
    </w:p>
    <w:p w:rsidR="00034AA5" w:rsidRDefault="00A6657B" w:rsidP="00ED2D6D">
      <w:r>
        <w:t xml:space="preserve">The technical assessment of submissions </w:t>
      </w:r>
      <w:r w:rsidRPr="009A0964">
        <w:t xml:space="preserve">is supported by </w:t>
      </w:r>
      <w:r>
        <w:t>the</w:t>
      </w:r>
      <w:r w:rsidRPr="009A0964">
        <w:t xml:space="preserve"> </w:t>
      </w:r>
      <w:r w:rsidRPr="000E03B7">
        <w:rPr>
          <w:i/>
        </w:rPr>
        <w:t>Guidelines for preparing submissions to the</w:t>
      </w:r>
      <w:r w:rsidR="00034AA5" w:rsidRPr="000E03B7">
        <w:rPr>
          <w:i/>
        </w:rPr>
        <w:t xml:space="preserve"> PBAC</w:t>
      </w:r>
      <w:r w:rsidR="00034AA5">
        <w:t xml:space="preserve"> (Version 4.3). It is the Guidelines that </w:t>
      </w:r>
      <w:r w:rsidRPr="009A0964">
        <w:t xml:space="preserve">advise PBAC and </w:t>
      </w:r>
      <w:r>
        <w:t>Sponsor</w:t>
      </w:r>
      <w:r w:rsidRPr="009A0964">
        <w:t xml:space="preserve">s alike of what constitutes </w:t>
      </w:r>
      <w:r>
        <w:t>best</w:t>
      </w:r>
      <w:r w:rsidRPr="009A0964">
        <w:t xml:space="preserve"> practice</w:t>
      </w:r>
      <w:r w:rsidR="00034AA5">
        <w:t xml:space="preserve"> in </w:t>
      </w:r>
      <w:r w:rsidR="00034AA5">
        <w:rPr>
          <w:b/>
        </w:rPr>
        <w:t xml:space="preserve">comparing </w:t>
      </w:r>
      <w:r w:rsidR="00034AA5">
        <w:t xml:space="preserve">the product under consideration to another </w:t>
      </w:r>
      <w:r w:rsidR="000E03B7">
        <w:t xml:space="preserve">currently listed </w:t>
      </w:r>
      <w:r w:rsidR="00034AA5">
        <w:t xml:space="preserve">medicine (the comparator). </w:t>
      </w:r>
      <w:r>
        <w:t xml:space="preserve"> </w:t>
      </w:r>
      <w:r w:rsidR="00034AA5">
        <w:t xml:space="preserve">The Guidelines form one major point of reference for all three grounds of our review. The other is </w:t>
      </w:r>
      <w:r w:rsidR="004B2048">
        <w:t xml:space="preserve">the </w:t>
      </w:r>
      <w:r w:rsidR="00034AA5" w:rsidRPr="009A0964">
        <w:rPr>
          <w:i/>
        </w:rPr>
        <w:t>Report of the Surrogate to Final Outcome Working Group</w:t>
      </w:r>
      <w:r w:rsidR="00034AA5" w:rsidRPr="009A0964">
        <w:t xml:space="preserve"> (STFOWG) – a framework for evaluating proposed surrogate measures and their use in submissions to the PBAC (2009)</w:t>
      </w:r>
      <w:r w:rsidR="00034AA5">
        <w:t xml:space="preserve">. The STFOWG report provides the major point of reference for the second ground of the review that deals with surrogates outcomes and non-inferiority. </w:t>
      </w:r>
      <w:r w:rsidR="00CF3449">
        <w:t xml:space="preserve">The </w:t>
      </w:r>
      <w:r w:rsidR="00034AA5">
        <w:t>‘Parts’ of the STFOWG framework</w:t>
      </w:r>
      <w:r w:rsidR="00CF3449">
        <w:t>, which map</w:t>
      </w:r>
      <w:r w:rsidR="00034AA5">
        <w:t xml:space="preserve"> </w:t>
      </w:r>
      <w:r w:rsidR="00034AA5" w:rsidRPr="009A0964">
        <w:t>against the Steps (1-3) from the Guidelines ‘Use of surrogate outcomes to estimate final outcomes’ (Pages 108 – 109)</w:t>
      </w:r>
      <w:r w:rsidR="00CF3449">
        <w:t>,</w:t>
      </w:r>
      <w:r w:rsidR="00034AA5" w:rsidRPr="009A0964">
        <w:t xml:space="preserve"> </w:t>
      </w:r>
      <w:r w:rsidR="00034AA5">
        <w:t xml:space="preserve"> </w:t>
      </w:r>
      <w:r w:rsidR="00034AA5" w:rsidRPr="009A0964">
        <w:t>produc</w:t>
      </w:r>
      <w:r w:rsidR="00034AA5">
        <w:t>e</w:t>
      </w:r>
      <w:r w:rsidR="00034AA5" w:rsidRPr="009A0964">
        <w:t xml:space="preserve"> a summary framework for our evaluation. </w:t>
      </w:r>
    </w:p>
    <w:p w:rsidR="00081E81" w:rsidRDefault="0098187D" w:rsidP="0038571E">
      <w:r>
        <w:t xml:space="preserve">The information contained in each </w:t>
      </w:r>
      <w:r w:rsidR="002E3E21">
        <w:t xml:space="preserve">of the two major and one minor submission is subject to processes overseen by PBAC and its secretariat that </w:t>
      </w:r>
      <w:r w:rsidR="008D0FDD" w:rsidRPr="009A0964">
        <w:t>involve critical appraisal, deliberation, reasoning and decision making</w:t>
      </w:r>
      <w:r w:rsidR="002E3E21">
        <w:t xml:space="preserve">. The first part of the process </w:t>
      </w:r>
      <w:r w:rsidR="00E451FA">
        <w:t>evaluates</w:t>
      </w:r>
      <w:r w:rsidR="002E3E21">
        <w:t xml:space="preserve"> the validity of information used to make </w:t>
      </w:r>
      <w:r w:rsidR="00A00023">
        <w:t>judgments;</w:t>
      </w:r>
      <w:r w:rsidR="002E3E21">
        <w:t xml:space="preserve"> the second </w:t>
      </w:r>
      <w:r w:rsidR="0038571E">
        <w:t xml:space="preserve">integrates multiple criteria in </w:t>
      </w:r>
      <w:r w:rsidR="002E3E21">
        <w:t xml:space="preserve">forming </w:t>
      </w:r>
      <w:r w:rsidR="0038571E">
        <w:t>the</w:t>
      </w:r>
      <w:r w:rsidR="002E3E21">
        <w:t xml:space="preserve"> recommendation </w:t>
      </w:r>
      <w:r w:rsidR="0038571E">
        <w:t xml:space="preserve">by PBAC. We have reviewed all documents related to both the technical assessment of the information contained in each of the three submissions and the PBAC deliberations, reasoning and recommendation as reflected in the formal minutes of PBAC meetings, noting the response of the Sponsor in each instance. </w:t>
      </w:r>
      <w:r w:rsidR="000703AA">
        <w:t xml:space="preserve"> </w:t>
      </w:r>
    </w:p>
    <w:p w:rsidR="008D0FDD" w:rsidRDefault="008D0FDD" w:rsidP="00ED2D6D">
      <w:r w:rsidRPr="009A0964">
        <w:t>Above all this is regulation and legislation that mandates the process of listing medicine</w:t>
      </w:r>
      <w:r w:rsidR="00E451FA">
        <w:t>s</w:t>
      </w:r>
      <w:r w:rsidRPr="009A0964">
        <w:t xml:space="preserve"> on the PBS. </w:t>
      </w:r>
      <w:r w:rsidR="00081E81" w:rsidRPr="009A0964">
        <w:t>The outcome of the process is published and open for all to see.</w:t>
      </w:r>
      <w:r w:rsidR="00E451FA">
        <w:t xml:space="preserve"> In short, </w:t>
      </w:r>
      <w:r w:rsidRPr="009A0964">
        <w:t>PBAC has the right to decide and a responsibility to explain.</w:t>
      </w:r>
      <w:r w:rsidR="00081E81" w:rsidRPr="00081E81">
        <w:t xml:space="preserve"> </w:t>
      </w:r>
    </w:p>
    <w:p w:rsidR="00081E81" w:rsidRPr="00081E81" w:rsidRDefault="00081E81" w:rsidP="00ED2D6D">
      <w:pPr>
        <w:rPr>
          <w:b/>
        </w:rPr>
      </w:pPr>
      <w:r>
        <w:rPr>
          <w:b/>
        </w:rPr>
        <w:t>PBAC’s right to decide and responsibility to explain</w:t>
      </w:r>
    </w:p>
    <w:p w:rsidR="00C92F39" w:rsidRDefault="00C92F39" w:rsidP="00ED2D6D">
      <w:r>
        <w:t>Our assessment of the first ground of the review “</w:t>
      </w:r>
      <w:r w:rsidRPr="007269F4">
        <w:t>PBAC Criteria for Fixed Dose Combination Products</w:t>
      </w:r>
      <w:r>
        <w:t xml:space="preserve">” focuses on the PBAC’s responsibility to explain its deliberations, reasoning and recommendation in a clear and open manner. It also addresses </w:t>
      </w:r>
      <w:r w:rsidRPr="009A0964">
        <w:t>the requirements for assessing Fixed Dose Combination (FDC) drugs</w:t>
      </w:r>
      <w:r>
        <w:t xml:space="preserve">, which </w:t>
      </w:r>
      <w:r w:rsidRPr="009A0964">
        <w:t xml:space="preserve"> relates to Part IV of the Guidelines and specifically to PT1.1 “Matters to consider for the listing of fixed combination products” and the table on ‘Information requests’ (page 211). </w:t>
      </w:r>
    </w:p>
    <w:p w:rsidR="00C92F39" w:rsidRDefault="00C92F39" w:rsidP="00ED2D6D"/>
    <w:p w:rsidR="008D0FDD" w:rsidRDefault="008D0FDD" w:rsidP="00ED2D6D">
      <w:r w:rsidRPr="009A0964">
        <w:t xml:space="preserve">The responsibility to explain in a clear and open manner goes to the heart of the matters assessed in this </w:t>
      </w:r>
      <w:r w:rsidR="002E0A95">
        <w:t>In</w:t>
      </w:r>
      <w:r w:rsidRPr="009A0964">
        <w:t xml:space="preserve">dependent </w:t>
      </w:r>
      <w:r w:rsidR="002E0A95">
        <w:t>R</w:t>
      </w:r>
      <w:r w:rsidRPr="009A0964">
        <w:t xml:space="preserve">eview of PBAC’s decision on the </w:t>
      </w:r>
      <w:r w:rsidR="004B2048">
        <w:t>Vimovo®</w:t>
      </w:r>
      <w:r w:rsidRPr="009A0964">
        <w:t xml:space="preserve"> applicatio</w:t>
      </w:r>
      <w:r w:rsidR="002E0A95">
        <w:t>n</w:t>
      </w:r>
      <w:r w:rsidR="008F64E7">
        <w:t>s</w:t>
      </w:r>
      <w:r w:rsidR="002E0A95">
        <w:t>.</w:t>
      </w:r>
      <w:r w:rsidRPr="009A0964">
        <w:t xml:space="preserve"> </w:t>
      </w:r>
      <w:r w:rsidR="00546335">
        <w:t xml:space="preserve">PBAC were </w:t>
      </w:r>
      <w:r w:rsidR="004B2048">
        <w:t xml:space="preserve">working </w:t>
      </w:r>
      <w:r w:rsidR="00546335">
        <w:t xml:space="preserve">well within their responsibilities in their continued rejection of the </w:t>
      </w:r>
      <w:r w:rsidR="004B2048">
        <w:t>Vimovo®</w:t>
      </w:r>
      <w:r w:rsidR="009E3163">
        <w:t xml:space="preserve"> application for listing on the PBS.  However o</w:t>
      </w:r>
      <w:r w:rsidR="000E03B7">
        <w:t>ur review finds that i</w:t>
      </w:r>
      <w:r w:rsidRPr="009A0964">
        <w:t xml:space="preserve">n this instance, </w:t>
      </w:r>
      <w:r w:rsidR="000E03B7">
        <w:t xml:space="preserve">the </w:t>
      </w:r>
      <w:r w:rsidRPr="009A0964">
        <w:t xml:space="preserve">PBAC has not adequately explained its decision to reject the </w:t>
      </w:r>
      <w:r w:rsidR="004B2048">
        <w:t>Vimovo®</w:t>
      </w:r>
      <w:r w:rsidRPr="009A0964">
        <w:t xml:space="preserve"> application</w:t>
      </w:r>
      <w:r w:rsidR="00EC5BC1">
        <w:t xml:space="preserve">. </w:t>
      </w:r>
      <w:r w:rsidRPr="009A0964">
        <w:t xml:space="preserve">The reasons for the decision to reject the </w:t>
      </w:r>
      <w:r w:rsidR="004B2048">
        <w:t>Vimovo®</w:t>
      </w:r>
      <w:r w:rsidRPr="009A0964">
        <w:t xml:space="preserve"> application could have been explained in </w:t>
      </w:r>
      <w:r w:rsidR="004B2048">
        <w:t xml:space="preserve">the minutes in </w:t>
      </w:r>
      <w:r w:rsidRPr="009A0964">
        <w:t xml:space="preserve">a more consistent, transparent and timely manner. </w:t>
      </w:r>
    </w:p>
    <w:p w:rsidR="000C1073" w:rsidRPr="00511937" w:rsidRDefault="00511937" w:rsidP="00ED2D6D">
      <w:pPr>
        <w:rPr>
          <w:b/>
        </w:rPr>
      </w:pPr>
      <w:r>
        <w:rPr>
          <w:b/>
        </w:rPr>
        <w:t xml:space="preserve">Judgment </w:t>
      </w:r>
      <w:r w:rsidR="00E23F24">
        <w:rPr>
          <w:b/>
        </w:rPr>
        <w:t>under conditions</w:t>
      </w:r>
      <w:r>
        <w:rPr>
          <w:b/>
        </w:rPr>
        <w:t xml:space="preserve"> of uncertainty</w:t>
      </w:r>
    </w:p>
    <w:p w:rsidR="00825BE1" w:rsidRDefault="008D0FDD" w:rsidP="00ED2D6D">
      <w:r w:rsidRPr="009A0964">
        <w:t xml:space="preserve">Whilst judgment in the face of uncertainty characterizes every decision to a list a new product on the PBS, there were a number of aspects of </w:t>
      </w:r>
      <w:r w:rsidR="00183B6E">
        <w:t xml:space="preserve">the </w:t>
      </w:r>
      <w:r w:rsidR="004B2048">
        <w:t>Vimovo®</w:t>
      </w:r>
      <w:r w:rsidRPr="009A0964">
        <w:t xml:space="preserve"> submission that compounded the level of uncertainty</w:t>
      </w:r>
      <w:r w:rsidR="004B2048">
        <w:t xml:space="preserve"> for PBAC</w:t>
      </w:r>
      <w:r w:rsidRPr="009A0964">
        <w:t>.</w:t>
      </w:r>
      <w:r w:rsidR="00041F5C">
        <w:t xml:space="preserve"> Decisions must be made on the basis of the best available evidence – the question is whether that evidence is good enough to satisfy a claim for non-inferiority.</w:t>
      </w:r>
    </w:p>
    <w:p w:rsidR="004A6C8C" w:rsidRDefault="00825BE1" w:rsidP="00ED2D6D">
      <w:r>
        <w:t>Our assessment of the second ground of the review “</w:t>
      </w:r>
      <w:r w:rsidR="00A60513" w:rsidRPr="00A60513">
        <w:t>Validity of the surrogate outcome and non-inferiority</w:t>
      </w:r>
      <w:r>
        <w:t xml:space="preserve">” focuses on </w:t>
      </w:r>
      <w:r w:rsidR="004A6C8C">
        <w:t>the extent to which the information presented in the submissions fulfils the parts of the STFOWG</w:t>
      </w:r>
      <w:r w:rsidR="004A6C8C" w:rsidRPr="009A0964">
        <w:t xml:space="preserve"> framework for evaluating proposed surrogate measures and their use in submissions to the PBAC</w:t>
      </w:r>
      <w:r w:rsidR="004A6C8C">
        <w:t xml:space="preserve">. We also assess the level of evidence presented by the Sponsor to establish non-inferiority and likewise assess PBAC’s </w:t>
      </w:r>
      <w:r w:rsidR="00041F5C">
        <w:t xml:space="preserve">evaluation of that evidence. </w:t>
      </w:r>
      <w:r w:rsidR="00041F5C" w:rsidRPr="009A0964">
        <w:t>Our review includes an assessment of whether sources of uncertainty have been adequately explained and communicated in the minutes of PBAC.</w:t>
      </w:r>
      <w:r w:rsidR="00041F5C">
        <w:t xml:space="preserve"> The second ground of the review reinforces our view that PBAC has the right to decide and a responsibility to explain.</w:t>
      </w:r>
      <w:r w:rsidR="004A6C8C">
        <w:t xml:space="preserve"> </w:t>
      </w:r>
    </w:p>
    <w:p w:rsidR="00825BE1" w:rsidRPr="00041F5C" w:rsidRDefault="00A60513" w:rsidP="00ED2D6D">
      <w:pPr>
        <w:rPr>
          <w:b/>
        </w:rPr>
      </w:pPr>
      <w:r w:rsidRPr="00A60513">
        <w:rPr>
          <w:b/>
        </w:rPr>
        <w:t>Future demand and financial impact</w:t>
      </w:r>
    </w:p>
    <w:p w:rsidR="008D0FDD" w:rsidRDefault="00A43160" w:rsidP="00ED2D6D">
      <w:r>
        <w:t xml:space="preserve">The overall net cost to the PBS of listing </w:t>
      </w:r>
      <w:r w:rsidR="004B2048">
        <w:t>Vimovo®</w:t>
      </w:r>
      <w:r>
        <w:t xml:space="preserve"> is a function of price (of the product and its compa</w:t>
      </w:r>
      <w:r w:rsidR="00183B6E">
        <w:t>ra</w:t>
      </w:r>
      <w:r>
        <w:t>tor/</w:t>
      </w:r>
      <w:r w:rsidR="00183B6E">
        <w:t>competitors</w:t>
      </w:r>
      <w:r>
        <w:t xml:space="preserve">) and quantity (uptake and substitution). </w:t>
      </w:r>
      <w:r w:rsidR="008D0FDD" w:rsidRPr="009A0964">
        <w:t xml:space="preserve"> </w:t>
      </w:r>
      <w:r>
        <w:t>The third ground of the review “</w:t>
      </w:r>
      <w:r w:rsidR="00A60513" w:rsidRPr="00A60513">
        <w:t xml:space="preserve">Continuing concern that the listing of </w:t>
      </w:r>
      <w:r w:rsidR="004B2048">
        <w:t>Vimovo®</w:t>
      </w:r>
      <w:r w:rsidR="00A60513" w:rsidRPr="00A60513">
        <w:t xml:space="preserve"> could result in increased costs to the PB</w:t>
      </w:r>
      <w:r>
        <w:t>S” focuses the evidence used to support this claim. The reviewer</w:t>
      </w:r>
      <w:r w:rsidR="00183B6E">
        <w:t>s</w:t>
      </w:r>
      <w:r>
        <w:t xml:space="preserve"> used the Sponsor’s Section E financial impact model to conduct further one-way sensitivity analyses in an attempt to establish the likely cause of concern about increasing costs. </w:t>
      </w:r>
    </w:p>
    <w:p w:rsidR="000C1073" w:rsidRPr="009A0964" w:rsidRDefault="006C235F" w:rsidP="00ED2D6D">
      <w:r>
        <w:t xml:space="preserve">The following three sections summarises our approach, conclusions and recommendations relating to each of the three substantive grounds for the review. </w:t>
      </w:r>
      <w:r w:rsidR="00B02946">
        <w:t xml:space="preserve">The companion reports prepared by the primary and secondary reviewers provide further detail on our analysis of each of the three grounds for the </w:t>
      </w:r>
      <w:r w:rsidR="004B2048">
        <w:t>Independent Review</w:t>
      </w:r>
      <w:r w:rsidR="00B02946">
        <w:t xml:space="preserve">. </w:t>
      </w:r>
    </w:p>
    <w:p w:rsidR="008D0FDD" w:rsidRPr="009A0964" w:rsidRDefault="002E0A95" w:rsidP="00ED2D6D">
      <w:r>
        <w:t>The first ground for review relates to the PBAC Guidelines.</w:t>
      </w:r>
    </w:p>
    <w:p w:rsidR="008D0FDD" w:rsidRDefault="008D0FDD" w:rsidP="002E0A95">
      <w:pPr>
        <w:pStyle w:val="Heading2"/>
      </w:pPr>
      <w:bookmarkStart w:id="21" w:name="_Toc356560737"/>
      <w:r w:rsidRPr="002E0A95">
        <w:t>PBAC Criteria for Fixed Dose Combination Products</w:t>
      </w:r>
      <w:bookmarkEnd w:id="21"/>
    </w:p>
    <w:p w:rsidR="009E3163" w:rsidRDefault="009E3163">
      <w:pPr>
        <w:rPr>
          <w:b/>
        </w:rPr>
      </w:pPr>
    </w:p>
    <w:p w:rsidR="006D6974" w:rsidRDefault="00CD70C8">
      <w:r>
        <w:rPr>
          <w:b/>
        </w:rPr>
        <w:t>Minimum</w:t>
      </w:r>
      <w:r w:rsidR="00B02946">
        <w:rPr>
          <w:b/>
        </w:rPr>
        <w:t xml:space="preserve"> Requirements</w:t>
      </w:r>
    </w:p>
    <w:p w:rsidR="00372262" w:rsidRDefault="00F16D34" w:rsidP="00ED2D6D">
      <w:r>
        <w:t>T</w:t>
      </w:r>
      <w:r w:rsidR="008D0FDD" w:rsidRPr="009A0964">
        <w:t xml:space="preserve">here </w:t>
      </w:r>
      <w:r>
        <w:t>is</w:t>
      </w:r>
      <w:r w:rsidRPr="009A0964">
        <w:t xml:space="preserve"> </w:t>
      </w:r>
      <w:r w:rsidR="008D0FDD" w:rsidRPr="009A0964">
        <w:t>some ambiguity on the requirements for assessing Fixed Dose Combination (FDC) drugs</w:t>
      </w:r>
      <w:r w:rsidR="00372262">
        <w:t xml:space="preserve">, which </w:t>
      </w:r>
      <w:r w:rsidR="008D0FDD" w:rsidRPr="009A0964">
        <w:t xml:space="preserve"> relates to Part IV of the Guidelines and specifically to PT1.1 “Matters to consider for the listing of fixed combination products” and the table on ‘Information requests’ (page 211). </w:t>
      </w:r>
    </w:p>
    <w:p w:rsidR="008D0FDD" w:rsidRPr="009A0964" w:rsidRDefault="008D0FDD" w:rsidP="00ED2D6D">
      <w:r w:rsidRPr="009A0964">
        <w:t xml:space="preserve">What </w:t>
      </w:r>
      <w:r w:rsidR="00F16D34">
        <w:t>is</w:t>
      </w:r>
      <w:r w:rsidR="00F16D34" w:rsidRPr="009A0964">
        <w:t xml:space="preserve"> </w:t>
      </w:r>
      <w:r w:rsidRPr="009A0964">
        <w:t>stated in the Guidelines as information requests had, by the 3</w:t>
      </w:r>
      <w:r w:rsidRPr="009A0964">
        <w:rPr>
          <w:vertAlign w:val="superscript"/>
        </w:rPr>
        <w:t>rd</w:t>
      </w:r>
      <w:r w:rsidRPr="009A0964">
        <w:t xml:space="preserve"> Minor Submission, been </w:t>
      </w:r>
      <w:r w:rsidR="00F16D34">
        <w:t>re</w:t>
      </w:r>
      <w:r w:rsidRPr="009A0964">
        <w:t xml:space="preserve">presented </w:t>
      </w:r>
      <w:r w:rsidR="0023575A">
        <w:t xml:space="preserve">in the minutes </w:t>
      </w:r>
      <w:r w:rsidRPr="009A0964">
        <w:t xml:space="preserve">as a set of minimum requirements. </w:t>
      </w:r>
      <w:r w:rsidR="00372262">
        <w:t>This</w:t>
      </w:r>
      <w:r w:rsidRPr="009A0964">
        <w:t xml:space="preserve"> is not an accurate representation of the content of the Guidelines. </w:t>
      </w:r>
    </w:p>
    <w:p w:rsidR="008D0FDD" w:rsidRPr="009A0964" w:rsidRDefault="008D0FDD" w:rsidP="00ED2D6D">
      <w:r w:rsidRPr="009A0964">
        <w:t>The information available suggests that the following sequence of events has occurred:</w:t>
      </w:r>
    </w:p>
    <w:p w:rsidR="008D0FDD" w:rsidRPr="009A0964" w:rsidRDefault="008D0FDD" w:rsidP="004A704A">
      <w:pPr>
        <w:pStyle w:val="ListParagraph"/>
        <w:numPr>
          <w:ilvl w:val="0"/>
          <w:numId w:val="38"/>
        </w:numPr>
      </w:pPr>
      <w:r w:rsidRPr="009A0964">
        <w:t xml:space="preserve">PBAC has used the </w:t>
      </w:r>
      <w:r w:rsidR="00F16D34">
        <w:t>eight</w:t>
      </w:r>
      <w:r w:rsidR="00F16D34" w:rsidRPr="009A0964">
        <w:t xml:space="preserve"> </w:t>
      </w:r>
      <w:r w:rsidRPr="009A0964">
        <w:t xml:space="preserve">information requests on at </w:t>
      </w:r>
      <w:r w:rsidR="00183B6E">
        <w:t>Pt</w:t>
      </w:r>
      <w:r w:rsidRPr="009A0964">
        <w:t xml:space="preserve">1.1 of Part IV of the </w:t>
      </w:r>
      <w:r w:rsidR="003824EF">
        <w:t>Guidelines</w:t>
      </w:r>
      <w:r w:rsidRPr="009A0964">
        <w:t xml:space="preserve"> to develop </w:t>
      </w:r>
      <w:r w:rsidR="00F16D34">
        <w:t>eight</w:t>
      </w:r>
      <w:r w:rsidR="00F16D34" w:rsidRPr="009A0964">
        <w:t xml:space="preserve"> </w:t>
      </w:r>
      <w:r w:rsidRPr="009A0964">
        <w:t xml:space="preserve">requirements which it determined that </w:t>
      </w:r>
      <w:r w:rsidR="00183B6E">
        <w:t xml:space="preserve">fixed dose </w:t>
      </w:r>
      <w:r w:rsidRPr="009A0964">
        <w:t xml:space="preserve">combination products must satisfy. These are referred to as ‘minimum requirements for combination products to be eligible for consideration for PBS listing’ in an internal document which PBAC uses to assess products.  </w:t>
      </w:r>
    </w:p>
    <w:p w:rsidR="008D0FDD" w:rsidRPr="009A0964" w:rsidRDefault="008D0FDD" w:rsidP="004A704A">
      <w:pPr>
        <w:pStyle w:val="ListParagraph"/>
        <w:numPr>
          <w:ilvl w:val="0"/>
          <w:numId w:val="38"/>
        </w:numPr>
      </w:pPr>
      <w:r w:rsidRPr="009A0964">
        <w:t xml:space="preserve">PBAC decided that </w:t>
      </w:r>
      <w:r w:rsidR="004B2048">
        <w:t>Vimovo®</w:t>
      </w:r>
      <w:r w:rsidRPr="009A0964">
        <w:t xml:space="preserve"> did not satisfy the ‘minimum requirements’.</w:t>
      </w:r>
    </w:p>
    <w:p w:rsidR="008D0FDD" w:rsidRPr="009A0964" w:rsidRDefault="008D0FDD" w:rsidP="004A704A">
      <w:pPr>
        <w:pStyle w:val="ListParagraph"/>
        <w:numPr>
          <w:ilvl w:val="0"/>
          <w:numId w:val="38"/>
        </w:numPr>
      </w:pPr>
      <w:r w:rsidRPr="009A0964">
        <w:t xml:space="preserve">The PBAC Minutes, PBAC Sec OVR and March 2012 Commentary have referenced the ‘minimum requirements’ to Part IV of the </w:t>
      </w:r>
      <w:r w:rsidR="003824EF">
        <w:t>Guidelines</w:t>
      </w:r>
      <w:r w:rsidRPr="009A0964">
        <w:t xml:space="preserve">. </w:t>
      </w:r>
    </w:p>
    <w:p w:rsidR="00205DAE" w:rsidRPr="00D35606" w:rsidRDefault="008D0FDD" w:rsidP="00205DAE">
      <w:r w:rsidRPr="009A0964">
        <w:t xml:space="preserve">This reference to the </w:t>
      </w:r>
      <w:r w:rsidR="003824EF">
        <w:t>Guidelines</w:t>
      </w:r>
      <w:r w:rsidRPr="009A0964">
        <w:t xml:space="preserve"> </w:t>
      </w:r>
      <w:r w:rsidR="00205DAE">
        <w:t xml:space="preserve">in the minutes </w:t>
      </w:r>
      <w:r w:rsidRPr="009A0964">
        <w:t xml:space="preserve">is not accurate, as Part IV of the </w:t>
      </w:r>
      <w:r w:rsidR="003824EF">
        <w:t>Guidelines</w:t>
      </w:r>
      <w:r w:rsidRPr="009A0964">
        <w:t xml:space="preserve"> lists information requests only, with no indication that there are minimum requirements. </w:t>
      </w:r>
      <w:r w:rsidR="00AD0EDA">
        <w:t xml:space="preserve"> </w:t>
      </w:r>
      <w:r>
        <w:t>I</w:t>
      </w:r>
      <w:r w:rsidRPr="009A0964">
        <w:t xml:space="preserve">t is the Guidelines themselves that should remain the authoritative source for </w:t>
      </w:r>
      <w:r>
        <w:t xml:space="preserve">best </w:t>
      </w:r>
      <w:r w:rsidRPr="009A0964">
        <w:t>practice in the preparation of a submission to the PBAC.</w:t>
      </w:r>
      <w:r w:rsidR="00205DAE">
        <w:t xml:space="preserve"> It is within the PBAC charter to use internal documents to assist in considering submissions, but where they become mandatory the Guidelines should be amended to reflect this fact. PBAC should also consider making it clear that meeting such criteria would not, of itself, guarantee a positive recommendation as there may be other</w:t>
      </w:r>
      <w:r w:rsidR="00183B6E">
        <w:t xml:space="preserve"> relevant matters that the </w:t>
      </w:r>
      <w:r w:rsidR="00205DAE">
        <w:t>PBAC would consider on a case-by-case basis.</w:t>
      </w:r>
    </w:p>
    <w:p w:rsidR="00B02946" w:rsidRPr="00B02946" w:rsidRDefault="00B02946" w:rsidP="00ED2D6D">
      <w:pPr>
        <w:rPr>
          <w:b/>
        </w:rPr>
      </w:pPr>
      <w:r>
        <w:rPr>
          <w:b/>
        </w:rPr>
        <w:t xml:space="preserve">Disclosure </w:t>
      </w:r>
    </w:p>
    <w:p w:rsidR="008D0FDD" w:rsidRDefault="008D0FDD" w:rsidP="00ED2D6D">
      <w:r w:rsidRPr="009A0964">
        <w:t>Secondly, the PBAC requirement for meeting all criteria of Pt1.1 only emerged on the 3</w:t>
      </w:r>
      <w:r w:rsidRPr="009A0964">
        <w:rPr>
          <w:vertAlign w:val="superscript"/>
        </w:rPr>
        <w:t>rd</w:t>
      </w:r>
      <w:r w:rsidRPr="009A0964">
        <w:t xml:space="preserve"> </w:t>
      </w:r>
      <w:r w:rsidR="004B2048">
        <w:t>Vimovo®</w:t>
      </w:r>
      <w:r w:rsidRPr="009A0964">
        <w:t xml:space="preserve"> submission. Given the cost, effort and time involved in the preparation and evaluation of a submission for listing a new product on the PBS, the formal (committee-based) and informal (pre</w:t>
      </w:r>
      <w:r w:rsidR="00487DBE">
        <w:t>-</w:t>
      </w:r>
      <w:r w:rsidRPr="009A0964">
        <w:t xml:space="preserve"> and post</w:t>
      </w:r>
      <w:r w:rsidR="00487DBE">
        <w:t>-</w:t>
      </w:r>
      <w:r w:rsidRPr="009A0964">
        <w:t xml:space="preserve">submission meetings) meetings are both exemplar processes for assessing the expected value of information within the overall remit to consider the clinical, economic and other aspects of a new product for listing on the PBS. The processes are exemplars in the sense that PBAC strives for transparency in its proceedings consistent with the secrecy provision of the Act. That openness promotes resource effective and accountable </w:t>
      </w:r>
      <w:r w:rsidR="006931A9" w:rsidRPr="009A0964">
        <w:t>behaviour</w:t>
      </w:r>
      <w:r w:rsidRPr="009A0964">
        <w:t xml:space="preserve"> by PBAC. We acknowledge the value of PBAC’s approach to work with a </w:t>
      </w:r>
      <w:r w:rsidR="003824EF">
        <w:t>Sponsor</w:t>
      </w:r>
      <w:r w:rsidRPr="009A0964">
        <w:t xml:space="preserve"> through the pre</w:t>
      </w:r>
      <w:r w:rsidR="00487DBE">
        <w:t>-</w:t>
      </w:r>
      <w:r w:rsidRPr="009A0964">
        <w:t xml:space="preserve"> and post</w:t>
      </w:r>
      <w:r w:rsidR="00487DBE">
        <w:t>-</w:t>
      </w:r>
      <w:r w:rsidRPr="009A0964">
        <w:t xml:space="preserve">PBAC meetings to clarify issues, highlight uncertainties and strive for early formal disclosure of the reasons for its decisions. </w:t>
      </w:r>
    </w:p>
    <w:p w:rsidR="00B02946" w:rsidRPr="00B02946" w:rsidRDefault="00B02946" w:rsidP="00ED2D6D">
      <w:pPr>
        <w:rPr>
          <w:b/>
        </w:rPr>
      </w:pPr>
      <w:r>
        <w:rPr>
          <w:b/>
        </w:rPr>
        <w:t xml:space="preserve">Consistency </w:t>
      </w:r>
    </w:p>
    <w:p w:rsidR="008F64E7" w:rsidRPr="007B5049" w:rsidRDefault="008D0FDD" w:rsidP="00C96D5F">
      <w:r w:rsidRPr="009A0964">
        <w:t>Thirdly, the issue of consistency of PBAC’s decision making with respect to fixed dose combination products was considered by the Review team. All things being equal, identical FDCs being considered for listing in the context of a static market would result in the same conclusion. But all things are not equal and consistency in decision-making is difficult to achieve in the context of emerging products in dynamic markets.</w:t>
      </w:r>
      <w:r w:rsidR="00B02946">
        <w:t xml:space="preserve"> </w:t>
      </w:r>
      <w:r w:rsidR="005756E7">
        <w:t>Comparison is the main objective of the PBAC processes for listing a new product on the PBS</w:t>
      </w:r>
      <w:r w:rsidR="008F64E7">
        <w:t xml:space="preserve">  Section 101 3(A) of the </w:t>
      </w:r>
      <w:r w:rsidR="008F64E7" w:rsidRPr="007B5049">
        <w:t>National Health Act says ‘For the purpose of deciding whether to recommend to the Minister that a drug or medicinal preparation, or a class of drugs and medicinal preparations, be made available as pharmaceutical benefits under this Part, the Committee shall give consideration to the effectiveness and cost of therapy involving the use of the drug, preparation or class, including by comparing the effectiveness and cost of that therapy with that of alternative therapies, whether or not involving the use of other drugs or preparations.’</w:t>
      </w:r>
    </w:p>
    <w:p w:rsidR="008D0FDD" w:rsidRPr="00EC0163" w:rsidRDefault="008D0FDD" w:rsidP="005F5F80">
      <w:pPr>
        <w:pStyle w:val="Heading3"/>
        <w:rPr>
          <w:rFonts w:asciiTheme="minorHAnsi" w:hAnsiTheme="minorHAnsi" w:cstheme="minorHAnsi"/>
        </w:rPr>
      </w:pPr>
      <w:bookmarkStart w:id="22" w:name="_Toc356560738"/>
      <w:r w:rsidRPr="00EC0163">
        <w:rPr>
          <w:rFonts w:asciiTheme="minorHAnsi" w:hAnsiTheme="minorHAnsi" w:cstheme="minorHAnsi"/>
        </w:rPr>
        <w:t>Conclusions</w:t>
      </w:r>
      <w:bookmarkEnd w:id="22"/>
    </w:p>
    <w:p w:rsidR="00AD0EDA" w:rsidRPr="00EC0163" w:rsidRDefault="008D0FDD" w:rsidP="008D0FDD">
      <w:pPr>
        <w:widowControl w:val="0"/>
        <w:autoSpaceDE w:val="0"/>
        <w:autoSpaceDN w:val="0"/>
        <w:adjustRightInd w:val="0"/>
        <w:rPr>
          <w:rFonts w:ascii="Calibri" w:hAnsi="Calibri" w:cs="Calibri"/>
        </w:rPr>
      </w:pPr>
      <w:r w:rsidRPr="00EC0163">
        <w:rPr>
          <w:rFonts w:ascii="Calibri" w:hAnsi="Calibri" w:cs="Calibri"/>
        </w:rPr>
        <w:t xml:space="preserve">In this instance PBAC </w:t>
      </w:r>
      <w:r w:rsidR="00F16D34" w:rsidRPr="00EC0163">
        <w:rPr>
          <w:rFonts w:ascii="Calibri" w:hAnsi="Calibri" w:cs="Calibri"/>
        </w:rPr>
        <w:t xml:space="preserve">documentation </w:t>
      </w:r>
      <w:r w:rsidRPr="00EC0163">
        <w:rPr>
          <w:rFonts w:ascii="Calibri" w:hAnsi="Calibri" w:cs="Calibri"/>
        </w:rPr>
        <w:t xml:space="preserve">did not ensure that minimum requirements and/or threshold issues were communicated to the applicant early in the assessment process. </w:t>
      </w:r>
    </w:p>
    <w:p w:rsidR="008D0FDD" w:rsidRPr="00EC0163" w:rsidRDefault="008D0FDD" w:rsidP="008D0FDD">
      <w:pPr>
        <w:widowControl w:val="0"/>
        <w:autoSpaceDE w:val="0"/>
        <w:autoSpaceDN w:val="0"/>
        <w:adjustRightInd w:val="0"/>
        <w:rPr>
          <w:rFonts w:ascii="Calibri" w:hAnsi="Calibri" w:cs="Calibri"/>
        </w:rPr>
      </w:pPr>
      <w:r w:rsidRPr="00EC0163">
        <w:rPr>
          <w:rFonts w:ascii="Calibri" w:hAnsi="Calibri" w:cs="Calibri"/>
        </w:rPr>
        <w:t xml:space="preserve">In general, the quality and clarity of the minutes </w:t>
      </w:r>
      <w:r w:rsidR="00487DBE" w:rsidRPr="00EC0163">
        <w:rPr>
          <w:rFonts w:ascii="Calibri" w:hAnsi="Calibri" w:cs="Calibri"/>
        </w:rPr>
        <w:t xml:space="preserve">regarding the </w:t>
      </w:r>
      <w:r w:rsidR="004B2048">
        <w:rPr>
          <w:rFonts w:ascii="Calibri" w:hAnsi="Calibri" w:cs="Calibri"/>
        </w:rPr>
        <w:t>Vimovo®</w:t>
      </w:r>
      <w:r w:rsidRPr="00EC0163">
        <w:rPr>
          <w:rFonts w:ascii="Calibri" w:hAnsi="Calibri" w:cs="Calibri"/>
        </w:rPr>
        <w:t xml:space="preserve"> </w:t>
      </w:r>
      <w:r w:rsidR="00487DBE" w:rsidRPr="00EC0163">
        <w:rPr>
          <w:rFonts w:ascii="Calibri" w:hAnsi="Calibri" w:cs="Calibri"/>
        </w:rPr>
        <w:t xml:space="preserve">applications </w:t>
      </w:r>
      <w:r w:rsidRPr="00EC0163">
        <w:rPr>
          <w:rFonts w:ascii="Calibri" w:hAnsi="Calibri" w:cs="Calibri"/>
        </w:rPr>
        <w:t xml:space="preserve">could </w:t>
      </w:r>
      <w:r w:rsidR="00AD0EDA" w:rsidRPr="00EC0163">
        <w:rPr>
          <w:rFonts w:ascii="Calibri" w:hAnsi="Calibri" w:cs="Calibri"/>
        </w:rPr>
        <w:t xml:space="preserve">have </w:t>
      </w:r>
      <w:r w:rsidRPr="00EC0163">
        <w:rPr>
          <w:rFonts w:ascii="Calibri" w:hAnsi="Calibri" w:cs="Calibri"/>
        </w:rPr>
        <w:t>be</w:t>
      </w:r>
      <w:r w:rsidR="00AD0EDA" w:rsidRPr="00EC0163">
        <w:rPr>
          <w:rFonts w:ascii="Calibri" w:hAnsi="Calibri" w:cs="Calibri"/>
        </w:rPr>
        <w:t>en</w:t>
      </w:r>
      <w:r w:rsidRPr="00EC0163">
        <w:rPr>
          <w:rFonts w:ascii="Calibri" w:hAnsi="Calibri" w:cs="Calibri"/>
        </w:rPr>
        <w:t xml:space="preserve"> improved. </w:t>
      </w:r>
      <w:r w:rsidR="00AD0EDA" w:rsidRPr="00EC0163">
        <w:rPr>
          <w:rFonts w:ascii="Calibri" w:hAnsi="Calibri" w:cs="Calibri"/>
        </w:rPr>
        <w:t xml:space="preserve">As drafted, </w:t>
      </w:r>
      <w:r w:rsidR="00487DBE" w:rsidRPr="00EC0163">
        <w:rPr>
          <w:rFonts w:ascii="Calibri" w:hAnsi="Calibri" w:cs="Calibri"/>
        </w:rPr>
        <w:t>the minutes</w:t>
      </w:r>
      <w:r w:rsidR="00AD0EDA" w:rsidRPr="00EC0163">
        <w:rPr>
          <w:rFonts w:ascii="Calibri" w:hAnsi="Calibri" w:cs="Calibri"/>
        </w:rPr>
        <w:t xml:space="preserve"> conflate </w:t>
      </w:r>
      <w:r w:rsidR="00A27297" w:rsidRPr="00EC0163">
        <w:rPr>
          <w:rFonts w:ascii="Calibri" w:hAnsi="Calibri" w:cs="Calibri"/>
        </w:rPr>
        <w:t xml:space="preserve">technical </w:t>
      </w:r>
      <w:r w:rsidR="00AD0EDA" w:rsidRPr="00EC0163">
        <w:rPr>
          <w:rFonts w:ascii="Calibri" w:hAnsi="Calibri" w:cs="Calibri"/>
        </w:rPr>
        <w:t xml:space="preserve">requirements of the </w:t>
      </w:r>
      <w:r w:rsidR="00EA5A38">
        <w:rPr>
          <w:rFonts w:ascii="Calibri" w:hAnsi="Calibri" w:cs="Calibri"/>
        </w:rPr>
        <w:t>Sponsor</w:t>
      </w:r>
      <w:r w:rsidR="00AD0EDA" w:rsidRPr="00EC0163">
        <w:rPr>
          <w:rFonts w:ascii="Calibri" w:hAnsi="Calibri" w:cs="Calibri"/>
        </w:rPr>
        <w:t xml:space="preserve"> with </w:t>
      </w:r>
      <w:r w:rsidR="008F64E7">
        <w:rPr>
          <w:rFonts w:ascii="Calibri" w:hAnsi="Calibri" w:cs="Calibri"/>
        </w:rPr>
        <w:t>PBAC</w:t>
      </w:r>
      <w:r w:rsidR="00A27297" w:rsidRPr="00EC0163">
        <w:rPr>
          <w:rFonts w:ascii="Calibri" w:hAnsi="Calibri" w:cs="Calibri"/>
        </w:rPr>
        <w:t xml:space="preserve"> judgments about evidence</w:t>
      </w:r>
      <w:r w:rsidR="00487DBE" w:rsidRPr="00EC0163">
        <w:rPr>
          <w:rFonts w:ascii="Calibri" w:hAnsi="Calibri" w:cs="Calibri"/>
        </w:rPr>
        <w:t>.</w:t>
      </w:r>
      <w:r w:rsidR="00AD0EDA" w:rsidRPr="00EC0163">
        <w:rPr>
          <w:rFonts w:ascii="Calibri" w:hAnsi="Calibri" w:cs="Calibri"/>
        </w:rPr>
        <w:t xml:space="preserve"> Also, t</w:t>
      </w:r>
      <w:r w:rsidRPr="00EC0163">
        <w:rPr>
          <w:rFonts w:ascii="Calibri" w:hAnsi="Calibri" w:cs="Calibri"/>
        </w:rPr>
        <w:t xml:space="preserve">he reasons for PBAC decisions </w:t>
      </w:r>
      <w:r w:rsidR="00487DBE" w:rsidRPr="00EC0163">
        <w:rPr>
          <w:rFonts w:ascii="Calibri" w:hAnsi="Calibri" w:cs="Calibri"/>
        </w:rPr>
        <w:t xml:space="preserve">related to the </w:t>
      </w:r>
      <w:r w:rsidR="004B2048">
        <w:rPr>
          <w:rFonts w:ascii="Calibri" w:hAnsi="Calibri" w:cs="Calibri"/>
        </w:rPr>
        <w:t>Vimovo®</w:t>
      </w:r>
      <w:r w:rsidR="00487DBE" w:rsidRPr="00EC0163">
        <w:rPr>
          <w:rFonts w:ascii="Calibri" w:hAnsi="Calibri" w:cs="Calibri"/>
        </w:rPr>
        <w:t xml:space="preserve"> application </w:t>
      </w:r>
      <w:r w:rsidRPr="00EC0163">
        <w:rPr>
          <w:rFonts w:ascii="Calibri" w:hAnsi="Calibri" w:cs="Calibri"/>
        </w:rPr>
        <w:t xml:space="preserve">were not </w:t>
      </w:r>
      <w:r w:rsidR="00FD2BD6">
        <w:rPr>
          <w:rFonts w:ascii="Calibri" w:hAnsi="Calibri" w:cs="Calibri"/>
        </w:rPr>
        <w:t xml:space="preserve">as </w:t>
      </w:r>
      <w:r w:rsidRPr="00EC0163">
        <w:rPr>
          <w:rFonts w:ascii="Calibri" w:hAnsi="Calibri" w:cs="Calibri"/>
        </w:rPr>
        <w:t xml:space="preserve">adequately communicated in writing to the </w:t>
      </w:r>
      <w:r w:rsidR="003824EF" w:rsidRPr="00EC0163">
        <w:rPr>
          <w:rFonts w:ascii="Calibri" w:hAnsi="Calibri" w:cs="Calibri"/>
        </w:rPr>
        <w:t>Sponsor</w:t>
      </w:r>
      <w:r w:rsidR="00FD2BD6">
        <w:rPr>
          <w:rFonts w:ascii="Calibri" w:hAnsi="Calibri" w:cs="Calibri"/>
        </w:rPr>
        <w:t xml:space="preserve"> as they could have been</w:t>
      </w:r>
      <w:r w:rsidRPr="00EC0163">
        <w:rPr>
          <w:rFonts w:ascii="Calibri" w:hAnsi="Calibri" w:cs="Calibri"/>
        </w:rPr>
        <w:t>. For example, the persistent use of the word ‘uncertainty’ in the minutes obscures the need to explain the reasoning used and conclusions reached by PBAC.</w:t>
      </w:r>
    </w:p>
    <w:p w:rsidR="005756E7" w:rsidRPr="005756E7" w:rsidRDefault="005756E7" w:rsidP="008D0FDD">
      <w:pPr>
        <w:widowControl w:val="0"/>
        <w:autoSpaceDE w:val="0"/>
        <w:autoSpaceDN w:val="0"/>
        <w:adjustRightInd w:val="0"/>
        <w:rPr>
          <w:rFonts w:ascii="Calibri" w:hAnsi="Calibri" w:cs="Calibri"/>
          <w:b/>
        </w:rPr>
      </w:pPr>
      <w:r>
        <w:rPr>
          <w:rFonts w:ascii="Calibri" w:hAnsi="Calibri" w:cs="Calibri"/>
          <w:b/>
        </w:rPr>
        <w:t>Just and accountable decision making</w:t>
      </w:r>
    </w:p>
    <w:p w:rsidR="008D0FDD" w:rsidRPr="009A0964" w:rsidRDefault="008D0FDD" w:rsidP="008D0FDD">
      <w:pPr>
        <w:widowControl w:val="0"/>
        <w:autoSpaceDE w:val="0"/>
        <w:autoSpaceDN w:val="0"/>
        <w:adjustRightInd w:val="0"/>
        <w:rPr>
          <w:rFonts w:ascii="Calibri" w:hAnsi="Calibri" w:cs="Calibri"/>
        </w:rPr>
      </w:pPr>
      <w:r w:rsidRPr="009A0964">
        <w:rPr>
          <w:rFonts w:ascii="Calibri" w:hAnsi="Calibri" w:cs="Calibri"/>
        </w:rPr>
        <w:t>In light of our observations we suggest that the basic principles of just and accountable decision-making generally afford the applicant the right to:</w:t>
      </w:r>
    </w:p>
    <w:p w:rsidR="008D0FDD" w:rsidRPr="009A0964" w:rsidRDefault="008D0FDD" w:rsidP="008D0FDD">
      <w:pPr>
        <w:widowControl w:val="0"/>
        <w:numPr>
          <w:ilvl w:val="0"/>
          <w:numId w:val="3"/>
        </w:numPr>
        <w:autoSpaceDE w:val="0"/>
        <w:autoSpaceDN w:val="0"/>
        <w:adjustRightInd w:val="0"/>
        <w:spacing w:after="0"/>
        <w:rPr>
          <w:rFonts w:ascii="Calibri" w:hAnsi="Calibri" w:cs="Calibri"/>
        </w:rPr>
      </w:pPr>
      <w:r w:rsidRPr="009A0964">
        <w:rPr>
          <w:rFonts w:ascii="Calibri" w:hAnsi="Calibri" w:cs="Calibri"/>
        </w:rPr>
        <w:t>Know what criteria they must satisfy;</w:t>
      </w:r>
    </w:p>
    <w:p w:rsidR="008D0FDD" w:rsidRPr="009A0964" w:rsidRDefault="008D0FDD" w:rsidP="008D0FDD">
      <w:pPr>
        <w:widowControl w:val="0"/>
        <w:numPr>
          <w:ilvl w:val="0"/>
          <w:numId w:val="3"/>
        </w:numPr>
        <w:autoSpaceDE w:val="0"/>
        <w:autoSpaceDN w:val="0"/>
        <w:adjustRightInd w:val="0"/>
        <w:spacing w:after="0"/>
        <w:rPr>
          <w:rFonts w:ascii="Calibri" w:hAnsi="Calibri" w:cs="Calibri"/>
        </w:rPr>
      </w:pPr>
      <w:r w:rsidRPr="009A0964">
        <w:rPr>
          <w:rFonts w:ascii="Calibri" w:hAnsi="Calibri" w:cs="Calibri"/>
        </w:rPr>
        <w:t>Be heard - to provide information and argue their case;</w:t>
      </w:r>
    </w:p>
    <w:p w:rsidR="008D0FDD" w:rsidRPr="009A0964" w:rsidRDefault="008D0FDD" w:rsidP="008D0FDD">
      <w:pPr>
        <w:widowControl w:val="0"/>
        <w:numPr>
          <w:ilvl w:val="0"/>
          <w:numId w:val="3"/>
        </w:numPr>
        <w:autoSpaceDE w:val="0"/>
        <w:autoSpaceDN w:val="0"/>
        <w:adjustRightInd w:val="0"/>
        <w:spacing w:after="0"/>
        <w:rPr>
          <w:rFonts w:ascii="Calibri" w:hAnsi="Calibri" w:cs="Calibri"/>
        </w:rPr>
      </w:pPr>
      <w:r w:rsidRPr="009A0964">
        <w:rPr>
          <w:rFonts w:ascii="Calibri" w:hAnsi="Calibri" w:cs="Calibri"/>
        </w:rPr>
        <w:t>Know what information has been considered in making the decision; and</w:t>
      </w:r>
    </w:p>
    <w:p w:rsidR="008D0FDD" w:rsidRDefault="008D0FDD" w:rsidP="008D0FDD">
      <w:pPr>
        <w:pStyle w:val="ListParagraph"/>
        <w:widowControl w:val="0"/>
        <w:numPr>
          <w:ilvl w:val="0"/>
          <w:numId w:val="3"/>
        </w:numPr>
        <w:autoSpaceDE w:val="0"/>
        <w:autoSpaceDN w:val="0"/>
        <w:adjustRightInd w:val="0"/>
        <w:spacing w:after="0"/>
        <w:rPr>
          <w:rFonts w:ascii="Calibri" w:hAnsi="Calibri" w:cs="Calibri"/>
        </w:rPr>
      </w:pPr>
      <w:r w:rsidRPr="009A0964">
        <w:rPr>
          <w:rFonts w:ascii="Calibri" w:hAnsi="Calibri" w:cs="Calibri"/>
        </w:rPr>
        <w:t>Know the reasons for the decision.</w:t>
      </w:r>
    </w:p>
    <w:p w:rsidR="008D0FDD" w:rsidRPr="009A0964" w:rsidRDefault="008D0FDD" w:rsidP="003233C6">
      <w:pPr>
        <w:rPr>
          <w:rFonts w:ascii="Calibri" w:hAnsi="Calibri" w:cs="Calibri"/>
        </w:rPr>
      </w:pPr>
      <w:r w:rsidRPr="009A0964">
        <w:rPr>
          <w:rFonts w:ascii="Calibri" w:hAnsi="Calibri" w:cs="Calibri"/>
        </w:rPr>
        <w:t>This leads us to the following recommendations:</w:t>
      </w:r>
    </w:p>
    <w:p w:rsidR="008D0FDD" w:rsidRPr="009A0964" w:rsidRDefault="008D0FDD" w:rsidP="003233C6">
      <w:pPr>
        <w:widowControl w:val="0"/>
        <w:autoSpaceDE w:val="0"/>
        <w:autoSpaceDN w:val="0"/>
        <w:adjustRightInd w:val="0"/>
        <w:rPr>
          <w:rFonts w:ascii="Calibri" w:hAnsi="Calibri" w:cs="Calibri"/>
          <w:b/>
        </w:rPr>
      </w:pPr>
      <w:r w:rsidRPr="009A0964">
        <w:rPr>
          <w:rFonts w:ascii="Calibri" w:hAnsi="Calibri" w:cs="Calibri"/>
          <w:b/>
        </w:rPr>
        <w:t>Recommendation 1</w:t>
      </w:r>
    </w:p>
    <w:p w:rsidR="008D0FDD" w:rsidRPr="009A0964" w:rsidRDefault="008D0FDD" w:rsidP="003233C6">
      <w:pPr>
        <w:widowControl w:val="0"/>
        <w:autoSpaceDE w:val="0"/>
        <w:autoSpaceDN w:val="0"/>
        <w:adjustRightInd w:val="0"/>
        <w:rPr>
          <w:rFonts w:ascii="Calibri" w:hAnsi="Calibri" w:cs="Calibri"/>
          <w:b/>
        </w:rPr>
      </w:pPr>
      <w:r w:rsidRPr="009A0964">
        <w:rPr>
          <w:rFonts w:ascii="Calibri" w:hAnsi="Calibri" w:cs="Calibri"/>
          <w:b/>
        </w:rPr>
        <w:t xml:space="preserve">We recommend that sufficient resources be devoted to the preparation of PBAC minutes to improve the detail, accuracy and clarity of the minutes. </w:t>
      </w:r>
    </w:p>
    <w:p w:rsidR="0058580E" w:rsidRPr="009A0964" w:rsidRDefault="0058580E" w:rsidP="0058580E">
      <w:pPr>
        <w:widowControl w:val="0"/>
        <w:autoSpaceDE w:val="0"/>
        <w:autoSpaceDN w:val="0"/>
        <w:adjustRightInd w:val="0"/>
        <w:rPr>
          <w:rFonts w:ascii="Calibri" w:hAnsi="Calibri" w:cs="Calibri"/>
          <w:b/>
        </w:rPr>
      </w:pPr>
      <w:r w:rsidRPr="009A0964">
        <w:rPr>
          <w:rFonts w:ascii="Calibri" w:hAnsi="Calibri" w:cs="Calibri"/>
          <w:b/>
        </w:rPr>
        <w:t xml:space="preserve">Recommendation </w:t>
      </w:r>
      <w:r>
        <w:rPr>
          <w:rFonts w:ascii="Calibri" w:hAnsi="Calibri" w:cs="Calibri"/>
          <w:b/>
        </w:rPr>
        <w:t>2</w:t>
      </w:r>
    </w:p>
    <w:p w:rsidR="00751E70" w:rsidRPr="00622FE5" w:rsidRDefault="00751E70" w:rsidP="00751E70">
      <w:pPr>
        <w:rPr>
          <w:rFonts w:asciiTheme="majorHAnsi" w:hAnsiTheme="majorHAnsi"/>
          <w:b/>
        </w:rPr>
      </w:pPr>
      <w:r w:rsidRPr="00622FE5">
        <w:rPr>
          <w:rFonts w:cstheme="minorHAnsi"/>
          <w:b/>
        </w:rPr>
        <w:t>That PBAC amends Part IV of the Guidelines to make explicit any minimum requirements that must be met by Fixed Dose Combination products.</w:t>
      </w:r>
    </w:p>
    <w:p w:rsidR="00136151" w:rsidRPr="00D737FF" w:rsidRDefault="00136151" w:rsidP="00136151">
      <w:pPr>
        <w:pStyle w:val="Heading2"/>
        <w:rPr>
          <w:rFonts w:cstheme="minorHAnsi"/>
        </w:rPr>
      </w:pPr>
      <w:bookmarkStart w:id="23" w:name="_Toc356560739"/>
      <w:r w:rsidRPr="00D737FF">
        <w:rPr>
          <w:rFonts w:cstheme="minorHAnsi"/>
        </w:rPr>
        <w:t>Validity of the surrogate outcome and non-inferiority</w:t>
      </w:r>
      <w:bookmarkEnd w:id="23"/>
      <w:r w:rsidRPr="00D737FF">
        <w:rPr>
          <w:rFonts w:cstheme="minorHAnsi"/>
        </w:rPr>
        <w:t xml:space="preserve"> </w:t>
      </w:r>
    </w:p>
    <w:p w:rsidR="00136151" w:rsidRPr="009A0964" w:rsidRDefault="00136151" w:rsidP="00136151">
      <w:r w:rsidRPr="009A0964">
        <w:t xml:space="preserve">The technical assessment of the information contained in the submission consists of multi-staged evaluation of the validity and usefulness of information for the purpose of </w:t>
      </w:r>
      <w:r w:rsidRPr="009A0964">
        <w:rPr>
          <w:bCs/>
        </w:rPr>
        <w:t xml:space="preserve">comparison – </w:t>
      </w:r>
      <w:r w:rsidRPr="009A0964">
        <w:t xml:space="preserve">comparing the new product to current therapy. This process is underpinned by the </w:t>
      </w:r>
      <w:r>
        <w:t>Guidelines</w:t>
      </w:r>
      <w:r w:rsidRPr="009A0964">
        <w:t xml:space="preserve"> for preparing submissions that represent </w:t>
      </w:r>
      <w:r>
        <w:t>‘best</w:t>
      </w:r>
      <w:r w:rsidRPr="009A0964">
        <w:t xml:space="preserve"> practice’ and allow the PBAC to make the necessary comparison. The decision making itself requires the PBAC to assess and weight the multiple criteria that form the basis for a recommendation. All of which is done knowing that uncertainty characterizes every aspect of the process, from assessing the validity of the information, the known and predicted outcomes of the product and the nature of decision making itself.</w:t>
      </w:r>
    </w:p>
    <w:p w:rsidR="00136151" w:rsidRPr="0011794A" w:rsidRDefault="00136151" w:rsidP="00136151">
      <w:pPr>
        <w:rPr>
          <w:lang w:val="en-GB"/>
        </w:rPr>
      </w:pPr>
      <w:r w:rsidRPr="009A0964">
        <w:t xml:space="preserve">In the case of </w:t>
      </w:r>
      <w:r w:rsidR="004B2048">
        <w:t>Vimovo®</w:t>
      </w:r>
      <w:r w:rsidRPr="009A0964">
        <w:t xml:space="preserve"> PBAC expressed continuing uncertainty regarding</w:t>
      </w:r>
      <w:r w:rsidR="00CD70C8">
        <w:t xml:space="preserve"> the validity of endoscopically-</w:t>
      </w:r>
      <w:r w:rsidRPr="009A0964">
        <w:t>detected ulcers as a surrogate outcome for the purposes of demonstrating non-inferiority of more patient-relevant outcomes. At the heart of the matter are two issues</w:t>
      </w:r>
      <w:r>
        <w:t xml:space="preserve">. </w:t>
      </w:r>
      <w:r w:rsidRPr="0011794A">
        <w:rPr>
          <w:lang w:val="en-GB"/>
        </w:rPr>
        <w:t xml:space="preserve">The first issue is </w:t>
      </w:r>
      <w:r>
        <w:rPr>
          <w:lang w:val="en-GB"/>
        </w:rPr>
        <w:t xml:space="preserve">the validity of the surrogate measure: </w:t>
      </w:r>
      <w:r w:rsidRPr="0011794A">
        <w:rPr>
          <w:lang w:val="en-GB"/>
        </w:rPr>
        <w:t xml:space="preserve">whether </w:t>
      </w:r>
      <w:r>
        <w:rPr>
          <w:lang w:val="en-GB"/>
        </w:rPr>
        <w:t>it</w:t>
      </w:r>
      <w:r w:rsidRPr="0011794A">
        <w:rPr>
          <w:lang w:val="en-GB"/>
        </w:rPr>
        <w:t xml:space="preserve"> provides an adequate measure by which to judge the effect of the drug on </w:t>
      </w:r>
      <w:r>
        <w:rPr>
          <w:lang w:val="en-GB"/>
        </w:rPr>
        <w:t>more patient-relevant</w:t>
      </w:r>
      <w:r w:rsidRPr="0011794A">
        <w:rPr>
          <w:lang w:val="en-GB"/>
        </w:rPr>
        <w:t xml:space="preserve"> relevant outcome</w:t>
      </w:r>
      <w:r w:rsidR="0097289C">
        <w:rPr>
          <w:lang w:val="en-GB"/>
        </w:rPr>
        <w:t>s</w:t>
      </w:r>
      <w:r w:rsidRPr="0011794A">
        <w:rPr>
          <w:lang w:val="en-GB"/>
        </w:rPr>
        <w:t xml:space="preserve">. The second issue is whether non-inferiority against the comparator has been adequately assessed. </w:t>
      </w:r>
    </w:p>
    <w:p w:rsidR="00136151" w:rsidRPr="00D737FF" w:rsidRDefault="00136151" w:rsidP="00136151">
      <w:pPr>
        <w:pStyle w:val="Heading2"/>
        <w:rPr>
          <w:rFonts w:cstheme="minorHAnsi"/>
        </w:rPr>
      </w:pPr>
      <w:bookmarkStart w:id="24" w:name="_Toc356560740"/>
      <w:r w:rsidRPr="00D737FF">
        <w:rPr>
          <w:rFonts w:cstheme="minorHAnsi"/>
        </w:rPr>
        <w:t>Validity of the surrogate in principle</w:t>
      </w:r>
      <w:bookmarkEnd w:id="24"/>
    </w:p>
    <w:p w:rsidR="00136151" w:rsidRPr="009A0964" w:rsidRDefault="00136151" w:rsidP="00136151">
      <w:r w:rsidRPr="009A0964">
        <w:t xml:space="preserve">Our assessment of the validity of the surrogate outcomes was conducted within the PBAC framework for evaluating surrogates. The framework included elements (Part 1-5) proposed by the </w:t>
      </w:r>
      <w:r w:rsidRPr="009A0964">
        <w:rPr>
          <w:i/>
        </w:rPr>
        <w:t>Report of the Surrogate to Final Outcome Working Group</w:t>
      </w:r>
      <w:r w:rsidRPr="009A0964">
        <w:t xml:space="preserve"> (STFOWG) – a framework for evaluating proposed surrogate measures and their use in submissions to the PBAC (2009), </w:t>
      </w:r>
      <w:r w:rsidR="0097289C">
        <w:t xml:space="preserve">which </w:t>
      </w:r>
      <w:r w:rsidR="00487DBE">
        <w:t>map</w:t>
      </w:r>
      <w:r w:rsidRPr="009A0964">
        <w:t xml:space="preserve"> against the Steps (1-3) from the Guidelines ‘Use of surrogate outcomes to estimate final outcomes’ (Pages 108 – 109) producing a summary framework for our evaluation. </w:t>
      </w:r>
    </w:p>
    <w:p w:rsidR="00136151" w:rsidRPr="009A0964" w:rsidRDefault="00136151" w:rsidP="00136151">
      <w:r w:rsidRPr="009A0964">
        <w:t>Working through parts one to fi</w:t>
      </w:r>
      <w:r w:rsidR="00487DBE">
        <w:t>ve of the framework, P</w:t>
      </w:r>
      <w:r w:rsidRPr="009A0964">
        <w:t xml:space="preserve">art </w:t>
      </w:r>
      <w:r w:rsidR="00487DBE">
        <w:t>O</w:t>
      </w:r>
      <w:r w:rsidRPr="009A0964">
        <w:t xml:space="preserve">ne includes the definition, selection and measurement of the </w:t>
      </w:r>
      <w:r w:rsidR="00487DBE">
        <w:t>potential surrogate marker (</w:t>
      </w:r>
      <w:r w:rsidRPr="009A0964">
        <w:t>PSM</w:t>
      </w:r>
      <w:r w:rsidR="00487DBE">
        <w:t>)</w:t>
      </w:r>
      <w:r w:rsidRPr="009A0964">
        <w:t xml:space="preserve"> and </w:t>
      </w:r>
      <w:r w:rsidR="00487DBE">
        <w:t>the target clinical outcome (</w:t>
      </w:r>
      <w:r w:rsidRPr="009A0964">
        <w:t>TCO</w:t>
      </w:r>
      <w:r w:rsidR="00487DBE">
        <w:t>)</w:t>
      </w:r>
      <w:r w:rsidRPr="009A0964">
        <w:t xml:space="preserve">.  The main issue here is the repeatability of the measure. The </w:t>
      </w:r>
      <w:r>
        <w:t>Sponsor</w:t>
      </w:r>
      <w:r w:rsidRPr="009A0964">
        <w:t xml:space="preserve"> does not present any measure of repeatability but states that the assessment of PSM is standardized in the trials. </w:t>
      </w:r>
      <w:r w:rsidR="009E3163">
        <w:t xml:space="preserve">Material before </w:t>
      </w:r>
      <w:r w:rsidRPr="009A0964">
        <w:t xml:space="preserve">PBAC </w:t>
      </w:r>
      <w:r>
        <w:t>suggests</w:t>
      </w:r>
      <w:r w:rsidRPr="009A0964">
        <w:t xml:space="preserve"> that there is poor repeatability on the basis of one small study published as an abstract.</w:t>
      </w:r>
      <w:r>
        <w:t xml:space="preserve"> </w:t>
      </w:r>
      <w:r w:rsidRPr="009A0964">
        <w:t xml:space="preserve">The information from the single small study </w:t>
      </w:r>
      <w:r w:rsidR="004B2048">
        <w:t>in the PES commentary</w:t>
      </w:r>
      <w:r w:rsidRPr="009A0964">
        <w:t xml:space="preserve"> is insufficient to outweigh the information about the appropriateness of the PSM presented in the other parts of the framework. This is reflected by the STOFWG comment: “If relevant meta-regression data from multiple randomised trials supporting the link between the comparative treatment effect on the PSM and the comparative treatment effect on the TCO are available for Part Three ….the amount of information needed for 1A.6 is reduced.” [1.A.6 is “An assessment of the validity, reliability and responsiveness of the method for measuring the PSM.”].</w:t>
      </w:r>
    </w:p>
    <w:p w:rsidR="00136151" w:rsidRPr="009A0964" w:rsidRDefault="00487DBE" w:rsidP="00136151">
      <w:pPr>
        <w:rPr>
          <w:rFonts w:ascii="Calibri" w:hAnsi="Calibri" w:cs="Calibri"/>
        </w:rPr>
      </w:pPr>
      <w:r>
        <w:rPr>
          <w:rFonts w:ascii="Calibri" w:hAnsi="Calibri" w:cs="Calibri"/>
        </w:rPr>
        <w:t>Part T</w:t>
      </w:r>
      <w:r w:rsidR="00136151" w:rsidRPr="009A0964">
        <w:rPr>
          <w:rFonts w:ascii="Calibri" w:hAnsi="Calibri" w:cs="Calibri"/>
        </w:rPr>
        <w:t xml:space="preserve">wo addresses biological reasoning and epidemiological evidence supporting the relationship between the PSM and TCO, independent of any intervention. The </w:t>
      </w:r>
      <w:r w:rsidR="00136151">
        <w:rPr>
          <w:rFonts w:ascii="Calibri" w:hAnsi="Calibri" w:cs="Calibri"/>
        </w:rPr>
        <w:t>Sponsor</w:t>
      </w:r>
      <w:r w:rsidR="00136151" w:rsidRPr="009A0964">
        <w:rPr>
          <w:rFonts w:ascii="Calibri" w:hAnsi="Calibri" w:cs="Calibri"/>
        </w:rPr>
        <w:t xml:space="preserve"> presents indirect evidence </w:t>
      </w:r>
      <w:r w:rsidR="00136151">
        <w:rPr>
          <w:rFonts w:ascii="Calibri" w:hAnsi="Calibri" w:cs="Calibri"/>
        </w:rPr>
        <w:t>based on a systematic review</w:t>
      </w:r>
      <w:r w:rsidR="00136151" w:rsidRPr="009A0964">
        <w:rPr>
          <w:rFonts w:ascii="Calibri" w:hAnsi="Calibri" w:cs="Calibri"/>
        </w:rPr>
        <w:t xml:space="preserve"> that treatment with </w:t>
      </w:r>
      <w:r w:rsidR="001F6C5E">
        <w:rPr>
          <w:rFonts w:ascii="Calibri" w:hAnsi="Calibri" w:cs="Calibri"/>
        </w:rPr>
        <w:t>NSAIDs</w:t>
      </w:r>
      <w:r w:rsidR="00136151" w:rsidRPr="009A0964">
        <w:rPr>
          <w:rFonts w:ascii="Calibri" w:hAnsi="Calibri" w:cs="Calibri"/>
        </w:rPr>
        <w:t xml:space="preserve"> resulted in increased risk for all four levels of harm: endoscopic ulcers, clinically diagnosed ulcers, perforations/bleeding and deaths. </w:t>
      </w:r>
      <w:r w:rsidR="00136151">
        <w:rPr>
          <w:rFonts w:ascii="Calibri" w:hAnsi="Calibri" w:cs="Calibri"/>
        </w:rPr>
        <w:t xml:space="preserve">They also present evidence that endoscopic ulcers and upper gastrointestinal bleeding are associated with other variables, such as age and previous history. </w:t>
      </w:r>
      <w:r w:rsidR="00136151" w:rsidRPr="009A0964">
        <w:rPr>
          <w:rFonts w:ascii="Calibri" w:hAnsi="Calibri" w:cs="Calibri"/>
        </w:rPr>
        <w:t>The PES/PBAC comment that not all endoscopic ulcers will progress to clinical ulcers</w:t>
      </w:r>
      <w:r w:rsidR="0023575A">
        <w:rPr>
          <w:rFonts w:ascii="Calibri" w:hAnsi="Calibri" w:cs="Calibri"/>
        </w:rPr>
        <w:t xml:space="preserve"> is</w:t>
      </w:r>
      <w:r w:rsidR="00136151" w:rsidRPr="009A0964">
        <w:rPr>
          <w:rFonts w:ascii="Calibri" w:hAnsi="Calibri" w:cs="Calibri"/>
        </w:rPr>
        <w:t xml:space="preserve"> based on a textbook reference (MacDonald).  Progression of all endoscopic ulcers to clinical ulcers is not a necessary criterion to justify the use of a surrogate. The issue is not prediction of clinical ulcers in individuals, but whether the PSM shows the same relationships to other variables as the TCO in population studies. The relationship of surrogate and clinic</w:t>
      </w:r>
      <w:r>
        <w:rPr>
          <w:rFonts w:ascii="Calibri" w:hAnsi="Calibri" w:cs="Calibri"/>
        </w:rPr>
        <w:t xml:space="preserve">ally relevant outcomes to </w:t>
      </w:r>
      <w:r w:rsidR="001F6C5E">
        <w:rPr>
          <w:rFonts w:ascii="Calibri" w:hAnsi="Calibri" w:cs="Calibri"/>
        </w:rPr>
        <w:t>NSAIDs</w:t>
      </w:r>
      <w:r w:rsidR="00136151" w:rsidRPr="009A0964">
        <w:rPr>
          <w:rFonts w:ascii="Calibri" w:hAnsi="Calibri" w:cs="Calibri"/>
        </w:rPr>
        <w:t xml:space="preserve"> is consistent in direction, though not in apparent magnitude. </w:t>
      </w:r>
    </w:p>
    <w:p w:rsidR="00136151" w:rsidRPr="009A0964" w:rsidRDefault="00487DBE" w:rsidP="00136151">
      <w:pPr>
        <w:rPr>
          <w:rFonts w:ascii="Calibri" w:hAnsi="Calibri" w:cs="Calibri"/>
        </w:rPr>
      </w:pPr>
      <w:r>
        <w:rPr>
          <w:rFonts w:ascii="Calibri" w:hAnsi="Calibri" w:cs="Calibri"/>
        </w:rPr>
        <w:t>The comments by PBAC on Part Two</w:t>
      </w:r>
      <w:r w:rsidR="00136151" w:rsidRPr="009A0964">
        <w:rPr>
          <w:rFonts w:ascii="Calibri" w:hAnsi="Calibri" w:cs="Calibri"/>
        </w:rPr>
        <w:t xml:space="preserve"> are insufficient evidence to dismiss the use of endoscopic ulcers as a surrogate for clinically relevant </w:t>
      </w:r>
      <w:r>
        <w:rPr>
          <w:rFonts w:ascii="Calibri" w:hAnsi="Calibri" w:cs="Calibri"/>
        </w:rPr>
        <w:t>upper gastro-intestinal (</w:t>
      </w:r>
      <w:r w:rsidR="00136151" w:rsidRPr="009A0964">
        <w:rPr>
          <w:rFonts w:ascii="Calibri" w:hAnsi="Calibri" w:cs="Calibri"/>
        </w:rPr>
        <w:t>UGI</w:t>
      </w:r>
      <w:r>
        <w:rPr>
          <w:rFonts w:ascii="Calibri" w:hAnsi="Calibri" w:cs="Calibri"/>
        </w:rPr>
        <w:t>)</w:t>
      </w:r>
      <w:r w:rsidR="00136151" w:rsidRPr="009A0964">
        <w:rPr>
          <w:rFonts w:ascii="Calibri" w:hAnsi="Calibri" w:cs="Calibri"/>
        </w:rPr>
        <w:t xml:space="preserve"> outcomes. </w:t>
      </w:r>
    </w:p>
    <w:p w:rsidR="00136151" w:rsidRPr="009A0964" w:rsidRDefault="00136151" w:rsidP="00136151">
      <w:pPr>
        <w:rPr>
          <w:rFonts w:ascii="Calibri" w:hAnsi="Calibri" w:cs="Calibri"/>
        </w:rPr>
      </w:pPr>
      <w:r w:rsidRPr="009A0964">
        <w:rPr>
          <w:rFonts w:ascii="Calibri" w:hAnsi="Calibri" w:cs="Calibri"/>
        </w:rPr>
        <w:t xml:space="preserve">The most important and relevant part of the </w:t>
      </w:r>
      <w:r w:rsidR="00F27F7D">
        <w:rPr>
          <w:rFonts w:ascii="Calibri" w:hAnsi="Calibri" w:cs="Calibri"/>
        </w:rPr>
        <w:t>framework to our Review is Part T</w:t>
      </w:r>
      <w:r w:rsidRPr="009A0964">
        <w:rPr>
          <w:rFonts w:ascii="Calibri" w:hAnsi="Calibri" w:cs="Calibri"/>
        </w:rPr>
        <w:t xml:space="preserve">hree – the randomized trial evidence using other medicines to show that there is a basis to conclude that a comparative treatment effect on the proposed surrogate measure (PSM) has satisfactorily predicted a comparative treatment effect on the target clinical outcome (TCO). </w:t>
      </w:r>
      <w:r w:rsidRPr="0011794A">
        <w:t xml:space="preserve">Ideal evidence would be </w:t>
      </w:r>
      <w:r>
        <w:t xml:space="preserve">direct, </w:t>
      </w:r>
      <w:r w:rsidRPr="0011794A">
        <w:t>based on studies in which the endoscopic ulcers and clinical endpoints were measured on the same patients</w:t>
      </w:r>
      <w:r>
        <w:t xml:space="preserve"> randomized to treatment options.</w:t>
      </w:r>
      <w:r w:rsidR="0097289C">
        <w:t xml:space="preserve"> </w:t>
      </w:r>
      <w:r>
        <w:t>Th</w:t>
      </w:r>
      <w:r w:rsidRPr="00A14AD7">
        <w:t>e STFOWG suggested hierarchy of evidence</w:t>
      </w:r>
      <w:r>
        <w:t xml:space="preserve"> ranges from</w:t>
      </w:r>
      <w:r w:rsidR="0097289C">
        <w:t xml:space="preserve"> </w:t>
      </w:r>
      <w:r w:rsidRPr="00A14AD7">
        <w:t xml:space="preserve">Level </w:t>
      </w:r>
      <w:r>
        <w:t>I</w:t>
      </w:r>
      <w:r w:rsidRPr="00A14AD7">
        <w:t xml:space="preserve"> (multi-trial meta-regression) the strongest </w:t>
      </w:r>
      <w:r>
        <w:t>to</w:t>
      </w:r>
      <w:r w:rsidRPr="00A14AD7">
        <w:t xml:space="preserve"> Level IV (no randomized trial data) the weakest.</w:t>
      </w:r>
      <w:r>
        <w:t xml:space="preserve"> Direct evidence is unavailable. </w:t>
      </w:r>
      <w:r w:rsidRPr="009A0964">
        <w:rPr>
          <w:rFonts w:ascii="Calibri" w:hAnsi="Calibri" w:cs="Calibri"/>
        </w:rPr>
        <w:t xml:space="preserve">The </w:t>
      </w:r>
      <w:r>
        <w:rPr>
          <w:rFonts w:ascii="Calibri" w:hAnsi="Calibri" w:cs="Calibri"/>
        </w:rPr>
        <w:t>Sponsor</w:t>
      </w:r>
      <w:r w:rsidRPr="009A0964">
        <w:rPr>
          <w:rFonts w:ascii="Calibri" w:hAnsi="Calibri" w:cs="Calibri"/>
        </w:rPr>
        <w:t xml:space="preserve"> provide</w:t>
      </w:r>
      <w:r>
        <w:rPr>
          <w:rFonts w:ascii="Calibri" w:hAnsi="Calibri" w:cs="Calibri"/>
        </w:rPr>
        <w:t>s indirect evidence [drug effects on PSM and on TCO from different trials] from</w:t>
      </w:r>
      <w:r w:rsidRPr="009A0964">
        <w:rPr>
          <w:rFonts w:ascii="Calibri" w:hAnsi="Calibri" w:cs="Calibri"/>
        </w:rPr>
        <w:t xml:space="preserve"> a </w:t>
      </w:r>
      <w:r>
        <w:rPr>
          <w:rFonts w:ascii="Calibri" w:hAnsi="Calibri" w:cs="Calibri"/>
        </w:rPr>
        <w:t xml:space="preserve">review of multiple trials </w:t>
      </w:r>
      <w:r w:rsidRPr="009A0964">
        <w:rPr>
          <w:rFonts w:ascii="Calibri" w:hAnsi="Calibri" w:cs="Calibri"/>
        </w:rPr>
        <w:t xml:space="preserve">and extra information from </w:t>
      </w:r>
      <w:r w:rsidR="00F27F7D">
        <w:rPr>
          <w:rFonts w:ascii="Calibri" w:hAnsi="Calibri" w:cs="Calibri"/>
        </w:rPr>
        <w:t>Gastrointestinal Drug Advisory Committee (</w:t>
      </w:r>
      <w:r w:rsidRPr="009A0964">
        <w:rPr>
          <w:rFonts w:ascii="Calibri" w:hAnsi="Calibri" w:cs="Calibri"/>
        </w:rPr>
        <w:t>GIDAC</w:t>
      </w:r>
      <w:r w:rsidR="00F27F7D">
        <w:rPr>
          <w:rFonts w:ascii="Calibri" w:hAnsi="Calibri" w:cs="Calibri"/>
        </w:rPr>
        <w:t>)</w:t>
      </w:r>
      <w:r w:rsidRPr="009A0964">
        <w:rPr>
          <w:rFonts w:ascii="Calibri" w:hAnsi="Calibri" w:cs="Calibri"/>
        </w:rPr>
        <w:t xml:space="preserve"> documents to FDA. The PES commentary for the March 2012 meeting comments on the fact that the RRs for COX-2 selective</w:t>
      </w:r>
      <w:r w:rsidR="006F5189">
        <w:rPr>
          <w:rFonts w:ascii="Calibri" w:hAnsi="Calibri" w:cs="Calibri"/>
        </w:rPr>
        <w:t xml:space="preserve"> inhibitors compared with </w:t>
      </w:r>
      <w:r w:rsidR="001F6C5E">
        <w:rPr>
          <w:rFonts w:ascii="Calibri" w:hAnsi="Calibri" w:cs="Calibri"/>
        </w:rPr>
        <w:t>NSAIDs</w:t>
      </w:r>
      <w:r w:rsidRPr="009A0964">
        <w:rPr>
          <w:rFonts w:ascii="Calibri" w:hAnsi="Calibri" w:cs="Calibri"/>
        </w:rPr>
        <w:t xml:space="preserve"> are </w:t>
      </w:r>
      <w:r>
        <w:rPr>
          <w:rFonts w:ascii="Calibri" w:hAnsi="Calibri" w:cs="Calibri"/>
        </w:rPr>
        <w:t xml:space="preserve">generally </w:t>
      </w:r>
      <w:r w:rsidRPr="009A0964">
        <w:rPr>
          <w:rFonts w:ascii="Calibri" w:hAnsi="Calibri" w:cs="Calibri"/>
        </w:rPr>
        <w:t xml:space="preserve">smaller [greater relative risk reduction] for endoscopic ulcers than for clinically relevant outcomes. They suggest that overestimation by using endoscopically detected ulcers may have an impact on establishing non-inferiority. </w:t>
      </w:r>
    </w:p>
    <w:p w:rsidR="00136151" w:rsidRPr="009A0964" w:rsidRDefault="00136151" w:rsidP="00136151">
      <w:pPr>
        <w:rPr>
          <w:rFonts w:ascii="Calibri" w:hAnsi="Calibri" w:cs="Calibri"/>
        </w:rPr>
      </w:pPr>
      <w:r w:rsidRPr="009A0964">
        <w:rPr>
          <w:rFonts w:ascii="Calibri" w:hAnsi="Calibri" w:cs="Calibri"/>
        </w:rPr>
        <w:t xml:space="preserve">The PES also point out that the </w:t>
      </w:r>
      <w:r w:rsidR="006F5189">
        <w:rPr>
          <w:rFonts w:ascii="Calibri" w:hAnsi="Calibri" w:cs="Calibri"/>
        </w:rPr>
        <w:t>confidence intervals (</w:t>
      </w:r>
      <w:r w:rsidRPr="009A0964">
        <w:rPr>
          <w:rFonts w:ascii="Calibri" w:hAnsi="Calibri" w:cs="Calibri"/>
        </w:rPr>
        <w:t>CIs</w:t>
      </w:r>
      <w:r w:rsidR="006F5189">
        <w:rPr>
          <w:rFonts w:ascii="Calibri" w:hAnsi="Calibri" w:cs="Calibri"/>
        </w:rPr>
        <w:t>)</w:t>
      </w:r>
      <w:r w:rsidRPr="009A0964">
        <w:rPr>
          <w:rFonts w:ascii="Calibri" w:hAnsi="Calibri" w:cs="Calibri"/>
        </w:rPr>
        <w:t xml:space="preserve"> are very wide for the study on clinically relevant outcomes in </w:t>
      </w:r>
      <w:r>
        <w:rPr>
          <w:rFonts w:ascii="Calibri" w:hAnsi="Calibri" w:cs="Calibri"/>
        </w:rPr>
        <w:t xml:space="preserve">the study of </w:t>
      </w:r>
      <w:r w:rsidRPr="009A0964">
        <w:rPr>
          <w:rFonts w:ascii="Calibri" w:hAnsi="Calibri" w:cs="Calibri"/>
        </w:rPr>
        <w:t>high-risk patients comparing naproxen +</w:t>
      </w:r>
      <w:r>
        <w:rPr>
          <w:rFonts w:ascii="Calibri" w:hAnsi="Calibri" w:cs="Calibri"/>
        </w:rPr>
        <w:t xml:space="preserve"> </w:t>
      </w:r>
      <w:r w:rsidRPr="009A0964">
        <w:rPr>
          <w:rFonts w:ascii="Calibri" w:hAnsi="Calibri" w:cs="Calibri"/>
        </w:rPr>
        <w:t>esomeprazole vs. naproxen</w:t>
      </w:r>
      <w:r w:rsidR="006F5189">
        <w:rPr>
          <w:rFonts w:ascii="Calibri" w:hAnsi="Calibri" w:cs="Calibri"/>
        </w:rPr>
        <w:t xml:space="preserve"> alone</w:t>
      </w:r>
      <w:r>
        <w:rPr>
          <w:rFonts w:ascii="Calibri" w:hAnsi="Calibri" w:cs="Calibri"/>
        </w:rPr>
        <w:t>.</w:t>
      </w:r>
      <w:r w:rsidRPr="009A0964">
        <w:rPr>
          <w:rFonts w:ascii="Calibri" w:hAnsi="Calibri" w:cs="Calibri"/>
        </w:rPr>
        <w:t xml:space="preserve"> </w:t>
      </w:r>
    </w:p>
    <w:p w:rsidR="00136151" w:rsidRDefault="00136151" w:rsidP="00136151">
      <w:pPr>
        <w:rPr>
          <w:rFonts w:ascii="Calibri" w:eastAsiaTheme="majorEastAsia" w:hAnsi="Calibri" w:cs="Calibri"/>
          <w:bCs/>
        </w:rPr>
      </w:pPr>
      <w:r w:rsidRPr="009A0964">
        <w:rPr>
          <w:rFonts w:ascii="Calibri" w:eastAsiaTheme="majorEastAsia" w:hAnsi="Calibri" w:cs="Calibri"/>
          <w:bCs/>
        </w:rPr>
        <w:t xml:space="preserve">The Reviewer notes that direct evidence is lacking and unlikely to be obtainable. The indirect evidence points towards endoscopic ulcers showing similar results to clinical endpoints, based on the point estimates, for several drugs which are designed to avoid the UGI complications of conventional </w:t>
      </w:r>
      <w:r w:rsidR="001F6C5E">
        <w:rPr>
          <w:rFonts w:ascii="Calibri" w:eastAsiaTheme="majorEastAsia" w:hAnsi="Calibri" w:cs="Calibri"/>
          <w:bCs/>
        </w:rPr>
        <w:t>NSAIDs</w:t>
      </w:r>
      <w:r w:rsidRPr="009A0964">
        <w:rPr>
          <w:rFonts w:ascii="Calibri" w:eastAsiaTheme="majorEastAsia" w:hAnsi="Calibri" w:cs="Calibri"/>
          <w:bCs/>
        </w:rPr>
        <w:t xml:space="preserve">. If the effect of these drugs is greater on the PSM than the TCO, it will make for a more stringent test of non-inferiority. </w:t>
      </w:r>
    </w:p>
    <w:p w:rsidR="00B546DE" w:rsidRPr="00F90CA1" w:rsidRDefault="00B546DE" w:rsidP="00B546DE">
      <w:r>
        <w:t>Though not ideal, the evidence is c</w:t>
      </w:r>
      <w:r w:rsidR="006F5189">
        <w:t>onsidered acceptable to fulfil Part T</w:t>
      </w:r>
      <w:r>
        <w:t>hree of the STFOWG</w:t>
      </w:r>
      <w:r w:rsidR="001F6C5E">
        <w:t>.</w:t>
      </w:r>
    </w:p>
    <w:p w:rsidR="00136151" w:rsidRPr="0011794A" w:rsidRDefault="006F5189" w:rsidP="00136151">
      <w:r>
        <w:t>Part F</w:t>
      </w:r>
      <w:r w:rsidR="00136151" w:rsidRPr="009A0964">
        <w:t>our addresses the level of support for why the relationship between comparative treatment effects on the PSM and TCO with other medicines is likely to apply to the propos</w:t>
      </w:r>
      <w:r>
        <w:t>ed product. The information in P</w:t>
      </w:r>
      <w:r w:rsidR="00136151" w:rsidRPr="009A0964">
        <w:t xml:space="preserve">art </w:t>
      </w:r>
      <w:r>
        <w:t>Three</w:t>
      </w:r>
      <w:r w:rsidR="00136151" w:rsidRPr="009A0964">
        <w:t xml:space="preserve"> above seems to hold reasonably for drugs such as celecoxib [the major comparator] and there is some evidence that the effect is similar for naproxen plus esomeprazole. </w:t>
      </w:r>
      <w:r w:rsidR="00136151">
        <w:t xml:space="preserve">Within the constraints of the information available in Part Three, there are no additional concerns about Part Four. </w:t>
      </w:r>
    </w:p>
    <w:p w:rsidR="00136151" w:rsidRPr="009A0964" w:rsidRDefault="006F5189" w:rsidP="00136151">
      <w:r>
        <w:t>Part F</w:t>
      </w:r>
      <w:r w:rsidR="00136151" w:rsidRPr="009A0964">
        <w:t xml:space="preserve">ive includes relevant considerations for incorporation of the comparative treatment effect based on the PSM in the economic evaluation. </w:t>
      </w:r>
      <w:r w:rsidR="00136151">
        <w:t xml:space="preserve">Good quantitative direct evidence on the relative effects of the drugs on the PSM and TCO is lacking. However, the indirect evidence suggests that the effect of drugs will be similar or less on clinically relevant outcomes than on endoscopic ulcers. </w:t>
      </w:r>
      <w:r w:rsidR="00136151" w:rsidRPr="009A0964">
        <w:t>The available evidence suggests it would be reasonable to consider Part Five as sufficiently well addressed to assess non-inferiority on endoscopic ulcers as a surrogate for clinically relevant outcomes.</w:t>
      </w:r>
    </w:p>
    <w:p w:rsidR="00136151" w:rsidRPr="00EC0163" w:rsidRDefault="00136151" w:rsidP="00136151">
      <w:pPr>
        <w:pStyle w:val="Heading3"/>
        <w:rPr>
          <w:rFonts w:asciiTheme="minorHAnsi" w:hAnsiTheme="minorHAnsi" w:cstheme="minorHAnsi"/>
        </w:rPr>
      </w:pPr>
      <w:bookmarkStart w:id="25" w:name="_Toc356560741"/>
      <w:r w:rsidRPr="00EC0163">
        <w:rPr>
          <w:rFonts w:asciiTheme="minorHAnsi" w:hAnsiTheme="minorHAnsi" w:cstheme="minorHAnsi"/>
        </w:rPr>
        <w:t>Conclusions</w:t>
      </w:r>
      <w:bookmarkEnd w:id="25"/>
      <w:r w:rsidRPr="00EC0163">
        <w:rPr>
          <w:rFonts w:asciiTheme="minorHAnsi" w:hAnsiTheme="minorHAnsi" w:cstheme="minorHAnsi"/>
        </w:rPr>
        <w:t xml:space="preserve"> </w:t>
      </w:r>
    </w:p>
    <w:p w:rsidR="00136151" w:rsidRPr="004E3BAF" w:rsidRDefault="00136151" w:rsidP="00136151">
      <w:r>
        <w:t>Although evidence from studies assessing clinically relevant outcomes is clearly always preferable, it seems</w:t>
      </w:r>
      <w:r w:rsidRPr="004E3BAF">
        <w:t xml:space="preserve"> </w:t>
      </w:r>
      <w:r>
        <w:t xml:space="preserve">reasonable to </w:t>
      </w:r>
      <w:r w:rsidRPr="004E3BAF">
        <w:t xml:space="preserve">use endoscopic ulcers as a surrogate for clinically relevant upper gastrointestinal outcomes based </w:t>
      </w:r>
      <w:r>
        <w:t xml:space="preserve">especially </w:t>
      </w:r>
      <w:r w:rsidRPr="004E3BAF">
        <w:t xml:space="preserve">on Parts </w:t>
      </w:r>
      <w:r w:rsidR="006F5189">
        <w:t>Two</w:t>
      </w:r>
      <w:r w:rsidRPr="004E3BAF">
        <w:t xml:space="preserve"> and </w:t>
      </w:r>
      <w:r w:rsidR="006F5189">
        <w:t>Three</w:t>
      </w:r>
      <w:r w:rsidRPr="004E3BAF">
        <w:t xml:space="preserve">, the most important </w:t>
      </w:r>
      <w:r w:rsidR="0023575A">
        <w:t>p</w:t>
      </w:r>
      <w:r w:rsidRPr="004E3BAF">
        <w:t xml:space="preserve">arts of the STFOWG report. </w:t>
      </w:r>
    </w:p>
    <w:p w:rsidR="00136151" w:rsidRPr="008214CA" w:rsidRDefault="00136151" w:rsidP="00136151">
      <w:r>
        <w:t xml:space="preserve">However, </w:t>
      </w:r>
      <w:r w:rsidRPr="008214CA">
        <w:t xml:space="preserve">PBAC </w:t>
      </w:r>
      <w:r>
        <w:t xml:space="preserve">will still </w:t>
      </w:r>
      <w:r w:rsidRPr="008214CA">
        <w:t xml:space="preserve">need to judge whether the evidence is sufficiently strong for them to accept the use of endoscopic ulcers as a surrogate. This judgement needs to take into account that: </w:t>
      </w:r>
    </w:p>
    <w:p w:rsidR="00136151" w:rsidRDefault="00136151" w:rsidP="00136151">
      <w:pPr>
        <w:pStyle w:val="ListParagraph"/>
        <w:numPr>
          <w:ilvl w:val="0"/>
          <w:numId w:val="17"/>
        </w:numPr>
        <w:spacing w:after="0" w:line="240" w:lineRule="auto"/>
      </w:pPr>
      <w:r>
        <w:t>Surrogates are most useful when the clinically relevant outcomes are distant in time. In that case, the use of surrogates can appreciably shorten the duration of studies. If the clinically relevant outcomes occur in a similar timescale to the surrogates, they may still have the advantage of requiring smaller sample sizes in randomised trials.</w:t>
      </w:r>
    </w:p>
    <w:p w:rsidR="00136151" w:rsidRPr="008214CA" w:rsidRDefault="00136151" w:rsidP="00136151">
      <w:pPr>
        <w:pStyle w:val="ListParagraph"/>
        <w:numPr>
          <w:ilvl w:val="0"/>
          <w:numId w:val="17"/>
        </w:numPr>
        <w:spacing w:after="0" w:line="240" w:lineRule="auto"/>
      </w:pPr>
      <w:r>
        <w:t>E</w:t>
      </w:r>
      <w:r w:rsidRPr="008214CA">
        <w:t>vidence has accumulated, since PBAC decisions were made about celecoxib, to support the use of endoscopic ulcers as a surrogate.</w:t>
      </w:r>
    </w:p>
    <w:p w:rsidR="00136151" w:rsidRPr="008214CA" w:rsidRDefault="00136151" w:rsidP="00136151">
      <w:pPr>
        <w:pStyle w:val="ListParagraph"/>
        <w:numPr>
          <w:ilvl w:val="0"/>
          <w:numId w:val="17"/>
        </w:numPr>
        <w:spacing w:after="0" w:line="240" w:lineRule="auto"/>
      </w:pPr>
      <w:r>
        <w:t>G</w:t>
      </w:r>
      <w:r w:rsidRPr="008214CA">
        <w:t>etting better [direct] evidence about the value of the surrogate as a predictor of clinically relevant outcomes is unlikely</w:t>
      </w:r>
      <w:r w:rsidR="006F5189">
        <w:t>. [STFOWG Part T</w:t>
      </w:r>
      <w:r>
        <w:t>wo]</w:t>
      </w:r>
    </w:p>
    <w:p w:rsidR="00136151" w:rsidRPr="008214CA" w:rsidRDefault="00136151" w:rsidP="00136151">
      <w:pPr>
        <w:pStyle w:val="ListParagraph"/>
        <w:numPr>
          <w:ilvl w:val="0"/>
          <w:numId w:val="17"/>
        </w:numPr>
        <w:spacing w:after="0" w:line="240" w:lineRule="auto"/>
      </w:pPr>
      <w:r>
        <w:t>B</w:t>
      </w:r>
      <w:r w:rsidRPr="008214CA">
        <w:t>ecause endoscopic ulcers as a surrogate is becoming more widely accepted, it is difficult now to mount studies to get direct evidence on clinically relevant outcomes.</w:t>
      </w:r>
      <w:r w:rsidR="006F5189">
        <w:t xml:space="preserve"> [STFOWG Part T</w:t>
      </w:r>
      <w:r>
        <w:t>hree]</w:t>
      </w:r>
    </w:p>
    <w:p w:rsidR="00136151" w:rsidRPr="00D737FF" w:rsidRDefault="00136151" w:rsidP="00136151">
      <w:pPr>
        <w:pStyle w:val="Heading2"/>
        <w:rPr>
          <w:rFonts w:cstheme="minorHAnsi"/>
        </w:rPr>
      </w:pPr>
      <w:bookmarkStart w:id="26" w:name="_Toc356560742"/>
      <w:r w:rsidRPr="00D737FF">
        <w:rPr>
          <w:rFonts w:cstheme="minorHAnsi"/>
        </w:rPr>
        <w:t>Adequacy of assessment of non-inferiority</w:t>
      </w:r>
      <w:bookmarkEnd w:id="26"/>
      <w:r w:rsidRPr="00D737FF">
        <w:rPr>
          <w:rFonts w:cstheme="minorHAnsi"/>
        </w:rPr>
        <w:t xml:space="preserve"> </w:t>
      </w:r>
    </w:p>
    <w:p w:rsidR="00136151" w:rsidRPr="009A0964" w:rsidRDefault="00136151" w:rsidP="00136151">
      <w:pPr>
        <w:rPr>
          <w:rFonts w:ascii="Calibri" w:hAnsi="Calibri" w:cs="Calibri"/>
        </w:rPr>
      </w:pPr>
      <w:r w:rsidRPr="009A0964">
        <w:rPr>
          <w:rFonts w:ascii="Calibri" w:hAnsi="Calibri" w:cs="Calibri"/>
        </w:rPr>
        <w:t xml:space="preserve">PBAC </w:t>
      </w:r>
      <w:r>
        <w:rPr>
          <w:rFonts w:ascii="Calibri" w:hAnsi="Calibri" w:cs="Calibri"/>
        </w:rPr>
        <w:t>Guidelines</w:t>
      </w:r>
      <w:r w:rsidRPr="009A0964">
        <w:rPr>
          <w:rFonts w:ascii="Calibri" w:hAnsi="Calibri" w:cs="Calibri"/>
        </w:rPr>
        <w:t xml:space="preserve"> say that a </w:t>
      </w:r>
      <w:r>
        <w:rPr>
          <w:rFonts w:ascii="Calibri" w:hAnsi="Calibri" w:cs="Calibri"/>
        </w:rPr>
        <w:t>Sponsor</w:t>
      </w:r>
      <w:r w:rsidRPr="009A0964">
        <w:rPr>
          <w:rFonts w:ascii="Calibri" w:hAnsi="Calibri" w:cs="Calibri"/>
        </w:rPr>
        <w:t xml:space="preserve"> should explain and justify </w:t>
      </w:r>
      <w:r>
        <w:rPr>
          <w:rFonts w:ascii="Calibri" w:hAnsi="Calibri" w:cs="Calibri"/>
        </w:rPr>
        <w:t xml:space="preserve">the </w:t>
      </w:r>
      <w:r w:rsidRPr="009A0964">
        <w:rPr>
          <w:rFonts w:ascii="Calibri" w:hAnsi="Calibri" w:cs="Calibri"/>
        </w:rPr>
        <w:t>non</w:t>
      </w:r>
      <w:r>
        <w:rPr>
          <w:rFonts w:ascii="Calibri" w:hAnsi="Calibri" w:cs="Calibri"/>
        </w:rPr>
        <w:t>-</w:t>
      </w:r>
      <w:r w:rsidRPr="009A0964">
        <w:rPr>
          <w:rFonts w:ascii="Calibri" w:hAnsi="Calibri" w:cs="Calibri"/>
        </w:rPr>
        <w:t xml:space="preserve">inferiority threshold difference in treatment effect between the proposed drug and its main comparator, and provide a point estimate of the difference, with its 95% confidence interval, to assess whether the confidence interval overlaps the threshold. </w:t>
      </w:r>
    </w:p>
    <w:p w:rsidR="00136151" w:rsidRPr="001324D2" w:rsidRDefault="00136151" w:rsidP="00136151">
      <w:r w:rsidRPr="009A0964">
        <w:rPr>
          <w:rFonts w:ascii="Calibri" w:hAnsi="Calibri" w:cs="Calibri"/>
        </w:rPr>
        <w:t>This has been do</w:t>
      </w:r>
      <w:r w:rsidR="006F5189">
        <w:rPr>
          <w:rFonts w:ascii="Calibri" w:hAnsi="Calibri" w:cs="Calibri"/>
        </w:rPr>
        <w:t>ne for outcomes related to the n</w:t>
      </w:r>
      <w:r w:rsidRPr="009A0964">
        <w:rPr>
          <w:rFonts w:ascii="Calibri" w:hAnsi="Calibri" w:cs="Calibri"/>
        </w:rPr>
        <w:t xml:space="preserve">aproxen component of </w:t>
      </w:r>
      <w:r w:rsidR="004B2048">
        <w:rPr>
          <w:rFonts w:ascii="Calibri" w:hAnsi="Calibri" w:cs="Calibri"/>
        </w:rPr>
        <w:t>Vimovo®</w:t>
      </w:r>
      <w:r w:rsidRPr="009A0964">
        <w:rPr>
          <w:rFonts w:ascii="Calibri" w:hAnsi="Calibri" w:cs="Calibri"/>
        </w:rPr>
        <w:t xml:space="preserve">, and are presented in the cost-minimisation checklist. </w:t>
      </w:r>
      <w:r w:rsidRPr="0011794A">
        <w:t xml:space="preserve">The upper gastro-intestinal outcomes are of obvious importance for this drug combination, </w:t>
      </w:r>
      <w:r>
        <w:t xml:space="preserve">as stated by the Sponsor. </w:t>
      </w:r>
      <w:r w:rsidRPr="009A0964">
        <w:rPr>
          <w:rFonts w:ascii="Calibri" w:hAnsi="Calibri" w:cs="Calibri"/>
        </w:rPr>
        <w:t xml:space="preserve">However, non-inferiority limits have not been provided for the ulcer outcomes. Confidence intervals [based on indirect comparison via naproxen] </w:t>
      </w:r>
      <w:r>
        <w:t xml:space="preserve">of </w:t>
      </w:r>
      <w:r w:rsidR="004B2048">
        <w:t>Vimovo®</w:t>
      </w:r>
      <w:r>
        <w:t xml:space="preserve"> and celecoxib for gastroduodenal ulcers at 3 months</w:t>
      </w:r>
      <w:r w:rsidR="006F5189">
        <w:t xml:space="preserve"> </w:t>
      </w:r>
      <w:r w:rsidRPr="009A0964">
        <w:rPr>
          <w:rFonts w:ascii="Calibri" w:hAnsi="Calibri" w:cs="Calibri"/>
        </w:rPr>
        <w:t>are wide</w:t>
      </w:r>
      <w:r>
        <w:rPr>
          <w:rFonts w:ascii="Calibri" w:hAnsi="Calibri" w:cs="Calibri"/>
        </w:rPr>
        <w:t xml:space="preserve"> [</w:t>
      </w:r>
      <w:r w:rsidRPr="000D2244">
        <w:t xml:space="preserve">Risk Ratio 0.85 </w:t>
      </w:r>
      <w:r>
        <w:t xml:space="preserve">(CI </w:t>
      </w:r>
      <w:r w:rsidRPr="000D2244">
        <w:t>0.28 2.56</w:t>
      </w:r>
      <w:r>
        <w:t xml:space="preserve">)]. This suggests </w:t>
      </w:r>
      <w:r w:rsidRPr="0011794A">
        <w:t xml:space="preserve">an economic analysis based on cost-minimisation </w:t>
      </w:r>
      <w:r w:rsidR="00DB0AC3" w:rsidRPr="0011794A">
        <w:t>is</w:t>
      </w:r>
      <w:r w:rsidRPr="0011794A">
        <w:t xml:space="preserve"> not well justified</w:t>
      </w:r>
      <w:r>
        <w:t>.</w:t>
      </w:r>
    </w:p>
    <w:p w:rsidR="00136151" w:rsidRPr="00EC0163" w:rsidRDefault="00136151" w:rsidP="00136151">
      <w:pPr>
        <w:pStyle w:val="Heading3"/>
        <w:rPr>
          <w:rFonts w:asciiTheme="minorHAnsi" w:hAnsiTheme="minorHAnsi" w:cstheme="minorHAnsi"/>
        </w:rPr>
      </w:pPr>
      <w:bookmarkStart w:id="27" w:name="_Toc356560743"/>
      <w:r w:rsidRPr="00EC0163">
        <w:rPr>
          <w:rFonts w:asciiTheme="minorHAnsi" w:hAnsiTheme="minorHAnsi" w:cstheme="minorHAnsi"/>
        </w:rPr>
        <w:t>Conclusion</w:t>
      </w:r>
      <w:bookmarkEnd w:id="27"/>
    </w:p>
    <w:p w:rsidR="00136151" w:rsidRDefault="00136151" w:rsidP="00136151">
      <w:pPr>
        <w:rPr>
          <w:rFonts w:ascii="Calibri" w:hAnsi="Calibri" w:cs="Calibri"/>
        </w:rPr>
      </w:pPr>
      <w:r>
        <w:rPr>
          <w:rFonts w:ascii="Calibri" w:hAnsi="Calibri" w:cs="Calibri"/>
        </w:rPr>
        <w:t>N</w:t>
      </w:r>
      <w:r w:rsidRPr="009A0964">
        <w:rPr>
          <w:rFonts w:ascii="Calibri" w:hAnsi="Calibri" w:cs="Calibri"/>
        </w:rPr>
        <w:t xml:space="preserve">on-inferiority limits for upper gastrointestinal outcomes need to be proposed and justified. Using their usual methods and cost-minimisation checklist, PBAC then can consider the </w:t>
      </w:r>
      <w:r>
        <w:rPr>
          <w:rFonts w:ascii="Calibri" w:hAnsi="Calibri" w:cs="Calibri"/>
        </w:rPr>
        <w:t xml:space="preserve">quality of the evidence and the </w:t>
      </w:r>
      <w:r w:rsidRPr="009A0964">
        <w:rPr>
          <w:rFonts w:ascii="Calibri" w:hAnsi="Calibri" w:cs="Calibri"/>
        </w:rPr>
        <w:t xml:space="preserve">confidence limits around the estimated difference in </w:t>
      </w:r>
      <w:r>
        <w:rPr>
          <w:rFonts w:ascii="Calibri" w:hAnsi="Calibri" w:cs="Calibri"/>
        </w:rPr>
        <w:t>u</w:t>
      </w:r>
      <w:r w:rsidRPr="009A0964">
        <w:rPr>
          <w:rFonts w:ascii="Calibri" w:hAnsi="Calibri" w:cs="Calibri"/>
        </w:rPr>
        <w:t xml:space="preserve">lcer outcomes between </w:t>
      </w:r>
      <w:r w:rsidR="004B2048">
        <w:rPr>
          <w:rFonts w:ascii="Calibri" w:hAnsi="Calibri" w:cs="Calibri"/>
        </w:rPr>
        <w:t>Vimovo®</w:t>
      </w:r>
      <w:r w:rsidRPr="009A0964">
        <w:rPr>
          <w:rFonts w:ascii="Calibri" w:hAnsi="Calibri" w:cs="Calibri"/>
        </w:rPr>
        <w:t xml:space="preserve"> and comparator </w:t>
      </w:r>
      <w:r w:rsidR="006F5189">
        <w:rPr>
          <w:rFonts w:ascii="Calibri" w:hAnsi="Calibri" w:cs="Calibri"/>
        </w:rPr>
        <w:t>products</w:t>
      </w:r>
      <w:r w:rsidRPr="009A0964">
        <w:rPr>
          <w:rFonts w:ascii="Calibri" w:hAnsi="Calibri" w:cs="Calibri"/>
        </w:rPr>
        <w:t xml:space="preserve"> to decide whether non-inferiority is a reasonable assumption.</w:t>
      </w:r>
    </w:p>
    <w:p w:rsidR="00136151" w:rsidRPr="004E3BAF" w:rsidRDefault="00136151" w:rsidP="00136151">
      <w:r>
        <w:t>A</w:t>
      </w:r>
      <w:r w:rsidRPr="004E3BAF">
        <w:t xml:space="preserve"> judgement </w:t>
      </w:r>
      <w:r>
        <w:t xml:space="preserve">then </w:t>
      </w:r>
      <w:r w:rsidRPr="004E3BAF">
        <w:t xml:space="preserve">needs to be made about the appropriate economic evaluation, with sensitivity analyses to reflect the uncertainty about the differences in gastrointestinal outcomes between </w:t>
      </w:r>
      <w:r w:rsidR="004B2048">
        <w:t>Vimovo®</w:t>
      </w:r>
      <w:r w:rsidRPr="004E3BAF">
        <w:t xml:space="preserve"> and comparator </w:t>
      </w:r>
      <w:r w:rsidR="006F5189">
        <w:t>products</w:t>
      </w:r>
      <w:r w:rsidRPr="004E3BAF">
        <w:t xml:space="preserve">.  The sensitivity analyses could reflect both the statistical uncertainty of the estimated surrogate outcome, as well as any uncertainty about how the result on the surrogate outcome translates to clinically relevant outcomes. </w:t>
      </w:r>
    </w:p>
    <w:p w:rsidR="00136151" w:rsidRDefault="00136151" w:rsidP="00136151">
      <w:pPr>
        <w:pStyle w:val="Heading3"/>
      </w:pPr>
      <w:bookmarkStart w:id="28" w:name="_Toc356560744"/>
      <w:r>
        <w:t>Recommendations</w:t>
      </w:r>
      <w:bookmarkEnd w:id="28"/>
    </w:p>
    <w:p w:rsidR="00136151" w:rsidRPr="0011794A" w:rsidRDefault="00136151" w:rsidP="00136151">
      <w:r>
        <w:t>The following are recommendations</w:t>
      </w:r>
      <w:r w:rsidRPr="0011794A">
        <w:t xml:space="preserve"> for PBAC submissions pro</w:t>
      </w:r>
      <w:r>
        <w:t>m</w:t>
      </w:r>
      <w:r w:rsidRPr="0011794A">
        <w:t xml:space="preserve">pted by consideration of this request for </w:t>
      </w:r>
      <w:r>
        <w:t>I</w:t>
      </w:r>
      <w:r w:rsidRPr="0011794A">
        <w:t xml:space="preserve">ndependent </w:t>
      </w:r>
      <w:r>
        <w:t>R</w:t>
      </w:r>
      <w:r w:rsidRPr="0011794A">
        <w:t>eview</w:t>
      </w:r>
      <w:r w:rsidR="00EC0163">
        <w:t>.</w:t>
      </w:r>
    </w:p>
    <w:p w:rsidR="00136151" w:rsidRPr="003233C6" w:rsidRDefault="00136151" w:rsidP="00136151">
      <w:pPr>
        <w:rPr>
          <w:b/>
        </w:rPr>
      </w:pPr>
      <w:r w:rsidRPr="003233C6">
        <w:rPr>
          <w:b/>
        </w:rPr>
        <w:t xml:space="preserve">Recommendation </w:t>
      </w:r>
      <w:r w:rsidRPr="00BF320E">
        <w:rPr>
          <w:b/>
        </w:rPr>
        <w:t>3</w:t>
      </w:r>
    </w:p>
    <w:p w:rsidR="00136151" w:rsidRPr="00CF4668" w:rsidRDefault="00136151" w:rsidP="00136151">
      <w:pPr>
        <w:rPr>
          <w:b/>
          <w:i/>
        </w:rPr>
      </w:pPr>
      <w:r w:rsidRPr="00CF4668">
        <w:rPr>
          <w:b/>
          <w:i/>
        </w:rPr>
        <w:t>Considering surrogates</w:t>
      </w:r>
    </w:p>
    <w:p w:rsidR="00CF4668" w:rsidRDefault="00CF4668" w:rsidP="00136151">
      <w:pPr>
        <w:rPr>
          <w:b/>
        </w:rPr>
      </w:pPr>
      <w:r>
        <w:rPr>
          <w:b/>
        </w:rPr>
        <w:t xml:space="preserve">Future submissions that involve drugs with surrogate outcomes should include </w:t>
      </w:r>
      <w:r w:rsidRPr="008214CA">
        <w:rPr>
          <w:b/>
        </w:rPr>
        <w:t xml:space="preserve">a table that summarises information </w:t>
      </w:r>
      <w:r>
        <w:rPr>
          <w:b/>
        </w:rPr>
        <w:t>about</w:t>
      </w:r>
      <w:r w:rsidRPr="008214CA">
        <w:rPr>
          <w:b/>
        </w:rPr>
        <w:t xml:space="preserve"> the </w:t>
      </w:r>
      <w:r>
        <w:rPr>
          <w:b/>
        </w:rPr>
        <w:t>five</w:t>
      </w:r>
      <w:r w:rsidRPr="008214CA">
        <w:rPr>
          <w:b/>
        </w:rPr>
        <w:t xml:space="preserve"> Parts of the STFOWG report</w:t>
      </w:r>
      <w:r>
        <w:rPr>
          <w:b/>
        </w:rPr>
        <w:t>.</w:t>
      </w:r>
    </w:p>
    <w:p w:rsidR="00CF4668" w:rsidRDefault="00CF4668" w:rsidP="00136151">
      <w:pPr>
        <w:rPr>
          <w:b/>
        </w:rPr>
      </w:pPr>
    </w:p>
    <w:p w:rsidR="00136151" w:rsidRPr="003233C6" w:rsidRDefault="00136151" w:rsidP="00136151">
      <w:pPr>
        <w:rPr>
          <w:b/>
        </w:rPr>
      </w:pPr>
      <w:r w:rsidRPr="00BF320E">
        <w:rPr>
          <w:b/>
        </w:rPr>
        <w:t>Recommendation 4</w:t>
      </w:r>
    </w:p>
    <w:p w:rsidR="00136151" w:rsidRPr="00CF4668" w:rsidRDefault="00136151" w:rsidP="00136151">
      <w:pPr>
        <w:rPr>
          <w:b/>
          <w:i/>
        </w:rPr>
      </w:pPr>
      <w:r w:rsidRPr="00CF4668">
        <w:rPr>
          <w:b/>
          <w:i/>
        </w:rPr>
        <w:t>Non-inferiority for drugs with multiple outcomes</w:t>
      </w:r>
    </w:p>
    <w:p w:rsidR="00136151" w:rsidRPr="007310BD" w:rsidRDefault="00136151" w:rsidP="00136151">
      <w:pPr>
        <w:rPr>
          <w:rFonts w:ascii="Calibri" w:hAnsi="Calibri" w:cs="Calibri"/>
          <w:b/>
        </w:rPr>
      </w:pPr>
      <w:r w:rsidRPr="007310BD">
        <w:rPr>
          <w:rFonts w:ascii="Calibri" w:hAnsi="Calibri" w:cs="Calibri"/>
          <w:b/>
        </w:rPr>
        <w:t>For drugs with multiple outcomes and for which economic analysis by cost-minimisation is being proposed, it would be helpful to have an explicit process of considering at least all the primary outcomes and deciding for which non-inferiority needs to be assessed</w:t>
      </w:r>
      <w:r w:rsidRPr="007310BD">
        <w:rPr>
          <w:rFonts w:ascii="Calibri" w:hAnsi="Calibri" w:cs="Calibri"/>
          <w:b/>
          <w:color w:val="3366FF"/>
        </w:rPr>
        <w:t xml:space="preserve">. </w:t>
      </w:r>
      <w:r w:rsidRPr="007310BD">
        <w:rPr>
          <w:rFonts w:ascii="Calibri" w:hAnsi="Calibri" w:cs="Calibri"/>
          <w:b/>
        </w:rPr>
        <w:t xml:space="preserve">This </w:t>
      </w:r>
      <w:r w:rsidR="00CF4668">
        <w:rPr>
          <w:rFonts w:ascii="Calibri" w:hAnsi="Calibri" w:cs="Calibri"/>
          <w:b/>
        </w:rPr>
        <w:t>is</w:t>
      </w:r>
      <w:r w:rsidRPr="007310BD">
        <w:rPr>
          <w:rFonts w:ascii="Calibri" w:hAnsi="Calibri" w:cs="Calibri"/>
          <w:b/>
        </w:rPr>
        <w:t xml:space="preserve"> particularly important for combination drugs, especially when the two drugs are being used to affect different outcomes. This process could be incorporated into </w:t>
      </w:r>
      <w:r>
        <w:rPr>
          <w:rFonts w:ascii="Calibri" w:hAnsi="Calibri" w:cs="Calibri"/>
          <w:b/>
        </w:rPr>
        <w:t xml:space="preserve">PBAC Guidelines and </w:t>
      </w:r>
      <w:r w:rsidRPr="007310BD">
        <w:rPr>
          <w:rFonts w:ascii="Calibri" w:hAnsi="Calibri" w:cs="Calibri"/>
          <w:b/>
        </w:rPr>
        <w:t>the cost-minimisation checklist.</w:t>
      </w:r>
    </w:p>
    <w:p w:rsidR="009036FD" w:rsidRDefault="009036FD" w:rsidP="005F5F80">
      <w:pPr>
        <w:pStyle w:val="Heading2"/>
      </w:pPr>
    </w:p>
    <w:p w:rsidR="008D0FDD" w:rsidRPr="00D737FF" w:rsidRDefault="008D0FDD" w:rsidP="005F5F80">
      <w:pPr>
        <w:pStyle w:val="Heading2"/>
      </w:pPr>
      <w:bookmarkStart w:id="29" w:name="_Toc356560745"/>
      <w:r w:rsidRPr="00D737FF">
        <w:rPr>
          <w:rFonts w:cstheme="minorHAnsi"/>
        </w:rPr>
        <w:t xml:space="preserve">Continuing concern that the listing of </w:t>
      </w:r>
      <w:r w:rsidR="004B2048">
        <w:rPr>
          <w:rFonts w:cstheme="minorHAnsi"/>
        </w:rPr>
        <w:t>Vimovo</w:t>
      </w:r>
      <w:r w:rsidR="004B2048" w:rsidRPr="0007307A">
        <w:rPr>
          <w:rFonts w:cstheme="minorHAnsi"/>
          <w:vertAlign w:val="superscript"/>
        </w:rPr>
        <w:t>®</w:t>
      </w:r>
      <w:r w:rsidRPr="00D737FF">
        <w:rPr>
          <w:rFonts w:cstheme="minorHAnsi"/>
        </w:rPr>
        <w:t xml:space="preserve"> could result in increased costs to the PBS</w:t>
      </w:r>
      <w:r w:rsidRPr="00D737FF">
        <w:t>.</w:t>
      </w:r>
      <w:bookmarkEnd w:id="29"/>
    </w:p>
    <w:p w:rsidR="008D0FDD" w:rsidRPr="009A0964" w:rsidRDefault="008D0FDD" w:rsidP="008D0FDD">
      <w:pPr>
        <w:rPr>
          <w:rFonts w:ascii="Calibri" w:hAnsi="Calibri" w:cs="Calibri"/>
        </w:rPr>
      </w:pPr>
      <w:r w:rsidRPr="009A0964">
        <w:rPr>
          <w:rFonts w:ascii="Calibri" w:hAnsi="Calibri" w:cs="Calibri"/>
        </w:rPr>
        <w:t xml:space="preserve">The grounds for PBAC’s continuing concern that the listing of </w:t>
      </w:r>
      <w:r w:rsidR="004B2048">
        <w:rPr>
          <w:rFonts w:ascii="Calibri" w:hAnsi="Calibri" w:cs="Calibri"/>
        </w:rPr>
        <w:t>Vimovo®</w:t>
      </w:r>
      <w:r w:rsidRPr="009A0964">
        <w:rPr>
          <w:rFonts w:ascii="Calibri" w:hAnsi="Calibri" w:cs="Calibri"/>
        </w:rPr>
        <w:t xml:space="preserve"> on the PBS could result in increased costs to the PBS relates specifically to factors associated with uncertainty in the </w:t>
      </w:r>
      <w:r w:rsidR="003824EF">
        <w:rPr>
          <w:rFonts w:ascii="Calibri" w:hAnsi="Calibri" w:cs="Calibri"/>
        </w:rPr>
        <w:t>Sponsor</w:t>
      </w:r>
      <w:r w:rsidRPr="009A0964">
        <w:rPr>
          <w:rFonts w:ascii="Calibri" w:hAnsi="Calibri" w:cs="Calibri"/>
        </w:rPr>
        <w:t xml:space="preserve">’s assumptions relating to expected use and price. </w:t>
      </w:r>
      <w:r w:rsidR="00B65DCB">
        <w:rPr>
          <w:rFonts w:ascii="Calibri" w:hAnsi="Calibri" w:cs="Calibri"/>
        </w:rPr>
        <w:t xml:space="preserve"> </w:t>
      </w:r>
      <w:r w:rsidRPr="009A0964">
        <w:rPr>
          <w:rFonts w:ascii="Calibri" w:hAnsi="Calibri" w:cs="Calibri"/>
        </w:rPr>
        <w:t xml:space="preserve">Those factors include growth in the NSAID market itself, </w:t>
      </w:r>
      <w:r w:rsidR="004B2048">
        <w:rPr>
          <w:rFonts w:ascii="Calibri" w:hAnsi="Calibri" w:cs="Calibri"/>
        </w:rPr>
        <w:t>Vimovo®</w:t>
      </w:r>
      <w:r w:rsidRPr="009A0964">
        <w:rPr>
          <w:rFonts w:ascii="Calibri" w:hAnsi="Calibri" w:cs="Calibri"/>
        </w:rPr>
        <w:t xml:space="preserve">’s share of the markets and the specific assumptions regarding uptake and substitution patterns for </w:t>
      </w:r>
      <w:r w:rsidR="004B2048">
        <w:rPr>
          <w:rFonts w:ascii="Calibri" w:hAnsi="Calibri" w:cs="Calibri"/>
        </w:rPr>
        <w:t>Vimovo®</w:t>
      </w:r>
      <w:r w:rsidRPr="009A0964">
        <w:rPr>
          <w:rFonts w:ascii="Calibri" w:hAnsi="Calibri" w:cs="Calibri"/>
        </w:rPr>
        <w:t xml:space="preserve">, price weighting of </w:t>
      </w:r>
      <w:r w:rsidR="004B2048">
        <w:rPr>
          <w:rFonts w:ascii="Calibri" w:hAnsi="Calibri" w:cs="Calibri"/>
        </w:rPr>
        <w:t>Vimovo®</w:t>
      </w:r>
      <w:r w:rsidRPr="009A0964">
        <w:rPr>
          <w:rFonts w:ascii="Calibri" w:hAnsi="Calibri" w:cs="Calibri"/>
        </w:rPr>
        <w:t>, the proportion of patients currently on celecoxib + P</w:t>
      </w:r>
      <w:r w:rsidR="007E4932">
        <w:rPr>
          <w:rFonts w:ascii="Calibri" w:hAnsi="Calibri" w:cs="Calibri"/>
        </w:rPr>
        <w:t xml:space="preserve">PI (Proton-pump Inhibitor) or </w:t>
      </w:r>
      <w:r w:rsidR="004B2048">
        <w:rPr>
          <w:rFonts w:ascii="Calibri" w:hAnsi="Calibri" w:cs="Calibri"/>
        </w:rPr>
        <w:t>ns</w:t>
      </w:r>
      <w:r w:rsidRPr="009A0964">
        <w:rPr>
          <w:rFonts w:ascii="Calibri" w:hAnsi="Calibri" w:cs="Calibri"/>
        </w:rPr>
        <w:t xml:space="preserve">NSAID (non-selective non-steroidal anti- inflammatory </w:t>
      </w:r>
      <w:r w:rsidR="007E4932">
        <w:rPr>
          <w:rFonts w:ascii="Calibri" w:hAnsi="Calibri" w:cs="Calibri"/>
        </w:rPr>
        <w:t>drug</w:t>
      </w:r>
      <w:r w:rsidRPr="009A0964">
        <w:rPr>
          <w:rFonts w:ascii="Calibri" w:hAnsi="Calibri" w:cs="Calibri"/>
        </w:rPr>
        <w:t>) + PPI who have at least 1 gastrointestinal (GI) risk factor, known statutory price reductions for rabeprazole and esomeprazole and fu</w:t>
      </w:r>
      <w:r w:rsidR="001F6C5E">
        <w:rPr>
          <w:rFonts w:ascii="Calibri" w:hAnsi="Calibri" w:cs="Calibri"/>
        </w:rPr>
        <w:t>rther price reductions of NSAIDs</w:t>
      </w:r>
      <w:r w:rsidRPr="009A0964">
        <w:rPr>
          <w:rFonts w:ascii="Calibri" w:hAnsi="Calibri" w:cs="Calibri"/>
        </w:rPr>
        <w:t>.</w:t>
      </w:r>
    </w:p>
    <w:p w:rsidR="008D0FDD" w:rsidRPr="009A0964" w:rsidRDefault="008D0FDD" w:rsidP="008D0FDD">
      <w:pPr>
        <w:rPr>
          <w:rFonts w:ascii="Calibri" w:hAnsi="Calibri" w:cs="Calibri"/>
        </w:rPr>
      </w:pPr>
      <w:r w:rsidRPr="009A0964">
        <w:rPr>
          <w:rFonts w:ascii="Calibri" w:hAnsi="Calibri" w:cs="Calibri"/>
        </w:rPr>
        <w:t xml:space="preserve">From the first to the third submissions PES/PBAC expressed concerns about the potential for </w:t>
      </w:r>
      <w:r w:rsidR="004B2048">
        <w:rPr>
          <w:rFonts w:ascii="Calibri" w:hAnsi="Calibri" w:cs="Calibri"/>
        </w:rPr>
        <w:t>Vimovo®</w:t>
      </w:r>
      <w:r w:rsidRPr="009A0964">
        <w:rPr>
          <w:rFonts w:ascii="Calibri" w:hAnsi="Calibri" w:cs="Calibri"/>
        </w:rPr>
        <w:t xml:space="preserve"> to increase overall net costs to the PBS.  At no point could we locate any information in the documents provided to the review team that supported this claim.  There was one direct request from PBAC to the </w:t>
      </w:r>
      <w:r w:rsidR="003824EF">
        <w:rPr>
          <w:rFonts w:ascii="Calibri" w:hAnsi="Calibri" w:cs="Calibri"/>
        </w:rPr>
        <w:t>Sponsor</w:t>
      </w:r>
      <w:r w:rsidRPr="009A0964">
        <w:rPr>
          <w:rFonts w:ascii="Calibri" w:hAnsi="Calibri" w:cs="Calibri"/>
        </w:rPr>
        <w:t xml:space="preserve"> to use an alternate set of assumptions on market uptake and substitution. These assumptions were provided by DUSC and the </w:t>
      </w:r>
      <w:r w:rsidR="003824EF">
        <w:rPr>
          <w:rFonts w:ascii="Calibri" w:hAnsi="Calibri" w:cs="Calibri"/>
        </w:rPr>
        <w:t>Sponsor</w:t>
      </w:r>
      <w:r w:rsidRPr="009A0964">
        <w:rPr>
          <w:rFonts w:ascii="Calibri" w:hAnsi="Calibri" w:cs="Calibri"/>
        </w:rPr>
        <w:t xml:space="preserve"> complied with the request.  The results did not change the conclusion that </w:t>
      </w:r>
      <w:r w:rsidR="004B2048">
        <w:rPr>
          <w:rFonts w:ascii="Calibri" w:hAnsi="Calibri" w:cs="Calibri"/>
        </w:rPr>
        <w:t>Vimovo®</w:t>
      </w:r>
      <w:r w:rsidRPr="009A0964">
        <w:rPr>
          <w:rFonts w:ascii="Calibri" w:hAnsi="Calibri" w:cs="Calibri"/>
        </w:rPr>
        <w:t xml:space="preserve"> produced an overall negative net cost (cost saving) to the PBS.  Another request from PBAC asked the </w:t>
      </w:r>
      <w:r w:rsidR="003824EF">
        <w:rPr>
          <w:rFonts w:ascii="Calibri" w:hAnsi="Calibri" w:cs="Calibri"/>
        </w:rPr>
        <w:t>Sponsor</w:t>
      </w:r>
      <w:r w:rsidRPr="009A0964">
        <w:rPr>
          <w:rFonts w:ascii="Calibri" w:hAnsi="Calibri" w:cs="Calibri"/>
        </w:rPr>
        <w:t xml:space="preserve"> to include known statutory price reductions in rabeprazole and esomeprazole.  The results did not change the conclusion that </w:t>
      </w:r>
      <w:r w:rsidR="004B2048">
        <w:rPr>
          <w:rFonts w:ascii="Calibri" w:hAnsi="Calibri" w:cs="Calibri"/>
        </w:rPr>
        <w:t>Vimovo®</w:t>
      </w:r>
      <w:r w:rsidRPr="009A0964">
        <w:rPr>
          <w:rFonts w:ascii="Calibri" w:hAnsi="Calibri" w:cs="Calibri"/>
        </w:rPr>
        <w:t xml:space="preserve"> produced an overall negative net cost (cost saving) to the PBS. </w:t>
      </w:r>
    </w:p>
    <w:p w:rsidR="008D0FDD" w:rsidRPr="009A0964" w:rsidRDefault="008D0FDD" w:rsidP="008D0FDD">
      <w:pPr>
        <w:rPr>
          <w:rFonts w:ascii="Calibri" w:hAnsi="Calibri" w:cs="Calibri"/>
        </w:rPr>
      </w:pPr>
      <w:r w:rsidRPr="009A0964">
        <w:rPr>
          <w:rFonts w:ascii="Calibri" w:hAnsi="Calibri" w:cs="Calibri"/>
        </w:rPr>
        <w:t xml:space="preserve">The </w:t>
      </w:r>
      <w:r w:rsidR="003824EF">
        <w:rPr>
          <w:rFonts w:ascii="Calibri" w:hAnsi="Calibri" w:cs="Calibri"/>
        </w:rPr>
        <w:t>Sponsor</w:t>
      </w:r>
      <w:r w:rsidRPr="009A0964">
        <w:rPr>
          <w:rFonts w:ascii="Calibri" w:hAnsi="Calibri" w:cs="Calibri"/>
        </w:rPr>
        <w:t xml:space="preserve"> correctly states </w:t>
      </w:r>
      <w:r w:rsidR="004B2048">
        <w:rPr>
          <w:rFonts w:ascii="Calibri" w:hAnsi="Calibri" w:cs="Calibri"/>
        </w:rPr>
        <w:t>the</w:t>
      </w:r>
      <w:r w:rsidR="004B2048" w:rsidRPr="009A0964">
        <w:rPr>
          <w:rFonts w:ascii="Calibri" w:hAnsi="Calibri" w:cs="Calibri"/>
        </w:rPr>
        <w:t xml:space="preserve"> </w:t>
      </w:r>
      <w:r w:rsidRPr="009A0964">
        <w:rPr>
          <w:rFonts w:ascii="Calibri" w:hAnsi="Calibri" w:cs="Calibri"/>
        </w:rPr>
        <w:t xml:space="preserve">request from PBAC </w:t>
      </w:r>
      <w:r w:rsidR="004B2048">
        <w:rPr>
          <w:rFonts w:ascii="Calibri" w:hAnsi="Calibri" w:cs="Calibri"/>
        </w:rPr>
        <w:t xml:space="preserve">to include in further analysis </w:t>
      </w:r>
      <w:r w:rsidR="001812E8">
        <w:rPr>
          <w:rFonts w:ascii="Calibri" w:hAnsi="Calibri" w:cs="Calibri"/>
        </w:rPr>
        <w:t xml:space="preserve">on </w:t>
      </w:r>
      <w:r w:rsidR="004B2048">
        <w:rPr>
          <w:rFonts w:ascii="Calibri" w:hAnsi="Calibri" w:cs="Calibri"/>
        </w:rPr>
        <w:t>‘</w:t>
      </w:r>
      <w:r w:rsidR="004B2048" w:rsidRPr="008F040B">
        <w:rPr>
          <w:lang w:val="en-GB"/>
        </w:rPr>
        <w:t>the ongoing reductions in the PBS prices of some PPIs and NSAID medicines</w:t>
      </w:r>
      <w:r w:rsidR="004B2048">
        <w:rPr>
          <w:lang w:val="en-GB"/>
        </w:rPr>
        <w:t>’</w:t>
      </w:r>
      <w:r w:rsidR="004B2048" w:rsidRPr="009A0964">
        <w:rPr>
          <w:rFonts w:ascii="Calibri" w:hAnsi="Calibri" w:cs="Calibri"/>
        </w:rPr>
        <w:t xml:space="preserve"> </w:t>
      </w:r>
      <w:r w:rsidRPr="009A0964">
        <w:rPr>
          <w:rFonts w:ascii="Calibri" w:hAnsi="Calibri" w:cs="Calibri"/>
        </w:rPr>
        <w:t xml:space="preserve">is not consistent with the Guidelines that specify the use of constant prices and zero inflation in estimating the overall net cost to the PBS. </w:t>
      </w:r>
      <w:r w:rsidR="0023575A">
        <w:rPr>
          <w:rFonts w:ascii="Calibri" w:hAnsi="Calibri" w:cs="Calibri"/>
        </w:rPr>
        <w:t>As</w:t>
      </w:r>
      <w:r w:rsidR="0023575A" w:rsidRPr="009A0964">
        <w:rPr>
          <w:rFonts w:ascii="Calibri" w:hAnsi="Calibri" w:cs="Calibri"/>
        </w:rPr>
        <w:t xml:space="preserve"> </w:t>
      </w:r>
      <w:r w:rsidRPr="009A0964">
        <w:rPr>
          <w:rFonts w:ascii="Calibri" w:hAnsi="Calibri" w:cs="Calibri"/>
        </w:rPr>
        <w:t>PBAC was concerned about the impact of f</w:t>
      </w:r>
      <w:r w:rsidR="001F6C5E">
        <w:rPr>
          <w:rFonts w:ascii="Calibri" w:hAnsi="Calibri" w:cs="Calibri"/>
        </w:rPr>
        <w:t>uture price reductions of NSAIDs</w:t>
      </w:r>
      <w:r w:rsidRPr="009A0964">
        <w:rPr>
          <w:rFonts w:ascii="Calibri" w:hAnsi="Calibri" w:cs="Calibri"/>
        </w:rPr>
        <w:t xml:space="preserve"> then they have the right to request the information. But in this instance it has not been accompanied by their </w:t>
      </w:r>
      <w:r w:rsidR="00B65DCB">
        <w:rPr>
          <w:rFonts w:ascii="Calibri" w:hAnsi="Calibri" w:cs="Calibri"/>
        </w:rPr>
        <w:t>responsibility</w:t>
      </w:r>
      <w:r w:rsidRPr="009A0964">
        <w:rPr>
          <w:rFonts w:ascii="Calibri" w:hAnsi="Calibri" w:cs="Calibri"/>
        </w:rPr>
        <w:t xml:space="preserve"> to explain the reasons for the request.   </w:t>
      </w:r>
    </w:p>
    <w:p w:rsidR="008D0FDD" w:rsidRPr="009A0964" w:rsidRDefault="008D0FDD" w:rsidP="008D0FDD">
      <w:pPr>
        <w:rPr>
          <w:rFonts w:ascii="Calibri" w:hAnsi="Calibri" w:cs="Calibri"/>
        </w:rPr>
      </w:pPr>
      <w:r w:rsidRPr="009A0964">
        <w:rPr>
          <w:rFonts w:ascii="Calibri" w:hAnsi="Calibri" w:cs="Calibri"/>
        </w:rPr>
        <w:t xml:space="preserve">The Primary Reviewer sought a meeting with the Chair of the PBAC to clarify how PBAC arrived at the conclusion in the minutes of PBAC meeting that </w:t>
      </w:r>
      <w:r w:rsidR="004B2048">
        <w:rPr>
          <w:rFonts w:ascii="Calibri" w:hAnsi="Calibri" w:cs="Calibri"/>
        </w:rPr>
        <w:t>Vimovo®</w:t>
      </w:r>
      <w:r w:rsidRPr="009A0964">
        <w:rPr>
          <w:rFonts w:ascii="Calibri" w:hAnsi="Calibri" w:cs="Calibri"/>
        </w:rPr>
        <w:t xml:space="preserve"> would increase the overall net cost to the PBS.</w:t>
      </w:r>
    </w:p>
    <w:p w:rsidR="008D0FDD" w:rsidRPr="009A0964" w:rsidRDefault="00DD069D" w:rsidP="008D0FDD">
      <w:pPr>
        <w:rPr>
          <w:rFonts w:ascii="Calibri" w:hAnsi="Calibri" w:cs="Calibri"/>
        </w:rPr>
      </w:pPr>
      <w:r>
        <w:t xml:space="preserve">The Primary Reviewer was advised that, </w:t>
      </w:r>
      <w:r>
        <w:rPr>
          <w:rFonts w:ascii="Calibri" w:hAnsi="Calibri" w:cs="Calibri"/>
        </w:rPr>
        <w:t>f</w:t>
      </w:r>
      <w:r w:rsidR="008D0FDD" w:rsidRPr="009A0964">
        <w:rPr>
          <w:rFonts w:ascii="Calibri" w:hAnsi="Calibri" w:cs="Calibri"/>
        </w:rPr>
        <w:t xml:space="preserve">ollowing the </w:t>
      </w:r>
      <w:r w:rsidR="003824EF">
        <w:rPr>
          <w:rFonts w:ascii="Calibri" w:hAnsi="Calibri" w:cs="Calibri"/>
        </w:rPr>
        <w:t>Sponsor</w:t>
      </w:r>
      <w:r w:rsidR="008D0FDD" w:rsidRPr="009A0964">
        <w:rPr>
          <w:rFonts w:ascii="Calibri" w:hAnsi="Calibri" w:cs="Calibri"/>
        </w:rPr>
        <w:t xml:space="preserve"> lodging a minor submission (as suggested by the Department of Health and Ageing in a pre-submission meeting)</w:t>
      </w:r>
      <w:r>
        <w:rPr>
          <w:rFonts w:ascii="Calibri" w:hAnsi="Calibri" w:cs="Calibri"/>
        </w:rPr>
        <w:t>,</w:t>
      </w:r>
      <w:r w:rsidR="008D0FDD" w:rsidRPr="009A0964">
        <w:rPr>
          <w:rFonts w:ascii="Calibri" w:hAnsi="Calibri" w:cs="Calibri"/>
        </w:rPr>
        <w:t xml:space="preserve"> the application </w:t>
      </w:r>
      <w:r w:rsidR="007E4932">
        <w:rPr>
          <w:rFonts w:ascii="Calibri" w:hAnsi="Calibri" w:cs="Calibri"/>
        </w:rPr>
        <w:t xml:space="preserve">could </w:t>
      </w:r>
      <w:r w:rsidR="008D0FDD" w:rsidRPr="009A0964">
        <w:rPr>
          <w:rFonts w:ascii="Calibri" w:hAnsi="Calibri" w:cs="Calibri"/>
        </w:rPr>
        <w:t>not been returned to DUSC for further analysis of utilization against the latest financial impact costings. As a result, the PBAC had to form a view about the utilization figures.  In the absence of proposals such as a financial cap or authority restrictions, the committee concluded use in practice would in turn increase the costs to the PBS</w:t>
      </w:r>
      <w:r w:rsidR="004D4269">
        <w:rPr>
          <w:rFonts w:ascii="Calibri" w:hAnsi="Calibri" w:cs="Calibri"/>
        </w:rPr>
        <w:t>.</w:t>
      </w:r>
    </w:p>
    <w:p w:rsidR="008D0FDD" w:rsidRPr="00EC0163" w:rsidRDefault="008D0FDD" w:rsidP="007310BD">
      <w:pPr>
        <w:pStyle w:val="Heading3"/>
        <w:rPr>
          <w:rFonts w:asciiTheme="minorHAnsi" w:hAnsiTheme="minorHAnsi" w:cstheme="minorHAnsi"/>
        </w:rPr>
      </w:pPr>
      <w:bookmarkStart w:id="30" w:name="_Toc356560746"/>
      <w:r w:rsidRPr="00EC0163">
        <w:rPr>
          <w:rFonts w:asciiTheme="minorHAnsi" w:hAnsiTheme="minorHAnsi" w:cstheme="minorHAnsi"/>
        </w:rPr>
        <w:t>Conclusions</w:t>
      </w:r>
      <w:bookmarkEnd w:id="30"/>
      <w:r w:rsidRPr="00EC0163">
        <w:rPr>
          <w:rFonts w:asciiTheme="minorHAnsi" w:hAnsiTheme="minorHAnsi" w:cstheme="minorHAnsi"/>
        </w:rPr>
        <w:t xml:space="preserve"> </w:t>
      </w:r>
    </w:p>
    <w:p w:rsidR="0023575A" w:rsidRDefault="008D0FDD" w:rsidP="008D0FDD">
      <w:pPr>
        <w:rPr>
          <w:rFonts w:ascii="Calibri" w:hAnsi="Calibri" w:cs="Calibri"/>
        </w:rPr>
      </w:pPr>
      <w:r w:rsidRPr="009A0964">
        <w:rPr>
          <w:rFonts w:ascii="Calibri" w:hAnsi="Calibri" w:cs="Calibri"/>
        </w:rPr>
        <w:t xml:space="preserve">There was no </w:t>
      </w:r>
      <w:r w:rsidR="00FD2BD6">
        <w:rPr>
          <w:rFonts w:ascii="Calibri" w:hAnsi="Calibri" w:cs="Calibri"/>
        </w:rPr>
        <w:t>documented</w:t>
      </w:r>
      <w:r w:rsidR="00FD2BD6" w:rsidRPr="009A0964">
        <w:rPr>
          <w:rFonts w:ascii="Calibri" w:hAnsi="Calibri" w:cs="Calibri"/>
        </w:rPr>
        <w:t xml:space="preserve"> </w:t>
      </w:r>
      <w:r w:rsidRPr="009A0964">
        <w:rPr>
          <w:rFonts w:ascii="Calibri" w:hAnsi="Calibri" w:cs="Calibri"/>
        </w:rPr>
        <w:t xml:space="preserve">evidence </w:t>
      </w:r>
      <w:r w:rsidR="0023575A">
        <w:rPr>
          <w:rFonts w:ascii="Calibri" w:hAnsi="Calibri" w:cs="Calibri"/>
        </w:rPr>
        <w:t>before</w:t>
      </w:r>
      <w:r w:rsidRPr="009A0964">
        <w:rPr>
          <w:rFonts w:ascii="Calibri" w:hAnsi="Calibri" w:cs="Calibri"/>
        </w:rPr>
        <w:t xml:space="preserve"> PBAC to support the claim that listing </w:t>
      </w:r>
      <w:r w:rsidR="004B2048">
        <w:rPr>
          <w:rFonts w:ascii="Calibri" w:hAnsi="Calibri" w:cs="Calibri"/>
        </w:rPr>
        <w:t>Vimovo®</w:t>
      </w:r>
      <w:r w:rsidRPr="009A0964">
        <w:rPr>
          <w:rFonts w:ascii="Calibri" w:hAnsi="Calibri" w:cs="Calibri"/>
        </w:rPr>
        <w:t xml:space="preserve"> on the PBS would result in increased costs to the PBS. The PES and PBAC accepted the Section D and Section E information with just a few minor corrections, the validity of the </w:t>
      </w:r>
      <w:r w:rsidR="003824EF">
        <w:rPr>
          <w:rFonts w:ascii="Calibri" w:hAnsi="Calibri" w:cs="Calibri"/>
        </w:rPr>
        <w:t>Sponsor</w:t>
      </w:r>
      <w:r w:rsidRPr="009A0964">
        <w:rPr>
          <w:rFonts w:ascii="Calibri" w:hAnsi="Calibri" w:cs="Calibri"/>
        </w:rPr>
        <w:t xml:space="preserve">’s financial estimates model was not questioned and the </w:t>
      </w:r>
      <w:r w:rsidR="003824EF">
        <w:rPr>
          <w:rFonts w:ascii="Calibri" w:hAnsi="Calibri" w:cs="Calibri"/>
        </w:rPr>
        <w:t>Sponsor</w:t>
      </w:r>
      <w:r w:rsidRPr="009A0964">
        <w:rPr>
          <w:rFonts w:ascii="Calibri" w:hAnsi="Calibri" w:cs="Calibri"/>
        </w:rPr>
        <w:t xml:space="preserve"> responded appropriately to PBAC requests for it to model the financial impact using revised assumptions.  </w:t>
      </w:r>
    </w:p>
    <w:p w:rsidR="008D0FDD" w:rsidRPr="009A0964" w:rsidRDefault="0023575A" w:rsidP="008D0FDD">
      <w:pPr>
        <w:rPr>
          <w:rFonts w:ascii="Calibri" w:hAnsi="Calibri" w:cs="Calibri"/>
        </w:rPr>
      </w:pPr>
      <w:r>
        <w:rPr>
          <w:rFonts w:ascii="Calibri" w:hAnsi="Calibri" w:cs="Calibri"/>
        </w:rPr>
        <w:t>While the Committee was entitled to make that judgement based on the expertise of its members, this could have been explained more clearly in the minutes.</w:t>
      </w:r>
      <w:r w:rsidR="008D0FDD" w:rsidRPr="009A0964">
        <w:rPr>
          <w:rFonts w:ascii="Calibri" w:hAnsi="Calibri" w:cs="Calibri"/>
        </w:rPr>
        <w:t xml:space="preserve"> </w:t>
      </w:r>
    </w:p>
    <w:p w:rsidR="008D0FDD" w:rsidRPr="009A0964" w:rsidRDefault="008D0FDD" w:rsidP="008D0FDD">
      <w:pPr>
        <w:rPr>
          <w:rFonts w:ascii="Calibri" w:hAnsi="Calibri" w:cs="Calibri"/>
          <w:i/>
        </w:rPr>
      </w:pPr>
      <w:r w:rsidRPr="009A0964">
        <w:rPr>
          <w:rFonts w:ascii="Calibri" w:hAnsi="Calibri" w:cs="Calibri"/>
          <w:i/>
        </w:rPr>
        <w:t>Addendum</w:t>
      </w:r>
    </w:p>
    <w:p w:rsidR="008D0FDD" w:rsidRPr="009A0964" w:rsidRDefault="008D0FDD" w:rsidP="008D0FDD">
      <w:pPr>
        <w:rPr>
          <w:rFonts w:ascii="Calibri" w:hAnsi="Calibri" w:cs="Calibri"/>
        </w:rPr>
      </w:pPr>
      <w:r w:rsidRPr="009A0964">
        <w:rPr>
          <w:rFonts w:ascii="Calibri" w:hAnsi="Calibri" w:cs="Calibri"/>
        </w:rPr>
        <w:t xml:space="preserve">As an independent exercise the Review team used the </w:t>
      </w:r>
      <w:r w:rsidR="003824EF">
        <w:rPr>
          <w:rFonts w:ascii="Calibri" w:hAnsi="Calibri" w:cs="Calibri"/>
        </w:rPr>
        <w:t>Sponsor</w:t>
      </w:r>
      <w:r w:rsidRPr="009A0964">
        <w:rPr>
          <w:rFonts w:ascii="Calibri" w:hAnsi="Calibri" w:cs="Calibri"/>
        </w:rPr>
        <w:t xml:space="preserve">’s model to conduct a series of one-way sensitivity analyses to ascertain the possible causes of concern about cost </w:t>
      </w:r>
      <w:r w:rsidRPr="00BF320E">
        <w:rPr>
          <w:rFonts w:ascii="Calibri" w:hAnsi="Calibri" w:cs="Calibri"/>
        </w:rPr>
        <w:t>increases</w:t>
      </w:r>
      <w:r w:rsidR="007E4932" w:rsidRPr="00BF320E">
        <w:rPr>
          <w:rFonts w:ascii="Calibri" w:hAnsi="Calibri" w:cs="Calibri"/>
        </w:rPr>
        <w:t xml:space="preserve"> in listing </w:t>
      </w:r>
      <w:r w:rsidR="004B2048" w:rsidRPr="00BF320E">
        <w:rPr>
          <w:rFonts w:ascii="Calibri" w:hAnsi="Calibri" w:cs="Calibri"/>
        </w:rPr>
        <w:t>Vimovo®</w:t>
      </w:r>
      <w:r w:rsidR="007E4932" w:rsidRPr="00BF320E">
        <w:rPr>
          <w:rFonts w:ascii="Calibri" w:hAnsi="Calibri" w:cs="Calibri"/>
        </w:rPr>
        <w:t xml:space="preserve"> on the PBS</w:t>
      </w:r>
      <w:r w:rsidRPr="00BF320E">
        <w:rPr>
          <w:rFonts w:ascii="Calibri" w:hAnsi="Calibri" w:cs="Calibri"/>
        </w:rPr>
        <w:t xml:space="preserve">. Only the extreme assumptions about market growth and price reductions in celecoxib +/- PPIs and </w:t>
      </w:r>
      <w:r w:rsidR="001F6C5E" w:rsidRPr="00BF320E">
        <w:rPr>
          <w:rFonts w:ascii="Calibri" w:hAnsi="Calibri" w:cs="Calibri"/>
        </w:rPr>
        <w:t>NSAIDs</w:t>
      </w:r>
      <w:r w:rsidRPr="00BF320E">
        <w:rPr>
          <w:rFonts w:ascii="Calibri" w:hAnsi="Calibri" w:cs="Calibri"/>
        </w:rPr>
        <w:t xml:space="preserve"> +/- PPI demonstrated the</w:t>
      </w:r>
      <w:r w:rsidRPr="009A0964">
        <w:rPr>
          <w:rFonts w:ascii="Calibri" w:hAnsi="Calibri" w:cs="Calibri"/>
        </w:rPr>
        <w:t xml:space="preserve"> potential to flip the Overall Net Cost to the PBS from negative (cost saving) to positive (cost inducing).  The full details of this analysis are contained in the companion report on costings. </w:t>
      </w:r>
    </w:p>
    <w:p w:rsidR="008D0FDD" w:rsidRPr="00D737FF" w:rsidRDefault="008D0FDD" w:rsidP="005F5F80">
      <w:pPr>
        <w:pStyle w:val="Heading2"/>
        <w:rPr>
          <w:rFonts w:cstheme="minorHAnsi"/>
        </w:rPr>
      </w:pPr>
      <w:bookmarkStart w:id="31" w:name="_Toc356560747"/>
      <w:r w:rsidRPr="00D737FF">
        <w:rPr>
          <w:rFonts w:cstheme="minorHAnsi"/>
        </w:rPr>
        <w:t>Overall Conclusion</w:t>
      </w:r>
      <w:bookmarkEnd w:id="31"/>
      <w:r w:rsidRPr="00D737FF">
        <w:rPr>
          <w:rFonts w:cstheme="minorHAnsi"/>
        </w:rPr>
        <w:t xml:space="preserve"> </w:t>
      </w:r>
    </w:p>
    <w:p w:rsidR="008D0FDD" w:rsidRPr="009A0964" w:rsidRDefault="008D0FDD" w:rsidP="008D0FDD">
      <w:pPr>
        <w:widowControl w:val="0"/>
        <w:autoSpaceDE w:val="0"/>
        <w:autoSpaceDN w:val="0"/>
        <w:adjustRightInd w:val="0"/>
        <w:rPr>
          <w:rFonts w:ascii="Calibri" w:hAnsi="Calibri" w:cs="Calibri"/>
        </w:rPr>
      </w:pPr>
      <w:r w:rsidRPr="009A0964">
        <w:rPr>
          <w:rFonts w:ascii="Calibri" w:hAnsi="Calibri" w:cs="Calibri"/>
        </w:rPr>
        <w:t xml:space="preserve">There are few mandated approaches to the evidence-based evaluation of a new product that are as well tried and tested as that led by the PBAC.  Its longevity is testament to the rigour and credibility of the PBAC process. Indeed it is the pillars of PBAC, the </w:t>
      </w:r>
      <w:r w:rsidR="00853824">
        <w:rPr>
          <w:rFonts w:ascii="Calibri" w:hAnsi="Calibri" w:cs="Calibri"/>
        </w:rPr>
        <w:t>g</w:t>
      </w:r>
      <w:r w:rsidRPr="009A0964">
        <w:rPr>
          <w:rFonts w:ascii="Calibri" w:hAnsi="Calibri" w:cs="Calibri"/>
        </w:rPr>
        <w:t xml:space="preserve">uidelines for best practice and critical appraisal that guided us in our review of the issues raised by the </w:t>
      </w:r>
      <w:r w:rsidR="003824EF">
        <w:rPr>
          <w:rFonts w:ascii="Calibri" w:hAnsi="Calibri" w:cs="Calibri"/>
        </w:rPr>
        <w:t>Sponsor</w:t>
      </w:r>
      <w:r w:rsidRPr="009A0964">
        <w:rPr>
          <w:rFonts w:ascii="Calibri" w:hAnsi="Calibri" w:cs="Calibri"/>
        </w:rPr>
        <w:t xml:space="preserve">. The application of those principles and practice in this instance (with </w:t>
      </w:r>
      <w:r w:rsidR="004B2048">
        <w:rPr>
          <w:rFonts w:ascii="Calibri" w:hAnsi="Calibri" w:cs="Calibri"/>
        </w:rPr>
        <w:t>Vimovo®</w:t>
      </w:r>
      <w:r w:rsidRPr="009A0964">
        <w:rPr>
          <w:rFonts w:ascii="Calibri" w:hAnsi="Calibri" w:cs="Calibri"/>
        </w:rPr>
        <w:t xml:space="preserve">) could have been improved by clear and more open communication of the deliberations and reasons for the conclusions reached by PBAC. Where PBAC exercises its right to request further information or highlight issues in the interests of managing the level of uncertainty around its decision, then there is a responsibility to explain those reasons to the </w:t>
      </w:r>
      <w:r w:rsidR="003824EF">
        <w:rPr>
          <w:rFonts w:ascii="Calibri" w:hAnsi="Calibri" w:cs="Calibri"/>
        </w:rPr>
        <w:t>Sponsor</w:t>
      </w:r>
      <w:r w:rsidRPr="009A0964">
        <w:rPr>
          <w:rFonts w:ascii="Calibri" w:hAnsi="Calibri" w:cs="Calibri"/>
        </w:rPr>
        <w:t xml:space="preserve">, particularly where it involves a departure from the Guidelines. The minutes of PBAC meetings should </w:t>
      </w:r>
      <w:r w:rsidR="00853824">
        <w:rPr>
          <w:rFonts w:ascii="Calibri" w:hAnsi="Calibri" w:cs="Calibri"/>
        </w:rPr>
        <w:t xml:space="preserve">fully </w:t>
      </w:r>
      <w:r w:rsidRPr="009A0964">
        <w:rPr>
          <w:rFonts w:ascii="Calibri" w:hAnsi="Calibri" w:cs="Calibri"/>
        </w:rPr>
        <w:t>reflect the reasoning used and conclusions reached by PBAC.</w:t>
      </w:r>
    </w:p>
    <w:p w:rsidR="008D0FDD" w:rsidRPr="009A0964" w:rsidRDefault="008D0FDD" w:rsidP="008D0FDD">
      <w:pPr>
        <w:rPr>
          <w:rFonts w:ascii="Calibri" w:hAnsi="Calibri" w:cs="Calibri"/>
        </w:rPr>
      </w:pPr>
      <w:r w:rsidRPr="009A0964">
        <w:rPr>
          <w:rFonts w:ascii="Calibri" w:hAnsi="Calibri" w:cs="Calibri"/>
        </w:rPr>
        <w:t xml:space="preserve">The Guidelines provide support for best evaluation practice. We have identified a deficiency in the current Guideline for Fixed Dose Combination Products as to what constitutes ‘minimum requirements’. We recommend that this deficiency be fixed. </w:t>
      </w:r>
    </w:p>
    <w:p w:rsidR="008D0FDD" w:rsidRPr="009A0964" w:rsidRDefault="008D0FDD" w:rsidP="008D0FDD">
      <w:pPr>
        <w:rPr>
          <w:rFonts w:ascii="Calibri" w:hAnsi="Calibri" w:cs="Calibri"/>
        </w:rPr>
      </w:pPr>
      <w:r w:rsidRPr="009A0964">
        <w:rPr>
          <w:rFonts w:ascii="Calibri" w:hAnsi="Calibri" w:cs="Calibri"/>
        </w:rPr>
        <w:t xml:space="preserve">PBAC is required to make </w:t>
      </w:r>
      <w:r w:rsidR="00761AFC">
        <w:rPr>
          <w:rFonts w:ascii="Calibri" w:hAnsi="Calibri" w:cs="Calibri"/>
        </w:rPr>
        <w:t>judgments</w:t>
      </w:r>
      <w:r w:rsidRPr="009A0964">
        <w:rPr>
          <w:rFonts w:ascii="Calibri" w:hAnsi="Calibri" w:cs="Calibri"/>
        </w:rPr>
        <w:t xml:space="preserve"> based on the best available evidence now. Only PBAC can decide where it sets the threshold for acceptable evidence. Even with the best available evidence and full compliance by the </w:t>
      </w:r>
      <w:r w:rsidR="003824EF">
        <w:rPr>
          <w:rFonts w:ascii="Calibri" w:hAnsi="Calibri" w:cs="Calibri"/>
        </w:rPr>
        <w:t>Sponsor</w:t>
      </w:r>
      <w:r w:rsidRPr="009A0964">
        <w:rPr>
          <w:rFonts w:ascii="Calibri" w:hAnsi="Calibri" w:cs="Calibri"/>
        </w:rPr>
        <w:t xml:space="preserve"> with best practice (as embodied in the Guidelines) there will be times when the best available evidence is not enough to justify a recommendation. </w:t>
      </w:r>
    </w:p>
    <w:p w:rsidR="008D0FDD" w:rsidRPr="009A0964" w:rsidRDefault="005B708E" w:rsidP="008D0FDD">
      <w:pPr>
        <w:widowControl w:val="0"/>
        <w:autoSpaceDE w:val="0"/>
        <w:autoSpaceDN w:val="0"/>
        <w:adjustRightInd w:val="0"/>
        <w:rPr>
          <w:rFonts w:ascii="Calibri" w:hAnsi="Calibri" w:cs="Calibri"/>
        </w:rPr>
      </w:pPr>
      <w:r>
        <w:rPr>
          <w:rFonts w:ascii="Calibri" w:hAnsi="Calibri" w:cs="Calibri"/>
        </w:rPr>
        <w:t xml:space="preserve">Given the evidence, </w:t>
      </w:r>
      <w:r w:rsidRPr="008214CA">
        <w:t xml:space="preserve">PBAC </w:t>
      </w:r>
      <w:r>
        <w:t xml:space="preserve">will </w:t>
      </w:r>
      <w:r w:rsidRPr="008214CA">
        <w:t>need to</w:t>
      </w:r>
      <w:r>
        <w:t xml:space="preserve"> decide </w:t>
      </w:r>
      <w:r w:rsidRPr="008214CA">
        <w:t xml:space="preserve">whether </w:t>
      </w:r>
      <w:r>
        <w:t>it</w:t>
      </w:r>
      <w:r w:rsidRPr="008214CA">
        <w:t xml:space="preserve"> is sufficiently strong for them to accept the use of endoscopic ulcers as a surrogate. </w:t>
      </w:r>
      <w:r>
        <w:t xml:space="preserve">Then </w:t>
      </w:r>
      <w:r>
        <w:rPr>
          <w:rFonts w:ascii="Calibri" w:hAnsi="Calibri" w:cs="Calibri"/>
        </w:rPr>
        <w:t>i</w:t>
      </w:r>
      <w:r w:rsidR="008D0FDD" w:rsidRPr="009A0964">
        <w:rPr>
          <w:rFonts w:ascii="Calibri" w:hAnsi="Calibri" w:cs="Calibri"/>
        </w:rPr>
        <w:t xml:space="preserve">nformation about proposed non-inferiority limits for upper gastrointestinal outcomes and their justification need to be supplied. Using their usual methods, PBAC then can consider the confidence limits around the estimated difference in Ulcer outcomes between </w:t>
      </w:r>
      <w:r w:rsidR="004B2048">
        <w:rPr>
          <w:rFonts w:ascii="Calibri" w:hAnsi="Calibri" w:cs="Calibri"/>
        </w:rPr>
        <w:t>Vimovo®</w:t>
      </w:r>
      <w:r w:rsidR="008D0FDD" w:rsidRPr="009A0964">
        <w:rPr>
          <w:rFonts w:ascii="Calibri" w:hAnsi="Calibri" w:cs="Calibri"/>
        </w:rPr>
        <w:t xml:space="preserve"> and comparator </w:t>
      </w:r>
      <w:r w:rsidR="007E4932">
        <w:rPr>
          <w:rFonts w:ascii="Calibri" w:hAnsi="Calibri" w:cs="Calibri"/>
        </w:rPr>
        <w:t>products</w:t>
      </w:r>
      <w:r w:rsidR="008D0FDD" w:rsidRPr="009A0964">
        <w:rPr>
          <w:rFonts w:ascii="Calibri" w:hAnsi="Calibri" w:cs="Calibri"/>
        </w:rPr>
        <w:t xml:space="preserve"> to decide whether non-inferiority is a reasonable assumption.</w:t>
      </w:r>
    </w:p>
    <w:p w:rsidR="008D0FDD" w:rsidRPr="009A0964" w:rsidRDefault="008D0FDD" w:rsidP="008D0FDD">
      <w:pPr>
        <w:widowControl w:val="0"/>
        <w:autoSpaceDE w:val="0"/>
        <w:autoSpaceDN w:val="0"/>
        <w:adjustRightInd w:val="0"/>
        <w:rPr>
          <w:rFonts w:ascii="Calibri" w:hAnsi="Calibri" w:cs="Calibri"/>
        </w:rPr>
      </w:pPr>
      <w:r w:rsidRPr="009A0964">
        <w:rPr>
          <w:rFonts w:ascii="Calibri" w:hAnsi="Calibri" w:cs="Calibri"/>
        </w:rPr>
        <w:t xml:space="preserve">The previous step will determine whether cost-minimisation is appropriate or what type of economic modelling is necessary, and what sensitivity analyses should be included to reflect the uncertainty about the differences in gastrointestinal outcomes between </w:t>
      </w:r>
      <w:r w:rsidR="004B2048">
        <w:rPr>
          <w:rFonts w:ascii="Calibri" w:hAnsi="Calibri" w:cs="Calibri"/>
        </w:rPr>
        <w:t>Vimovo®</w:t>
      </w:r>
      <w:r w:rsidRPr="009A0964">
        <w:rPr>
          <w:rFonts w:ascii="Calibri" w:hAnsi="Calibri" w:cs="Calibri"/>
        </w:rPr>
        <w:t xml:space="preserve"> and comparator </w:t>
      </w:r>
      <w:r w:rsidR="007E4932">
        <w:rPr>
          <w:rFonts w:ascii="Calibri" w:hAnsi="Calibri" w:cs="Calibri"/>
        </w:rPr>
        <w:t>products</w:t>
      </w:r>
      <w:r w:rsidRPr="009A0964">
        <w:rPr>
          <w:rFonts w:ascii="Calibri" w:hAnsi="Calibri" w:cs="Calibri"/>
        </w:rPr>
        <w:t>.  </w:t>
      </w:r>
    </w:p>
    <w:p w:rsidR="008D0FDD" w:rsidRPr="009A0964" w:rsidRDefault="008D0FDD" w:rsidP="008D0FDD">
      <w:pPr>
        <w:rPr>
          <w:rFonts w:ascii="Calibri" w:hAnsi="Calibri" w:cs="Calibri"/>
        </w:rPr>
      </w:pPr>
      <w:r w:rsidRPr="009A0964">
        <w:rPr>
          <w:rFonts w:ascii="Calibri" w:hAnsi="Calibri" w:cs="Calibri"/>
        </w:rPr>
        <w:t xml:space="preserve">Finally, markets are inherently dynamic and predictions for use, price and financial impact on the PBS may be uncertain. If there are concerns about the assumptions used in the Section E financial </w:t>
      </w:r>
      <w:r w:rsidR="006931A9" w:rsidRPr="009A0964">
        <w:rPr>
          <w:rFonts w:ascii="Calibri" w:hAnsi="Calibri" w:cs="Calibri"/>
        </w:rPr>
        <w:t>modelling</w:t>
      </w:r>
      <w:r w:rsidRPr="009A0964">
        <w:rPr>
          <w:rFonts w:ascii="Calibri" w:hAnsi="Calibri" w:cs="Calibri"/>
        </w:rPr>
        <w:t xml:space="preserve"> then they need to be expressed clearly and preferably quantified.</w:t>
      </w:r>
    </w:p>
    <w:p w:rsidR="008D0FDD" w:rsidRPr="0095222B" w:rsidRDefault="008D0FDD" w:rsidP="0007307A">
      <w:pPr>
        <w:pStyle w:val="Heading2"/>
      </w:pPr>
      <w:bookmarkStart w:id="32" w:name="_Toc356560748"/>
      <w:r w:rsidRPr="0095222B">
        <w:t>Overall Recommendation</w:t>
      </w:r>
      <w:bookmarkEnd w:id="32"/>
    </w:p>
    <w:p w:rsidR="004A7E53" w:rsidRDefault="008D0FDD" w:rsidP="000A12A2">
      <w:pPr>
        <w:rPr>
          <w:rFonts w:ascii="Calibri" w:hAnsi="Calibri" w:cs="Calibri"/>
          <w:b/>
        </w:rPr>
      </w:pPr>
      <w:r w:rsidRPr="000A12A2">
        <w:rPr>
          <w:rFonts w:ascii="Calibri" w:hAnsi="Calibri" w:cs="Calibri"/>
          <w:b/>
        </w:rPr>
        <w:t xml:space="preserve">That the matters raised in this Independent </w:t>
      </w:r>
      <w:r w:rsidR="0023575A">
        <w:rPr>
          <w:rFonts w:ascii="Calibri" w:hAnsi="Calibri" w:cs="Calibri"/>
          <w:b/>
        </w:rPr>
        <w:t>R</w:t>
      </w:r>
      <w:r w:rsidRPr="000A12A2">
        <w:rPr>
          <w:rFonts w:ascii="Calibri" w:hAnsi="Calibri" w:cs="Calibri"/>
          <w:b/>
        </w:rPr>
        <w:t>eview are best addressed in a major submission, infor</w:t>
      </w:r>
      <w:r w:rsidR="007E4932">
        <w:rPr>
          <w:rFonts w:ascii="Calibri" w:hAnsi="Calibri" w:cs="Calibri"/>
          <w:b/>
        </w:rPr>
        <w:t>med by a pre-</w:t>
      </w:r>
      <w:r w:rsidR="000547EF" w:rsidRPr="000A12A2">
        <w:rPr>
          <w:rFonts w:ascii="Calibri" w:hAnsi="Calibri" w:cs="Calibri"/>
          <w:b/>
        </w:rPr>
        <w:t>submission meeting.</w:t>
      </w:r>
    </w:p>
    <w:p w:rsidR="00013AD2" w:rsidRDefault="00013AD2">
      <w:pPr>
        <w:spacing w:after="200"/>
        <w:rPr>
          <w:rFonts w:ascii="Calibri" w:hAnsi="Calibri" w:cs="Calibri"/>
          <w:b/>
        </w:rPr>
        <w:sectPr w:rsidR="00013AD2" w:rsidSect="006C4B7D">
          <w:type w:val="continuous"/>
          <w:pgSz w:w="11907" w:h="16839" w:code="9"/>
          <w:pgMar w:top="1440" w:right="1440" w:bottom="1440" w:left="1440" w:header="720" w:footer="720" w:gutter="0"/>
          <w:cols w:space="720"/>
          <w:docGrid w:linePitch="360"/>
        </w:sectPr>
      </w:pPr>
    </w:p>
    <w:p w:rsidR="004A7E53" w:rsidRDefault="004A7E53">
      <w:pPr>
        <w:spacing w:after="200"/>
        <w:rPr>
          <w:rFonts w:eastAsiaTheme="majorEastAsia" w:cs="Times New Roman"/>
          <w:sz w:val="20"/>
          <w:szCs w:val="20"/>
        </w:rPr>
      </w:pPr>
    </w:p>
    <w:p w:rsidR="00B776E2" w:rsidRDefault="00B776E2">
      <w:pPr>
        <w:rPr>
          <w:rFonts w:eastAsiaTheme="majorEastAsia" w:cs="Times New Roman"/>
          <w:sz w:val="20"/>
          <w:szCs w:val="20"/>
        </w:rPr>
      </w:pPr>
    </w:p>
    <w:p w:rsidR="00F85CDB" w:rsidRPr="00C53552" w:rsidRDefault="00B776E2" w:rsidP="00C53552">
      <w:pPr>
        <w:pStyle w:val="Heading1"/>
        <w:jc w:val="right"/>
        <w:rPr>
          <w:rFonts w:asciiTheme="minorHAnsi" w:hAnsiTheme="minorHAnsi" w:cstheme="minorHAnsi"/>
          <w:sz w:val="24"/>
          <w:szCs w:val="24"/>
        </w:rPr>
      </w:pPr>
      <w:bookmarkStart w:id="33" w:name="_Toc229650956"/>
      <w:bookmarkStart w:id="34" w:name="_Toc356560749"/>
      <w:r w:rsidRPr="00C53552">
        <w:rPr>
          <w:rFonts w:asciiTheme="minorHAnsi" w:hAnsiTheme="minorHAnsi" w:cstheme="minorHAnsi"/>
          <w:sz w:val="24"/>
          <w:szCs w:val="24"/>
        </w:rPr>
        <w:t xml:space="preserve">Attachment </w:t>
      </w:r>
      <w:r w:rsidR="00751EE5" w:rsidRPr="00C53552">
        <w:rPr>
          <w:rFonts w:asciiTheme="minorHAnsi" w:hAnsiTheme="minorHAnsi" w:cstheme="minorHAnsi"/>
          <w:sz w:val="24"/>
          <w:szCs w:val="24"/>
        </w:rPr>
        <w:t>1</w:t>
      </w:r>
      <w:bookmarkStart w:id="35" w:name="_Toc229650957"/>
      <w:bookmarkEnd w:id="33"/>
      <w:bookmarkEnd w:id="34"/>
    </w:p>
    <w:p w:rsidR="00F85CDB" w:rsidRDefault="00F85CDB" w:rsidP="00202915">
      <w:pPr>
        <w:pStyle w:val="Heading1"/>
      </w:pPr>
    </w:p>
    <w:p w:rsidR="00C268CC" w:rsidRDefault="00C268CC" w:rsidP="00BF320E"/>
    <w:p w:rsidR="00C268CC" w:rsidRDefault="00C268CC" w:rsidP="00BF320E"/>
    <w:p w:rsidR="00C268CC" w:rsidRPr="00C268CC" w:rsidRDefault="00C268CC" w:rsidP="00BF320E"/>
    <w:p w:rsidR="00883775" w:rsidRPr="00BF320E" w:rsidRDefault="00883775" w:rsidP="0007307A">
      <w:pPr>
        <w:jc w:val="center"/>
        <w:rPr>
          <w:szCs w:val="36"/>
        </w:rPr>
      </w:pPr>
      <w:r w:rsidRPr="00BF320E">
        <w:rPr>
          <w:rFonts w:asciiTheme="majorHAnsi" w:hAnsiTheme="majorHAnsi"/>
          <w:b/>
          <w:sz w:val="36"/>
          <w:szCs w:val="36"/>
        </w:rPr>
        <w:t>PBAC CRITERIA FOR FIXED DOSE COMBINATION PRODUCTS</w:t>
      </w:r>
      <w:bookmarkEnd w:id="35"/>
    </w:p>
    <w:p w:rsidR="00D742A8" w:rsidRDefault="00D742A8" w:rsidP="00D742A8">
      <w:pPr>
        <w:spacing w:after="200"/>
        <w:jc w:val="center"/>
      </w:pPr>
    </w:p>
    <w:p w:rsidR="00C268CC" w:rsidRDefault="00C268CC" w:rsidP="00D742A8">
      <w:pPr>
        <w:spacing w:after="200"/>
        <w:jc w:val="center"/>
      </w:pPr>
    </w:p>
    <w:p w:rsidR="00C268CC" w:rsidRDefault="006F68E3" w:rsidP="00D742A8">
      <w:pPr>
        <w:spacing w:after="200"/>
        <w:jc w:val="center"/>
      </w:pPr>
      <w:r>
        <w:rPr>
          <w:noProof/>
          <w:lang w:eastAsia="en-AU"/>
        </w:rPr>
        <mc:AlternateContent>
          <mc:Choice Requires="wps">
            <w:drawing>
              <wp:anchor distT="0" distB="0" distL="114300" distR="114300" simplePos="0" relativeHeight="251670528" behindDoc="0" locked="0" layoutInCell="1" allowOverlap="1" wp14:anchorId="5C379942" wp14:editId="5BFF6180">
                <wp:simplePos x="0" y="0"/>
                <wp:positionH relativeFrom="column">
                  <wp:posOffset>1254760</wp:posOffset>
                </wp:positionH>
                <wp:positionV relativeFrom="paragraph">
                  <wp:posOffset>264795</wp:posOffset>
                </wp:positionV>
                <wp:extent cx="2374265" cy="1403985"/>
                <wp:effectExtent l="0" t="0" r="12065"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95000"/>
                          </a:schemeClr>
                        </a:solidFill>
                        <a:ln w="9525">
                          <a:solidFill>
                            <a:srgbClr val="000000"/>
                          </a:solidFill>
                          <a:miter lim="800000"/>
                          <a:headEnd/>
                          <a:tailEnd/>
                        </a:ln>
                      </wps:spPr>
                      <wps:txbx>
                        <w:txbxContent>
                          <w:p w:rsidR="00335FA4" w:rsidRPr="00335FA4" w:rsidRDefault="00335FA4" w:rsidP="00335FA4">
                            <w:pPr>
                              <w:rPr>
                                <w:i/>
                              </w:rPr>
                            </w:pPr>
                            <w:r w:rsidRPr="00335FA4">
                              <w:rPr>
                                <w:i/>
                              </w:rPr>
                              <w:t>N</w:t>
                            </w:r>
                            <w:r>
                              <w:rPr>
                                <w:i/>
                              </w:rPr>
                              <w:t>ame of reviewer</w:t>
                            </w:r>
                            <w:r w:rsidRPr="00335FA4">
                              <w:rPr>
                                <w:i/>
                              </w:rPr>
                              <w:t xml:space="preserve"> redacted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98.8pt;margin-top:20.85pt;width:186.95pt;height:110.55pt;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" fillcolor="#f2f2f2 [3052]">
                <v:textbox style="mso-fit-shape-to-text:t">
                  <w:txbxContent>
                    <w:p w:rsidR="00335FA4" w:rsidRPr="00335FA4" w:rsidRDefault="00335FA4" w:rsidP="00335FA4">
                      <w:pPr>
                        <w:rPr>
                          <w:i/>
                        </w:rPr>
                      </w:pPr>
                      <w:r w:rsidRPr="00335FA4">
                        <w:rPr>
                          <w:i/>
                        </w:rPr>
                        <w:t>N</w:t>
                      </w:r>
                      <w:r>
                        <w:rPr>
                          <w:i/>
                        </w:rPr>
                        <w:t>ame of reviewer</w:t>
                      </w:r>
                      <w:r w:rsidRPr="00335FA4">
                        <w:rPr>
                          <w:i/>
                        </w:rPr>
                        <w:t xml:space="preserve"> redacted</w:t>
                      </w:r>
                    </w:p>
                  </w:txbxContent>
                </v:textbox>
              </v:shape>
            </w:pict>
          </mc:Fallback>
        </mc:AlternateContent>
      </w:r>
    </w:p>
    <w:p w:rsidR="00D742A8" w:rsidRDefault="00335FA4" w:rsidP="00335FA4">
      <w:r>
        <w:rPr>
          <w:b/>
        </w:rPr>
        <w:t xml:space="preserve">Report prepared by </w:t>
      </w:r>
      <w:r w:rsidR="00D742A8">
        <w:br w:type="page"/>
      </w:r>
    </w:p>
    <w:p w:rsidR="00F85CDB" w:rsidRDefault="00F85CDB" w:rsidP="00F85CDB">
      <w:pPr>
        <w:pStyle w:val="Heading1"/>
      </w:pPr>
      <w:bookmarkStart w:id="36" w:name="_Toc356560750"/>
      <w:bookmarkStart w:id="37" w:name="_Toc229650958"/>
      <w:r w:rsidRPr="00A27372">
        <w:t>PBAC CRITERIA FOR FIXED DOSE COMBINATION PRODUCTS</w:t>
      </w:r>
      <w:bookmarkEnd w:id="36"/>
    </w:p>
    <w:p w:rsidR="00B776E2" w:rsidRDefault="00B776E2" w:rsidP="00185843">
      <w:pPr>
        <w:pStyle w:val="Heading1"/>
      </w:pPr>
      <w:bookmarkStart w:id="38" w:name="_Toc356560751"/>
      <w:r>
        <w:t>Reviewer</w:t>
      </w:r>
      <w:bookmarkEnd w:id="37"/>
      <w:bookmarkEnd w:id="38"/>
    </w:p>
    <w:p w:rsidR="00B776E2" w:rsidRPr="00B776E2" w:rsidRDefault="00335FA4" w:rsidP="00335FA4">
      <w:pPr>
        <w:jc w:val="both"/>
      </w:pPr>
      <w:r>
        <w:rPr>
          <w:noProof/>
          <w:lang w:eastAsia="en-AU"/>
        </w:rPr>
        <mc:AlternateContent>
          <mc:Choice Requires="wps">
            <w:drawing>
              <wp:anchor distT="0" distB="0" distL="114300" distR="114300" simplePos="0" relativeHeight="251672576" behindDoc="0" locked="0" layoutInCell="1" allowOverlap="1" wp14:anchorId="41404781" wp14:editId="5A0408C3">
                <wp:simplePos x="0" y="0"/>
                <wp:positionH relativeFrom="column">
                  <wp:posOffset>12700</wp:posOffset>
                </wp:positionH>
                <wp:positionV relativeFrom="paragraph">
                  <wp:posOffset>22860</wp:posOffset>
                </wp:positionV>
                <wp:extent cx="2374265" cy="1403985"/>
                <wp:effectExtent l="0" t="0" r="12065"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95000"/>
                          </a:schemeClr>
                        </a:solidFill>
                        <a:ln w="9525">
                          <a:solidFill>
                            <a:srgbClr val="000000"/>
                          </a:solidFill>
                          <a:miter lim="800000"/>
                          <a:headEnd/>
                          <a:tailEnd/>
                        </a:ln>
                      </wps:spPr>
                      <wps:txbx>
                        <w:txbxContent>
                          <w:p w:rsidR="00335FA4" w:rsidRPr="00335FA4" w:rsidRDefault="00335FA4" w:rsidP="00335FA4">
                            <w:pPr>
                              <w:rPr>
                                <w:i/>
                              </w:rPr>
                            </w:pPr>
                            <w:r w:rsidRPr="00335FA4">
                              <w:rPr>
                                <w:i/>
                              </w:rPr>
                              <w:t>N</w:t>
                            </w:r>
                            <w:r>
                              <w:rPr>
                                <w:i/>
                              </w:rPr>
                              <w:t>ame of reviewer</w:t>
                            </w:r>
                            <w:r w:rsidRPr="00335FA4">
                              <w:rPr>
                                <w:i/>
                              </w:rPr>
                              <w:t xml:space="preserve"> redacted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1pt;margin-top:1.8pt;width:186.95pt;height:110.55pt;z-index:251672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" fillcolor="#f2f2f2 [3052]">
                <v:textbox style="mso-fit-shape-to-text:t">
                  <w:txbxContent>
                    <w:p w:rsidR="00335FA4" w:rsidRPr="00335FA4" w:rsidRDefault="00335FA4" w:rsidP="00335FA4">
                      <w:pPr>
                        <w:rPr>
                          <w:i/>
                        </w:rPr>
                      </w:pPr>
                      <w:r w:rsidRPr="00335FA4">
                        <w:rPr>
                          <w:i/>
                        </w:rPr>
                        <w:t>N</w:t>
                      </w:r>
                      <w:r>
                        <w:rPr>
                          <w:i/>
                        </w:rPr>
                        <w:t>ame of reviewer</w:t>
                      </w:r>
                      <w:r w:rsidRPr="00335FA4">
                        <w:rPr>
                          <w:i/>
                        </w:rPr>
                        <w:t xml:space="preserve"> redacted</w:t>
                      </w:r>
                    </w:p>
                  </w:txbxContent>
                </v:textbox>
              </v:shape>
            </w:pict>
          </mc:Fallback>
        </mc:AlternateContent>
      </w:r>
    </w:p>
    <w:p w:rsidR="008D0FDD" w:rsidRPr="00D35606" w:rsidRDefault="008D0FDD" w:rsidP="000547EF">
      <w:pPr>
        <w:pStyle w:val="Heading1"/>
      </w:pPr>
      <w:bookmarkStart w:id="39" w:name="_Toc356560752"/>
      <w:r w:rsidRPr="00D35606">
        <w:t>Mat</w:t>
      </w:r>
      <w:r>
        <w:t>ter</w:t>
      </w:r>
      <w:r w:rsidR="00265623">
        <w:t>s</w:t>
      </w:r>
      <w:r>
        <w:t xml:space="preserve"> detailed in </w:t>
      </w:r>
      <w:r w:rsidR="002F790E">
        <w:t>the Independent Review Request</w:t>
      </w:r>
      <w:bookmarkEnd w:id="39"/>
    </w:p>
    <w:p w:rsidR="002F790E" w:rsidRDefault="008D0FDD" w:rsidP="008D0FDD">
      <w:pPr>
        <w:rPr>
          <w:rFonts w:asciiTheme="majorHAnsi" w:hAnsiTheme="majorHAnsi"/>
        </w:rPr>
      </w:pPr>
      <w:r w:rsidRPr="00D35606">
        <w:rPr>
          <w:rFonts w:asciiTheme="majorHAnsi" w:hAnsiTheme="majorHAnsi"/>
        </w:rPr>
        <w:t>T</w:t>
      </w:r>
      <w:r>
        <w:rPr>
          <w:rFonts w:asciiTheme="majorHAnsi" w:hAnsiTheme="majorHAnsi"/>
        </w:rPr>
        <w:t>h</w:t>
      </w:r>
      <w:r w:rsidR="002F790E">
        <w:rPr>
          <w:rFonts w:asciiTheme="majorHAnsi" w:hAnsiTheme="majorHAnsi"/>
        </w:rPr>
        <w:t xml:space="preserve">is report </w:t>
      </w:r>
      <w:r w:rsidR="004117DD">
        <w:rPr>
          <w:rFonts w:asciiTheme="majorHAnsi" w:hAnsiTheme="majorHAnsi"/>
        </w:rPr>
        <w:t>focuses</w:t>
      </w:r>
      <w:r w:rsidR="002F790E">
        <w:rPr>
          <w:rFonts w:asciiTheme="majorHAnsi" w:hAnsiTheme="majorHAnsi"/>
        </w:rPr>
        <w:t xml:space="preserve"> on the first ground for review;</w:t>
      </w:r>
    </w:p>
    <w:p w:rsidR="002F790E" w:rsidRPr="00BF320E" w:rsidRDefault="002F790E" w:rsidP="0007307A">
      <w:pPr>
        <w:spacing w:after="0"/>
        <w:ind w:left="360"/>
        <w:rPr>
          <w:u w:val="single"/>
          <w:lang w:val="en-GB"/>
        </w:rPr>
      </w:pPr>
      <w:r w:rsidRPr="00BF320E">
        <w:rPr>
          <w:u w:val="single"/>
        </w:rPr>
        <w:t>PBAC Criteria for Fixed Dose Combination Products</w:t>
      </w:r>
    </w:p>
    <w:p w:rsidR="002F790E" w:rsidRDefault="002F790E" w:rsidP="002F790E">
      <w:pPr>
        <w:spacing w:after="0"/>
        <w:ind w:left="360"/>
        <w:rPr>
          <w:lang w:val="en-GB"/>
        </w:rPr>
      </w:pPr>
      <w:r w:rsidRPr="00883775">
        <w:rPr>
          <w:lang w:val="en-GB"/>
        </w:rPr>
        <w:t>PBAC's conclusion "that not all PBAC criteria for combination products are met" (Ratified minutes of the November 2012 PBAC meeting, p2, paragraph 4) inappropriately applies the information requests as outlined on p211-212 of Part IV of the Guidelines for preparing submissions to the Pharmaceutical Benefits Advisory Committee (PBAC) (Version 4.3) as minimum mandatory requirements for combination products to be eligible for consideration by the PBAC for PBS listing.</w:t>
      </w:r>
    </w:p>
    <w:p w:rsidR="002F790E" w:rsidRDefault="002F790E" w:rsidP="002F790E">
      <w:pPr>
        <w:spacing w:after="0"/>
        <w:ind w:left="360"/>
        <w:rPr>
          <w:lang w:val="en-GB"/>
        </w:rPr>
      </w:pPr>
    </w:p>
    <w:p w:rsidR="008D0FDD" w:rsidRPr="00D35606" w:rsidRDefault="002F790E" w:rsidP="003130B0">
      <w:r>
        <w:rPr>
          <w:lang w:val="en-GB"/>
        </w:rPr>
        <w:t>The</w:t>
      </w:r>
      <w:r w:rsidR="0023575A">
        <w:rPr>
          <w:lang w:val="en-GB"/>
        </w:rPr>
        <w:t xml:space="preserve"> Sponsor raised </w:t>
      </w:r>
      <w:r>
        <w:t>three</w:t>
      </w:r>
      <w:r w:rsidR="008D0FDD" w:rsidRPr="00D35606">
        <w:t xml:space="preserve"> specific concerns in relation to the matter:</w:t>
      </w:r>
    </w:p>
    <w:p w:rsidR="008D0FDD" w:rsidRPr="00D35606" w:rsidRDefault="008D0FDD" w:rsidP="003130B0">
      <w:r w:rsidRPr="00D35606">
        <w:t xml:space="preserve">1. </w:t>
      </w:r>
      <w:r w:rsidRPr="00D35606">
        <w:tab/>
        <w:t xml:space="preserve">That </w:t>
      </w:r>
      <w:r>
        <w:t xml:space="preserve">the Pharmaceutical Benefits Advisory Committee’s (PBAC’s) </w:t>
      </w:r>
      <w:r w:rsidRPr="00D35606">
        <w:t>conclusion  ‘that not all PBAC criteria for combination products are met’ inappropriately applied the information requests as outlined in Part IV of the Guidelines for preparing submissions to the PBAC as minimum mandatory requirements for combination products to be eligible for consideration for PBS listing. The description of these information requests as ‘minimum requirements’ is inappropriate and overstates the standing of these criteria. There is no indication in the PBAC Guidelines that all these requirements must be satisfied for a combination product to be eligible for consideration by PBAC;</w:t>
      </w:r>
    </w:p>
    <w:p w:rsidR="008D0FDD" w:rsidRPr="00D35606" w:rsidRDefault="008D0FDD" w:rsidP="003130B0">
      <w:r w:rsidRPr="00D35606">
        <w:t xml:space="preserve">2. </w:t>
      </w:r>
      <w:r w:rsidRPr="00D35606">
        <w:tab/>
        <w:t>The PBAC requirement for meeting all criteria only emerged on the 3</w:t>
      </w:r>
      <w:r w:rsidRPr="00D35606">
        <w:rPr>
          <w:vertAlign w:val="superscript"/>
        </w:rPr>
        <w:t>rd</w:t>
      </w:r>
      <w:r w:rsidRPr="00D35606">
        <w:t xml:space="preserve"> (minor) submission. In terms of procedural fairness it should have emerged at the first (major) submission. The criteria which </w:t>
      </w:r>
      <w:r w:rsidR="004B2048">
        <w:t>Vimovo®</w:t>
      </w:r>
      <w:r w:rsidRPr="00D35606">
        <w:t xml:space="preserve"> was deemed not to have satisfied has not been consistently stated during the evaluation; and</w:t>
      </w:r>
    </w:p>
    <w:p w:rsidR="008D0FDD" w:rsidRPr="00D35606" w:rsidRDefault="008D0FDD" w:rsidP="003130B0">
      <w:r w:rsidRPr="00D35606">
        <w:t xml:space="preserve">3. </w:t>
      </w:r>
      <w:r w:rsidRPr="00D35606">
        <w:tab/>
        <w:t xml:space="preserve">PBAC’s description and application of the ‘information requests’ in Part IV of the Guidelines as ‘minimum requirements that combination products need to satisfy in order to be eligible for consideration by PBAC’, is inconsistent with previous PBAC decisions, whereby combination products which do not meet all the criteria have not only been considered by the PBAC but also listed on the PBS. </w:t>
      </w:r>
    </w:p>
    <w:p w:rsidR="008D0FDD" w:rsidRPr="00D35606" w:rsidRDefault="008D0FDD" w:rsidP="000547EF">
      <w:pPr>
        <w:pStyle w:val="Heading1"/>
      </w:pPr>
      <w:bookmarkStart w:id="40" w:name="_Toc356560753"/>
      <w:r w:rsidRPr="00D35606">
        <w:t>Reviewer’s understanding of the matter</w:t>
      </w:r>
      <w:r w:rsidR="00F41E86">
        <w:t>s</w:t>
      </w:r>
      <w:r w:rsidRPr="00D35606">
        <w:t xml:space="preserve"> to be reviewed</w:t>
      </w:r>
      <w:bookmarkEnd w:id="40"/>
    </w:p>
    <w:p w:rsidR="008D0FDD" w:rsidRPr="00D35606" w:rsidRDefault="008D0FDD" w:rsidP="003B5F81">
      <w:r w:rsidRPr="00D35606">
        <w:t xml:space="preserve">Part IV of the </w:t>
      </w:r>
      <w:r>
        <w:t xml:space="preserve">Guidelines for </w:t>
      </w:r>
      <w:r w:rsidR="004117DD">
        <w:t>preparing s</w:t>
      </w:r>
      <w:r>
        <w:t xml:space="preserve">ubmissions to the PBAC including major submissions involving economic analysis </w:t>
      </w:r>
      <w:r w:rsidRPr="00D35606">
        <w:t>(p</w:t>
      </w:r>
      <w:r w:rsidR="004117DD">
        <w:t>age</w:t>
      </w:r>
      <w:r w:rsidRPr="00D35606">
        <w:t xml:space="preserve"> 211) lists matters to consider for the listing of fixed combination products. There are </w:t>
      </w:r>
      <w:r w:rsidR="00F41E86">
        <w:t>eight</w:t>
      </w:r>
      <w:r w:rsidR="00F41E86" w:rsidRPr="00D35606">
        <w:t xml:space="preserve"> </w:t>
      </w:r>
      <w:r w:rsidRPr="00D35606">
        <w:t>matters listed under the title of ‘information requests’. In the Minutes of the</w:t>
      </w:r>
      <w:r w:rsidR="004117DD">
        <w:t xml:space="preserve"> PBAC</w:t>
      </w:r>
      <w:r w:rsidRPr="00D35606">
        <w:t xml:space="preserve"> meeting held on 7-9 November 2012, PBAC referred to these information requests as minimum requirements for combination products to be eligible for consideration for PBS listing.  The application for review raises the following questions:</w:t>
      </w:r>
    </w:p>
    <w:p w:rsidR="008D0FDD" w:rsidRPr="002F790E" w:rsidRDefault="008D0FDD" w:rsidP="003130B0">
      <w:pPr>
        <w:pStyle w:val="ListParagraph"/>
        <w:numPr>
          <w:ilvl w:val="0"/>
          <w:numId w:val="27"/>
        </w:numPr>
      </w:pPr>
      <w:r w:rsidRPr="002F790E">
        <w:t xml:space="preserve">What is the meaning of PBAC’s reference to the information requests as </w:t>
      </w:r>
      <w:r w:rsidR="004117DD">
        <w:t>“</w:t>
      </w:r>
      <w:r w:rsidRPr="002F790E">
        <w:t>minimum requirements</w:t>
      </w:r>
      <w:r w:rsidR="004117DD">
        <w:t>”</w:t>
      </w:r>
      <w:r w:rsidRPr="002F790E">
        <w:t xml:space="preserve">? Does this decision overstate the standing of the information requests as presented in the </w:t>
      </w:r>
      <w:r w:rsidR="003824EF">
        <w:t>Guidelines</w:t>
      </w:r>
      <w:r w:rsidRPr="002F790E">
        <w:t>?</w:t>
      </w:r>
    </w:p>
    <w:p w:rsidR="008D0FDD" w:rsidRPr="002F790E" w:rsidRDefault="008D0FDD" w:rsidP="003130B0">
      <w:pPr>
        <w:pStyle w:val="ListParagraph"/>
        <w:numPr>
          <w:ilvl w:val="0"/>
          <w:numId w:val="27"/>
        </w:numPr>
      </w:pPr>
      <w:r w:rsidRPr="002F790E">
        <w:t xml:space="preserve">Did PBAC communicate its concerns and requirements consistently to the </w:t>
      </w:r>
      <w:r w:rsidR="003824EF">
        <w:t>Sponsor</w:t>
      </w:r>
      <w:r w:rsidRPr="002F790E">
        <w:t xml:space="preserve"> throughout the assessment process?</w:t>
      </w:r>
    </w:p>
    <w:p w:rsidR="008D0FDD" w:rsidRPr="002F790E" w:rsidRDefault="008D0FDD" w:rsidP="003130B0">
      <w:pPr>
        <w:pStyle w:val="ListParagraph"/>
        <w:numPr>
          <w:ilvl w:val="0"/>
          <w:numId w:val="27"/>
        </w:numPr>
      </w:pPr>
      <w:r w:rsidRPr="002F790E">
        <w:t>Is PBAC required to apply these minimum requirements consistently?</w:t>
      </w:r>
    </w:p>
    <w:p w:rsidR="008D0FDD" w:rsidRPr="00B70CB6" w:rsidRDefault="008D0FDD" w:rsidP="002F790E">
      <w:pPr>
        <w:pStyle w:val="Heading1"/>
      </w:pPr>
      <w:bookmarkStart w:id="41" w:name="_Toc356560754"/>
      <w:r w:rsidRPr="00D35606">
        <w:t xml:space="preserve">Status and purpose of the PBAC </w:t>
      </w:r>
      <w:r w:rsidR="003824EF">
        <w:t>Guidelines</w:t>
      </w:r>
      <w:bookmarkEnd w:id="41"/>
    </w:p>
    <w:p w:rsidR="008D0FDD" w:rsidRPr="00D35606" w:rsidRDefault="008D0FDD" w:rsidP="003130B0">
      <w:r w:rsidRPr="00D35606">
        <w:t xml:space="preserve">The PBAC </w:t>
      </w:r>
      <w:r w:rsidR="003824EF">
        <w:t>Guidelines</w:t>
      </w:r>
      <w:r w:rsidRPr="00D35606">
        <w:t xml:space="preserve"> state that, since January 1993, it has been mandatory for companies making submissions to PBAC to follow the </w:t>
      </w:r>
      <w:r w:rsidR="003824EF">
        <w:t>Guidelines</w:t>
      </w:r>
      <w:r w:rsidRPr="00D35606">
        <w:t xml:space="preserve">. The current </w:t>
      </w:r>
      <w:r w:rsidR="003824EF">
        <w:t>Guidelines</w:t>
      </w:r>
      <w:r w:rsidRPr="00D35606">
        <w:t xml:space="preserve">, released in December 2008, are described as Version 4.3. </w:t>
      </w:r>
      <w:r w:rsidR="004B2048">
        <w:t>Vimovo®</w:t>
      </w:r>
      <w:r w:rsidRPr="00D35606">
        <w:t xml:space="preserve"> is subject to the Version 4.3 </w:t>
      </w:r>
      <w:r w:rsidR="003824EF">
        <w:t>Guidelines</w:t>
      </w:r>
      <w:r w:rsidRPr="00D35606">
        <w:t xml:space="preserve"> (referred to in this report as ‘the </w:t>
      </w:r>
      <w:r w:rsidR="003824EF">
        <w:t>Guidelines</w:t>
      </w:r>
      <w:r w:rsidRPr="00D35606">
        <w:t xml:space="preserve">’). PBAC is an </w:t>
      </w:r>
      <w:r>
        <w:t xml:space="preserve">independent statutory body established on 12 May 1954 under section 101 of the </w:t>
      </w:r>
      <w:r w:rsidRPr="00204C30">
        <w:rPr>
          <w:i/>
        </w:rPr>
        <w:t>National Health Act 1953</w:t>
      </w:r>
      <w:r>
        <w:t>. T</w:t>
      </w:r>
      <w:r w:rsidRPr="00D35606">
        <w:t xml:space="preserve">he </w:t>
      </w:r>
      <w:r w:rsidR="003824EF">
        <w:t>Guidelines</w:t>
      </w:r>
      <w:r w:rsidRPr="00D35606">
        <w:t xml:space="preserve"> do not require ministerial or parliamentary approval. There is no legislative requirement for the </w:t>
      </w:r>
      <w:r w:rsidR="003824EF">
        <w:t>Guidelines</w:t>
      </w:r>
      <w:r w:rsidRPr="00D35606">
        <w:t xml:space="preserve"> nor are the </w:t>
      </w:r>
      <w:r w:rsidR="003824EF">
        <w:t>Guidelines</w:t>
      </w:r>
      <w:r w:rsidRPr="00D35606">
        <w:t xml:space="preserve"> </w:t>
      </w:r>
      <w:r>
        <w:t xml:space="preserve">drawn from </w:t>
      </w:r>
      <w:r w:rsidRPr="00D35606">
        <w:t>any legislative instruments.</w:t>
      </w:r>
    </w:p>
    <w:p w:rsidR="008D0FDD" w:rsidRPr="00D35606" w:rsidRDefault="008D0FDD" w:rsidP="003130B0">
      <w:r w:rsidRPr="00D35606">
        <w:t xml:space="preserve">The purpose of the </w:t>
      </w:r>
      <w:r w:rsidR="003824EF">
        <w:t>Guidelines</w:t>
      </w:r>
      <w:r w:rsidRPr="00D35606">
        <w:t xml:space="preserve">, as stated at Section 2, is to provide practical information for the pharmaceutical industry </w:t>
      </w:r>
      <w:r w:rsidR="00F41E86">
        <w:t>in</w:t>
      </w:r>
      <w:r w:rsidR="00F41E86" w:rsidRPr="00D35606">
        <w:t xml:space="preserve"> </w:t>
      </w:r>
      <w:r w:rsidRPr="00D35606">
        <w:t xml:space="preserve">making a submission to PBAC.  It is further stated that the </w:t>
      </w:r>
      <w:r w:rsidR="003824EF">
        <w:t>Guidelines</w:t>
      </w:r>
      <w:r w:rsidRPr="00D35606">
        <w:t xml:space="preserve"> are also intended to help </w:t>
      </w:r>
      <w:r>
        <w:t>PBAC</w:t>
      </w:r>
      <w:r w:rsidRPr="00D35606">
        <w:t xml:space="preserve"> assess submissions and provide information to other interested stakeholders.</w:t>
      </w:r>
      <w:r>
        <w:t xml:space="preserve"> </w:t>
      </w:r>
      <w:r w:rsidRPr="00D35606">
        <w:t xml:space="preserve">The </w:t>
      </w:r>
      <w:r w:rsidR="003824EF">
        <w:t>Guidelines</w:t>
      </w:r>
      <w:r w:rsidRPr="00D35606">
        <w:t xml:space="preserve"> specify the information to be included in a submission and how the content is to be structured in a submission. </w:t>
      </w:r>
    </w:p>
    <w:p w:rsidR="008D0FDD" w:rsidRPr="00D35606" w:rsidRDefault="008D0FDD" w:rsidP="003130B0">
      <w:r w:rsidRPr="00D35606">
        <w:t xml:space="preserve">Section 4.6 states that it is in the interests of the community, industry and PBAC that uniformity be maintained in the way that economic analyses are conducted and evaluated. However it is also stated that there will continue to be flexibility in the interpretation of these </w:t>
      </w:r>
      <w:r w:rsidR="003824EF">
        <w:t>Guidelines</w:t>
      </w:r>
      <w:r w:rsidRPr="00D35606">
        <w:t>, to help industry and government to further increase their experience of, and expertise in, the techniques of economic evaluation.</w:t>
      </w:r>
    </w:p>
    <w:p w:rsidR="008D0FDD" w:rsidRPr="00D35606" w:rsidRDefault="008D0FDD" w:rsidP="002F790E">
      <w:pPr>
        <w:pStyle w:val="Heading2"/>
      </w:pPr>
      <w:bookmarkStart w:id="42" w:name="_Toc356560755"/>
      <w:r w:rsidRPr="00D35606">
        <w:t>What are information requests</w:t>
      </w:r>
      <w:r>
        <w:t>?</w:t>
      </w:r>
      <w:bookmarkEnd w:id="42"/>
    </w:p>
    <w:p w:rsidR="008D0FDD" w:rsidRPr="00D35606" w:rsidRDefault="008D0FDD" w:rsidP="003B5F81">
      <w:r w:rsidRPr="00D35606">
        <w:t xml:space="preserve">The term ‘information request’ is used throughout the </w:t>
      </w:r>
      <w:r w:rsidR="003824EF">
        <w:t>Guidelines</w:t>
      </w:r>
      <w:r w:rsidRPr="00D35606">
        <w:t xml:space="preserve">. The term is not listed in the </w:t>
      </w:r>
      <w:r w:rsidR="00F41E86" w:rsidRPr="00D35606">
        <w:t>glossary;</w:t>
      </w:r>
      <w:r w:rsidRPr="00D35606">
        <w:t xml:space="preserve"> therefore a definition is not available to the </w:t>
      </w:r>
      <w:r w:rsidR="003824EF">
        <w:t>Sponsor</w:t>
      </w:r>
      <w:r w:rsidRPr="00D35606">
        <w:t xml:space="preserve">. Section 2.3 of the </w:t>
      </w:r>
      <w:r w:rsidR="003824EF">
        <w:t>Guidelines</w:t>
      </w:r>
      <w:r w:rsidRPr="00D35606">
        <w:t xml:space="preserve"> advises that the </w:t>
      </w:r>
      <w:r w:rsidR="003824EF">
        <w:t>Guidelines</w:t>
      </w:r>
      <w:r w:rsidRPr="00D35606">
        <w:t xml:space="preserve"> include a series of requests for specific types of information. The stated aim is to provide an ordered series of reference points (requests for information) against which the specific information presented in a submission can be assessed to ensure that the submission is comp</w:t>
      </w:r>
      <w:r w:rsidR="00F41E86">
        <w:t>l</w:t>
      </w:r>
      <w:r w:rsidRPr="00D35606">
        <w:t xml:space="preserve">ete. </w:t>
      </w:r>
    </w:p>
    <w:p w:rsidR="008D0FDD" w:rsidRPr="00D35606" w:rsidRDefault="008D0FDD" w:rsidP="003B5F81">
      <w:r w:rsidRPr="00D35606">
        <w:t>Section 2.3 provides further advice on how to discriminate between different information requests. It states that the default writing style for requests uses the imperative voice</w:t>
      </w:r>
      <w:r>
        <w:t>;</w:t>
      </w:r>
      <w:r w:rsidRPr="00D35606">
        <w:t xml:space="preserve"> therefore the reader should interpret these imperative statements as indicating what </w:t>
      </w:r>
      <w:r w:rsidRPr="00D35606">
        <w:rPr>
          <w:b/>
        </w:rPr>
        <w:t>should</w:t>
      </w:r>
      <w:r w:rsidRPr="00D35606">
        <w:t xml:space="preserve"> be provided. In two instances, the request includes the word ‘</w:t>
      </w:r>
      <w:r w:rsidRPr="00D35606">
        <w:rPr>
          <w:b/>
        </w:rPr>
        <w:t>must</w:t>
      </w:r>
      <w:r w:rsidRPr="00D35606">
        <w:t xml:space="preserve">’ and failure to comply with these requests is sufficient to render the submission unacceptable, and for the submission to be returned to the </w:t>
      </w:r>
      <w:r w:rsidR="003824EF">
        <w:t>Sponsor</w:t>
      </w:r>
      <w:r w:rsidRPr="00D35606">
        <w:t xml:space="preserve">. In some other instances, there is no basis to indicate a preference for one type of information over another. In these instances, options about what </w:t>
      </w:r>
      <w:r w:rsidRPr="00D35606">
        <w:rPr>
          <w:b/>
        </w:rPr>
        <w:t>could</w:t>
      </w:r>
      <w:r w:rsidRPr="00D35606">
        <w:t xml:space="preserve"> be presented are usually given.</w:t>
      </w:r>
    </w:p>
    <w:p w:rsidR="008D0FDD" w:rsidRPr="00D35606" w:rsidRDefault="008D0FDD" w:rsidP="003B5F81">
      <w:r w:rsidRPr="00D35606">
        <w:t xml:space="preserve">The information requests in this case relate to </w:t>
      </w:r>
      <w:r w:rsidR="00F41E86">
        <w:t>eight</w:t>
      </w:r>
      <w:r w:rsidR="00F41E86" w:rsidRPr="00D35606">
        <w:t xml:space="preserve"> </w:t>
      </w:r>
      <w:r w:rsidRPr="00D35606">
        <w:t>matters listed in the table on Part IV 1.1 titled ‘Matters to consider for the listing of fixed combination products’. As the table does not include the words ‘must’ or ‘could’ the reader assumes that the imperative applies, therefore the information should be provided. In the absence of a definition, it is necessary to rely on the instructions Section 2.3 to determine whether specific information requests must, should or could be provided.  In</w:t>
      </w:r>
      <w:r>
        <w:t xml:space="preserve"> the present case, the </w:t>
      </w:r>
      <w:r w:rsidR="003824EF">
        <w:t>Sponsor</w:t>
      </w:r>
      <w:r w:rsidRPr="00D35606">
        <w:t xml:space="preserve"> did provide information addressing the </w:t>
      </w:r>
      <w:r w:rsidR="00F41E86">
        <w:t>eight</w:t>
      </w:r>
      <w:r w:rsidR="00F41E86" w:rsidRPr="00D35606">
        <w:t xml:space="preserve"> </w:t>
      </w:r>
      <w:r w:rsidRPr="00D35606">
        <w:t>matters in the table.</w:t>
      </w:r>
    </w:p>
    <w:p w:rsidR="008D0FDD" w:rsidRPr="00B70CB6" w:rsidRDefault="008D0FDD" w:rsidP="002F790E">
      <w:pPr>
        <w:pStyle w:val="Heading2"/>
      </w:pPr>
      <w:bookmarkStart w:id="43" w:name="_Toc356560756"/>
      <w:r w:rsidRPr="00D35606">
        <w:t>Are information requests the same as minimum requirements?</w:t>
      </w:r>
      <w:bookmarkEnd w:id="43"/>
    </w:p>
    <w:p w:rsidR="008D0FDD" w:rsidRPr="00D35606" w:rsidRDefault="008D0FDD" w:rsidP="003B5F81">
      <w:r w:rsidRPr="00D35606">
        <w:t>The Minutes of the November 2012 PBAC meeting state that the re-submission was rejected on the basis</w:t>
      </w:r>
      <w:r>
        <w:t>, among other things,</w:t>
      </w:r>
      <w:r w:rsidRPr="00D35606">
        <w:t xml:space="preserve"> that not all PBAC criteria for combination products are met</w:t>
      </w:r>
      <w:r>
        <w:t>.</w:t>
      </w:r>
    </w:p>
    <w:p w:rsidR="008D0FDD" w:rsidRPr="00D35606" w:rsidRDefault="008D0FDD" w:rsidP="003B5F81">
      <w:r w:rsidRPr="00D35606">
        <w:t xml:space="preserve">The Minutes refer to page 3 of </w:t>
      </w:r>
      <w:r>
        <w:t xml:space="preserve">the </w:t>
      </w:r>
      <w:r w:rsidRPr="00D35606">
        <w:t>PBAC Sec</w:t>
      </w:r>
      <w:r>
        <w:t xml:space="preserve">retariat Overview (SEC OVR) and p 20 </w:t>
      </w:r>
      <w:r w:rsidRPr="00D35606">
        <w:t xml:space="preserve">of </w:t>
      </w:r>
      <w:r>
        <w:t xml:space="preserve">the </w:t>
      </w:r>
      <w:r w:rsidRPr="00D35606">
        <w:t>March 2012 Commentary.</w:t>
      </w:r>
    </w:p>
    <w:p w:rsidR="008D0FDD" w:rsidRPr="00D35606" w:rsidRDefault="008D0FDD" w:rsidP="003B5F81">
      <w:r w:rsidRPr="00D35606">
        <w:t xml:space="preserve">The PBAC SEC OVR 7.10.3 contains a table of </w:t>
      </w:r>
      <w:r w:rsidR="00F41E86">
        <w:t>eight</w:t>
      </w:r>
      <w:r w:rsidR="00F41E86" w:rsidRPr="00D35606">
        <w:t xml:space="preserve"> </w:t>
      </w:r>
      <w:r w:rsidRPr="00D35606">
        <w:t xml:space="preserve">matters listed (a) – (h) under the heading of </w:t>
      </w:r>
      <w:r w:rsidRPr="00D35606">
        <w:rPr>
          <w:i/>
        </w:rPr>
        <w:t>Combination Products.</w:t>
      </w:r>
      <w:r w:rsidRPr="00D35606">
        <w:t xml:space="preserve"> The sentence preceding the table says “Part IV of the December 2008 PBAC Guidelines specifies a number of minimum requirements that combination products need to satisfy in order to be eligible for consideration by the PBAC”. However there is no reference in Part IV of the </w:t>
      </w:r>
      <w:r w:rsidR="003824EF">
        <w:t>Guidelines</w:t>
      </w:r>
      <w:r w:rsidRPr="00D35606">
        <w:t xml:space="preserve"> to ‘minimum requirements’.</w:t>
      </w:r>
    </w:p>
    <w:p w:rsidR="008D0FDD" w:rsidRDefault="008D0FDD" w:rsidP="003B5F81">
      <w:r w:rsidRPr="00D35606">
        <w:t xml:space="preserve">The </w:t>
      </w:r>
      <w:r w:rsidR="00780888">
        <w:t>following table</w:t>
      </w:r>
      <w:r w:rsidRPr="00D35606">
        <w:t xml:space="preserve"> compares the table at 1.1 of Part IV of the </w:t>
      </w:r>
      <w:r w:rsidR="003824EF">
        <w:t>Guidelines</w:t>
      </w:r>
      <w:r w:rsidRPr="00D35606">
        <w:t xml:space="preserve"> with the table at 7.10.3 of the PBAC SEC OVR.</w:t>
      </w:r>
      <w:r>
        <w:t xml:space="preserve"> </w:t>
      </w:r>
      <w:r w:rsidRPr="00D35606">
        <w:t xml:space="preserve">Although the matters in the </w:t>
      </w:r>
      <w:r w:rsidR="00F41E86">
        <w:t>two</w:t>
      </w:r>
      <w:r w:rsidR="00F41E86" w:rsidRPr="00D35606">
        <w:t xml:space="preserve"> </w:t>
      </w:r>
      <w:r w:rsidRPr="00D35606">
        <w:t xml:space="preserve">tables are generally consistent, </w:t>
      </w:r>
      <w:r w:rsidR="00D12C44">
        <w:t xml:space="preserve">albeit re-numbered, </w:t>
      </w:r>
      <w:r w:rsidRPr="00D35606">
        <w:t>PBAC has distilled specific matters and expressed them as requirements which ‘should’ or should not’ achieve certain outcomes.</w:t>
      </w:r>
    </w:p>
    <w:p w:rsidR="00D12C44" w:rsidRPr="00BF320E" w:rsidRDefault="004117DD" w:rsidP="008D0FDD">
      <w:pPr>
        <w:rPr>
          <w:rFonts w:asciiTheme="majorHAnsi" w:hAnsiTheme="majorHAnsi"/>
          <w:b/>
          <w:sz w:val="20"/>
          <w:szCs w:val="20"/>
        </w:rPr>
      </w:pPr>
      <w:r w:rsidRPr="00BF320E">
        <w:rPr>
          <w:rFonts w:asciiTheme="majorHAnsi" w:hAnsiTheme="majorHAnsi"/>
          <w:b/>
          <w:sz w:val="20"/>
          <w:szCs w:val="20"/>
        </w:rPr>
        <w:t>Table 1: Comparison of PBAC Guidelines and PBAC SEC OVR 7.10.3</w:t>
      </w:r>
    </w:p>
    <w:tbl>
      <w:tblPr>
        <w:tblStyle w:val="TableGrid"/>
        <w:tblW w:w="8931" w:type="dxa"/>
        <w:tblInd w:w="108" w:type="dxa"/>
        <w:tblLook w:val="04A0" w:firstRow="1" w:lastRow="0" w:firstColumn="1" w:lastColumn="0" w:noHBand="0" w:noVBand="1"/>
        <w:tblDescription w:val="Comparison of PBAC Guidelines and PBAC SEC OVR 7.10.3"/>
      </w:tblPr>
      <w:tblGrid>
        <w:gridCol w:w="5245"/>
        <w:gridCol w:w="3686"/>
      </w:tblGrid>
      <w:tr w:rsidR="00D12C44" w:rsidRPr="003B5F81" w:rsidTr="003F3694">
        <w:trPr>
          <w:tblHeader/>
        </w:trPr>
        <w:tc>
          <w:tcPr>
            <w:tcW w:w="5245" w:type="dxa"/>
            <w:shd w:val="clear" w:color="auto" w:fill="D9D9D9" w:themeFill="background1" w:themeFillShade="D9"/>
          </w:tcPr>
          <w:p w:rsidR="00D12C44" w:rsidRPr="00ED53CD" w:rsidRDefault="00D12C44" w:rsidP="00ED53CD">
            <w:pPr>
              <w:rPr>
                <w:b/>
                <w:sz w:val="20"/>
                <w:szCs w:val="20"/>
              </w:rPr>
            </w:pPr>
            <w:r w:rsidRPr="00ED53CD">
              <w:rPr>
                <w:b/>
                <w:sz w:val="20"/>
                <w:szCs w:val="20"/>
              </w:rPr>
              <w:t xml:space="preserve">Part IV PBAC </w:t>
            </w:r>
            <w:r w:rsidR="003824EF" w:rsidRPr="00ED53CD">
              <w:rPr>
                <w:b/>
                <w:sz w:val="20"/>
                <w:szCs w:val="20"/>
              </w:rPr>
              <w:t>Guidelines</w:t>
            </w:r>
            <w:r w:rsidRPr="00ED53CD">
              <w:rPr>
                <w:b/>
                <w:sz w:val="20"/>
                <w:szCs w:val="20"/>
              </w:rPr>
              <w:tab/>
            </w:r>
          </w:p>
        </w:tc>
        <w:tc>
          <w:tcPr>
            <w:tcW w:w="3686" w:type="dxa"/>
            <w:shd w:val="clear" w:color="auto" w:fill="D9D9D9" w:themeFill="background1" w:themeFillShade="D9"/>
          </w:tcPr>
          <w:p w:rsidR="00D12C44" w:rsidRPr="00ED53CD" w:rsidRDefault="00D12C44" w:rsidP="00ED53CD">
            <w:pPr>
              <w:rPr>
                <w:b/>
                <w:sz w:val="20"/>
                <w:szCs w:val="20"/>
              </w:rPr>
            </w:pPr>
            <w:r w:rsidRPr="00ED53CD">
              <w:rPr>
                <w:b/>
                <w:sz w:val="20"/>
                <w:szCs w:val="20"/>
              </w:rPr>
              <w:t>PBAC SEC OVR 7.10.3</w:t>
            </w:r>
          </w:p>
        </w:tc>
      </w:tr>
      <w:tr w:rsidR="00D12C44" w:rsidRPr="00336986" w:rsidTr="0007307A">
        <w:tc>
          <w:tcPr>
            <w:tcW w:w="5245" w:type="dxa"/>
          </w:tcPr>
          <w:p w:rsidR="00D12C44" w:rsidRPr="00ED53CD" w:rsidRDefault="00D12C44" w:rsidP="00ED53CD">
            <w:pPr>
              <w:rPr>
                <w:sz w:val="20"/>
                <w:szCs w:val="20"/>
              </w:rPr>
            </w:pPr>
            <w:r w:rsidRPr="00ED53CD">
              <w:rPr>
                <w:sz w:val="20"/>
                <w:szCs w:val="20"/>
              </w:rPr>
              <w:t xml:space="preserve">Comply with all information requests in Parts I-III of these </w:t>
            </w:r>
            <w:r w:rsidR="003824EF" w:rsidRPr="00ED53CD">
              <w:rPr>
                <w:sz w:val="20"/>
                <w:szCs w:val="20"/>
              </w:rPr>
              <w:t>Guidelines</w:t>
            </w:r>
            <w:r w:rsidRPr="00ED53CD">
              <w:rPr>
                <w:sz w:val="20"/>
                <w:szCs w:val="20"/>
              </w:rPr>
              <w:t xml:space="preserve"> where applicable</w:t>
            </w:r>
          </w:p>
        </w:tc>
        <w:tc>
          <w:tcPr>
            <w:tcW w:w="3686" w:type="dxa"/>
          </w:tcPr>
          <w:p w:rsidR="00D12C44" w:rsidRPr="00ED53CD" w:rsidRDefault="00D12C44" w:rsidP="00ED53CD">
            <w:pPr>
              <w:rPr>
                <w:sz w:val="20"/>
                <w:szCs w:val="20"/>
              </w:rPr>
            </w:pPr>
          </w:p>
        </w:tc>
      </w:tr>
      <w:tr w:rsidR="00D12C44" w:rsidRPr="00336986" w:rsidTr="0007307A">
        <w:tc>
          <w:tcPr>
            <w:tcW w:w="5245" w:type="dxa"/>
          </w:tcPr>
          <w:p w:rsidR="00D12C44" w:rsidRPr="00ED53CD" w:rsidRDefault="00D12C44" w:rsidP="00ED53CD">
            <w:pPr>
              <w:rPr>
                <w:sz w:val="20"/>
                <w:szCs w:val="20"/>
              </w:rPr>
            </w:pPr>
            <w:r w:rsidRPr="00ED53CD">
              <w:rPr>
                <w:sz w:val="20"/>
                <w:szCs w:val="20"/>
              </w:rPr>
              <w:t>Provide information as part of the response to Part II, Subsection A.2 to show that combination product has been approved by the TGA, and meets all clinical criteria required by the TGA. Confirm that any requested restriction is consistent with any restriction for each component of the combination product</w:t>
            </w:r>
          </w:p>
        </w:tc>
        <w:tc>
          <w:tcPr>
            <w:tcW w:w="3686" w:type="dxa"/>
          </w:tcPr>
          <w:p w:rsidR="00D12C44" w:rsidRPr="0007307A" w:rsidRDefault="00853824" w:rsidP="00BF320E">
            <w:pPr>
              <w:spacing w:line="276" w:lineRule="auto"/>
              <w:rPr>
                <w:sz w:val="20"/>
                <w:szCs w:val="20"/>
              </w:rPr>
            </w:pPr>
            <w:r>
              <w:rPr>
                <w:sz w:val="20"/>
                <w:szCs w:val="20"/>
              </w:rPr>
              <w:t xml:space="preserve">(a) </w:t>
            </w:r>
            <w:r w:rsidR="00D12C44" w:rsidRPr="0007307A">
              <w:rPr>
                <w:sz w:val="20"/>
                <w:szCs w:val="20"/>
              </w:rPr>
              <w:t>The product should be approved or is recommended for approval by the TGA and meets all clinical criteria required by the TGA.</w:t>
            </w:r>
          </w:p>
          <w:p w:rsidR="00853824" w:rsidRPr="0007307A" w:rsidRDefault="00853824" w:rsidP="0007307A">
            <w:pPr>
              <w:rPr>
                <w:sz w:val="20"/>
                <w:szCs w:val="20"/>
              </w:rPr>
            </w:pPr>
            <w:r w:rsidRPr="00ED53CD">
              <w:rPr>
                <w:sz w:val="20"/>
                <w:szCs w:val="20"/>
              </w:rPr>
              <w:t xml:space="preserve">(c) Restrictions for the component products should be consistent with those proposed for the combination.  </w:t>
            </w:r>
          </w:p>
        </w:tc>
      </w:tr>
      <w:tr w:rsidR="00D12C44" w:rsidRPr="00336986" w:rsidTr="0007307A">
        <w:tc>
          <w:tcPr>
            <w:tcW w:w="5245" w:type="dxa"/>
          </w:tcPr>
          <w:p w:rsidR="00D12C44" w:rsidRPr="00ED53CD" w:rsidRDefault="00D12C44" w:rsidP="00ED53CD">
            <w:pPr>
              <w:rPr>
                <w:sz w:val="20"/>
                <w:szCs w:val="20"/>
              </w:rPr>
            </w:pPr>
            <w:r w:rsidRPr="00ED53CD">
              <w:rPr>
                <w:sz w:val="20"/>
                <w:szCs w:val="20"/>
              </w:rPr>
              <w:t>For each component of the combination product, provide information as part of the response to Part II, subsection A.3 to show that:</w:t>
            </w:r>
          </w:p>
        </w:tc>
        <w:tc>
          <w:tcPr>
            <w:tcW w:w="3686" w:type="dxa"/>
          </w:tcPr>
          <w:p w:rsidR="00D12C44" w:rsidRPr="00ED53CD" w:rsidRDefault="00D12C44" w:rsidP="00ED53CD">
            <w:pPr>
              <w:rPr>
                <w:sz w:val="20"/>
                <w:szCs w:val="20"/>
              </w:rPr>
            </w:pPr>
          </w:p>
        </w:tc>
      </w:tr>
      <w:tr w:rsidR="00D12C44" w:rsidRPr="00336986" w:rsidTr="0007307A">
        <w:tc>
          <w:tcPr>
            <w:tcW w:w="5245" w:type="dxa"/>
          </w:tcPr>
          <w:p w:rsidR="00D12C44" w:rsidRPr="00ED53CD" w:rsidRDefault="00D12C44" w:rsidP="00ED53CD">
            <w:pPr>
              <w:rPr>
                <w:sz w:val="20"/>
                <w:szCs w:val="20"/>
              </w:rPr>
            </w:pPr>
            <w:r w:rsidRPr="00ED53CD">
              <w:rPr>
                <w:sz w:val="20"/>
                <w:szCs w:val="20"/>
              </w:rPr>
              <w:t xml:space="preserve">- it is (preferably) listed on the PBS or funded on the NIP. </w:t>
            </w:r>
          </w:p>
        </w:tc>
        <w:tc>
          <w:tcPr>
            <w:tcW w:w="3686" w:type="dxa"/>
          </w:tcPr>
          <w:p w:rsidR="00D12C44" w:rsidRPr="00ED53CD" w:rsidRDefault="00D12C44" w:rsidP="003B5F81">
            <w:pPr>
              <w:rPr>
                <w:sz w:val="20"/>
                <w:szCs w:val="20"/>
              </w:rPr>
            </w:pPr>
            <w:r w:rsidRPr="00ED53CD">
              <w:rPr>
                <w:sz w:val="20"/>
                <w:szCs w:val="20"/>
              </w:rPr>
              <w:t xml:space="preserve">(b) The component products should preferably be listed on the PBS.  </w:t>
            </w:r>
          </w:p>
        </w:tc>
      </w:tr>
      <w:tr w:rsidR="00D12C44" w:rsidRPr="00336986" w:rsidTr="0007307A">
        <w:tc>
          <w:tcPr>
            <w:tcW w:w="5245" w:type="dxa"/>
          </w:tcPr>
          <w:p w:rsidR="00D12C44" w:rsidRPr="00ED53CD" w:rsidRDefault="00D12C44" w:rsidP="003B5F81">
            <w:pPr>
              <w:rPr>
                <w:sz w:val="20"/>
                <w:szCs w:val="20"/>
              </w:rPr>
            </w:pPr>
            <w:r w:rsidRPr="00ED53CD">
              <w:rPr>
                <w:sz w:val="20"/>
                <w:szCs w:val="20"/>
              </w:rPr>
              <w:t>- the doses are consistent with the doses of the combination product</w:t>
            </w:r>
          </w:p>
        </w:tc>
        <w:tc>
          <w:tcPr>
            <w:tcW w:w="3686" w:type="dxa"/>
          </w:tcPr>
          <w:p w:rsidR="00853824" w:rsidRPr="00ED53CD" w:rsidRDefault="00853824" w:rsidP="003B5F81">
            <w:pPr>
              <w:rPr>
                <w:sz w:val="20"/>
                <w:szCs w:val="20"/>
              </w:rPr>
            </w:pPr>
            <w:r w:rsidRPr="00ED53CD">
              <w:rPr>
                <w:sz w:val="20"/>
                <w:szCs w:val="20"/>
              </w:rPr>
              <w:t>(d) The doses of the listed component products and the proposed combination should be consistent.</w:t>
            </w:r>
          </w:p>
        </w:tc>
      </w:tr>
      <w:tr w:rsidR="00D12C44" w:rsidRPr="00336986" w:rsidTr="0007307A">
        <w:tc>
          <w:tcPr>
            <w:tcW w:w="5245" w:type="dxa"/>
          </w:tcPr>
          <w:p w:rsidR="00D12C44" w:rsidRPr="00ED53CD" w:rsidRDefault="00D12C44" w:rsidP="00ED53CD">
            <w:pPr>
              <w:rPr>
                <w:sz w:val="20"/>
                <w:szCs w:val="20"/>
              </w:rPr>
            </w:pPr>
            <w:r w:rsidRPr="00ED53CD">
              <w:rPr>
                <w:sz w:val="20"/>
                <w:szCs w:val="20"/>
              </w:rPr>
              <w:t>Also as part of the response to Part II, Subsection A.3, show that listing the combination product would not result in:</w:t>
            </w:r>
          </w:p>
        </w:tc>
        <w:tc>
          <w:tcPr>
            <w:tcW w:w="3686" w:type="dxa"/>
          </w:tcPr>
          <w:p w:rsidR="00D12C44" w:rsidRPr="00ED53CD" w:rsidRDefault="00D12C44" w:rsidP="00ED53CD">
            <w:pPr>
              <w:rPr>
                <w:sz w:val="20"/>
                <w:szCs w:val="20"/>
              </w:rPr>
            </w:pPr>
          </w:p>
        </w:tc>
      </w:tr>
      <w:tr w:rsidR="00D12C44" w:rsidRPr="00336986" w:rsidTr="0007307A">
        <w:tc>
          <w:tcPr>
            <w:tcW w:w="5245" w:type="dxa"/>
          </w:tcPr>
          <w:p w:rsidR="00D12C44" w:rsidRPr="00ED53CD" w:rsidRDefault="00D12C44" w:rsidP="00ED53CD">
            <w:pPr>
              <w:rPr>
                <w:sz w:val="20"/>
                <w:szCs w:val="20"/>
              </w:rPr>
            </w:pPr>
            <w:r w:rsidRPr="00ED53CD">
              <w:rPr>
                <w:sz w:val="20"/>
                <w:szCs w:val="20"/>
              </w:rPr>
              <w:t>-Inappropriate dosing of ether component (eg the combination product should not contain components for which individual dose titration is preferable)</w:t>
            </w:r>
          </w:p>
        </w:tc>
        <w:tc>
          <w:tcPr>
            <w:tcW w:w="3686" w:type="dxa"/>
          </w:tcPr>
          <w:p w:rsidR="00D12C44" w:rsidRPr="00ED53CD" w:rsidRDefault="00D12C44" w:rsidP="00ED53CD">
            <w:pPr>
              <w:rPr>
                <w:sz w:val="20"/>
                <w:szCs w:val="20"/>
              </w:rPr>
            </w:pPr>
            <w:r w:rsidRPr="00ED53CD">
              <w:rPr>
                <w:sz w:val="20"/>
                <w:szCs w:val="20"/>
              </w:rPr>
              <w:t>(g) The combination products should not result in inappropriate dosing of either component, nor contain components which required individual dose titration.</w:t>
            </w:r>
          </w:p>
        </w:tc>
      </w:tr>
      <w:tr w:rsidR="00D12C44" w:rsidRPr="00336986" w:rsidTr="0007307A">
        <w:tc>
          <w:tcPr>
            <w:tcW w:w="5245" w:type="dxa"/>
          </w:tcPr>
          <w:p w:rsidR="00D12C44" w:rsidRPr="00ED53CD" w:rsidRDefault="00D12C44" w:rsidP="003B5F81">
            <w:pPr>
              <w:rPr>
                <w:sz w:val="20"/>
                <w:szCs w:val="20"/>
              </w:rPr>
            </w:pPr>
            <w:r w:rsidRPr="00ED53CD">
              <w:rPr>
                <w:sz w:val="20"/>
                <w:szCs w:val="20"/>
              </w:rPr>
              <w:t>- unnecessary proliferation of products or dose forms.</w:t>
            </w:r>
          </w:p>
        </w:tc>
        <w:tc>
          <w:tcPr>
            <w:tcW w:w="3686" w:type="dxa"/>
          </w:tcPr>
          <w:p w:rsidR="00D12C44" w:rsidRPr="00ED53CD" w:rsidRDefault="00D12C44" w:rsidP="003B5F81">
            <w:pPr>
              <w:rPr>
                <w:sz w:val="20"/>
                <w:szCs w:val="20"/>
              </w:rPr>
            </w:pPr>
            <w:r w:rsidRPr="00ED53CD">
              <w:rPr>
                <w:sz w:val="20"/>
                <w:szCs w:val="20"/>
              </w:rPr>
              <w:t>(h) The combination product should not result in unnecessary proliferation of product and/or dose forms.</w:t>
            </w:r>
          </w:p>
        </w:tc>
      </w:tr>
      <w:tr w:rsidR="00D12C44" w:rsidRPr="00336986" w:rsidTr="0007307A">
        <w:tc>
          <w:tcPr>
            <w:tcW w:w="5245" w:type="dxa"/>
          </w:tcPr>
          <w:p w:rsidR="00D12C44" w:rsidRPr="00ED53CD" w:rsidRDefault="00D12C44" w:rsidP="00ED53CD">
            <w:pPr>
              <w:rPr>
                <w:sz w:val="20"/>
                <w:szCs w:val="20"/>
              </w:rPr>
            </w:pPr>
            <w:r w:rsidRPr="00ED53CD">
              <w:rPr>
                <w:sz w:val="20"/>
                <w:szCs w:val="20"/>
              </w:rPr>
              <w:t>As part of the response to Part II, Subsection A.4, identify the main comparator products and explain the reasons for the selection of these comparators.</w:t>
            </w:r>
          </w:p>
        </w:tc>
        <w:tc>
          <w:tcPr>
            <w:tcW w:w="3686" w:type="dxa"/>
          </w:tcPr>
          <w:p w:rsidR="00D12C44" w:rsidRPr="00ED53CD" w:rsidRDefault="00D12C44" w:rsidP="00ED53CD">
            <w:pPr>
              <w:rPr>
                <w:sz w:val="20"/>
                <w:szCs w:val="20"/>
              </w:rPr>
            </w:pPr>
          </w:p>
        </w:tc>
      </w:tr>
      <w:tr w:rsidR="00D12C44" w:rsidRPr="00336986" w:rsidTr="0007307A">
        <w:tc>
          <w:tcPr>
            <w:tcW w:w="5245" w:type="dxa"/>
          </w:tcPr>
          <w:p w:rsidR="00D12C44" w:rsidRPr="00ED53CD" w:rsidRDefault="00D12C44" w:rsidP="00ED53CD">
            <w:pPr>
              <w:rPr>
                <w:sz w:val="20"/>
                <w:szCs w:val="20"/>
              </w:rPr>
            </w:pPr>
            <w:r w:rsidRPr="00ED53CD">
              <w:rPr>
                <w:sz w:val="20"/>
                <w:szCs w:val="20"/>
              </w:rPr>
              <w:t>Provide data as part of submission section B to show additive (not necessarily synergistic) beneficial effectiveness of the components.</w:t>
            </w:r>
          </w:p>
        </w:tc>
        <w:tc>
          <w:tcPr>
            <w:tcW w:w="3686" w:type="dxa"/>
          </w:tcPr>
          <w:p w:rsidR="00D12C44" w:rsidRPr="00ED53CD" w:rsidRDefault="00D12C44" w:rsidP="00ED53CD">
            <w:pPr>
              <w:rPr>
                <w:sz w:val="20"/>
                <w:szCs w:val="20"/>
              </w:rPr>
            </w:pPr>
            <w:r w:rsidRPr="00ED53CD">
              <w:rPr>
                <w:sz w:val="20"/>
                <w:szCs w:val="20"/>
              </w:rPr>
              <w:t>(e) There should be additive (not necessarily synergistic) beneficial effectiveness of the components</w:t>
            </w:r>
            <w:r w:rsidR="00853824">
              <w:rPr>
                <w:sz w:val="20"/>
                <w:szCs w:val="20"/>
              </w:rPr>
              <w:t>.</w:t>
            </w:r>
          </w:p>
        </w:tc>
      </w:tr>
      <w:tr w:rsidR="00D12C44" w:rsidRPr="00336986" w:rsidTr="0007307A">
        <w:tc>
          <w:tcPr>
            <w:tcW w:w="5245" w:type="dxa"/>
          </w:tcPr>
          <w:p w:rsidR="00D12C44" w:rsidRPr="00ED53CD" w:rsidRDefault="00D12C44" w:rsidP="00ED53CD">
            <w:pPr>
              <w:rPr>
                <w:sz w:val="20"/>
                <w:szCs w:val="20"/>
              </w:rPr>
            </w:pPr>
            <w:r w:rsidRPr="00ED53CD">
              <w:rPr>
                <w:sz w:val="20"/>
                <w:szCs w:val="20"/>
              </w:rPr>
              <w:t xml:space="preserve">Substantiate any claims of improved patient convenience or compliance in terms of their impact on improving </w:t>
            </w:r>
            <w:r w:rsidR="006931A9" w:rsidRPr="00ED53CD">
              <w:rPr>
                <w:sz w:val="20"/>
                <w:szCs w:val="20"/>
              </w:rPr>
              <w:t>health</w:t>
            </w:r>
            <w:r w:rsidRPr="00ED53CD">
              <w:rPr>
                <w:sz w:val="20"/>
                <w:szCs w:val="20"/>
              </w:rPr>
              <w:t xml:space="preserve"> outcomes (as part of the response to submission sections B or C), reducing provision of other health care </w:t>
            </w:r>
            <w:r w:rsidR="006931A9" w:rsidRPr="00ED53CD">
              <w:rPr>
                <w:sz w:val="20"/>
                <w:szCs w:val="20"/>
              </w:rPr>
              <w:t>resources</w:t>
            </w:r>
            <w:r w:rsidRPr="00ED53CD">
              <w:rPr>
                <w:sz w:val="20"/>
                <w:szCs w:val="20"/>
              </w:rPr>
              <w:t xml:space="preserve"> (as part of submission sections B, C or D), or reducing expenditure in the Australian Government health budget (as part of submission section E).</w:t>
            </w:r>
          </w:p>
        </w:tc>
        <w:tc>
          <w:tcPr>
            <w:tcW w:w="3686" w:type="dxa"/>
          </w:tcPr>
          <w:p w:rsidR="00D12C44" w:rsidRPr="00ED53CD" w:rsidRDefault="00D12C44" w:rsidP="00ED53CD">
            <w:pPr>
              <w:rPr>
                <w:sz w:val="20"/>
                <w:szCs w:val="20"/>
              </w:rPr>
            </w:pPr>
          </w:p>
        </w:tc>
      </w:tr>
      <w:tr w:rsidR="00D12C44" w:rsidRPr="00336986" w:rsidTr="0007307A">
        <w:trPr>
          <w:trHeight w:val="975"/>
        </w:trPr>
        <w:tc>
          <w:tcPr>
            <w:tcW w:w="5245" w:type="dxa"/>
          </w:tcPr>
          <w:p w:rsidR="00D12C44" w:rsidRPr="00ED53CD" w:rsidRDefault="00D12C44" w:rsidP="00ED53CD">
            <w:pPr>
              <w:rPr>
                <w:sz w:val="20"/>
                <w:szCs w:val="20"/>
              </w:rPr>
            </w:pPr>
            <w:r w:rsidRPr="00ED53CD">
              <w:rPr>
                <w:sz w:val="20"/>
                <w:szCs w:val="20"/>
              </w:rPr>
              <w:t xml:space="preserve">Provide an analysis as part of submission section E to show that listing the combination product would not encourage or result in an inappropriate increase in overall use of its individual components, nor in inappropriate use of one or more of those components in specific patient groups. </w:t>
            </w:r>
          </w:p>
        </w:tc>
        <w:tc>
          <w:tcPr>
            <w:tcW w:w="3686" w:type="dxa"/>
          </w:tcPr>
          <w:p w:rsidR="00D12C44" w:rsidRPr="00ED53CD" w:rsidRDefault="00D12C44" w:rsidP="00ED53CD">
            <w:pPr>
              <w:rPr>
                <w:sz w:val="20"/>
                <w:szCs w:val="20"/>
              </w:rPr>
            </w:pPr>
            <w:r w:rsidRPr="00ED53CD">
              <w:rPr>
                <w:sz w:val="20"/>
                <w:szCs w:val="20"/>
              </w:rPr>
              <w:t>(f) The combination should not encourage or result in an inappropriate increase in overall utilisation of the components, nor inappropriate use of one or both components in specific patient groups</w:t>
            </w:r>
            <w:r w:rsidR="00853824">
              <w:rPr>
                <w:sz w:val="20"/>
                <w:szCs w:val="20"/>
              </w:rPr>
              <w:t>.</w:t>
            </w:r>
          </w:p>
        </w:tc>
      </w:tr>
    </w:tbl>
    <w:p w:rsidR="004117DD" w:rsidRDefault="004117DD" w:rsidP="003B5F81"/>
    <w:p w:rsidR="008D0FDD" w:rsidRPr="00D35606" w:rsidRDefault="008D0FDD" w:rsidP="003B5F81">
      <w:r>
        <w:t xml:space="preserve">The March Commentary, at 7.4, provides an analysis of </w:t>
      </w:r>
      <w:r w:rsidR="004B2048">
        <w:t>Vimovo®</w:t>
      </w:r>
      <w:r>
        <w:t xml:space="preserve"> against each of the criteria listed in the table at 7.10.3 of the SEC OVR. </w:t>
      </w:r>
      <w:r w:rsidRPr="00D35606">
        <w:t xml:space="preserve">I note that the expressed purpose of the Commentary is to provide </w:t>
      </w:r>
      <w:r>
        <w:t xml:space="preserve">feedback to the </w:t>
      </w:r>
      <w:r w:rsidR="003824EF">
        <w:t>Sponsor</w:t>
      </w:r>
      <w:r w:rsidRPr="00D35606">
        <w:t xml:space="preserve"> on the submission, </w:t>
      </w:r>
      <w:r w:rsidR="00853824">
        <w:t xml:space="preserve">as </w:t>
      </w:r>
      <w:r w:rsidRPr="00D35606">
        <w:t xml:space="preserve">it is prepared during the evaluation stage and the focus is on the submission itself rather than the proposed drug. </w:t>
      </w:r>
    </w:p>
    <w:p w:rsidR="008D0FDD" w:rsidRPr="00D35606" w:rsidRDefault="008D0FDD" w:rsidP="003B5F81">
      <w:r w:rsidRPr="00D35606">
        <w:t>The information available suggests that the following sequence of events has occurred:</w:t>
      </w:r>
    </w:p>
    <w:p w:rsidR="008D0FDD" w:rsidRPr="005C74C9" w:rsidRDefault="008D0FDD" w:rsidP="0058580E">
      <w:pPr>
        <w:pStyle w:val="ListParagraph"/>
        <w:numPr>
          <w:ilvl w:val="0"/>
          <w:numId w:val="40"/>
        </w:numPr>
      </w:pPr>
      <w:r w:rsidRPr="005C74C9">
        <w:t xml:space="preserve">PBAC has used the </w:t>
      </w:r>
      <w:r w:rsidR="005C74C9">
        <w:t>eight</w:t>
      </w:r>
      <w:r w:rsidR="005C74C9" w:rsidRPr="005C74C9">
        <w:t xml:space="preserve"> </w:t>
      </w:r>
      <w:r w:rsidRPr="005C74C9">
        <w:t xml:space="preserve">information requests at 1.1 of Part IV of the </w:t>
      </w:r>
      <w:r w:rsidR="003824EF">
        <w:t>Guidelines</w:t>
      </w:r>
      <w:r w:rsidRPr="005C74C9">
        <w:t xml:space="preserve"> to develop </w:t>
      </w:r>
      <w:r w:rsidR="005C74C9">
        <w:t>the</w:t>
      </w:r>
      <w:r w:rsidR="005C74C9" w:rsidRPr="005C74C9">
        <w:t xml:space="preserve"> </w:t>
      </w:r>
      <w:r w:rsidRPr="005C74C9">
        <w:t xml:space="preserve">requirements which it determined that combination products must satisfy. These are referred to as ‘minimum requirements for combination products to be eligible for consideration for PBS listing’ in an internal document which PBAC uses to assess products.  </w:t>
      </w:r>
    </w:p>
    <w:p w:rsidR="008D0FDD" w:rsidRPr="005C74C9" w:rsidRDefault="008D0FDD" w:rsidP="0058580E">
      <w:pPr>
        <w:pStyle w:val="ListParagraph"/>
        <w:numPr>
          <w:ilvl w:val="0"/>
          <w:numId w:val="40"/>
        </w:numPr>
      </w:pPr>
      <w:r w:rsidRPr="005C74C9">
        <w:t xml:space="preserve">PBAC decided that </w:t>
      </w:r>
      <w:r w:rsidR="004B2048">
        <w:t>Vimovo®</w:t>
      </w:r>
      <w:r w:rsidRPr="005C74C9">
        <w:t xml:space="preserve"> did not satisfy the ‘minimum requirements’.</w:t>
      </w:r>
    </w:p>
    <w:p w:rsidR="008D0FDD" w:rsidRPr="005C74C9" w:rsidRDefault="004117DD" w:rsidP="0058580E">
      <w:pPr>
        <w:pStyle w:val="ListParagraph"/>
        <w:numPr>
          <w:ilvl w:val="0"/>
          <w:numId w:val="40"/>
        </w:numPr>
      </w:pPr>
      <w:r>
        <w:t>The PBAC Minutes, PBAC SEC</w:t>
      </w:r>
      <w:r w:rsidR="008D0FDD" w:rsidRPr="005C74C9">
        <w:t xml:space="preserve"> OVR and March 2012 Commentary have referenced the ‘minimum requirements’ to Part IV of the </w:t>
      </w:r>
      <w:r w:rsidR="003824EF">
        <w:t>Guidelines</w:t>
      </w:r>
      <w:r w:rsidR="008D0FDD" w:rsidRPr="005C74C9">
        <w:t xml:space="preserve">. </w:t>
      </w:r>
    </w:p>
    <w:p w:rsidR="0058580E" w:rsidRPr="00232FEC" w:rsidRDefault="0058580E" w:rsidP="0058580E">
      <w:pPr>
        <w:pStyle w:val="Heading2"/>
      </w:pPr>
      <w:bookmarkStart w:id="44" w:name="_Toc356560757"/>
      <w:r w:rsidRPr="00232FEC">
        <w:t>Conclusion</w:t>
      </w:r>
      <w:bookmarkEnd w:id="44"/>
    </w:p>
    <w:p w:rsidR="008D0FDD" w:rsidRDefault="008D0FDD" w:rsidP="003B5F81">
      <w:r w:rsidRPr="00D35606">
        <w:t>Th</w:t>
      </w:r>
      <w:r w:rsidR="0058580E">
        <w:t>e</w:t>
      </w:r>
      <w:r w:rsidRPr="00D35606">
        <w:t xml:space="preserve"> reference to the </w:t>
      </w:r>
      <w:r w:rsidR="003824EF">
        <w:t>Guidelines</w:t>
      </w:r>
      <w:r w:rsidRPr="00D35606">
        <w:t xml:space="preserve"> </w:t>
      </w:r>
      <w:r w:rsidR="0058580E">
        <w:t xml:space="preserve">in the minutes </w:t>
      </w:r>
      <w:r w:rsidRPr="00D35606">
        <w:t xml:space="preserve">is not accurate, as Part IV of the </w:t>
      </w:r>
      <w:r w:rsidR="003824EF">
        <w:t>Guidelines</w:t>
      </w:r>
      <w:r w:rsidRPr="00D35606">
        <w:t xml:space="preserve"> lists information requests only, with no indication that </w:t>
      </w:r>
      <w:r w:rsidR="0058580E">
        <w:t>they</w:t>
      </w:r>
      <w:r w:rsidR="0058580E" w:rsidRPr="00D35606">
        <w:t xml:space="preserve"> </w:t>
      </w:r>
      <w:r w:rsidRPr="00D35606">
        <w:t xml:space="preserve">are minimum requirements. </w:t>
      </w:r>
    </w:p>
    <w:p w:rsidR="00954559" w:rsidRDefault="008D0FDD" w:rsidP="00954559">
      <w:r w:rsidRPr="00D35606">
        <w:t xml:space="preserve">I do not accept the </w:t>
      </w:r>
      <w:r w:rsidR="003824EF">
        <w:t>Sponsor</w:t>
      </w:r>
      <w:r>
        <w:t xml:space="preserve">’s </w:t>
      </w:r>
      <w:r w:rsidRPr="00D35606">
        <w:t>assertion that PBAC’s decision overstates the standing of these criteria</w:t>
      </w:r>
      <w:r w:rsidR="003824EF">
        <w:t xml:space="preserve">.  </w:t>
      </w:r>
      <w:r w:rsidRPr="00D35606">
        <w:t xml:space="preserve"> The PBAC </w:t>
      </w:r>
      <w:r w:rsidR="003824EF">
        <w:t>Guidelines</w:t>
      </w:r>
      <w:r w:rsidRPr="00D35606">
        <w:t xml:space="preserve"> advise that information addressing the </w:t>
      </w:r>
      <w:r w:rsidR="003824EF">
        <w:t>eight</w:t>
      </w:r>
      <w:r w:rsidR="003824EF" w:rsidRPr="00D35606">
        <w:t xml:space="preserve"> </w:t>
      </w:r>
      <w:r w:rsidRPr="00D35606">
        <w:t xml:space="preserve">matters should be provided in order for PBAC to undertake an informed assessment. However the </w:t>
      </w:r>
      <w:r w:rsidR="003824EF">
        <w:t>Guidelines</w:t>
      </w:r>
      <w:r w:rsidRPr="00D35606">
        <w:t xml:space="preserve"> do not prescribe PBAC’s decision-making, they relate only to the development of submissions.</w:t>
      </w:r>
    </w:p>
    <w:p w:rsidR="008D0FDD" w:rsidRDefault="00954559" w:rsidP="003B5F81">
      <w:r>
        <w:t xml:space="preserve">It is within PBAC prerogative to develop internal working documents that assist its consideration of submissions, and to develop minimum criteria submissions must satisfy.  Even with minimum criteria, I would note that </w:t>
      </w:r>
      <w:r w:rsidR="008D0FDD">
        <w:t xml:space="preserve">PBAC </w:t>
      </w:r>
      <w:r>
        <w:t xml:space="preserve">still </w:t>
      </w:r>
      <w:r w:rsidR="008D0FDD">
        <w:t xml:space="preserve">has the right to determine </w:t>
      </w:r>
      <w:r w:rsidR="003824EF">
        <w:t>the criteria a drug must satisfy</w:t>
      </w:r>
      <w:r w:rsidR="008D0FDD">
        <w:t>, on a case by case basis.</w:t>
      </w:r>
    </w:p>
    <w:p w:rsidR="008D0FDD" w:rsidRPr="00D35606" w:rsidRDefault="008D0FDD" w:rsidP="003B5F81">
      <w:r w:rsidRPr="00D35606">
        <w:t>Nevertheless, I consider that PBAC has not been transparent in communicating its requirement</w:t>
      </w:r>
      <w:r>
        <w:t xml:space="preserve">s and reasoning to the </w:t>
      </w:r>
      <w:r w:rsidR="003824EF">
        <w:t>Sponsor</w:t>
      </w:r>
      <w:r w:rsidRPr="00D35606">
        <w:t>.</w:t>
      </w:r>
      <w:r>
        <w:t xml:space="preserve"> </w:t>
      </w:r>
      <w:r w:rsidRPr="00D35606">
        <w:t xml:space="preserve">The basic principles of just and accountable decision-making generally afford the </w:t>
      </w:r>
      <w:r w:rsidR="003824EF">
        <w:t>Sponsor</w:t>
      </w:r>
      <w:r w:rsidRPr="00D35606">
        <w:t xml:space="preserve"> the </w:t>
      </w:r>
      <w:r>
        <w:t>right to:</w:t>
      </w:r>
    </w:p>
    <w:p w:rsidR="008D0FDD" w:rsidRPr="003B5F81" w:rsidRDefault="008D0FDD" w:rsidP="00ED53CD">
      <w:pPr>
        <w:pStyle w:val="ListParagraph"/>
        <w:numPr>
          <w:ilvl w:val="0"/>
          <w:numId w:val="28"/>
        </w:numPr>
        <w:rPr>
          <w:szCs w:val="24"/>
        </w:rPr>
      </w:pPr>
      <w:r w:rsidRPr="003B5F81">
        <w:rPr>
          <w:szCs w:val="24"/>
        </w:rPr>
        <w:t>Know what criteria they must satisfy;</w:t>
      </w:r>
    </w:p>
    <w:p w:rsidR="008D0FDD" w:rsidRPr="003B5F81" w:rsidRDefault="008D0FDD" w:rsidP="00ED53CD">
      <w:pPr>
        <w:pStyle w:val="ListParagraph"/>
        <w:numPr>
          <w:ilvl w:val="0"/>
          <w:numId w:val="28"/>
        </w:numPr>
        <w:rPr>
          <w:szCs w:val="24"/>
        </w:rPr>
      </w:pPr>
      <w:r w:rsidRPr="003B5F81">
        <w:rPr>
          <w:szCs w:val="24"/>
        </w:rPr>
        <w:t>Be heard - to provide information and argue their case;</w:t>
      </w:r>
    </w:p>
    <w:p w:rsidR="008D0FDD" w:rsidRPr="003B5F81" w:rsidRDefault="008D0FDD" w:rsidP="00ED53CD">
      <w:pPr>
        <w:pStyle w:val="ListParagraph"/>
        <w:numPr>
          <w:ilvl w:val="0"/>
          <w:numId w:val="28"/>
        </w:numPr>
        <w:rPr>
          <w:szCs w:val="24"/>
        </w:rPr>
      </w:pPr>
      <w:r w:rsidRPr="003B5F81">
        <w:rPr>
          <w:szCs w:val="24"/>
        </w:rPr>
        <w:t>Know what information has been considered in making the decision; and</w:t>
      </w:r>
    </w:p>
    <w:p w:rsidR="008D0FDD" w:rsidRPr="003B5F81" w:rsidRDefault="008D0FDD" w:rsidP="00ED53CD">
      <w:pPr>
        <w:pStyle w:val="ListParagraph"/>
        <w:numPr>
          <w:ilvl w:val="0"/>
          <w:numId w:val="28"/>
        </w:numPr>
        <w:rPr>
          <w:szCs w:val="24"/>
        </w:rPr>
      </w:pPr>
      <w:r w:rsidRPr="003B5F81">
        <w:rPr>
          <w:szCs w:val="24"/>
        </w:rPr>
        <w:t>Know the reasons for the decision.</w:t>
      </w:r>
    </w:p>
    <w:p w:rsidR="008D0FDD" w:rsidRDefault="008D0FDD" w:rsidP="003B5F81">
      <w:r w:rsidRPr="00D35606">
        <w:t>In the conte</w:t>
      </w:r>
      <w:r>
        <w:t xml:space="preserve">xt of the </w:t>
      </w:r>
      <w:r w:rsidR="003824EF">
        <w:t>Guidelines</w:t>
      </w:r>
      <w:r w:rsidRPr="00D35606">
        <w:t xml:space="preserve">, I find that the articulation of PBAC’s decision is confusing, as it has conflated the requirement </w:t>
      </w:r>
      <w:r>
        <w:t xml:space="preserve">for the </w:t>
      </w:r>
      <w:r w:rsidR="003824EF">
        <w:t>Sponsor</w:t>
      </w:r>
      <w:r w:rsidRPr="00D35606">
        <w:t xml:space="preserve"> to provide information with PBAC’s decision-making </w:t>
      </w:r>
      <w:r w:rsidR="00954559">
        <w:t>considerations</w:t>
      </w:r>
      <w:r w:rsidRPr="00D35606">
        <w:t xml:space="preserve">. </w:t>
      </w:r>
    </w:p>
    <w:p w:rsidR="008D0FDD" w:rsidRDefault="008D0FDD" w:rsidP="003B5F81">
      <w:r w:rsidRPr="00D35606">
        <w:t xml:space="preserve">The Minutes contain </w:t>
      </w:r>
      <w:r w:rsidR="003824EF">
        <w:t>two</w:t>
      </w:r>
      <w:r w:rsidR="003824EF" w:rsidRPr="00D35606">
        <w:t xml:space="preserve"> </w:t>
      </w:r>
      <w:r w:rsidRPr="00D35606">
        <w:t>anomalies. Firstly, they refer to information requests in Part IV as ‘minimum requirements’</w:t>
      </w:r>
      <w:r>
        <w:t xml:space="preserve"> -</w:t>
      </w:r>
      <w:r w:rsidRPr="00D35606">
        <w:t xml:space="preserve"> which is not an accurate representation of the content of the </w:t>
      </w:r>
      <w:r w:rsidR="003824EF">
        <w:t>Guidelines</w:t>
      </w:r>
      <w:r w:rsidRPr="00D35606">
        <w:t>. Secondly, they refer</w:t>
      </w:r>
      <w:r>
        <w:t>ence</w:t>
      </w:r>
      <w:r w:rsidRPr="00D35606">
        <w:t xml:space="preserve"> </w:t>
      </w:r>
      <w:r>
        <w:t xml:space="preserve">a document </w:t>
      </w:r>
      <w:r w:rsidRPr="00D35606">
        <w:t xml:space="preserve">which was not available to the </w:t>
      </w:r>
      <w:r w:rsidR="003824EF">
        <w:t>Sponsor</w:t>
      </w:r>
      <w:r w:rsidRPr="00D35606">
        <w:t xml:space="preserve">. </w:t>
      </w:r>
    </w:p>
    <w:p w:rsidR="008D0FDD" w:rsidRDefault="006D6974" w:rsidP="003B5F81">
      <w:r>
        <w:rPr>
          <w:rFonts w:ascii="Times" w:hAnsi="Times" w:cs="Times"/>
          <w:noProof/>
          <w:lang w:eastAsia="en-AU"/>
        </w:rPr>
        <w:drawing>
          <wp:anchor distT="0" distB="0" distL="114300" distR="114300" simplePos="0" relativeHeight="251658240" behindDoc="1" locked="0" layoutInCell="1" allowOverlap="1" wp14:anchorId="7777B25B" wp14:editId="4602495D">
            <wp:simplePos x="0" y="0"/>
            <wp:positionH relativeFrom="column">
              <wp:posOffset>-74930</wp:posOffset>
            </wp:positionH>
            <wp:positionV relativeFrom="paragraph">
              <wp:posOffset>8255</wp:posOffset>
            </wp:positionV>
            <wp:extent cx="3016250" cy="4326890"/>
            <wp:effectExtent l="0" t="0" r="0" b="0"/>
            <wp:wrapTight wrapText="bothSides">
              <wp:wrapPolygon edited="0">
                <wp:start x="0" y="0"/>
                <wp:lineTo x="0" y="21492"/>
                <wp:lineTo x="21418" y="21492"/>
                <wp:lineTo x="21418" y="0"/>
                <wp:lineTo x="0" y="0"/>
              </wp:wrapPolygon>
            </wp:wrapTight>
            <wp:docPr id="1" name="Picture 1" descr="Table 2:  Document provided by Department to explain alpha numbering in Minutes of November 2012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6250" cy="4326890"/>
                    </a:xfrm>
                    <a:prstGeom prst="rect">
                      <a:avLst/>
                    </a:prstGeom>
                    <a:noFill/>
                    <a:ln>
                      <a:noFill/>
                    </a:ln>
                  </pic:spPr>
                </pic:pic>
              </a:graphicData>
            </a:graphic>
          </wp:anchor>
        </w:drawing>
      </w:r>
      <w:r w:rsidR="008D0FDD">
        <w:t>The</w:t>
      </w:r>
      <w:r w:rsidR="00192346">
        <w:t xml:space="preserve">re is </w:t>
      </w:r>
      <w:r w:rsidR="00AF04B7">
        <w:t xml:space="preserve">also </w:t>
      </w:r>
      <w:r w:rsidR="00192346">
        <w:t>a third</w:t>
      </w:r>
      <w:r w:rsidR="008D0FDD">
        <w:t xml:space="preserve"> table</w:t>
      </w:r>
      <w:r w:rsidR="00192346">
        <w:t>,</w:t>
      </w:r>
      <w:r w:rsidR="008D0FDD">
        <w:t xml:space="preserve"> provided to the Reviewer by the Department </w:t>
      </w:r>
      <w:r w:rsidR="00954559">
        <w:t xml:space="preserve">to the Independent Review </w:t>
      </w:r>
      <w:r w:rsidR="008D0FDD">
        <w:t>in response to a question about the source of the alpha referencing contained in the PBAC Minutes of the November 2012 meeting.</w:t>
      </w:r>
      <w:r w:rsidR="00AF04B7">
        <w:t xml:space="preserve">  This is at Table 2.</w:t>
      </w:r>
    </w:p>
    <w:p w:rsidR="008D0FDD" w:rsidRPr="00D35606" w:rsidRDefault="008D0FDD" w:rsidP="003B5F81">
      <w:r>
        <w:t xml:space="preserve">Although the ‘matters’ are common across the </w:t>
      </w:r>
      <w:r w:rsidR="00AF04B7">
        <w:t xml:space="preserve">three </w:t>
      </w:r>
      <w:r>
        <w:t xml:space="preserve">tables, they are expressed as information requests in the publicly available </w:t>
      </w:r>
      <w:r w:rsidR="003824EF">
        <w:t>Guidelines</w:t>
      </w:r>
      <w:r w:rsidR="00AF04B7">
        <w:t xml:space="preserve"> and the document provided by the department (Table 2)</w:t>
      </w:r>
      <w:r w:rsidR="00853824">
        <w:t>,</w:t>
      </w:r>
      <w:r>
        <w:t xml:space="preserve"> and expressed as minimum requirements in the document which was not publicly available.  For this reason, the </w:t>
      </w:r>
      <w:r w:rsidR="003824EF">
        <w:t>Sponsor</w:t>
      </w:r>
      <w:r>
        <w:t xml:space="preserve"> could not have known that there were </w:t>
      </w:r>
      <w:r w:rsidR="00AF04B7">
        <w:t xml:space="preserve">eight </w:t>
      </w:r>
      <w:r>
        <w:t xml:space="preserve">‘minimum requirements’ which the product was required to satisfy. </w:t>
      </w:r>
    </w:p>
    <w:p w:rsidR="008D0FDD" w:rsidRPr="00D35606" w:rsidRDefault="0004075F" w:rsidP="003B5F81">
      <w:r>
        <w:rPr>
          <w:noProof/>
          <w:lang w:eastAsia="en-AU"/>
        </w:rPr>
        <mc:AlternateContent>
          <mc:Choice Requires="wps">
            <w:drawing>
              <wp:anchor distT="0" distB="0" distL="114300" distR="114300" simplePos="0" relativeHeight="251660288" behindDoc="0" locked="0" layoutInCell="1" allowOverlap="1" wp14:anchorId="60C55BCF" wp14:editId="0E600B0A">
                <wp:simplePos x="0" y="0"/>
                <wp:positionH relativeFrom="column">
                  <wp:posOffset>-3049905</wp:posOffset>
                </wp:positionH>
                <wp:positionV relativeFrom="paragraph">
                  <wp:posOffset>362585</wp:posOffset>
                </wp:positionV>
                <wp:extent cx="3021330" cy="339090"/>
                <wp:effectExtent l="0" t="0" r="7620" b="3810"/>
                <wp:wrapTight wrapText="bothSides">
                  <wp:wrapPolygon edited="0">
                    <wp:start x="0" y="0"/>
                    <wp:lineTo x="0" y="20629"/>
                    <wp:lineTo x="21518" y="20629"/>
                    <wp:lineTo x="21518" y="0"/>
                    <wp:lineTo x="0" y="0"/>
                  </wp:wrapPolygon>
                </wp:wrapTight>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339090"/>
                        </a:xfrm>
                        <a:prstGeom prst="rect">
                          <a:avLst/>
                        </a:prstGeom>
                        <a:solidFill>
                          <a:prstClr val="white"/>
                        </a:solidFill>
                        <a:ln>
                          <a:noFill/>
                        </a:ln>
                        <a:effectLst/>
                      </wps:spPr>
                      <wps:txbx>
                        <w:txbxContent>
                          <w:p w:rsidR="00335FA4" w:rsidRPr="00ED53CD" w:rsidRDefault="00335FA4" w:rsidP="00ED53CD">
                            <w:pPr>
                              <w:pStyle w:val="Caption"/>
                              <w:rPr>
                                <w:rFonts w:ascii="Times" w:hAnsi="Times" w:cs="Times"/>
                                <w:noProof/>
                                <w:color w:val="auto"/>
                                <w:sz w:val="24"/>
                              </w:rPr>
                            </w:pPr>
                            <w:r w:rsidRPr="00ED53CD">
                              <w:rPr>
                                <w:color w:val="auto"/>
                              </w:rPr>
                              <w:t xml:space="preserve">Table 2:  Document provided by Department to explain alpha numbering in Minutes of November </w:t>
                            </w:r>
                            <w:r>
                              <w:rPr>
                                <w:color w:val="auto"/>
                              </w:rPr>
                              <w:t xml:space="preserve">2012 </w:t>
                            </w:r>
                            <w:r w:rsidRPr="00ED53CD">
                              <w:rPr>
                                <w:color w:val="auto"/>
                              </w:rPr>
                              <w:t>meeting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40.15pt;margin-top:28.55pt;width:237.9pt;height:2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" stroked="f">
                <v:path arrowok="t"/>
                <v:textbox style="mso-fit-shape-to-text:t" inset="0,0,0,0">
                  <w:txbxContent>
                    <w:p w:rsidR="007B5049" w:rsidRPr="00ED53CD" w:rsidRDefault="007B5049" w:rsidP="00ED53CD">
                      <w:pPr>
                        <w:pStyle w:val="Caption"/>
                        <w:rPr>
                          <w:rFonts w:ascii="Times" w:hAnsi="Times" w:cs="Times"/>
                          <w:noProof/>
                          <w:color w:val="auto"/>
                          <w:sz w:val="24"/>
                        </w:rPr>
                      </w:pPr>
                      <w:r w:rsidRPr="00ED53CD">
                        <w:rPr>
                          <w:color w:val="auto"/>
                        </w:rPr>
                        <w:t xml:space="preserve">Table 2:  Document provided by Department to explain alpha numbering in Minutes of November </w:t>
                      </w:r>
                      <w:r>
                        <w:rPr>
                          <w:color w:val="auto"/>
                        </w:rPr>
                        <w:t xml:space="preserve">2012 </w:t>
                      </w:r>
                      <w:r w:rsidRPr="00ED53CD">
                        <w:rPr>
                          <w:color w:val="auto"/>
                        </w:rPr>
                        <w:t>meeting</w:t>
                      </w:r>
                    </w:p>
                  </w:txbxContent>
                </v:textbox>
                <w10:wrap type="tight"/>
              </v:shape>
            </w:pict>
          </mc:Fallback>
        </mc:AlternateContent>
      </w:r>
      <w:r w:rsidR="008D0FDD" w:rsidRPr="00D35606">
        <w:t xml:space="preserve">The </w:t>
      </w:r>
      <w:r w:rsidR="003824EF">
        <w:t>Guidelines</w:t>
      </w:r>
      <w:r w:rsidR="008D0FDD" w:rsidRPr="00D35606">
        <w:t xml:space="preserve"> state at 1.4 that PBAC is conscious of the need to be as open as possible in its proceedings consistent with the secrecy provisions of the Act.</w:t>
      </w:r>
    </w:p>
    <w:p w:rsidR="008A2EF5" w:rsidRDefault="008D0FDD" w:rsidP="003B5F81">
      <w:r w:rsidRPr="00D35606">
        <w:t xml:space="preserve">The above events resulted in the </w:t>
      </w:r>
      <w:r w:rsidR="003824EF">
        <w:t>Sponsor</w:t>
      </w:r>
      <w:r w:rsidRPr="00D35606">
        <w:t xml:space="preserve"> not knowing what criteria PBAC required to be satisfied. Accordingly, I find that PBAC was not </w:t>
      </w:r>
      <w:r>
        <w:t xml:space="preserve">as </w:t>
      </w:r>
      <w:r w:rsidRPr="00D35606">
        <w:t>open in its proceedings in this matter</w:t>
      </w:r>
      <w:r>
        <w:t xml:space="preserve"> as it should have been</w:t>
      </w:r>
      <w:r w:rsidRPr="00D35606">
        <w:t xml:space="preserve">. </w:t>
      </w:r>
    </w:p>
    <w:p w:rsidR="008A2EF5" w:rsidRDefault="008A2EF5" w:rsidP="00ED53CD">
      <w:pPr>
        <w:pStyle w:val="Heading2"/>
      </w:pPr>
      <w:bookmarkStart w:id="45" w:name="_Toc356560758"/>
      <w:r>
        <w:t>Recommendation</w:t>
      </w:r>
      <w:bookmarkEnd w:id="45"/>
    </w:p>
    <w:p w:rsidR="008D0FDD" w:rsidRPr="00D35606" w:rsidRDefault="008D0FDD" w:rsidP="003B5F81">
      <w:r w:rsidRPr="00D35606">
        <w:t xml:space="preserve">If PBAC has decided that there are criteria which must be satisfied for combination products to be eligible for consideration for PBS </w:t>
      </w:r>
      <w:r>
        <w:t>listing, then those requirements should be</w:t>
      </w:r>
      <w:r w:rsidRPr="00D35606">
        <w:t xml:space="preserve"> explicit in the PBAC </w:t>
      </w:r>
      <w:r w:rsidR="003824EF">
        <w:t>Guidelines</w:t>
      </w:r>
      <w:r w:rsidRPr="00D35606">
        <w:t>.</w:t>
      </w:r>
      <w:r w:rsidR="00AF04B7">
        <w:t xml:space="preserve">  </w:t>
      </w:r>
      <w:r w:rsidR="008A2EF5">
        <w:t>PBAC should also consider making it clear that meeting such criteria would not, of itself, guarantee a positive recommendation as there may be other things PBAC would consider on a case-by-case basis.</w:t>
      </w:r>
    </w:p>
    <w:p w:rsidR="008D0FDD" w:rsidRPr="00E82E9A" w:rsidRDefault="008D0FDD" w:rsidP="00E82E9A">
      <w:pPr>
        <w:rPr>
          <w:rFonts w:asciiTheme="majorHAnsi" w:hAnsiTheme="majorHAnsi"/>
          <w:b/>
        </w:rPr>
      </w:pPr>
      <w:r w:rsidRPr="00E82E9A">
        <w:rPr>
          <w:rFonts w:cstheme="minorHAnsi"/>
          <w:b/>
        </w:rPr>
        <w:t xml:space="preserve">That PBAC amends Part IV of the </w:t>
      </w:r>
      <w:r w:rsidR="003824EF" w:rsidRPr="00E82E9A">
        <w:rPr>
          <w:rFonts w:cstheme="minorHAnsi"/>
          <w:b/>
        </w:rPr>
        <w:t>Guidelines</w:t>
      </w:r>
      <w:r w:rsidRPr="00E82E9A">
        <w:rPr>
          <w:rFonts w:cstheme="minorHAnsi"/>
          <w:b/>
        </w:rPr>
        <w:t xml:space="preserve"> to make explicit any minimum requirements that must be met by Fixed Dose Combination products.</w:t>
      </w:r>
    </w:p>
    <w:p w:rsidR="008D0FDD" w:rsidRPr="00B70CB6" w:rsidRDefault="008D0FDD" w:rsidP="00F41E86">
      <w:pPr>
        <w:pStyle w:val="Heading1"/>
      </w:pPr>
      <w:bookmarkStart w:id="46" w:name="_Toc356560759"/>
      <w:r w:rsidRPr="00D35606">
        <w:t>Did PBAC communicate its concerns and requiremen</w:t>
      </w:r>
      <w:r>
        <w:t xml:space="preserve">ts consistently to the </w:t>
      </w:r>
      <w:r w:rsidR="003824EF">
        <w:t>Sponsor</w:t>
      </w:r>
      <w:r w:rsidRPr="00D35606">
        <w:t xml:space="preserve"> throughout the assessment process?</w:t>
      </w:r>
      <w:bookmarkEnd w:id="46"/>
    </w:p>
    <w:p w:rsidR="008D0FDD" w:rsidRDefault="008D0FDD" w:rsidP="003B5F81">
      <w:r w:rsidRPr="00D35606">
        <w:t xml:space="preserve">The </w:t>
      </w:r>
      <w:r>
        <w:t>table below shows that PBAC’s</w:t>
      </w:r>
      <w:r w:rsidRPr="00D35606">
        <w:t xml:space="preserve"> requirement for </w:t>
      </w:r>
      <w:r w:rsidR="004B2048">
        <w:t>Vimovo®</w:t>
      </w:r>
      <w:r w:rsidRPr="00D35606">
        <w:t xml:space="preserve"> to satisfy the minimum requirements discussed above was fir</w:t>
      </w:r>
      <w:r>
        <w:t xml:space="preserve">st communicated to the </w:t>
      </w:r>
      <w:r w:rsidR="003824EF">
        <w:t>Sponsor</w:t>
      </w:r>
      <w:r w:rsidRPr="00D35606">
        <w:t xml:space="preserve"> after the 3</w:t>
      </w:r>
      <w:r w:rsidRPr="00D35606">
        <w:rPr>
          <w:vertAlign w:val="superscript"/>
        </w:rPr>
        <w:t>rd</w:t>
      </w:r>
      <w:r w:rsidRPr="00D35606">
        <w:t xml:space="preserve"> submission was considered by PBAC.</w:t>
      </w:r>
    </w:p>
    <w:p w:rsidR="009879E1" w:rsidRDefault="009879E1" w:rsidP="003B5F81"/>
    <w:p w:rsidR="009879E1" w:rsidRPr="00ED53CD" w:rsidRDefault="009879E1" w:rsidP="009879E1">
      <w:pPr>
        <w:pStyle w:val="Caption"/>
        <w:jc w:val="center"/>
        <w:rPr>
          <w:color w:val="auto"/>
        </w:rPr>
      </w:pPr>
      <w:r w:rsidRPr="00ED53CD">
        <w:rPr>
          <w:color w:val="auto"/>
        </w:rPr>
        <w:t xml:space="preserve">Table </w:t>
      </w:r>
      <w:r>
        <w:rPr>
          <w:color w:val="auto"/>
        </w:rPr>
        <w:t>3</w:t>
      </w:r>
      <w:r w:rsidR="00853824">
        <w:rPr>
          <w:color w:val="auto"/>
        </w:rPr>
        <w:t>:</w:t>
      </w:r>
      <w:r w:rsidRPr="00ED53CD">
        <w:rPr>
          <w:color w:val="auto"/>
        </w:rPr>
        <w:t xml:space="preserve"> </w:t>
      </w:r>
      <w:r w:rsidRPr="008A2EF5">
        <w:rPr>
          <w:color w:val="auto"/>
        </w:rPr>
        <w:t>Reasons</w:t>
      </w:r>
      <w:r w:rsidRPr="00ED53CD">
        <w:rPr>
          <w:color w:val="auto"/>
        </w:rPr>
        <w:t xml:space="preserve"> for rejecting </w:t>
      </w:r>
      <w:r w:rsidR="004B2048">
        <w:rPr>
          <w:color w:val="auto"/>
        </w:rPr>
        <w:t>Vimovo®</w:t>
      </w:r>
      <w:r w:rsidRPr="00ED53CD">
        <w:rPr>
          <w:color w:val="auto"/>
        </w:rPr>
        <w:t xml:space="preserve"> </w:t>
      </w:r>
      <w:r w:rsidRPr="008A2EF5">
        <w:rPr>
          <w:color w:val="auto"/>
        </w:rPr>
        <w:t>application</w:t>
      </w:r>
    </w:p>
    <w:tbl>
      <w:tblPr>
        <w:tblStyle w:val="TableGrid"/>
        <w:tblW w:w="0" w:type="auto"/>
        <w:tblLook w:val="04A0" w:firstRow="1" w:lastRow="0" w:firstColumn="1" w:lastColumn="0" w:noHBand="0" w:noVBand="1"/>
        <w:tblDescription w:val="Reasons for rejecting Vimovo® application"/>
      </w:tblPr>
      <w:tblGrid>
        <w:gridCol w:w="2093"/>
        <w:gridCol w:w="6423"/>
      </w:tblGrid>
      <w:tr w:rsidR="008D0FDD" w:rsidRPr="00B84C34" w:rsidTr="003F3694">
        <w:trPr>
          <w:trHeight w:val="369"/>
          <w:tblHeader/>
        </w:trPr>
        <w:tc>
          <w:tcPr>
            <w:tcW w:w="2093" w:type="dxa"/>
            <w:shd w:val="clear" w:color="auto" w:fill="D9D9D9" w:themeFill="background1" w:themeFillShade="D9"/>
          </w:tcPr>
          <w:p w:rsidR="008D0FDD" w:rsidRPr="00ED53CD" w:rsidRDefault="008D0FDD" w:rsidP="00ED53CD">
            <w:pPr>
              <w:rPr>
                <w:b/>
                <w:sz w:val="20"/>
              </w:rPr>
            </w:pPr>
            <w:r w:rsidRPr="00ED53CD">
              <w:rPr>
                <w:b/>
                <w:sz w:val="20"/>
              </w:rPr>
              <w:t>PBAC decision</w:t>
            </w:r>
          </w:p>
        </w:tc>
        <w:tc>
          <w:tcPr>
            <w:tcW w:w="6423" w:type="dxa"/>
            <w:shd w:val="clear" w:color="auto" w:fill="D9D9D9" w:themeFill="background1" w:themeFillShade="D9"/>
          </w:tcPr>
          <w:p w:rsidR="008D0FDD" w:rsidRPr="00ED53CD" w:rsidRDefault="006931A9" w:rsidP="00ED53CD">
            <w:pPr>
              <w:rPr>
                <w:b/>
                <w:sz w:val="20"/>
              </w:rPr>
            </w:pPr>
            <w:r w:rsidRPr="00ED53CD">
              <w:rPr>
                <w:b/>
                <w:sz w:val="20"/>
              </w:rPr>
              <w:t>Précis</w:t>
            </w:r>
            <w:r w:rsidR="008A2EF5" w:rsidRPr="00ED53CD">
              <w:rPr>
                <w:b/>
                <w:sz w:val="20"/>
              </w:rPr>
              <w:t xml:space="preserve"> of reasons</w:t>
            </w:r>
            <w:r w:rsidR="008D0FDD" w:rsidRPr="00ED53CD">
              <w:rPr>
                <w:b/>
                <w:sz w:val="20"/>
              </w:rPr>
              <w:t xml:space="preserve"> for rejection as expressed in meeting Minutes</w:t>
            </w:r>
          </w:p>
        </w:tc>
      </w:tr>
      <w:tr w:rsidR="008D0FDD" w:rsidRPr="00D35606" w:rsidTr="00ED53CD">
        <w:tc>
          <w:tcPr>
            <w:tcW w:w="2093" w:type="dxa"/>
          </w:tcPr>
          <w:p w:rsidR="008D0FDD" w:rsidRPr="00ED53CD" w:rsidRDefault="008D0FDD" w:rsidP="00ED53CD">
            <w:pPr>
              <w:rPr>
                <w:sz w:val="20"/>
              </w:rPr>
            </w:pPr>
            <w:r w:rsidRPr="00ED53CD">
              <w:rPr>
                <w:sz w:val="20"/>
              </w:rPr>
              <w:t>August 2011</w:t>
            </w:r>
            <w:r w:rsidR="008A2EF5" w:rsidRPr="00ED53CD">
              <w:rPr>
                <w:sz w:val="20"/>
              </w:rPr>
              <w:t xml:space="preserve"> </w:t>
            </w:r>
            <w:r w:rsidRPr="00ED53CD">
              <w:rPr>
                <w:sz w:val="20"/>
              </w:rPr>
              <w:t>(major submission)</w:t>
            </w:r>
          </w:p>
        </w:tc>
        <w:tc>
          <w:tcPr>
            <w:tcW w:w="6423" w:type="dxa"/>
          </w:tcPr>
          <w:p w:rsidR="008D0FDD" w:rsidRPr="00ED53CD" w:rsidRDefault="008D0FDD" w:rsidP="00ED53CD">
            <w:pPr>
              <w:rPr>
                <w:sz w:val="20"/>
              </w:rPr>
            </w:pPr>
            <w:r w:rsidRPr="00ED53CD">
              <w:rPr>
                <w:sz w:val="20"/>
              </w:rPr>
              <w:t>The nominate</w:t>
            </w:r>
            <w:r w:rsidR="00B66466">
              <w:rPr>
                <w:sz w:val="20"/>
              </w:rPr>
              <w:t>d</w:t>
            </w:r>
            <w:r w:rsidRPr="00ED53CD">
              <w:rPr>
                <w:sz w:val="20"/>
              </w:rPr>
              <w:t xml:space="preserve"> main comparator was inappropriate and there were no data presented versus the comparator which PBAC considered to be appropriate</w:t>
            </w:r>
            <w:r w:rsidR="00853824">
              <w:rPr>
                <w:sz w:val="20"/>
              </w:rPr>
              <w:t>.</w:t>
            </w:r>
          </w:p>
        </w:tc>
      </w:tr>
      <w:tr w:rsidR="008D0FDD" w:rsidRPr="00D35606" w:rsidTr="00ED53CD">
        <w:tc>
          <w:tcPr>
            <w:tcW w:w="2093" w:type="dxa"/>
          </w:tcPr>
          <w:p w:rsidR="008D0FDD" w:rsidRPr="00ED53CD" w:rsidRDefault="008D0FDD" w:rsidP="00ED53CD">
            <w:pPr>
              <w:rPr>
                <w:sz w:val="20"/>
              </w:rPr>
            </w:pPr>
            <w:r w:rsidRPr="00ED53CD">
              <w:rPr>
                <w:sz w:val="20"/>
              </w:rPr>
              <w:t>March 201</w:t>
            </w:r>
            <w:r w:rsidR="008A2EF5" w:rsidRPr="00ED53CD">
              <w:rPr>
                <w:sz w:val="20"/>
              </w:rPr>
              <w:t xml:space="preserve">2 </w:t>
            </w:r>
            <w:r w:rsidRPr="00ED53CD">
              <w:rPr>
                <w:sz w:val="20"/>
              </w:rPr>
              <w:t>(major re-submission)</w:t>
            </w:r>
          </w:p>
        </w:tc>
        <w:tc>
          <w:tcPr>
            <w:tcW w:w="6423" w:type="dxa"/>
          </w:tcPr>
          <w:p w:rsidR="008A2EF5" w:rsidRPr="00ED53CD" w:rsidRDefault="008D0FDD" w:rsidP="00ED53CD">
            <w:pPr>
              <w:rPr>
                <w:sz w:val="20"/>
              </w:rPr>
            </w:pPr>
            <w:r w:rsidRPr="00ED53CD">
              <w:rPr>
                <w:sz w:val="20"/>
              </w:rPr>
              <w:t>The comparator was inappropriate</w:t>
            </w:r>
            <w:r w:rsidR="00853824">
              <w:rPr>
                <w:sz w:val="20"/>
              </w:rPr>
              <w:t>.</w:t>
            </w:r>
          </w:p>
          <w:p w:rsidR="008A2EF5" w:rsidRPr="00ED53CD" w:rsidRDefault="008D0FDD" w:rsidP="00ED53CD">
            <w:pPr>
              <w:rPr>
                <w:sz w:val="20"/>
              </w:rPr>
            </w:pPr>
            <w:r w:rsidRPr="00ED53CD">
              <w:rPr>
                <w:sz w:val="20"/>
              </w:rPr>
              <w:t>Uncertainty regarding the validity of the surrogate outcome, for the purposes of demonstrating no inferiority of more patient-relevant outcomes, and resultant uncertainty in the proposed cost-minimisation analysis</w:t>
            </w:r>
            <w:r w:rsidR="00853824">
              <w:rPr>
                <w:sz w:val="20"/>
              </w:rPr>
              <w:t>.</w:t>
            </w:r>
          </w:p>
          <w:p w:rsidR="008D0FDD" w:rsidRPr="00ED53CD" w:rsidRDefault="008D0FDD" w:rsidP="00ED53CD">
            <w:pPr>
              <w:rPr>
                <w:sz w:val="20"/>
              </w:rPr>
            </w:pPr>
            <w:r w:rsidRPr="00ED53CD">
              <w:rPr>
                <w:sz w:val="20"/>
              </w:rPr>
              <w:t>An expectation that listing as requested could result in increased costs both overall and also to the PBS.</w:t>
            </w:r>
          </w:p>
        </w:tc>
      </w:tr>
      <w:tr w:rsidR="008D0FDD" w:rsidRPr="00D35606" w:rsidTr="00ED53CD">
        <w:tc>
          <w:tcPr>
            <w:tcW w:w="2093" w:type="dxa"/>
          </w:tcPr>
          <w:p w:rsidR="008D0FDD" w:rsidRPr="00ED53CD" w:rsidRDefault="008D0FDD" w:rsidP="00ED53CD">
            <w:pPr>
              <w:rPr>
                <w:sz w:val="20"/>
              </w:rPr>
            </w:pPr>
            <w:r w:rsidRPr="00ED53CD">
              <w:rPr>
                <w:sz w:val="20"/>
              </w:rPr>
              <w:t>November 2012</w:t>
            </w:r>
            <w:r w:rsidR="008A2EF5" w:rsidRPr="00ED53CD">
              <w:rPr>
                <w:sz w:val="20"/>
              </w:rPr>
              <w:t xml:space="preserve"> (</w:t>
            </w:r>
            <w:r w:rsidRPr="00ED53CD">
              <w:rPr>
                <w:sz w:val="20"/>
              </w:rPr>
              <w:t>minor re-submission)</w:t>
            </w:r>
          </w:p>
        </w:tc>
        <w:tc>
          <w:tcPr>
            <w:tcW w:w="6423" w:type="dxa"/>
          </w:tcPr>
          <w:p w:rsidR="008D0FDD" w:rsidRPr="00ED53CD" w:rsidRDefault="008A2EF5" w:rsidP="00ED53CD">
            <w:pPr>
              <w:rPr>
                <w:sz w:val="20"/>
              </w:rPr>
            </w:pPr>
            <w:r w:rsidRPr="00ED53CD">
              <w:rPr>
                <w:sz w:val="20"/>
              </w:rPr>
              <w:t>Not</w:t>
            </w:r>
            <w:r w:rsidR="008D0FDD" w:rsidRPr="00ED53CD">
              <w:rPr>
                <w:sz w:val="20"/>
              </w:rPr>
              <w:t xml:space="preserve"> all PBAC criteria for combination products are met</w:t>
            </w:r>
            <w:r w:rsidR="00853824">
              <w:rPr>
                <w:sz w:val="20"/>
              </w:rPr>
              <w:t>.</w:t>
            </w:r>
            <w:r w:rsidR="008D0FDD" w:rsidRPr="00ED53CD">
              <w:rPr>
                <w:sz w:val="20"/>
              </w:rPr>
              <w:t xml:space="preserve">  </w:t>
            </w:r>
          </w:p>
          <w:p w:rsidR="008D0FDD" w:rsidRPr="00ED53CD" w:rsidRDefault="008A2EF5" w:rsidP="00ED53CD">
            <w:pPr>
              <w:rPr>
                <w:sz w:val="20"/>
              </w:rPr>
            </w:pPr>
            <w:r w:rsidRPr="00ED53CD">
              <w:rPr>
                <w:sz w:val="20"/>
              </w:rPr>
              <w:t>C</w:t>
            </w:r>
            <w:r w:rsidR="008D0FDD" w:rsidRPr="00ED53CD">
              <w:rPr>
                <w:sz w:val="20"/>
              </w:rPr>
              <w:t>ontinuing uncertainty regarding the validity of the surrogate outcome for the purposes of demonstrating non-inferiority of more patient-relevant outcomes, and the resultant impact on the cost-minimisation analysis</w:t>
            </w:r>
            <w:r w:rsidR="00853824">
              <w:rPr>
                <w:sz w:val="20"/>
              </w:rPr>
              <w:t>.</w:t>
            </w:r>
            <w:r w:rsidR="008D0FDD" w:rsidRPr="00ED53CD">
              <w:rPr>
                <w:sz w:val="20"/>
              </w:rPr>
              <w:t xml:space="preserve"> </w:t>
            </w:r>
          </w:p>
          <w:p w:rsidR="008D0FDD" w:rsidRPr="00ED53CD" w:rsidRDefault="008D0FDD" w:rsidP="00ED53CD">
            <w:pPr>
              <w:rPr>
                <w:sz w:val="20"/>
              </w:rPr>
            </w:pPr>
            <w:r w:rsidRPr="00ED53CD">
              <w:rPr>
                <w:sz w:val="20"/>
              </w:rPr>
              <w:t>Continuing concern that the listing could result in increased costs to the PBS</w:t>
            </w:r>
            <w:r w:rsidR="00853824">
              <w:rPr>
                <w:sz w:val="20"/>
              </w:rPr>
              <w:t>.</w:t>
            </w:r>
          </w:p>
        </w:tc>
      </w:tr>
    </w:tbl>
    <w:p w:rsidR="009879E1" w:rsidRDefault="009879E1" w:rsidP="00B84C34"/>
    <w:p w:rsidR="008D0FDD" w:rsidRPr="00D35606" w:rsidRDefault="008D0FDD" w:rsidP="00B84C34">
      <w:r w:rsidRPr="00D35606">
        <w:t xml:space="preserve">It is noted that the March </w:t>
      </w:r>
      <w:r w:rsidR="00853824">
        <w:t>2012</w:t>
      </w:r>
      <w:r w:rsidR="00853824" w:rsidRPr="00D35606">
        <w:t xml:space="preserve"> </w:t>
      </w:r>
      <w:r>
        <w:t xml:space="preserve">PES </w:t>
      </w:r>
      <w:r w:rsidRPr="00D35606">
        <w:t>Commentary referred to the need for the product to satisfy the minimum requirements. Th</w:t>
      </w:r>
      <w:r>
        <w:t xml:space="preserve">is may have put the </w:t>
      </w:r>
      <w:r w:rsidR="003824EF">
        <w:t>Sponsor</w:t>
      </w:r>
      <w:r>
        <w:t xml:space="preserve"> </w:t>
      </w:r>
      <w:r w:rsidRPr="00D35606">
        <w:t xml:space="preserve">on notice regarding the threshold issues, however the </w:t>
      </w:r>
      <w:r w:rsidR="009879E1">
        <w:t xml:space="preserve">PBAC </w:t>
      </w:r>
      <w:r w:rsidRPr="00D35606">
        <w:t xml:space="preserve">Minutes of the March 2012 meeting do not refer to ‘minimum requirements’. </w:t>
      </w:r>
    </w:p>
    <w:p w:rsidR="008D0FDD" w:rsidRPr="00D35606" w:rsidRDefault="008D0FDD" w:rsidP="00B84C34">
      <w:r w:rsidRPr="00D35606">
        <w:t>The available information indicates that PBAC did not clea</w:t>
      </w:r>
      <w:r>
        <w:t xml:space="preserve">rly communicate to the </w:t>
      </w:r>
      <w:r w:rsidR="003824EF">
        <w:t>Sponsor</w:t>
      </w:r>
      <w:r w:rsidRPr="00D35606">
        <w:t xml:space="preserve"> from the outset the minimum requirements and threshold issues which would underpin its </w:t>
      </w:r>
      <w:r w:rsidR="003B5F81">
        <w:t>consideration of the application</w:t>
      </w:r>
      <w:r w:rsidRPr="00D35606">
        <w:t>.  While the first PBAC decision identified the inappropriate comparator as the reason for rejection, subsequent meetings identified additional con</w:t>
      </w:r>
      <w:r w:rsidR="001F6C5E">
        <w:t>cerns, with the need to satisfy</w:t>
      </w:r>
      <w:r w:rsidR="003B5F81" w:rsidRPr="00D35606">
        <w:t xml:space="preserve"> </w:t>
      </w:r>
      <w:r w:rsidRPr="00D35606">
        <w:t>minimum requirements only being communicated after the 3</w:t>
      </w:r>
      <w:r w:rsidRPr="00D35606">
        <w:rPr>
          <w:vertAlign w:val="superscript"/>
        </w:rPr>
        <w:t>rd</w:t>
      </w:r>
      <w:r w:rsidRPr="00D35606">
        <w:t xml:space="preserve"> submission. </w:t>
      </w:r>
    </w:p>
    <w:p w:rsidR="008D0FDD" w:rsidRPr="00AF1908" w:rsidRDefault="008D0FDD" w:rsidP="00F41E86">
      <w:pPr>
        <w:pStyle w:val="Heading2"/>
      </w:pPr>
      <w:bookmarkStart w:id="47" w:name="_Toc356560760"/>
      <w:r w:rsidRPr="00AF1908">
        <w:t>Conclusion</w:t>
      </w:r>
      <w:bookmarkEnd w:id="47"/>
    </w:p>
    <w:p w:rsidR="008D0FDD" w:rsidRDefault="008D0FDD" w:rsidP="00B84C34">
      <w:r>
        <w:t xml:space="preserve">The </w:t>
      </w:r>
      <w:r w:rsidR="003824EF">
        <w:t>Sponsor</w:t>
      </w:r>
      <w:r>
        <w:t xml:space="preserve"> has a right to know what criteria must be satisfied. </w:t>
      </w:r>
      <w:r w:rsidRPr="00D35606">
        <w:t xml:space="preserve">The </w:t>
      </w:r>
      <w:r w:rsidR="003824EF">
        <w:t>Sponsor</w:t>
      </w:r>
      <w:r>
        <w:t xml:space="preserve"> was placed in the position of developing re-submissions to address a particular deficiency, then finding that new deficiencies were identified which the re-submission did not address. As a consequence the </w:t>
      </w:r>
      <w:r w:rsidRPr="00D35606">
        <w:t xml:space="preserve">standards </w:t>
      </w:r>
      <w:r>
        <w:t xml:space="preserve">of evidence </w:t>
      </w:r>
      <w:r w:rsidRPr="00D35606">
        <w:t xml:space="preserve">determined by PBAC were </w:t>
      </w:r>
      <w:r>
        <w:t xml:space="preserve">not transparent to the </w:t>
      </w:r>
      <w:r w:rsidR="003824EF">
        <w:t>Sponsor</w:t>
      </w:r>
      <w:r>
        <w:t>.</w:t>
      </w:r>
      <w:r w:rsidRPr="0063102A">
        <w:t xml:space="preserve"> </w:t>
      </w:r>
    </w:p>
    <w:p w:rsidR="008D0FDD" w:rsidRPr="00D35606" w:rsidRDefault="008D0FDD" w:rsidP="00B84C34">
      <w:r>
        <w:t xml:space="preserve">PBAC routinely uses both formal and informal communication processes to advise </w:t>
      </w:r>
      <w:r w:rsidR="003824EF">
        <w:t>Sponsor</w:t>
      </w:r>
      <w:r>
        <w:t xml:space="preserve">s of threshold issues and concerns. This is good practice in accordance with PBAC’s stated commitment to transparency. In this instance, PBAC’s communication with the </w:t>
      </w:r>
      <w:r w:rsidR="003824EF">
        <w:t>Sponsor</w:t>
      </w:r>
      <w:r>
        <w:t xml:space="preserve"> was less than optimal, as threshold issues were not communicated to the </w:t>
      </w:r>
      <w:r w:rsidR="003824EF">
        <w:t>Sponsor</w:t>
      </w:r>
      <w:r>
        <w:t xml:space="preserve"> early in the process nor were they communicated consistently throughout the process.</w:t>
      </w:r>
    </w:p>
    <w:p w:rsidR="008D0FDD" w:rsidRPr="00B70CB6" w:rsidRDefault="008D0FDD" w:rsidP="00F41E86">
      <w:pPr>
        <w:pStyle w:val="Heading1"/>
      </w:pPr>
      <w:bookmarkStart w:id="48" w:name="_Toc356560761"/>
      <w:r w:rsidRPr="00D35606">
        <w:t>Is PBAC required to apply these minimum requirements consistently?</w:t>
      </w:r>
      <w:bookmarkEnd w:id="48"/>
    </w:p>
    <w:p w:rsidR="003B5F81" w:rsidRDefault="008D0FDD" w:rsidP="00B84C34">
      <w:r w:rsidRPr="00D35606">
        <w:t>PBAC is required to consider the effectiveness and cost of a proposed PBS listing compared with other therapies. PBAC is not required to demonstrate consistency in decision-making. The relevant factors influencing decision making by PBAC</w:t>
      </w:r>
      <w:r w:rsidR="00B84C34">
        <w:t xml:space="preserve"> </w:t>
      </w:r>
      <w:r w:rsidRPr="00D35606">
        <w:t xml:space="preserve">do not include consistency. </w:t>
      </w:r>
      <w:r w:rsidR="00B84C34">
        <w:t>See Table 4 below</w:t>
      </w:r>
      <w:r w:rsidR="00AD4DC1">
        <w:t>.</w:t>
      </w:r>
      <w:r w:rsidR="000A12A2">
        <w:t xml:space="preserve">  </w:t>
      </w:r>
    </w:p>
    <w:p w:rsidR="00AD4DC1" w:rsidRPr="00ED53CD" w:rsidRDefault="00AD4DC1" w:rsidP="00AD4DC1">
      <w:pPr>
        <w:pStyle w:val="Caption"/>
        <w:jc w:val="center"/>
        <w:rPr>
          <w:rFonts w:asciiTheme="majorHAnsi" w:hAnsiTheme="majorHAnsi"/>
          <w:color w:val="auto"/>
        </w:rPr>
      </w:pPr>
      <w:r w:rsidRPr="00ED53CD">
        <w:rPr>
          <w:color w:val="auto"/>
        </w:rPr>
        <w:t xml:space="preserve">Table </w:t>
      </w:r>
      <w:r>
        <w:rPr>
          <w:color w:val="auto"/>
        </w:rPr>
        <w:t>4</w:t>
      </w:r>
      <w:r w:rsidRPr="00ED53CD">
        <w:rPr>
          <w:color w:val="auto"/>
        </w:rPr>
        <w:t>:  Factors PBAC are required to take into account in making decisions</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15"/>
      </w:tblGrid>
      <w:tr w:rsidR="003B5F81" w:rsidRPr="00B66466" w:rsidTr="003B5F8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5F81" w:rsidRPr="00B66466" w:rsidRDefault="00B84C34" w:rsidP="00ED53CD">
            <w:pPr>
              <w:rPr>
                <w:sz w:val="20"/>
                <w:szCs w:val="20"/>
                <w:lang w:eastAsia="en-AU"/>
              </w:rPr>
            </w:pPr>
            <w:r w:rsidRPr="00B66466">
              <w:rPr>
                <w:sz w:val="20"/>
                <w:szCs w:val="20"/>
                <w:lang w:eastAsia="en-AU"/>
              </w:rPr>
              <w:t xml:space="preserve"> - </w:t>
            </w:r>
            <w:r w:rsidR="003B5F81" w:rsidRPr="00B66466">
              <w:rPr>
                <w:sz w:val="20"/>
                <w:szCs w:val="20"/>
                <w:lang w:eastAsia="en-AU"/>
              </w:rPr>
              <w:t>it is needed for the prevention or treatment of significant medical conditions not already covered, or inadequately covered, by drugs in the existing</w:t>
            </w:r>
            <w:r w:rsidRPr="00B66466">
              <w:rPr>
                <w:sz w:val="20"/>
                <w:szCs w:val="20"/>
                <w:lang w:eastAsia="en-AU"/>
              </w:rPr>
              <w:t xml:space="preserve"> list and is of acceptable cost-</w:t>
            </w:r>
            <w:r w:rsidR="003B5F81" w:rsidRPr="00B66466">
              <w:rPr>
                <w:sz w:val="20"/>
                <w:szCs w:val="20"/>
                <w:lang w:eastAsia="en-AU"/>
              </w:rPr>
              <w:t xml:space="preserve">effectiveness </w:t>
            </w:r>
          </w:p>
        </w:tc>
      </w:tr>
      <w:tr w:rsidR="003B5F81" w:rsidRPr="00B66466" w:rsidTr="003B5F8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5F81" w:rsidRPr="00B66466" w:rsidRDefault="003B5F81" w:rsidP="00ED53CD">
            <w:pPr>
              <w:rPr>
                <w:sz w:val="20"/>
                <w:szCs w:val="20"/>
                <w:lang w:eastAsia="en-AU"/>
              </w:rPr>
            </w:pPr>
            <w:r w:rsidRPr="00B66466">
              <w:rPr>
                <w:sz w:val="20"/>
                <w:szCs w:val="20"/>
                <w:lang w:eastAsia="en-AU"/>
              </w:rPr>
              <w:t>- it is more effective or less toxic (or both) than a drug already listed for the same indications and is of acceptable cost-effectiveness</w:t>
            </w:r>
          </w:p>
        </w:tc>
      </w:tr>
      <w:tr w:rsidR="003B5F81" w:rsidRPr="00B66466" w:rsidTr="003B5F8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5F81" w:rsidRPr="00B66466" w:rsidRDefault="003B5F81" w:rsidP="00ED53CD">
            <w:pPr>
              <w:rPr>
                <w:sz w:val="20"/>
                <w:szCs w:val="20"/>
                <w:lang w:eastAsia="en-AU"/>
              </w:rPr>
            </w:pPr>
            <w:r w:rsidRPr="00B66466">
              <w:rPr>
                <w:sz w:val="20"/>
                <w:szCs w:val="20"/>
                <w:lang w:eastAsia="en-AU"/>
              </w:rPr>
              <w:t>- it is at least as effective and safe as a drug already listed for the same indications and is of similar or better cost-effectiveness.</w:t>
            </w:r>
          </w:p>
        </w:tc>
      </w:tr>
      <w:tr w:rsidR="003B5F81" w:rsidRPr="00B66466" w:rsidTr="003B5F81">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5F81" w:rsidRPr="00B66466" w:rsidRDefault="003B5F81" w:rsidP="00ED53CD">
            <w:pPr>
              <w:keepNext/>
              <w:rPr>
                <w:sz w:val="20"/>
                <w:szCs w:val="20"/>
                <w:lang w:eastAsia="en-AU"/>
              </w:rPr>
            </w:pPr>
            <w:r w:rsidRPr="00B66466">
              <w:rPr>
                <w:sz w:val="20"/>
                <w:szCs w:val="20"/>
                <w:lang w:eastAsia="en-AU"/>
              </w:rPr>
              <w:t xml:space="preserve">A new drug that is less effective and/or more toxic than a drug already listed for the same indications might be considered for listing. In such a circumstance, other supportive factors would be needed to justify a recommendation, for example, if the new drug would decrease the overall costs of therapy and/or if it were restricted to a subsequent line of therapy after the more effective or less toxic therapy. </w:t>
            </w:r>
          </w:p>
        </w:tc>
      </w:tr>
    </w:tbl>
    <w:p w:rsidR="00F72CAD" w:rsidRDefault="00F72CAD" w:rsidP="00B84C34"/>
    <w:p w:rsidR="008D0FDD" w:rsidRPr="00D35606" w:rsidRDefault="008D0FDD" w:rsidP="00B84C34">
      <w:r w:rsidRPr="00D35606">
        <w:t>In fact, consistency could be counterproductive given the diversity of products and the dynamic nature of the market.  PBAC is required to make judgments about weightings applied in its decision making process, and these judgments may be influenced by a number of factors.</w:t>
      </w:r>
    </w:p>
    <w:p w:rsidR="008D0FDD" w:rsidRPr="00AF1908" w:rsidRDefault="008D0FDD" w:rsidP="00F41E86">
      <w:pPr>
        <w:pStyle w:val="Heading2"/>
      </w:pPr>
      <w:bookmarkStart w:id="49" w:name="_Toc356560762"/>
      <w:r w:rsidRPr="00AF1908">
        <w:t>Conclusion</w:t>
      </w:r>
      <w:bookmarkEnd w:id="49"/>
    </w:p>
    <w:p w:rsidR="008D0FDD" w:rsidRPr="00D35606" w:rsidRDefault="008D0FDD" w:rsidP="00B84C34">
      <w:r>
        <w:t xml:space="preserve">Accordingly, the </w:t>
      </w:r>
      <w:r w:rsidR="003824EF">
        <w:t>Sponsor</w:t>
      </w:r>
      <w:r w:rsidRPr="00D35606">
        <w:t>’s claim that the PBAC decision is inconsistent with previous PBAC decisions does not have merit.</w:t>
      </w:r>
    </w:p>
    <w:p w:rsidR="008D0FDD" w:rsidRPr="00D35606" w:rsidRDefault="008D0FDD" w:rsidP="00F41E86">
      <w:pPr>
        <w:pStyle w:val="Heading1"/>
      </w:pPr>
      <w:bookmarkStart w:id="50" w:name="_Toc356560763"/>
      <w:r w:rsidRPr="00D35606">
        <w:t xml:space="preserve">Reviewer’s summary of findings on this </w:t>
      </w:r>
      <w:r w:rsidR="00B84C34">
        <w:t>aspect</w:t>
      </w:r>
      <w:r w:rsidR="00B84C34" w:rsidRPr="00D35606">
        <w:t xml:space="preserve"> </w:t>
      </w:r>
      <w:r w:rsidRPr="00D35606">
        <w:t xml:space="preserve">of the </w:t>
      </w:r>
      <w:r w:rsidR="00B84C34">
        <w:t>Review</w:t>
      </w:r>
      <w:bookmarkEnd w:id="50"/>
    </w:p>
    <w:p w:rsidR="008D0FDD" w:rsidRPr="00D35606" w:rsidRDefault="008D0FDD" w:rsidP="00B84C34">
      <w:r w:rsidRPr="00D35606">
        <w:t xml:space="preserve">The community expects that individuals and bodies with decision-making authority exercise their power in a just and accountable manner. Put simply, decision makers should not only </w:t>
      </w:r>
      <w:r w:rsidRPr="00D35606">
        <w:rPr>
          <w:b/>
        </w:rPr>
        <w:t>be</w:t>
      </w:r>
      <w:r w:rsidRPr="00D35606">
        <w:t xml:space="preserve"> fair, they should be </w:t>
      </w:r>
      <w:r w:rsidRPr="00D35606">
        <w:rPr>
          <w:b/>
        </w:rPr>
        <w:t xml:space="preserve">seen </w:t>
      </w:r>
      <w:r w:rsidRPr="00D35606">
        <w:t>to be fair.</w:t>
      </w:r>
    </w:p>
    <w:p w:rsidR="008D0FDD" w:rsidRDefault="008D0FDD" w:rsidP="00B84C34">
      <w:r>
        <w:t xml:space="preserve">PBAC has the right to determine the standards of evidence it requires on a case by case basis, and the decision making process is quite distinct from the requirements for submissions as detailed in the </w:t>
      </w:r>
      <w:r w:rsidR="003824EF">
        <w:t>Guidelines</w:t>
      </w:r>
      <w:r>
        <w:t>.</w:t>
      </w:r>
    </w:p>
    <w:p w:rsidR="008D0FDD" w:rsidRDefault="008D0FDD" w:rsidP="00B84C34">
      <w:r w:rsidRPr="00D35606">
        <w:t xml:space="preserve">I do not accept the </w:t>
      </w:r>
      <w:r w:rsidR="003824EF">
        <w:t>Sponsor</w:t>
      </w:r>
      <w:r>
        <w:t xml:space="preserve">’s </w:t>
      </w:r>
      <w:r w:rsidRPr="00D35606">
        <w:t>assertion that PBAC’s decision overstates the standing of these criteria because this confuses information requests</w:t>
      </w:r>
      <w:r>
        <w:t xml:space="preserve"> for the purpose of making a submission</w:t>
      </w:r>
      <w:r w:rsidRPr="00D35606">
        <w:t xml:space="preserve"> with the </w:t>
      </w:r>
      <w:r>
        <w:t xml:space="preserve">actual </w:t>
      </w:r>
      <w:r w:rsidRPr="00D35606">
        <w:t xml:space="preserve">decision making </w:t>
      </w:r>
      <w:r w:rsidR="00B84C34">
        <w:t>considerations</w:t>
      </w:r>
      <w:r w:rsidRPr="00D35606">
        <w:t>.</w:t>
      </w:r>
      <w:r>
        <w:t xml:space="preserve"> The </w:t>
      </w:r>
      <w:r w:rsidR="003824EF">
        <w:t>Guidelines</w:t>
      </w:r>
      <w:r>
        <w:t xml:space="preserve"> do not prescribe PBAC’s decision making processes, and PBAC has the right to develop minimum requirements which it determines Fixed Combination Products must meet. However I consider that PBAC was not transparent about these minimum requirements and that this lack of transparency </w:t>
      </w:r>
      <w:r w:rsidR="00B84C34">
        <w:t xml:space="preserve">confused </w:t>
      </w:r>
      <w:r>
        <w:t xml:space="preserve">the </w:t>
      </w:r>
      <w:r w:rsidR="003824EF">
        <w:t>Sponsor</w:t>
      </w:r>
      <w:r>
        <w:t>.</w:t>
      </w:r>
    </w:p>
    <w:p w:rsidR="008D0FDD" w:rsidRPr="00D35606" w:rsidRDefault="008D0FDD" w:rsidP="00B84C34">
      <w:r>
        <w:t xml:space="preserve">I do not accept the </w:t>
      </w:r>
      <w:r w:rsidR="003824EF">
        <w:t>Sponsor</w:t>
      </w:r>
      <w:r w:rsidRPr="00D35606">
        <w:t>’s contention that PBAC has been inconsistent in its assessment of combination products, as there is no requirement for PBAC to be consistent in decision-making. Furthermore, consistency in decision-making is difficult to achieve, and potentially undesirable, in the context of emerging products in a dynamic market.</w:t>
      </w:r>
    </w:p>
    <w:p w:rsidR="00853824" w:rsidRDefault="008D0FDD" w:rsidP="00B84C34">
      <w:r>
        <w:t>Nevertheless,</w:t>
      </w:r>
      <w:r w:rsidRPr="00D35606">
        <w:t xml:space="preserve"> </w:t>
      </w:r>
      <w:r>
        <w:t xml:space="preserve">I find that </w:t>
      </w:r>
      <w:r w:rsidRPr="00D35606">
        <w:t>PBAC was not transparent in its communication of its requirements and its decision</w:t>
      </w:r>
      <w:r>
        <w:t>s</w:t>
      </w:r>
      <w:r w:rsidRPr="00D35606">
        <w:t>. As a re</w:t>
      </w:r>
      <w:r>
        <w:t xml:space="preserve">sult, the </w:t>
      </w:r>
      <w:r w:rsidR="003824EF">
        <w:t>Sponsor</w:t>
      </w:r>
      <w:r w:rsidRPr="00D35606">
        <w:t xml:space="preserve"> made 3 submissions without being fully informed of the criteria which PBAC required the product to satisfy.</w:t>
      </w:r>
      <w:r>
        <w:t xml:space="preserve"> </w:t>
      </w:r>
      <w:r w:rsidRPr="00D35606">
        <w:t xml:space="preserve">The PBAC </w:t>
      </w:r>
      <w:r w:rsidR="003824EF">
        <w:t>Guidelines</w:t>
      </w:r>
      <w:r w:rsidRPr="00D35606">
        <w:t xml:space="preserve"> state that PBAC is conscious of the need to be as open as possible in its proceedings consistent with the secrecy provisions of the Act. </w:t>
      </w:r>
      <w:r>
        <w:t>In this instance PBAC was not as transparent as it should have been.</w:t>
      </w:r>
      <w:r w:rsidR="00853824">
        <w:br w:type="page"/>
      </w:r>
    </w:p>
    <w:p w:rsidR="008D0FDD" w:rsidRDefault="008D0FDD" w:rsidP="00B84C34"/>
    <w:p w:rsidR="00E82E9A" w:rsidRDefault="00E82E9A" w:rsidP="00B84C34">
      <w:pPr>
        <w:pStyle w:val="Heading2"/>
        <w:sectPr w:rsidR="00E82E9A" w:rsidSect="006F4AB3">
          <w:footerReference w:type="default" r:id="rId16"/>
          <w:pgSz w:w="11907" w:h="16839" w:code="9"/>
          <w:pgMar w:top="1440" w:right="1440" w:bottom="1440" w:left="1440" w:header="720" w:footer="720" w:gutter="0"/>
          <w:cols w:space="720"/>
          <w:titlePg/>
          <w:docGrid w:linePitch="360"/>
        </w:sectPr>
      </w:pPr>
    </w:p>
    <w:p w:rsidR="00265623" w:rsidRDefault="00F41E86" w:rsidP="00B66466">
      <w:pPr>
        <w:pStyle w:val="Heading1"/>
      </w:pPr>
      <w:bookmarkStart w:id="51" w:name="_Toc356560764"/>
      <w:r w:rsidRPr="003130B0">
        <w:t>Annexure</w:t>
      </w:r>
      <w:r w:rsidR="00B84C34" w:rsidRPr="00ED53CD">
        <w:t xml:space="preserve"> 1: </w:t>
      </w:r>
      <w:r w:rsidRPr="003130B0">
        <w:t>Material used in preparing the report</w:t>
      </w:r>
      <w:bookmarkEnd w:id="51"/>
    </w:p>
    <w:p w:rsidR="00265623" w:rsidRPr="00C96812" w:rsidRDefault="00B84C34" w:rsidP="004931A9">
      <w:r>
        <w:t>I</w:t>
      </w:r>
      <w:r w:rsidR="00265623">
        <w:t>nformation provided to the reviewer by the Department of Health and Ageing in response to a number of questions</w:t>
      </w:r>
      <w:r>
        <w:t xml:space="preserve"> follows.</w:t>
      </w:r>
      <w:r w:rsidR="00265623">
        <w:t xml:space="preserve"> </w:t>
      </w:r>
      <w:r>
        <w:t xml:space="preserve"> (Answers are in italics)</w:t>
      </w:r>
    </w:p>
    <w:p w:rsidR="008D0FDD" w:rsidRPr="00751E70" w:rsidRDefault="008D0FDD" w:rsidP="00ED53CD">
      <w:pPr>
        <w:rPr>
          <w:rFonts w:cs="Helv"/>
          <w:b/>
          <w:bCs/>
          <w:iCs/>
          <w:color w:val="000000"/>
        </w:rPr>
      </w:pPr>
      <w:r w:rsidRPr="00751E70">
        <w:rPr>
          <w:rFonts w:cs="Helv"/>
          <w:b/>
          <w:bCs/>
          <w:iCs/>
          <w:color w:val="000000"/>
        </w:rPr>
        <w:t>12 February 2013 - Questions</w:t>
      </w:r>
    </w:p>
    <w:p w:rsidR="008D0FDD" w:rsidRPr="00ED53CD" w:rsidRDefault="008D0FDD" w:rsidP="00ED53CD">
      <w:pPr>
        <w:rPr>
          <w:i/>
        </w:rPr>
      </w:pPr>
      <w:r w:rsidRPr="00014B72">
        <w:t>1.  Could you confirm that the PBAC Guidelines on the web (version 4.3 December 2008) are the latest and are used by the PBAC?</w:t>
      </w:r>
      <w:r w:rsidR="00B84C34">
        <w:t xml:space="preserve"> </w:t>
      </w:r>
      <w:r w:rsidRPr="00ED53CD">
        <w:rPr>
          <w:i/>
        </w:rPr>
        <w:t>Yes</w:t>
      </w:r>
    </w:p>
    <w:p w:rsidR="008D0FDD" w:rsidRPr="00014B72" w:rsidRDefault="008D0FDD" w:rsidP="00ED53CD">
      <w:r w:rsidRPr="00014B72">
        <w:t xml:space="preserve">2. The following text is an excerpt from the PBAC </w:t>
      </w:r>
      <w:r w:rsidR="003824EF">
        <w:t>Guidelines</w:t>
      </w:r>
      <w:r w:rsidRPr="00014B72">
        <w:t xml:space="preserve">, </w:t>
      </w:r>
      <w:r w:rsidR="006931A9" w:rsidRPr="00014B72">
        <w:t>pp.</w:t>
      </w:r>
      <w:r w:rsidRPr="00014B72">
        <w:t xml:space="preserve"> 211-212 of Part IV version 4.3, December 2008</w:t>
      </w:r>
      <w:r w:rsidR="00B84C34">
        <w:rPr>
          <w:rStyle w:val="FootnoteReference"/>
          <w:rFonts w:asciiTheme="majorHAnsi" w:hAnsiTheme="majorHAnsi" w:cs="Helv"/>
          <w:bCs/>
          <w:color w:val="000000"/>
        </w:rPr>
        <w:footnoteReference w:id="1"/>
      </w:r>
      <w:r w:rsidRPr="00014B72">
        <w:t>.  Could you please advise me whether any of the material in that excerpt is a legislative requirement or similar?</w:t>
      </w:r>
      <w:r w:rsidR="00B84C34">
        <w:t xml:space="preserve"> </w:t>
      </w:r>
      <w:r w:rsidR="00B84C34" w:rsidRPr="00ED53CD">
        <w:rPr>
          <w:i/>
        </w:rPr>
        <w:t>No</w:t>
      </w:r>
    </w:p>
    <w:p w:rsidR="008D0FDD" w:rsidRPr="00014B72" w:rsidRDefault="008D0FDD" w:rsidP="00ED53CD">
      <w:pPr>
        <w:rPr>
          <w:bCs/>
        </w:rPr>
      </w:pPr>
      <w:r w:rsidRPr="00014B72">
        <w:rPr>
          <w:bCs/>
        </w:rPr>
        <w:t>3. Can you advise whether there is another document which assigns alphas to the information requests?  The PDF document and the web document use dot points, while the PBAC short minutes uses (b) (c) etc.  If there is another document, could you provide a copy of that please?  If there is no other document, and the PBAC have used alphas for convenience, could I please have an annotated copy of the excerpt so I am sure that reviewers are pointed in the right direction.</w:t>
      </w:r>
    </w:p>
    <w:p w:rsidR="008D0FDD" w:rsidRPr="00ED53CD" w:rsidRDefault="008D0FDD" w:rsidP="00ED53CD">
      <w:pPr>
        <w:rPr>
          <w:i/>
        </w:rPr>
      </w:pPr>
      <w:r w:rsidRPr="00ED53CD">
        <w:rPr>
          <w:i/>
        </w:rPr>
        <w:t>The November 2012 PBAC meeting short minutes refer to PBAC Guidelines Part IV, PBAC Secretariat Overview (PBAC SEC OVR 7.10.3) and PBAC Secretariat March 2012 Commentary (7.4.COM.20). The 'alpha' criteria (b), (c) and (g) refer to a suite of eight criteria that have been developed by Pharmaceutical Evaluation Branch for the PBAC, ESC and DUSC to assist them with assessment of combination products. They provide more detail on the application of the eight criteria set out in the PBAC Guidelines (Part IV Product type 1 Fixed Combinations products). However, the numbering does not match the eight criteria in the PBAC Guidelines (Part IV). An annotated extract of the PBAC Guidelines (Part IV) correlating it to the criteria referred to in the Overview and Commentary is attached</w:t>
      </w:r>
      <w:r w:rsidR="004931A9" w:rsidRPr="004931A9">
        <w:rPr>
          <w:rStyle w:val="FootnoteReference"/>
          <w:rFonts w:asciiTheme="majorHAnsi" w:hAnsiTheme="majorHAnsi" w:cs="Helv"/>
          <w:i/>
          <w:color w:val="000000"/>
        </w:rPr>
        <w:footnoteReference w:id="2"/>
      </w:r>
      <w:r w:rsidRPr="00ED53CD">
        <w:rPr>
          <w:i/>
        </w:rPr>
        <w:t>.</w:t>
      </w:r>
    </w:p>
    <w:p w:rsidR="008D0FDD" w:rsidRPr="004B7F02" w:rsidRDefault="008D0FDD" w:rsidP="00E53949">
      <w:r w:rsidRPr="004B7F02">
        <w:t>4. The PBAC minutes say, and I quote 'criterion (c) "restrictions for the component products should be consistent with those proposed for the combination", is also not satisfied...'.  I would appreciate advice from the department of the source and authority for that wording, and a copy of the relevant document.</w:t>
      </w:r>
    </w:p>
    <w:p w:rsidR="008D0FDD" w:rsidRPr="00ED53CD" w:rsidRDefault="008D0FDD" w:rsidP="004931A9">
      <w:pPr>
        <w:rPr>
          <w:i/>
        </w:rPr>
      </w:pPr>
      <w:r w:rsidRPr="00ED53CD">
        <w:rPr>
          <w:i/>
        </w:rPr>
        <w:t>As noted above, the source and authority of criterion (c) is the PBAC Guidelines. Pharmaceutical Evaluation Branch prepared it for the PBAC, ESC and DUSC to assist them with assessment of combination products. These criteria have been adopted by PBAC in previous assessments.</w:t>
      </w:r>
    </w:p>
    <w:p w:rsidR="008D0FDD" w:rsidRPr="004B7F02" w:rsidRDefault="008D0FDD" w:rsidP="00ED53CD">
      <w:r w:rsidRPr="004B7F02">
        <w:t>5. Could you also advise if there is a glossary or similar that would explain the term 'information request' or the expectations of how that term should be interpreted.</w:t>
      </w:r>
    </w:p>
    <w:p w:rsidR="008D0FDD" w:rsidRPr="00ED53CD" w:rsidRDefault="008D0FDD" w:rsidP="00ED53CD">
      <w:pPr>
        <w:rPr>
          <w:i/>
        </w:rPr>
      </w:pPr>
      <w:r w:rsidRPr="00ED53CD">
        <w:rPr>
          <w:i/>
        </w:rPr>
        <w:t xml:space="preserve">There is no explanation of the term 'information request' in the </w:t>
      </w:r>
      <w:hyperlink r:id="rId17" w:history="1">
        <w:r w:rsidRPr="00ED53CD">
          <w:rPr>
            <w:i/>
          </w:rPr>
          <w:t>Glossary to the PBAC Guidelines</w:t>
        </w:r>
      </w:hyperlink>
      <w:r w:rsidRPr="00ED53CD">
        <w:rPr>
          <w:i/>
        </w:rPr>
        <w:t xml:space="preserve"> or in other PBAC documentation. It is the title of the section of the PBAC Guidelines which summarise the nature of information that may be required for specific product types.</w:t>
      </w:r>
    </w:p>
    <w:p w:rsidR="008D0FDD" w:rsidRPr="00ED53CD" w:rsidRDefault="008D0FDD" w:rsidP="00ED53CD">
      <w:pPr>
        <w:rPr>
          <w:b/>
        </w:rPr>
      </w:pPr>
      <w:r w:rsidRPr="00ED53CD">
        <w:rPr>
          <w:b/>
        </w:rPr>
        <w:t>18 March 2013 Questions</w:t>
      </w:r>
    </w:p>
    <w:p w:rsidR="008D0FDD" w:rsidRPr="00014B72" w:rsidRDefault="008D0FDD" w:rsidP="00ED53CD">
      <w:r w:rsidRPr="00ED53CD">
        <w:t>1</w:t>
      </w:r>
      <w:r w:rsidRPr="00014B72">
        <w:t>.  Page 11 of the Guidelines (the December 2008 official version on the web) state that the Guidelines were endorsed by ESC and PBAC.  Please confirm that they were not required to be approved by the Minister and/or other Parliamentary process.</w:t>
      </w:r>
    </w:p>
    <w:p w:rsidR="008D0FDD" w:rsidRPr="00ED53CD" w:rsidRDefault="008D0FDD" w:rsidP="00ED53CD">
      <w:pPr>
        <w:rPr>
          <w:i/>
        </w:rPr>
      </w:pPr>
      <w:r w:rsidRPr="00ED53CD">
        <w:rPr>
          <w:i/>
        </w:rPr>
        <w:t xml:space="preserve">There is no requirement for Ministerial or Parliamentary approval of the Guidelines for Preparing Submissions to the Pharmaceutical Benefits Advisory Committee (PBAC Guidelines). They provide practical information for the pharmaceutical industry for making a submission to PBAC. Although the </w:t>
      </w:r>
      <w:r w:rsidR="003824EF" w:rsidRPr="00ED53CD">
        <w:rPr>
          <w:i/>
        </w:rPr>
        <w:t>Guidelines</w:t>
      </w:r>
      <w:r w:rsidRPr="00ED53CD">
        <w:rPr>
          <w:i/>
        </w:rPr>
        <w:t xml:space="preserve"> have been written for the pharmaceutical industry, they are also intended to help PBAC assess submissions and, provide information to other interested stakeholders, including clinical and patient groups, and the general community.</w:t>
      </w:r>
    </w:p>
    <w:p w:rsidR="008D0FDD" w:rsidRPr="00014B72" w:rsidRDefault="008D0FDD" w:rsidP="00ED53CD">
      <w:r w:rsidRPr="00ED53CD">
        <w:t>2</w:t>
      </w:r>
      <w:r w:rsidRPr="00014B72">
        <w:rPr>
          <w:b/>
        </w:rPr>
        <w:t xml:space="preserve">. </w:t>
      </w:r>
      <w:r w:rsidRPr="00014B72">
        <w:t>Are the Guidelines in whole or part referenced in the Act or any other legislative instrument/determination?</w:t>
      </w:r>
      <w:r w:rsidR="004931A9">
        <w:t xml:space="preserve">  </w:t>
      </w:r>
      <w:r w:rsidR="004931A9" w:rsidRPr="00ED53CD">
        <w:rPr>
          <w:i/>
        </w:rPr>
        <w:t>No</w:t>
      </w:r>
      <w:r w:rsidR="004931A9">
        <w:t>.</w:t>
      </w:r>
    </w:p>
    <w:p w:rsidR="008D0FDD" w:rsidRPr="004931A9" w:rsidRDefault="008D0FDD" w:rsidP="00ED53CD">
      <w:r w:rsidRPr="00ED53CD">
        <w:t xml:space="preserve">3. </w:t>
      </w:r>
      <w:r w:rsidRPr="004931A9">
        <w:t>Is there existing legal advice regarding the status of the Guidelines? If so, is this available?</w:t>
      </w:r>
    </w:p>
    <w:p w:rsidR="008D0FDD" w:rsidRPr="003A6C11" w:rsidRDefault="008D0FDD" w:rsidP="00ED53CD">
      <w:pPr>
        <w:rPr>
          <w:i/>
        </w:rPr>
      </w:pPr>
      <w:r w:rsidRPr="00ED53CD">
        <w:rPr>
          <w:i/>
        </w:rPr>
        <w:t xml:space="preserve">Pharmaceutical Evaluation Branch </w:t>
      </w:r>
      <w:r w:rsidRPr="003A6C11">
        <w:rPr>
          <w:i/>
        </w:rPr>
        <w:t>cannot recall any such advice. Legal Services Branch has advised that they have conducted a search of LSB records and also could not find any advice regardin</w:t>
      </w:r>
      <w:r w:rsidR="00BC7AA0">
        <w:rPr>
          <w:i/>
        </w:rPr>
        <w:t>g the status of the Guidelines.</w:t>
      </w:r>
    </w:p>
    <w:p w:rsidR="008D0FDD" w:rsidRPr="00014B72" w:rsidRDefault="008D0FDD" w:rsidP="00ED53CD">
      <w:r w:rsidRPr="003A6C11">
        <w:t xml:space="preserve">4. </w:t>
      </w:r>
      <w:r w:rsidRPr="004931A9">
        <w:t>The PBAC has described the information requests in Part IV of the Guidelines as minimum requirements that combination products must satisfy in order to be eligible for</w:t>
      </w:r>
      <w:r w:rsidRPr="00014B72">
        <w:t xml:space="preserve"> consideration by PBAC.  Has this issue been raised previously in relation to other applications?</w:t>
      </w:r>
    </w:p>
    <w:p w:rsidR="008D0FDD" w:rsidRPr="003A6C11" w:rsidRDefault="008D0FDD" w:rsidP="003A6C11">
      <w:pPr>
        <w:rPr>
          <w:i/>
        </w:rPr>
      </w:pPr>
      <w:r w:rsidRPr="003A6C11">
        <w:rPr>
          <w:i/>
        </w:rPr>
        <w:t>Yes. These minimum requirements ensure standard information is considered by PBAC before it takes into account any other issues.</w:t>
      </w:r>
    </w:p>
    <w:p w:rsidR="008D0FDD" w:rsidRPr="004931A9" w:rsidRDefault="008D0FDD" w:rsidP="003A6C11">
      <w:pPr>
        <w:rPr>
          <w:rFonts w:cs="Courier"/>
          <w:b/>
          <w:color w:val="444444"/>
        </w:rPr>
      </w:pPr>
      <w:r w:rsidRPr="004931A9">
        <w:rPr>
          <w:rFonts w:cs="Courier"/>
          <w:b/>
          <w:color w:val="444444"/>
        </w:rPr>
        <w:t>24 April 2013 Questions</w:t>
      </w:r>
    </w:p>
    <w:p w:rsidR="008D0FDD" w:rsidRPr="00014B72" w:rsidRDefault="004931A9" w:rsidP="003A6C11">
      <w:r>
        <w:t xml:space="preserve">1.  </w:t>
      </w:r>
      <w:r w:rsidR="008D0FDD" w:rsidRPr="00014B72">
        <w:t>The PBAC SEC OVR of the March 2012 meeting includes a table at 7.10.3 which lists 8 requirements (a) - (h).</w:t>
      </w:r>
    </w:p>
    <w:p w:rsidR="008D0FDD" w:rsidRPr="00014B72" w:rsidRDefault="008D0FDD" w:rsidP="003A6C11">
      <w:pPr>
        <w:pStyle w:val="ListParagraph"/>
        <w:numPr>
          <w:ilvl w:val="0"/>
          <w:numId w:val="29"/>
        </w:numPr>
      </w:pPr>
      <w:r w:rsidRPr="00014B72">
        <w:t>When was this list of requirements first developed?</w:t>
      </w:r>
    </w:p>
    <w:p w:rsidR="008D0FDD" w:rsidRPr="00014B72" w:rsidRDefault="008D0FDD" w:rsidP="003A6C11">
      <w:pPr>
        <w:pStyle w:val="ListParagraph"/>
        <w:numPr>
          <w:ilvl w:val="0"/>
          <w:numId w:val="29"/>
        </w:numPr>
      </w:pPr>
      <w:r w:rsidRPr="00014B72">
        <w:t>What document is this table found in?</w:t>
      </w:r>
    </w:p>
    <w:p w:rsidR="008D0FDD" w:rsidRPr="00014B72" w:rsidRDefault="008D0FDD" w:rsidP="003A6C11">
      <w:pPr>
        <w:pStyle w:val="ListParagraph"/>
        <w:numPr>
          <w:ilvl w:val="0"/>
          <w:numId w:val="29"/>
        </w:numPr>
      </w:pPr>
      <w:r w:rsidRPr="00014B72">
        <w:t>Has this table been released to industry at any time?</w:t>
      </w:r>
    </w:p>
    <w:p w:rsidR="008D0FDD" w:rsidRPr="003A6C11" w:rsidRDefault="008D0FDD" w:rsidP="003A6C11">
      <w:pPr>
        <w:rPr>
          <w:i/>
        </w:rPr>
      </w:pPr>
      <w:r w:rsidRPr="003A6C11">
        <w:rPr>
          <w:i/>
        </w:rPr>
        <w:t>PBAC Secretariat advises that the table on page PBAC SEC OVR 7.10.3, sets</w:t>
      </w:r>
      <w:r w:rsidRPr="003A6C11">
        <w:rPr>
          <w:i/>
        </w:rPr>
        <w:br/>
        <w:t>out requirements which are specified in the December 2008 PBAC Guidelines</w:t>
      </w:r>
      <w:r w:rsidRPr="003A6C11">
        <w:rPr>
          <w:i/>
        </w:rPr>
        <w:br/>
        <w:t>Part IV (Information requests for specific product types).</w:t>
      </w:r>
      <w:r w:rsidR="009838E9" w:rsidRPr="003A6C11">
        <w:rPr>
          <w:i/>
        </w:rPr>
        <w:t xml:space="preserve"> </w:t>
      </w:r>
      <w:r w:rsidRPr="003A6C11">
        <w:rPr>
          <w:i/>
        </w:rPr>
        <w:t>Whilst the exact format of the table is not presented, the requirements</w:t>
      </w:r>
      <w:r w:rsidR="009838E9" w:rsidRPr="003A6C11">
        <w:rPr>
          <w:i/>
        </w:rPr>
        <w:t xml:space="preserve"> </w:t>
      </w:r>
      <w:r w:rsidRPr="003A6C11">
        <w:rPr>
          <w:i/>
        </w:rPr>
        <w:t>match the information requests in the box under PT1.1 Matters to consider</w:t>
      </w:r>
      <w:r w:rsidR="009838E9" w:rsidRPr="003A6C11">
        <w:rPr>
          <w:i/>
        </w:rPr>
        <w:t xml:space="preserve"> </w:t>
      </w:r>
      <w:r w:rsidRPr="003A6C11">
        <w:rPr>
          <w:i/>
        </w:rPr>
        <w:t>for the listing of fixed combination products.</w:t>
      </w:r>
      <w:r w:rsidR="009838E9" w:rsidRPr="003A6C11">
        <w:rPr>
          <w:i/>
        </w:rPr>
        <w:t xml:space="preserve"> </w:t>
      </w:r>
      <w:r w:rsidRPr="003A6C11">
        <w:rPr>
          <w:i/>
        </w:rPr>
        <w:t>(The secretariat also notes that PBAC SEC OVR 7.10.3 is from the November 2012 PBAC meeting.)'</w:t>
      </w:r>
    </w:p>
    <w:p w:rsidR="008D0FDD" w:rsidRPr="002E6933" w:rsidRDefault="008D0FDD" w:rsidP="008D0FDD">
      <w:pPr>
        <w:widowControl w:val="0"/>
        <w:autoSpaceDE w:val="0"/>
        <w:autoSpaceDN w:val="0"/>
        <w:adjustRightInd w:val="0"/>
        <w:rPr>
          <w:rFonts w:ascii="Times" w:hAnsi="Times" w:cs="Times"/>
        </w:rPr>
      </w:pPr>
    </w:p>
    <w:p w:rsidR="00751E70" w:rsidRDefault="00751E70">
      <w:pPr>
        <w:rPr>
          <w:rFonts w:cs="Times New Roman"/>
          <w:szCs w:val="24"/>
        </w:rPr>
        <w:sectPr w:rsidR="00751E70" w:rsidSect="004A7E53">
          <w:footerReference w:type="first" r:id="rId18"/>
          <w:type w:val="continuous"/>
          <w:pgSz w:w="11907" w:h="16839" w:code="9"/>
          <w:pgMar w:top="1440" w:right="1440" w:bottom="1440" w:left="1440" w:header="720" w:footer="720" w:gutter="0"/>
          <w:cols w:space="720"/>
          <w:titlePg/>
          <w:docGrid w:linePitch="360"/>
        </w:sectPr>
      </w:pPr>
    </w:p>
    <w:p w:rsidR="00D742A8" w:rsidRDefault="00D742A8" w:rsidP="006002F9">
      <w:pPr>
        <w:pStyle w:val="Heading1"/>
      </w:pPr>
    </w:p>
    <w:p w:rsidR="00202915" w:rsidRDefault="00202915" w:rsidP="00202915">
      <w:pPr>
        <w:rPr>
          <w:rFonts w:cs="Times New Roman"/>
          <w:szCs w:val="24"/>
        </w:rPr>
      </w:pPr>
    </w:p>
    <w:p w:rsidR="00202915" w:rsidRPr="00B66466" w:rsidRDefault="00202915" w:rsidP="0007307A">
      <w:pPr>
        <w:pStyle w:val="Heading1"/>
        <w:jc w:val="right"/>
        <w:rPr>
          <w:szCs w:val="24"/>
        </w:rPr>
      </w:pPr>
      <w:bookmarkStart w:id="52" w:name="_Toc356560765"/>
      <w:r w:rsidRPr="00B66466">
        <w:rPr>
          <w:sz w:val="24"/>
          <w:szCs w:val="24"/>
        </w:rPr>
        <w:t>Attachment 2</w:t>
      </w:r>
      <w:bookmarkEnd w:id="52"/>
      <w:r w:rsidRPr="00B66466">
        <w:rPr>
          <w:sz w:val="24"/>
          <w:szCs w:val="24"/>
        </w:rPr>
        <w:t xml:space="preserve">  </w:t>
      </w:r>
    </w:p>
    <w:p w:rsidR="00202915" w:rsidRDefault="00202915" w:rsidP="00202915">
      <w:pPr>
        <w:pStyle w:val="Heading1"/>
      </w:pPr>
    </w:p>
    <w:p w:rsidR="00202915" w:rsidRDefault="00202915" w:rsidP="00202915">
      <w:pPr>
        <w:pStyle w:val="Heading1"/>
      </w:pPr>
    </w:p>
    <w:p w:rsidR="00202915" w:rsidRDefault="00202915" w:rsidP="00202915">
      <w:pPr>
        <w:pStyle w:val="Heading1"/>
      </w:pPr>
    </w:p>
    <w:p w:rsidR="00202915" w:rsidRPr="00A27372" w:rsidRDefault="00202915" w:rsidP="00202915">
      <w:pPr>
        <w:pStyle w:val="Heading1"/>
        <w:jc w:val="center"/>
      </w:pPr>
      <w:bookmarkStart w:id="53" w:name="_Toc356560766"/>
      <w:r w:rsidRPr="00A27372">
        <w:t>VALIDITY OF THE SURROGATE OUTCOME AND NON-INFERIORITY</w:t>
      </w:r>
      <w:bookmarkEnd w:id="53"/>
    </w:p>
    <w:p w:rsidR="00202915" w:rsidRDefault="006F68E3" w:rsidP="00202915">
      <w:pPr>
        <w:pStyle w:val="Heading1"/>
      </w:pPr>
      <w:r>
        <w:rPr>
          <w:noProof/>
          <w:lang w:eastAsia="en-AU"/>
        </w:rPr>
        <mc:AlternateContent>
          <mc:Choice Requires="wps">
            <w:drawing>
              <wp:anchor distT="0" distB="0" distL="114300" distR="114300" simplePos="0" relativeHeight="251674624" behindDoc="0" locked="0" layoutInCell="1" allowOverlap="1" wp14:anchorId="1BC322DA" wp14:editId="281CBE98">
                <wp:simplePos x="0" y="0"/>
                <wp:positionH relativeFrom="column">
                  <wp:posOffset>1262380</wp:posOffset>
                </wp:positionH>
                <wp:positionV relativeFrom="paragraph">
                  <wp:posOffset>513715</wp:posOffset>
                </wp:positionV>
                <wp:extent cx="2374265" cy="1403985"/>
                <wp:effectExtent l="0" t="0" r="12065"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95000"/>
                          </a:schemeClr>
                        </a:solidFill>
                        <a:ln w="9525">
                          <a:solidFill>
                            <a:srgbClr val="000000"/>
                          </a:solidFill>
                          <a:miter lim="800000"/>
                          <a:headEnd/>
                          <a:tailEnd/>
                        </a:ln>
                      </wps:spPr>
                      <wps:txbx>
                        <w:txbxContent>
                          <w:p w:rsidR="00335FA4" w:rsidRPr="00335FA4" w:rsidRDefault="00335FA4" w:rsidP="00335FA4">
                            <w:pPr>
                              <w:rPr>
                                <w:i/>
                              </w:rPr>
                            </w:pPr>
                            <w:r w:rsidRPr="00335FA4">
                              <w:rPr>
                                <w:i/>
                              </w:rPr>
                              <w:t>N</w:t>
                            </w:r>
                            <w:r>
                              <w:rPr>
                                <w:i/>
                              </w:rPr>
                              <w:t>ame of reviewer</w:t>
                            </w:r>
                            <w:r w:rsidRPr="00335FA4">
                              <w:rPr>
                                <w:i/>
                              </w:rPr>
                              <w:t xml:space="preserve"> redacted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99.4pt;margin-top:40.45pt;width:186.95pt;height:110.55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" fillcolor="#f2f2f2 [3052]">
                <v:textbox style="mso-fit-shape-to-text:t">
                  <w:txbxContent>
                    <w:p w:rsidR="00335FA4" w:rsidRPr="00335FA4" w:rsidRDefault="00335FA4" w:rsidP="00335FA4">
                      <w:pPr>
                        <w:rPr>
                          <w:i/>
                        </w:rPr>
                      </w:pPr>
                      <w:r w:rsidRPr="00335FA4">
                        <w:rPr>
                          <w:i/>
                        </w:rPr>
                        <w:t>N</w:t>
                      </w:r>
                      <w:r>
                        <w:rPr>
                          <w:i/>
                        </w:rPr>
                        <w:t>ame of reviewer</w:t>
                      </w:r>
                      <w:r w:rsidRPr="00335FA4">
                        <w:rPr>
                          <w:i/>
                        </w:rPr>
                        <w:t xml:space="preserve"> redacted</w:t>
                      </w:r>
                    </w:p>
                  </w:txbxContent>
                </v:textbox>
              </v:shape>
            </w:pict>
          </mc:Fallback>
        </mc:AlternateContent>
      </w:r>
    </w:p>
    <w:p w:rsidR="00335FA4" w:rsidRDefault="00202915" w:rsidP="00335FA4">
      <w:r>
        <w:t xml:space="preserve">Report prepared by </w:t>
      </w:r>
    </w:p>
    <w:p w:rsidR="00202915" w:rsidRDefault="00202915" w:rsidP="00202915">
      <w:pPr>
        <w:jc w:val="center"/>
      </w:pPr>
    </w:p>
    <w:p w:rsidR="00202915" w:rsidRDefault="00202915" w:rsidP="00202915">
      <w:pPr>
        <w:jc w:val="center"/>
        <w:rPr>
          <w:highlight w:val="cyan"/>
        </w:rPr>
      </w:pPr>
    </w:p>
    <w:p w:rsidR="00202915" w:rsidRDefault="00202915" w:rsidP="00202915"/>
    <w:p w:rsidR="00202915" w:rsidRDefault="00202915" w:rsidP="00202915">
      <w:pPr>
        <w:spacing w:after="200"/>
        <w:rPr>
          <w:highlight w:val="yellow"/>
        </w:rPr>
      </w:pPr>
      <w:r>
        <w:rPr>
          <w:highlight w:val="yellow"/>
        </w:rPr>
        <w:br w:type="page"/>
      </w:r>
    </w:p>
    <w:p w:rsidR="00202915" w:rsidRPr="00B66466" w:rsidRDefault="00202915" w:rsidP="00202915">
      <w:pPr>
        <w:jc w:val="center"/>
        <w:rPr>
          <w:rFonts w:asciiTheme="majorHAnsi" w:hAnsiTheme="majorHAnsi"/>
          <w:b/>
          <w:sz w:val="36"/>
          <w:szCs w:val="36"/>
        </w:rPr>
      </w:pPr>
      <w:r w:rsidRPr="00B66466">
        <w:rPr>
          <w:rFonts w:asciiTheme="majorHAnsi" w:hAnsiTheme="majorHAnsi"/>
          <w:b/>
          <w:sz w:val="36"/>
          <w:szCs w:val="36"/>
        </w:rPr>
        <w:t>Validity of the surrogate outcome and non-inferiority</w:t>
      </w:r>
    </w:p>
    <w:p w:rsidR="00202915" w:rsidRDefault="00202915" w:rsidP="00202915">
      <w:pPr>
        <w:pStyle w:val="Heading1"/>
      </w:pPr>
      <w:bookmarkStart w:id="54" w:name="_Toc356560767"/>
      <w:r>
        <w:t>Reviewer</w:t>
      </w:r>
      <w:bookmarkEnd w:id="54"/>
    </w:p>
    <w:p w:rsidR="00335FA4" w:rsidRDefault="00335FA4" w:rsidP="00335FA4">
      <w:r>
        <w:rPr>
          <w:noProof/>
          <w:lang w:eastAsia="en-AU"/>
        </w:rPr>
        <mc:AlternateContent>
          <mc:Choice Requires="wps">
            <w:drawing>
              <wp:anchor distT="0" distB="0" distL="114300" distR="114300" simplePos="0" relativeHeight="251676672" behindDoc="0" locked="0" layoutInCell="1" allowOverlap="1" wp14:anchorId="6C32320C" wp14:editId="5CB6E2C7">
                <wp:simplePos x="0" y="0"/>
                <wp:positionH relativeFrom="column">
                  <wp:posOffset>12700</wp:posOffset>
                </wp:positionH>
                <wp:positionV relativeFrom="paragraph">
                  <wp:posOffset>15240</wp:posOffset>
                </wp:positionV>
                <wp:extent cx="2374265" cy="1403985"/>
                <wp:effectExtent l="0" t="0" r="12065"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95000"/>
                          </a:schemeClr>
                        </a:solidFill>
                        <a:ln w="9525">
                          <a:solidFill>
                            <a:srgbClr val="000000"/>
                          </a:solidFill>
                          <a:miter lim="800000"/>
                          <a:headEnd/>
                          <a:tailEnd/>
                        </a:ln>
                      </wps:spPr>
                      <wps:txbx>
                        <w:txbxContent>
                          <w:p w:rsidR="00335FA4" w:rsidRPr="00335FA4" w:rsidRDefault="00335FA4" w:rsidP="00335FA4">
                            <w:pPr>
                              <w:rPr>
                                <w:i/>
                              </w:rPr>
                            </w:pPr>
                            <w:r w:rsidRPr="00335FA4">
                              <w:rPr>
                                <w:i/>
                              </w:rPr>
                              <w:t>N</w:t>
                            </w:r>
                            <w:r>
                              <w:rPr>
                                <w:i/>
                              </w:rPr>
                              <w:t>ame of reviewer</w:t>
                            </w:r>
                            <w:r w:rsidRPr="00335FA4">
                              <w:rPr>
                                <w:i/>
                              </w:rPr>
                              <w:t xml:space="preserve"> redacted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margin-left:1pt;margin-top:1.2pt;width:186.95pt;height:110.55pt;z-index:2516766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" fillcolor="#f2f2f2 [3052]">
                <v:textbox style="mso-fit-shape-to-text:t">
                  <w:txbxContent>
                    <w:p w:rsidR="00335FA4" w:rsidRPr="00335FA4" w:rsidRDefault="00335FA4" w:rsidP="00335FA4">
                      <w:pPr>
                        <w:rPr>
                          <w:i/>
                        </w:rPr>
                      </w:pPr>
                      <w:r w:rsidRPr="00335FA4">
                        <w:rPr>
                          <w:i/>
                        </w:rPr>
                        <w:t>N</w:t>
                      </w:r>
                      <w:r>
                        <w:rPr>
                          <w:i/>
                        </w:rPr>
                        <w:t>ame of reviewer</w:t>
                      </w:r>
                      <w:r w:rsidRPr="00335FA4">
                        <w:rPr>
                          <w:i/>
                        </w:rPr>
                        <w:t xml:space="preserve"> redacted</w:t>
                      </w:r>
                    </w:p>
                  </w:txbxContent>
                </v:textbox>
              </v:shape>
            </w:pict>
          </mc:Fallback>
        </mc:AlternateContent>
      </w:r>
    </w:p>
    <w:p w:rsidR="00202915" w:rsidRPr="00B776E2" w:rsidRDefault="00202915" w:rsidP="00202915"/>
    <w:p w:rsidR="00202915" w:rsidRPr="0011794A" w:rsidRDefault="00202915" w:rsidP="00202915">
      <w:pPr>
        <w:pStyle w:val="Heading1"/>
      </w:pPr>
      <w:bookmarkStart w:id="55" w:name="_Toc356560768"/>
      <w:r w:rsidRPr="0011794A">
        <w:t xml:space="preserve">Matter detailed in the </w:t>
      </w:r>
      <w:r>
        <w:t>Independent Review Request</w:t>
      </w:r>
      <w:bookmarkEnd w:id="55"/>
    </w:p>
    <w:p w:rsidR="00202915" w:rsidRDefault="00202915" w:rsidP="00202915">
      <w:pPr>
        <w:rPr>
          <w:lang w:val="en-GB"/>
        </w:rPr>
      </w:pPr>
      <w:r w:rsidRPr="0011794A">
        <w:rPr>
          <w:lang w:val="en-GB"/>
        </w:rPr>
        <w:t xml:space="preserve">This </w:t>
      </w:r>
      <w:r>
        <w:rPr>
          <w:lang w:val="en-GB"/>
        </w:rPr>
        <w:t>report</w:t>
      </w:r>
      <w:r w:rsidRPr="0011794A">
        <w:rPr>
          <w:lang w:val="en-GB"/>
        </w:rPr>
        <w:t xml:space="preserve"> </w:t>
      </w:r>
      <w:r>
        <w:rPr>
          <w:lang w:val="en-GB"/>
        </w:rPr>
        <w:t>addresses the second ground for review</w:t>
      </w:r>
      <w:r w:rsidR="0023575A">
        <w:rPr>
          <w:lang w:val="en-GB"/>
        </w:rPr>
        <w:t>:</w:t>
      </w:r>
    </w:p>
    <w:p w:rsidR="00202915" w:rsidRPr="0049719A" w:rsidRDefault="00202915" w:rsidP="0007307A">
      <w:pPr>
        <w:pStyle w:val="ListParagraph"/>
        <w:rPr>
          <w:u w:val="single"/>
          <w:lang w:val="en-GB"/>
        </w:rPr>
      </w:pPr>
      <w:r w:rsidRPr="0049719A">
        <w:rPr>
          <w:u w:val="single"/>
        </w:rPr>
        <w:t>Validity of the surrogate outcome and non-</w:t>
      </w:r>
      <w:r>
        <w:rPr>
          <w:u w:val="single"/>
        </w:rPr>
        <w:t>inferiority</w:t>
      </w:r>
    </w:p>
    <w:p w:rsidR="00202915" w:rsidRPr="00DA0E4A" w:rsidRDefault="00202915" w:rsidP="0007307A">
      <w:pPr>
        <w:spacing w:after="0"/>
        <w:ind w:left="720"/>
        <w:rPr>
          <w:lang w:val="en-GB"/>
        </w:rPr>
      </w:pPr>
      <w:r w:rsidRPr="00DA0E4A">
        <w:rPr>
          <w:lang w:val="en-GB"/>
        </w:rPr>
        <w:t>PBAC's conclusion that there is "continuing uncertainty regarding the validity of the surrogate outcome for the purposes of demonstrating non-inferiority of more patient-relevant outcomes" (Ratified minutes of the November 2012 PBAC meeting, p</w:t>
      </w:r>
      <w:r w:rsidR="00B1000F">
        <w:rPr>
          <w:lang w:val="en-GB"/>
        </w:rPr>
        <w:t xml:space="preserve">age </w:t>
      </w:r>
      <w:r w:rsidRPr="00DA0E4A">
        <w:rPr>
          <w:lang w:val="en-GB"/>
        </w:rPr>
        <w:t>2, paragraph 4)</w:t>
      </w:r>
      <w:r>
        <w:rPr>
          <w:lang w:val="en-GB"/>
        </w:rPr>
        <w:t xml:space="preserve"> which the </w:t>
      </w:r>
      <w:r w:rsidR="00EA5A38">
        <w:rPr>
          <w:lang w:val="en-GB"/>
        </w:rPr>
        <w:t>Sponsor</w:t>
      </w:r>
      <w:r>
        <w:rPr>
          <w:lang w:val="en-GB"/>
        </w:rPr>
        <w:t xml:space="preserve">s say </w:t>
      </w:r>
      <w:r w:rsidRPr="00DA0E4A">
        <w:rPr>
          <w:lang w:val="en-GB"/>
        </w:rPr>
        <w:t xml:space="preserve">is based on insufficiently robust data taken out of context.  </w:t>
      </w:r>
    </w:p>
    <w:p w:rsidR="00202915" w:rsidRDefault="00202915" w:rsidP="00202915">
      <w:pPr>
        <w:rPr>
          <w:lang w:val="en-GB"/>
        </w:rPr>
      </w:pPr>
    </w:p>
    <w:p w:rsidR="00202915" w:rsidRPr="007310BD" w:rsidRDefault="00202915" w:rsidP="00202915">
      <w:pPr>
        <w:rPr>
          <w:lang w:val="en-GB"/>
        </w:rPr>
      </w:pPr>
      <w:r w:rsidRPr="007310BD">
        <w:rPr>
          <w:lang w:val="en-GB"/>
        </w:rPr>
        <w:t xml:space="preserve">The </w:t>
      </w:r>
      <w:r>
        <w:rPr>
          <w:lang w:val="en-GB"/>
        </w:rPr>
        <w:t xml:space="preserve">Sponsor raised a </w:t>
      </w:r>
      <w:r w:rsidRPr="007310BD">
        <w:rPr>
          <w:lang w:val="en-GB"/>
        </w:rPr>
        <w:t>specific concern in relation to the matter:</w:t>
      </w:r>
      <w:r>
        <w:rPr>
          <w:lang w:val="en-GB"/>
        </w:rPr>
        <w:t xml:space="preserve"> whether </w:t>
      </w:r>
      <w:r w:rsidRPr="00E62AEC">
        <w:rPr>
          <w:rFonts w:eastAsiaTheme="majorEastAsia" w:cstheme="majorBidi"/>
          <w:bCs/>
          <w:lang w:val="en-GB"/>
        </w:rPr>
        <w:t xml:space="preserve">the evidence cited by the PES and accepted by the PBAC to repudiate the validity of endoscopic ulcers as a valid surrogate endpoint </w:t>
      </w:r>
      <w:r w:rsidR="0023575A">
        <w:rPr>
          <w:rFonts w:eastAsiaTheme="majorEastAsia" w:cstheme="majorBidi"/>
          <w:bCs/>
          <w:lang w:val="en-GB"/>
        </w:rPr>
        <w:t xml:space="preserve">is </w:t>
      </w:r>
      <w:r w:rsidRPr="00E62AEC">
        <w:rPr>
          <w:rFonts w:eastAsiaTheme="majorEastAsia" w:cstheme="majorBidi"/>
          <w:bCs/>
          <w:lang w:val="en-GB"/>
        </w:rPr>
        <w:t>of sufficient rigour and did the PES and therefore the Committee interpret this evidence appropriately.</w:t>
      </w:r>
    </w:p>
    <w:p w:rsidR="00202915" w:rsidRPr="0011794A" w:rsidRDefault="00202915" w:rsidP="00202915">
      <w:pPr>
        <w:pStyle w:val="Heading1"/>
      </w:pPr>
      <w:bookmarkStart w:id="56" w:name="_Toc356560769"/>
      <w:r w:rsidRPr="0011794A">
        <w:t>Reviewer’s understanding of the matter to be reviewed</w:t>
      </w:r>
      <w:bookmarkEnd w:id="56"/>
    </w:p>
    <w:p w:rsidR="00202915" w:rsidRDefault="00202915" w:rsidP="00202915">
      <w:pPr>
        <w:rPr>
          <w:lang w:val="en-GB"/>
        </w:rPr>
      </w:pPr>
      <w:r w:rsidRPr="0011794A">
        <w:t xml:space="preserve">There are two separate issues in the statement that there is </w:t>
      </w:r>
      <w:r w:rsidRPr="0011794A">
        <w:rPr>
          <w:i/>
          <w:lang w:val="en-GB"/>
        </w:rPr>
        <w:t xml:space="preserve">“continuing uncertainty regarding the validity of the surrogate outcome for the purposes of demonstrating non-inferiority of more patient-relevant outcomes “. </w:t>
      </w:r>
      <w:r w:rsidRPr="0011794A">
        <w:rPr>
          <w:lang w:val="en-GB"/>
        </w:rPr>
        <w:t xml:space="preserve">The first issue is </w:t>
      </w:r>
      <w:r>
        <w:rPr>
          <w:lang w:val="en-GB"/>
        </w:rPr>
        <w:t xml:space="preserve">the validity of the surrogate measure: </w:t>
      </w:r>
      <w:r w:rsidRPr="0011794A">
        <w:rPr>
          <w:lang w:val="en-GB"/>
        </w:rPr>
        <w:t xml:space="preserve">whether </w:t>
      </w:r>
      <w:r>
        <w:rPr>
          <w:lang w:val="en-GB"/>
        </w:rPr>
        <w:t xml:space="preserve">it provides </w:t>
      </w:r>
      <w:r w:rsidRPr="0011794A">
        <w:rPr>
          <w:lang w:val="en-GB"/>
        </w:rPr>
        <w:t xml:space="preserve">an adequate measure by which to judge the effect of the drug on </w:t>
      </w:r>
      <w:r>
        <w:rPr>
          <w:lang w:val="en-GB"/>
        </w:rPr>
        <w:t>more patient-</w:t>
      </w:r>
      <w:r w:rsidRPr="0011794A">
        <w:rPr>
          <w:lang w:val="en-GB"/>
        </w:rPr>
        <w:t>relevant outcome</w:t>
      </w:r>
      <w:r>
        <w:rPr>
          <w:lang w:val="en-GB"/>
        </w:rPr>
        <w:t>s</w:t>
      </w:r>
      <w:r w:rsidRPr="0011794A">
        <w:rPr>
          <w:lang w:val="en-GB"/>
        </w:rPr>
        <w:t xml:space="preserve">. </w:t>
      </w:r>
      <w:r>
        <w:rPr>
          <w:lang w:val="en-GB"/>
        </w:rPr>
        <w:t xml:space="preserve">To address this issue, I assess the quality of evidence presented by both the Sponsor and PES/PBAC.  </w:t>
      </w:r>
      <w:r w:rsidRPr="0011794A">
        <w:rPr>
          <w:lang w:val="en-GB"/>
        </w:rPr>
        <w:t xml:space="preserve">The second issue is whether non-inferiority against the comparator has been adequately assessed. I now deal with each of these.  </w:t>
      </w:r>
    </w:p>
    <w:p w:rsidR="00C268CC" w:rsidRDefault="00C268CC" w:rsidP="00C268CC">
      <w:pPr>
        <w:pStyle w:val="Heading2"/>
      </w:pPr>
      <w:bookmarkStart w:id="57" w:name="_Toc356560770"/>
      <w:r w:rsidRPr="0011794A">
        <w:t xml:space="preserve">Abbreviations </w:t>
      </w:r>
      <w:r>
        <w:t xml:space="preserve">and terms used </w:t>
      </w:r>
      <w:r w:rsidRPr="0011794A">
        <w:t>in this report</w:t>
      </w:r>
      <w:bookmarkEnd w:id="57"/>
    </w:p>
    <w:p w:rsidR="00C268CC" w:rsidRDefault="00C268CC" w:rsidP="00C268CC">
      <w:pPr>
        <w:pStyle w:val="ListParagraph"/>
        <w:numPr>
          <w:ilvl w:val="0"/>
          <w:numId w:val="31"/>
        </w:numPr>
      </w:pPr>
      <w:r>
        <w:t>CI: 95% confidence interval</w:t>
      </w:r>
    </w:p>
    <w:p w:rsidR="00C268CC" w:rsidRDefault="00C268CC" w:rsidP="00C268CC">
      <w:pPr>
        <w:pStyle w:val="ListParagraph"/>
        <w:numPr>
          <w:ilvl w:val="0"/>
          <w:numId w:val="31"/>
        </w:numPr>
      </w:pPr>
      <w:r>
        <w:t xml:space="preserve">Clinically relevant outcomes [for upper gastro-intestinal outcomes]: patient-relevant outcomes such as “perforations, obstructions and bleeds” (POBs), “perforations, ulcerations and bleeds” (PUBs), or “clinically significant upper gastrointestinal events” (CSUGIEs) </w:t>
      </w:r>
    </w:p>
    <w:p w:rsidR="00C268CC" w:rsidRDefault="00C268CC" w:rsidP="00C268CC">
      <w:pPr>
        <w:pStyle w:val="ListParagraph"/>
        <w:numPr>
          <w:ilvl w:val="0"/>
          <w:numId w:val="31"/>
        </w:numPr>
      </w:pPr>
      <w:r w:rsidRPr="0011794A">
        <w:t>PSM: potential surrogate marker</w:t>
      </w:r>
      <w:r>
        <w:t xml:space="preserve"> [the term used in the Report of the Surrogate to Final Outcome Working Group to the PBAC [STFOWG]</w:t>
      </w:r>
    </w:p>
    <w:p w:rsidR="00C268CC" w:rsidRPr="0011794A" w:rsidRDefault="00C268CC" w:rsidP="00C268CC">
      <w:pPr>
        <w:pStyle w:val="ListParagraph"/>
        <w:numPr>
          <w:ilvl w:val="0"/>
          <w:numId w:val="31"/>
        </w:numPr>
      </w:pPr>
      <w:r>
        <w:t>STFOWG: Report of the Surrogate to Final Outcome Working Group to the PBAC</w:t>
      </w:r>
    </w:p>
    <w:p w:rsidR="00C268CC" w:rsidRDefault="00C268CC" w:rsidP="00C268CC">
      <w:pPr>
        <w:pStyle w:val="ListParagraph"/>
        <w:numPr>
          <w:ilvl w:val="0"/>
          <w:numId w:val="31"/>
        </w:numPr>
      </w:pPr>
      <w:r w:rsidRPr="0011794A">
        <w:t>TCO: target clinical outcome</w:t>
      </w:r>
      <w:r>
        <w:t xml:space="preserve"> [the term used in the STFOWG report]</w:t>
      </w:r>
    </w:p>
    <w:p w:rsidR="00C268CC" w:rsidRPr="0011794A" w:rsidRDefault="00C268CC" w:rsidP="00C268CC">
      <w:pPr>
        <w:pStyle w:val="ListParagraph"/>
        <w:numPr>
          <w:ilvl w:val="0"/>
          <w:numId w:val="31"/>
        </w:numPr>
      </w:pPr>
      <w:r w:rsidRPr="0011794A">
        <w:t xml:space="preserve">UGI: upper gastro-intestinal </w:t>
      </w:r>
    </w:p>
    <w:p w:rsidR="00202915" w:rsidRPr="000D2244" w:rsidRDefault="00202915" w:rsidP="00202915">
      <w:pPr>
        <w:pStyle w:val="Heading1"/>
        <w:rPr>
          <w:lang w:val="en-GB"/>
        </w:rPr>
      </w:pPr>
      <w:bookmarkStart w:id="58" w:name="_Toc356560771"/>
      <w:r w:rsidRPr="0011794A">
        <w:rPr>
          <w:lang w:val="en-GB"/>
        </w:rPr>
        <w:t>Validity of the surrogate in principle</w:t>
      </w:r>
      <w:bookmarkEnd w:id="58"/>
    </w:p>
    <w:p w:rsidR="00202915" w:rsidRPr="0011794A" w:rsidRDefault="00202915" w:rsidP="00202915">
      <w:r w:rsidRPr="0011794A">
        <w:t>An approach to assess the validity of surrogate outcomes has been developed by the Surrogate to Final Outcome Working Group [STFOWG] in a report to the Pharmaceutical Benefits Advisory Committee. Its value is acknowledged internationally. For example, it is one of only three references in the paper developed by the widely respected GRADE working group on how to assess the validity of surrogate outcomes when rating the quality of indirect evidence [</w:t>
      </w:r>
      <w:r>
        <w:t>Guyatt et al</w:t>
      </w:r>
      <w:r w:rsidR="00B1000F">
        <w:t>, 2011</w:t>
      </w:r>
      <w:r w:rsidRPr="0011794A">
        <w:t>]</w:t>
      </w:r>
      <w:r>
        <w:t>.</w:t>
      </w:r>
      <w:r w:rsidRPr="0011794A">
        <w:t xml:space="preserve"> </w:t>
      </w:r>
    </w:p>
    <w:p w:rsidR="00202915" w:rsidRDefault="00202915" w:rsidP="00202915">
      <w:r w:rsidRPr="0011794A">
        <w:t xml:space="preserve">The issues suggested by the STFOWG and their relationship to the STEPS in PBAC submission </w:t>
      </w:r>
      <w:r>
        <w:t>Guidelines</w:t>
      </w:r>
      <w:r w:rsidRPr="0011794A">
        <w:t xml:space="preserve"> are outlined in their table [page 4], which is </w:t>
      </w:r>
      <w:r>
        <w:t>shown</w:t>
      </w:r>
      <w:r w:rsidRPr="0011794A">
        <w:t xml:space="preserve"> below</w:t>
      </w:r>
      <w:r>
        <w:t>.</w:t>
      </w:r>
    </w:p>
    <w:p w:rsidR="00B1000F" w:rsidRDefault="00B1000F" w:rsidP="00B1000F">
      <w:pPr>
        <w:pStyle w:val="Caption"/>
        <w:jc w:val="center"/>
        <w:rPr>
          <w:color w:val="auto"/>
        </w:rPr>
      </w:pPr>
    </w:p>
    <w:p w:rsidR="00B1000F" w:rsidRDefault="00B1000F" w:rsidP="00B1000F">
      <w:pPr>
        <w:pStyle w:val="Caption"/>
        <w:jc w:val="center"/>
        <w:rPr>
          <w:color w:val="auto"/>
        </w:rPr>
      </w:pPr>
      <w:r w:rsidRPr="00277B82">
        <w:rPr>
          <w:color w:val="auto"/>
        </w:rPr>
        <w:t xml:space="preserve">Table </w:t>
      </w:r>
      <w:r w:rsidRPr="0007307A">
        <w:rPr>
          <w:color w:val="auto"/>
        </w:rPr>
        <w:t>5</w:t>
      </w:r>
      <w:r w:rsidRPr="00277B82">
        <w:rPr>
          <w:color w:val="auto"/>
        </w:rPr>
        <w:t>:</w:t>
      </w:r>
      <w:r w:rsidRPr="00DD71F2">
        <w:rPr>
          <w:color w:val="auto"/>
        </w:rPr>
        <w:t xml:space="preserve">  Framework for assessing a proposed surrogate measure - summary and relation to the 2007 PBAC Guidelines</w:t>
      </w:r>
    </w:p>
    <w:tbl>
      <w:tblPr>
        <w:tblW w:w="8717" w:type="dxa"/>
        <w:tblInd w:w="180" w:type="dxa"/>
        <w:tblBorders>
          <w:top w:val="nil"/>
          <w:left w:val="nil"/>
          <w:bottom w:val="nil"/>
          <w:right w:val="nil"/>
        </w:tblBorders>
        <w:tblLayout w:type="fixed"/>
        <w:tblLook w:val="0000" w:firstRow="0" w:lastRow="0" w:firstColumn="0" w:lastColumn="0" w:noHBand="0" w:noVBand="0"/>
      </w:tblPr>
      <w:tblGrid>
        <w:gridCol w:w="1488"/>
        <w:gridCol w:w="1701"/>
        <w:gridCol w:w="5528"/>
      </w:tblGrid>
      <w:tr w:rsidR="00202915" w:rsidRPr="00AD08F2" w:rsidTr="00202915">
        <w:trPr>
          <w:trHeight w:val="442"/>
        </w:trPr>
        <w:tc>
          <w:tcPr>
            <w:tcW w:w="148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202915" w:rsidRPr="0049719A" w:rsidRDefault="00202915" w:rsidP="00202915">
            <w:pPr>
              <w:rPr>
                <w:b/>
                <w:sz w:val="20"/>
                <w:szCs w:val="20"/>
              </w:rPr>
            </w:pPr>
            <w:r w:rsidRPr="0049719A">
              <w:rPr>
                <w:b/>
                <w:sz w:val="20"/>
                <w:szCs w:val="20"/>
              </w:rPr>
              <w:t xml:space="preserve">Part of the Framework </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202915" w:rsidRPr="0049719A" w:rsidRDefault="00202915" w:rsidP="00202915">
            <w:pPr>
              <w:rPr>
                <w:b/>
                <w:i/>
                <w:iCs/>
                <w:sz w:val="20"/>
                <w:szCs w:val="20"/>
              </w:rPr>
            </w:pPr>
            <w:r w:rsidRPr="0049719A">
              <w:rPr>
                <w:b/>
                <w:i/>
                <w:iCs/>
                <w:sz w:val="20"/>
                <w:szCs w:val="20"/>
              </w:rPr>
              <w:t>PBAC Guidelines</w:t>
            </w:r>
          </w:p>
          <w:p w:rsidR="00202915" w:rsidRPr="0049719A" w:rsidRDefault="00202915" w:rsidP="00202915">
            <w:pPr>
              <w:rPr>
                <w:b/>
                <w:sz w:val="20"/>
                <w:szCs w:val="20"/>
              </w:rPr>
            </w:pPr>
            <w:r w:rsidRPr="0049719A">
              <w:rPr>
                <w:b/>
                <w:i/>
                <w:iCs/>
                <w:sz w:val="20"/>
                <w:szCs w:val="20"/>
              </w:rPr>
              <w:t xml:space="preserve">2007 </w:t>
            </w:r>
          </w:p>
        </w:tc>
        <w:tc>
          <w:tcPr>
            <w:tcW w:w="5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202915" w:rsidRPr="0049719A" w:rsidRDefault="00202915" w:rsidP="00202915">
            <w:pPr>
              <w:rPr>
                <w:b/>
                <w:sz w:val="20"/>
                <w:szCs w:val="20"/>
              </w:rPr>
            </w:pPr>
            <w:r w:rsidRPr="0049719A">
              <w:rPr>
                <w:b/>
                <w:sz w:val="20"/>
                <w:szCs w:val="20"/>
              </w:rPr>
              <w:t xml:space="preserve">Summary </w:t>
            </w:r>
          </w:p>
        </w:tc>
      </w:tr>
      <w:tr w:rsidR="00202915" w:rsidRPr="0011794A" w:rsidTr="00202915">
        <w:trPr>
          <w:trHeight w:val="297"/>
        </w:trPr>
        <w:tc>
          <w:tcPr>
            <w:tcW w:w="148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Part One </w:t>
            </w:r>
          </w:p>
        </w:tc>
        <w:tc>
          <w:tcPr>
            <w:tcW w:w="1701"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 </w:t>
            </w:r>
          </w:p>
        </w:tc>
        <w:tc>
          <w:tcPr>
            <w:tcW w:w="552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Definition, selection and measurement of the PSM</w:t>
            </w:r>
            <w:r>
              <w:rPr>
                <w:sz w:val="20"/>
                <w:szCs w:val="20"/>
              </w:rPr>
              <w:t>*</w:t>
            </w:r>
            <w:r w:rsidRPr="0049719A">
              <w:rPr>
                <w:sz w:val="20"/>
                <w:szCs w:val="20"/>
              </w:rPr>
              <w:t xml:space="preserve"> and TCO</w:t>
            </w:r>
            <w:r>
              <w:rPr>
                <w:sz w:val="20"/>
                <w:szCs w:val="20"/>
              </w:rPr>
              <w:t>**</w:t>
            </w:r>
          </w:p>
        </w:tc>
      </w:tr>
      <w:tr w:rsidR="00202915" w:rsidRPr="0011794A" w:rsidTr="00202915">
        <w:trPr>
          <w:trHeight w:val="573"/>
        </w:trPr>
        <w:tc>
          <w:tcPr>
            <w:tcW w:w="148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Part Two </w:t>
            </w:r>
          </w:p>
        </w:tc>
        <w:tc>
          <w:tcPr>
            <w:tcW w:w="1701"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Step 1 (page 108) </w:t>
            </w:r>
          </w:p>
        </w:tc>
        <w:tc>
          <w:tcPr>
            <w:tcW w:w="552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Biological reasoning and epidemiological evidence supporting the relationship between the PSM and TCO, independent of any intervention. </w:t>
            </w:r>
          </w:p>
        </w:tc>
      </w:tr>
      <w:tr w:rsidR="00202915" w:rsidRPr="0011794A" w:rsidTr="00202915">
        <w:trPr>
          <w:trHeight w:val="849"/>
        </w:trPr>
        <w:tc>
          <w:tcPr>
            <w:tcW w:w="148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Part Three </w:t>
            </w:r>
          </w:p>
        </w:tc>
        <w:tc>
          <w:tcPr>
            <w:tcW w:w="1701"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Step 2 (page 109) </w:t>
            </w:r>
          </w:p>
        </w:tc>
        <w:tc>
          <w:tcPr>
            <w:tcW w:w="552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Randomised trial evidence using other drugs to show that there is a basis to conclude that a comparative treatment effect on the PSM has satisfactorily predicted a comparative treatment effect on the TCO. </w:t>
            </w:r>
          </w:p>
        </w:tc>
      </w:tr>
      <w:tr w:rsidR="00202915" w:rsidRPr="0011794A" w:rsidTr="00202915">
        <w:trPr>
          <w:trHeight w:val="987"/>
        </w:trPr>
        <w:tc>
          <w:tcPr>
            <w:tcW w:w="148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Part Four </w:t>
            </w:r>
          </w:p>
        </w:tc>
        <w:tc>
          <w:tcPr>
            <w:tcW w:w="1701"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Step 3 (page 109) </w:t>
            </w:r>
          </w:p>
        </w:tc>
        <w:tc>
          <w:tcPr>
            <w:tcW w:w="552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Support for why the relationship between the comparative treatment effects on the PSM and TCO with these other drugs is likely to apply to the proposed drug. Information about the comparative treatment effect of the proposed drug on the PSM. </w:t>
            </w:r>
          </w:p>
        </w:tc>
      </w:tr>
      <w:tr w:rsidR="00202915" w:rsidRPr="0011794A" w:rsidTr="00202915">
        <w:trPr>
          <w:trHeight w:val="573"/>
        </w:trPr>
        <w:tc>
          <w:tcPr>
            <w:tcW w:w="148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Part Five </w:t>
            </w:r>
          </w:p>
        </w:tc>
        <w:tc>
          <w:tcPr>
            <w:tcW w:w="1701"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p>
        </w:tc>
        <w:tc>
          <w:tcPr>
            <w:tcW w:w="5528" w:type="dxa"/>
            <w:tcBorders>
              <w:top w:val="single" w:sz="8" w:space="0" w:color="000000"/>
              <w:left w:val="single" w:sz="8" w:space="0" w:color="000000"/>
              <w:bottom w:val="single" w:sz="8" w:space="0" w:color="000000"/>
              <w:right w:val="single" w:sz="8" w:space="0" w:color="000000"/>
            </w:tcBorders>
          </w:tcPr>
          <w:p w:rsidR="00202915" w:rsidRPr="0049719A" w:rsidRDefault="00202915" w:rsidP="00202915">
            <w:pPr>
              <w:rPr>
                <w:sz w:val="20"/>
                <w:szCs w:val="20"/>
              </w:rPr>
            </w:pPr>
            <w:r w:rsidRPr="0049719A">
              <w:rPr>
                <w:sz w:val="20"/>
                <w:szCs w:val="20"/>
              </w:rPr>
              <w:t xml:space="preserve">Relevant considerations for incorporation of the comparative treatment effect based on the PSM into the economic evaluation. </w:t>
            </w:r>
          </w:p>
        </w:tc>
      </w:tr>
      <w:tr w:rsidR="00202915" w:rsidRPr="0049719A" w:rsidTr="00202915">
        <w:trPr>
          <w:trHeight w:val="573"/>
        </w:trPr>
        <w:tc>
          <w:tcPr>
            <w:tcW w:w="8717" w:type="dxa"/>
            <w:gridSpan w:val="3"/>
            <w:tcBorders>
              <w:top w:val="single" w:sz="8" w:space="0" w:color="000000"/>
              <w:left w:val="single" w:sz="8" w:space="0" w:color="000000"/>
              <w:bottom w:val="single" w:sz="8" w:space="0" w:color="000000"/>
              <w:right w:val="single" w:sz="8" w:space="0" w:color="000000"/>
            </w:tcBorders>
          </w:tcPr>
          <w:p w:rsidR="00202915" w:rsidRPr="0049719A" w:rsidRDefault="00202915" w:rsidP="00B66466">
            <w:pPr>
              <w:spacing w:after="0"/>
              <w:rPr>
                <w:sz w:val="20"/>
                <w:szCs w:val="20"/>
              </w:rPr>
            </w:pPr>
            <w:r>
              <w:rPr>
                <w:sz w:val="20"/>
                <w:szCs w:val="20"/>
              </w:rPr>
              <w:t>*</w:t>
            </w:r>
            <w:r w:rsidRPr="0049719A">
              <w:rPr>
                <w:sz w:val="20"/>
                <w:szCs w:val="20"/>
              </w:rPr>
              <w:t>PSM- Proposed surrogate measure  - A biomarker or clinical outcome that is intended to substitute for a target clinical outcome</w:t>
            </w:r>
          </w:p>
          <w:p w:rsidR="00202915" w:rsidRPr="0049719A" w:rsidRDefault="00202915" w:rsidP="00B66466">
            <w:pPr>
              <w:spacing w:after="0"/>
              <w:rPr>
                <w:sz w:val="20"/>
                <w:szCs w:val="20"/>
              </w:rPr>
            </w:pPr>
            <w:r>
              <w:rPr>
                <w:sz w:val="20"/>
                <w:szCs w:val="20"/>
              </w:rPr>
              <w:t>**</w:t>
            </w:r>
            <w:r w:rsidRPr="0049719A">
              <w:rPr>
                <w:sz w:val="20"/>
                <w:szCs w:val="20"/>
              </w:rPr>
              <w:t>TCO = Target clinical outcome. A clinical outcome that is unequivocally patient relevant, but does not necessarily capture both dimensions of quantity and quality of life.</w:t>
            </w:r>
          </w:p>
        </w:tc>
      </w:tr>
    </w:tbl>
    <w:p w:rsidR="00202915" w:rsidRPr="0049719A" w:rsidRDefault="00202915" w:rsidP="00202915"/>
    <w:p w:rsidR="00202915" w:rsidRPr="0011794A" w:rsidRDefault="00202915" w:rsidP="00202915">
      <w:r w:rsidRPr="0011794A">
        <w:t xml:space="preserve">The most important part of the framework is </w:t>
      </w:r>
      <w:r>
        <w:t>P</w:t>
      </w:r>
      <w:r w:rsidR="00D25D76">
        <w:t>art T</w:t>
      </w:r>
      <w:r w:rsidRPr="0011794A">
        <w:t xml:space="preserve">hree, which is </w:t>
      </w:r>
      <w:r>
        <w:t>concerned most directly with assessing whether</w:t>
      </w:r>
      <w:r w:rsidRPr="0011794A">
        <w:t xml:space="preserve"> the surrogate acts as a reasonable proxy for the outcome of interest in trials of a new drug. </w:t>
      </w:r>
      <w:r w:rsidR="00D25D76">
        <w:t>Part T</w:t>
      </w:r>
      <w:r>
        <w:t>wo is the next most pertinent part.</w:t>
      </w:r>
    </w:p>
    <w:p w:rsidR="00202915" w:rsidRDefault="00202915" w:rsidP="00202915">
      <w:pPr>
        <w:pStyle w:val="Heading2"/>
      </w:pPr>
      <w:bookmarkStart w:id="59" w:name="_Toc356560772"/>
      <w:r w:rsidRPr="0011794A">
        <w:t xml:space="preserve">Part </w:t>
      </w:r>
      <w:r>
        <w:t>One of the STFOWG</w:t>
      </w:r>
      <w:r w:rsidRPr="0011794A">
        <w:t xml:space="preserve">: </w:t>
      </w:r>
      <w:r w:rsidRPr="00B66466">
        <w:rPr>
          <w:sz w:val="24"/>
          <w:szCs w:val="24"/>
        </w:rPr>
        <w:t>Definition, selection and measurement of the Proposed Surrogate Measure [PSM] and the Target Clinical Outcome [TCO]</w:t>
      </w:r>
      <w:bookmarkEnd w:id="59"/>
    </w:p>
    <w:p w:rsidR="00202915" w:rsidRPr="0011794A" w:rsidRDefault="00202915" w:rsidP="00202915">
      <w:pPr>
        <w:rPr>
          <w:sz w:val="23"/>
          <w:szCs w:val="23"/>
        </w:rPr>
      </w:pPr>
      <w:r w:rsidRPr="0011794A">
        <w:rPr>
          <w:sz w:val="23"/>
          <w:szCs w:val="23"/>
        </w:rPr>
        <w:t>The STFOWG comments that “….a PSM must be responsive and able to be measured with reliability and validity”. The pertinent issue for this review is reliability or repeatability.</w:t>
      </w:r>
    </w:p>
    <w:p w:rsidR="00202915" w:rsidRPr="003233C6" w:rsidRDefault="00202915" w:rsidP="00202915">
      <w:pPr>
        <w:rPr>
          <w:b/>
        </w:rPr>
      </w:pPr>
      <w:r w:rsidRPr="003233C6">
        <w:rPr>
          <w:b/>
        </w:rPr>
        <w:t>Extent to which addressed by Sponsor submission</w:t>
      </w:r>
    </w:p>
    <w:p w:rsidR="00202915" w:rsidRPr="0011794A" w:rsidRDefault="00202915" w:rsidP="00202915">
      <w:r w:rsidRPr="0011794A">
        <w:t xml:space="preserve">The </w:t>
      </w:r>
      <w:r>
        <w:t>Sponsor</w:t>
      </w:r>
      <w:r w:rsidRPr="0011794A">
        <w:t xml:space="preserve">s do not present any measures of repeatability but comment that assessment of </w:t>
      </w:r>
      <w:r>
        <w:t>endoscopic ulcers</w:t>
      </w:r>
      <w:r w:rsidRPr="0011794A">
        <w:t xml:space="preserve"> is standardized in the trials</w:t>
      </w:r>
      <w:r>
        <w:t>.</w:t>
      </w:r>
    </w:p>
    <w:p w:rsidR="00202915" w:rsidRPr="003233C6" w:rsidRDefault="00202915" w:rsidP="00202915">
      <w:pPr>
        <w:rPr>
          <w:b/>
        </w:rPr>
      </w:pPr>
      <w:r w:rsidRPr="003233C6">
        <w:rPr>
          <w:b/>
        </w:rPr>
        <w:t xml:space="preserve">Extent to which addressed in recent comments by PES/ PBAC </w:t>
      </w:r>
    </w:p>
    <w:p w:rsidR="00202915" w:rsidRPr="0011794A" w:rsidRDefault="00202915" w:rsidP="00202915">
      <w:r w:rsidRPr="0011794A">
        <w:t>PBAC suggest poor repeatability on the basis of one small study published only as an abstract</w:t>
      </w:r>
      <w:r>
        <w:t>.</w:t>
      </w:r>
      <w:r w:rsidRPr="0011794A">
        <w:t xml:space="preserve"> </w:t>
      </w:r>
    </w:p>
    <w:p w:rsidR="00202915" w:rsidRPr="003233C6" w:rsidRDefault="00202915" w:rsidP="00202915">
      <w:pPr>
        <w:rPr>
          <w:b/>
        </w:rPr>
      </w:pPr>
      <w:r w:rsidRPr="003233C6">
        <w:rPr>
          <w:b/>
        </w:rPr>
        <w:t>Reviewer Comment</w:t>
      </w:r>
    </w:p>
    <w:p w:rsidR="00202915" w:rsidRPr="0011794A" w:rsidRDefault="00202915" w:rsidP="00202915">
      <w:r w:rsidRPr="0011794A">
        <w:t xml:space="preserve">Ideal information would be a systematic review of repeatability of endoscopic ulcers, which has not been presented by either the </w:t>
      </w:r>
      <w:r>
        <w:t>Sponsor</w:t>
      </w:r>
      <w:r w:rsidRPr="0011794A">
        <w:t xml:space="preserve"> or PBAC. That information could then be used to estimate the extent to which possible misclassification affects the validity of </w:t>
      </w:r>
      <w:r>
        <w:t>the PSM</w:t>
      </w:r>
      <w:r w:rsidRPr="0011794A">
        <w:t xml:space="preserve">. </w:t>
      </w:r>
      <w:r>
        <w:t xml:space="preserve"> </w:t>
      </w:r>
      <w:r w:rsidRPr="0011794A">
        <w:t xml:space="preserve">However, if the PSM was poorly repeatable, suggesting misclassification, this would reduce the ability of the PSM to predict clinical endpoints, and this would be ascertainable in the more important </w:t>
      </w:r>
      <w:r>
        <w:t>P</w:t>
      </w:r>
      <w:r w:rsidRPr="0011794A">
        <w:t xml:space="preserve">arts </w:t>
      </w:r>
      <w:r w:rsidR="00D25D76">
        <w:t>Two</w:t>
      </w:r>
      <w:r w:rsidRPr="0011794A">
        <w:t xml:space="preserve"> and </w:t>
      </w:r>
      <w:r w:rsidR="00D25D76">
        <w:t>Three</w:t>
      </w:r>
      <w:r w:rsidRPr="0011794A">
        <w:t xml:space="preserve"> below.  </w:t>
      </w:r>
    </w:p>
    <w:p w:rsidR="00202915" w:rsidRPr="0011794A" w:rsidRDefault="00202915" w:rsidP="00202915">
      <w:pPr>
        <w:pStyle w:val="Heading3"/>
      </w:pPr>
      <w:bookmarkStart w:id="60" w:name="_Toc356560773"/>
      <w:r>
        <w:t>Conclusion</w:t>
      </w:r>
      <w:bookmarkEnd w:id="60"/>
    </w:p>
    <w:p w:rsidR="00202915" w:rsidRPr="0011794A" w:rsidRDefault="00202915" w:rsidP="00202915">
      <w:r w:rsidRPr="0011794A">
        <w:t>The information from the single small study mentioned by the PBAC is insufficient to outweigh the information about the appropriateness of the PSM presented in the other parts of the framework. This is reflected by the STOFWG comment: “If relevant meta-regression data from multiple randomised trials supporting the link between the comparative treatment effect on the PSM and the comparative treatment effect on the TCO are available for Part Three ….the amount of information needed for 1A.6 is reduced</w:t>
      </w:r>
      <w:r>
        <w:rPr>
          <w:rStyle w:val="FootnoteReference"/>
        </w:rPr>
        <w:footnoteReference w:id="3"/>
      </w:r>
      <w:r w:rsidRPr="0011794A">
        <w:t>.”</w:t>
      </w:r>
    </w:p>
    <w:p w:rsidR="00202915" w:rsidRPr="0011794A" w:rsidRDefault="00202915" w:rsidP="00202915">
      <w:pPr>
        <w:pStyle w:val="Heading2"/>
      </w:pPr>
      <w:bookmarkStart w:id="61" w:name="_Toc356560774"/>
      <w:r w:rsidRPr="0011794A">
        <w:t xml:space="preserve">Part </w:t>
      </w:r>
      <w:r>
        <w:t>Two of the STFOWG</w:t>
      </w:r>
      <w:r w:rsidRPr="0011794A">
        <w:t xml:space="preserve">: </w:t>
      </w:r>
      <w:r w:rsidRPr="00B66466">
        <w:rPr>
          <w:sz w:val="24"/>
          <w:szCs w:val="24"/>
        </w:rPr>
        <w:t>Biological reasoning and epidemiological evidence supporting the relationship between the PSM and TCO, independent of any intervention.</w:t>
      </w:r>
      <w:bookmarkEnd w:id="61"/>
      <w:r w:rsidRPr="0011794A">
        <w:t xml:space="preserve"> </w:t>
      </w:r>
    </w:p>
    <w:p w:rsidR="00202915" w:rsidRPr="0011794A" w:rsidRDefault="00202915" w:rsidP="00202915">
      <w:r w:rsidRPr="0011794A">
        <w:t xml:space="preserve">The STFOWG identifies cohort studies predicting TCOs by PSMs as the ideal source of information. This direct evidence </w:t>
      </w:r>
      <w:r>
        <w:t xml:space="preserve">would </w:t>
      </w:r>
      <w:r w:rsidRPr="0011794A">
        <w:t xml:space="preserve">involve a cohort study design in which patients with endoscopically-detected ulcers are observed, without intervention or change in treatment, for subsequent clinical events. Studies of this type have not been presented by either the </w:t>
      </w:r>
      <w:r>
        <w:t>Sponsor</w:t>
      </w:r>
      <w:r w:rsidRPr="0011794A">
        <w:t xml:space="preserve"> or PBAC.</w:t>
      </w:r>
    </w:p>
    <w:p w:rsidR="00202915" w:rsidRPr="00DD71F2" w:rsidRDefault="00202915" w:rsidP="00202915">
      <w:pPr>
        <w:rPr>
          <w:b/>
        </w:rPr>
      </w:pPr>
      <w:r w:rsidRPr="00DD71F2">
        <w:rPr>
          <w:b/>
        </w:rPr>
        <w:t xml:space="preserve">Extent to which addressed by Sponsor submission </w:t>
      </w:r>
    </w:p>
    <w:p w:rsidR="00202915" w:rsidRPr="0011794A" w:rsidRDefault="00202915" w:rsidP="00202915">
      <w:r w:rsidRPr="0011794A">
        <w:t xml:space="preserve">The </w:t>
      </w:r>
      <w:r>
        <w:t>Sponsor</w:t>
      </w:r>
      <w:r w:rsidRPr="0011794A">
        <w:t xml:space="preserve"> present</w:t>
      </w:r>
      <w:r>
        <w:t>s</w:t>
      </w:r>
      <w:r w:rsidRPr="0011794A">
        <w:t xml:space="preserve"> indirect evidence</w:t>
      </w:r>
      <w:r>
        <w:t>, based on a systematic review [Tramer et al</w:t>
      </w:r>
      <w:r w:rsidR="00D25D76">
        <w:t>,</w:t>
      </w:r>
      <w:r w:rsidR="00853824">
        <w:t xml:space="preserve"> </w:t>
      </w:r>
      <w:r w:rsidR="00D25D76">
        <w:t>2000</w:t>
      </w:r>
      <w:r>
        <w:t>]</w:t>
      </w:r>
      <w:r w:rsidR="00D25D76">
        <w:t xml:space="preserve"> that shows the effect of </w:t>
      </w:r>
      <w:r w:rsidR="001F6C5E">
        <w:t>NSAIDs</w:t>
      </w:r>
      <w:r>
        <w:t xml:space="preserve"> on clinically relevant and surrogate outcomes based on different studies  to support a claim </w:t>
      </w:r>
      <w:r w:rsidRPr="0011794A">
        <w:t>that</w:t>
      </w:r>
      <w:r>
        <w:t xml:space="preserve"> </w:t>
      </w:r>
      <w:r w:rsidRPr="0011794A">
        <w:rPr>
          <w:i/>
        </w:rPr>
        <w:t xml:space="preserve"> </w:t>
      </w:r>
      <w:r>
        <w:rPr>
          <w:i/>
        </w:rPr>
        <w:t>“</w:t>
      </w:r>
      <w:r w:rsidRPr="0011794A">
        <w:rPr>
          <w:i/>
        </w:rPr>
        <w:t xml:space="preserve">treatment with </w:t>
      </w:r>
      <w:r w:rsidR="001F6C5E">
        <w:rPr>
          <w:i/>
        </w:rPr>
        <w:t>NSAIDs</w:t>
      </w:r>
      <w:r w:rsidRPr="0011794A">
        <w:rPr>
          <w:i/>
        </w:rPr>
        <w:t xml:space="preserve"> resulted in a consistent increased risk for all four levels of harm: endoscopic ulcers, clinically diagnosed ulcers, perforation/bleeding, and deaths.</w:t>
      </w:r>
      <w:r>
        <w:rPr>
          <w:i/>
        </w:rPr>
        <w:t>”</w:t>
      </w:r>
    </w:p>
    <w:p w:rsidR="00202915" w:rsidRPr="0011794A" w:rsidRDefault="00202915" w:rsidP="00202915">
      <w:r>
        <w:t xml:space="preserve">The Sponsor also presents evidence, based on a review [Moore et al] to claim that </w:t>
      </w:r>
      <w:r>
        <w:rPr>
          <w:i/>
        </w:rPr>
        <w:t>‘</w:t>
      </w:r>
      <w:r w:rsidRPr="0011794A">
        <w:rPr>
          <w:i/>
        </w:rPr>
        <w:t>Endoscopic ulcers and serious UGI bleeding events are influenced in the same direction and to much the same extent by patient-related variables (including age and previous histor</w:t>
      </w:r>
      <w:r>
        <w:rPr>
          <w:i/>
        </w:rPr>
        <w:t>y’</w:t>
      </w:r>
    </w:p>
    <w:p w:rsidR="00202915" w:rsidRPr="00DD71F2" w:rsidRDefault="00202915" w:rsidP="00202915">
      <w:pPr>
        <w:rPr>
          <w:b/>
        </w:rPr>
      </w:pPr>
      <w:r w:rsidRPr="00DD71F2">
        <w:rPr>
          <w:b/>
        </w:rPr>
        <w:t xml:space="preserve">Extent to which addressed </w:t>
      </w:r>
      <w:r w:rsidRPr="003233C6">
        <w:rPr>
          <w:b/>
        </w:rPr>
        <w:t xml:space="preserve">in recent comments </w:t>
      </w:r>
      <w:r w:rsidRPr="00DD71F2">
        <w:rPr>
          <w:b/>
        </w:rPr>
        <w:t>by PES/ PBAC</w:t>
      </w:r>
    </w:p>
    <w:p w:rsidR="00202915" w:rsidRPr="0011794A" w:rsidRDefault="00202915" w:rsidP="00202915">
      <w:r w:rsidRPr="0011794A">
        <w:t xml:space="preserve">PBAC comment that not all endoscopic ulcers will progress to clinical ulcers, based on a textbook reference [MacDonald]. </w:t>
      </w:r>
      <w:r>
        <w:t xml:space="preserve">In their more detailed comments for the March 2012 PBAC meeting, PES question the value of indirect evidence about the effect of </w:t>
      </w:r>
      <w:r w:rsidR="001F6C5E">
        <w:t>NSAIDS</w:t>
      </w:r>
      <w:r>
        <w:t xml:space="preserve"> on the surrogate and clinically relevant outcomes and comment that the data are sparse and lack any quantitative analysis. </w:t>
      </w:r>
    </w:p>
    <w:p w:rsidR="00202915" w:rsidRPr="00DD71F2" w:rsidRDefault="00202915" w:rsidP="00202915">
      <w:pPr>
        <w:rPr>
          <w:b/>
        </w:rPr>
      </w:pPr>
      <w:r w:rsidRPr="00DD71F2">
        <w:rPr>
          <w:b/>
        </w:rPr>
        <w:t>Reviewer Comment</w:t>
      </w:r>
    </w:p>
    <w:p w:rsidR="00202915" w:rsidRPr="0011794A" w:rsidRDefault="00202915" w:rsidP="00202915">
      <w:r w:rsidRPr="0011794A">
        <w:t>Progression of all endoscopic ulcers to clinical ulcers</w:t>
      </w:r>
      <w:r>
        <w:t xml:space="preserve"> </w:t>
      </w:r>
      <w:r w:rsidRPr="0011794A">
        <w:t xml:space="preserve">is not a necessary criterion </w:t>
      </w:r>
      <w:r>
        <w:t>to justify the use of a surrogate. D</w:t>
      </w:r>
      <w:r w:rsidRPr="0011794A">
        <w:t>irect evidence</w:t>
      </w:r>
      <w:r>
        <w:t xml:space="preserve">, </w:t>
      </w:r>
      <w:r w:rsidRPr="0011794A">
        <w:t>involv</w:t>
      </w:r>
      <w:r>
        <w:t>ing</w:t>
      </w:r>
      <w:r w:rsidRPr="0011794A">
        <w:t xml:space="preserve"> a cohort study design in which patients with endoscopically-detected ulcers are observed, without intervention or change in treatment, </w:t>
      </w:r>
      <w:r>
        <w:t>to detect</w:t>
      </w:r>
      <w:r w:rsidRPr="0011794A">
        <w:t xml:space="preserve"> subsequent clinical events</w:t>
      </w:r>
      <w:r>
        <w:t xml:space="preserve"> are not presented by the Sponsor or PBAC and it seems unlikely such studies would be done. So, decisions will need to be made on indirect evidence. </w:t>
      </w:r>
      <w:r w:rsidRPr="0011794A">
        <w:t>Progression of all endoscopic ulcers to clinical ulcers</w:t>
      </w:r>
      <w:r>
        <w:t xml:space="preserve"> </w:t>
      </w:r>
      <w:r w:rsidRPr="0011794A">
        <w:t xml:space="preserve">is not a necessary criterion </w:t>
      </w:r>
      <w:r>
        <w:t xml:space="preserve">to justify the use of a surrogate. </w:t>
      </w:r>
      <w:r w:rsidRPr="0011794A">
        <w:t>The issue is not prediction of clinical ulcers in individuals, but whether the PSM shows the same relationships to other variables as the TCO in population studies</w:t>
      </w:r>
      <w:r>
        <w:t xml:space="preserve">. The relationship of surrogate and clinically relevant outcomes to </w:t>
      </w:r>
      <w:r w:rsidR="001F6C5E">
        <w:t>NSAIDS</w:t>
      </w:r>
      <w:r w:rsidRPr="0011794A">
        <w:t xml:space="preserve"> </w:t>
      </w:r>
      <w:r>
        <w:t xml:space="preserve">is consistent in direction, though not in apparent magnitude. </w:t>
      </w:r>
    </w:p>
    <w:p w:rsidR="00202915" w:rsidRPr="0011794A" w:rsidRDefault="00202915" w:rsidP="00202915">
      <w:pPr>
        <w:pStyle w:val="Heading3"/>
      </w:pPr>
      <w:bookmarkStart w:id="62" w:name="_Toc356560775"/>
      <w:r w:rsidRPr="0011794A">
        <w:t>Conclusion</w:t>
      </w:r>
      <w:bookmarkEnd w:id="62"/>
    </w:p>
    <w:p w:rsidR="00202915" w:rsidRPr="0011794A" w:rsidRDefault="00202915" w:rsidP="00202915">
      <w:r w:rsidRPr="0011794A">
        <w:t xml:space="preserve">The </w:t>
      </w:r>
      <w:r>
        <w:t>comments</w:t>
      </w:r>
      <w:r w:rsidRPr="0011794A">
        <w:t xml:space="preserve"> by PBAC </w:t>
      </w:r>
      <w:r>
        <w:t xml:space="preserve">on Part </w:t>
      </w:r>
      <w:r w:rsidR="00D25D76">
        <w:t>Two</w:t>
      </w:r>
      <w:r>
        <w:t xml:space="preserve"> are</w:t>
      </w:r>
      <w:r w:rsidRPr="0011794A">
        <w:t xml:space="preserve"> insufficient evidence to dismiss </w:t>
      </w:r>
      <w:r>
        <w:t xml:space="preserve">the use of endoscopic ulcers as a surrogate for clinically relevant UGI outcomes. </w:t>
      </w:r>
      <w:r w:rsidRPr="0011794A">
        <w:t xml:space="preserve"> </w:t>
      </w:r>
    </w:p>
    <w:p w:rsidR="00881786" w:rsidRDefault="00881786">
      <w:pPr>
        <w:spacing w:after="200"/>
        <w:rPr>
          <w:rFonts w:asciiTheme="majorHAnsi" w:eastAsiaTheme="majorEastAsia" w:hAnsiTheme="majorHAnsi" w:cstheme="majorBidi"/>
          <w:b/>
          <w:bCs/>
          <w:sz w:val="28"/>
          <w:szCs w:val="26"/>
        </w:rPr>
      </w:pPr>
      <w:r>
        <w:br w:type="page"/>
      </w:r>
    </w:p>
    <w:p w:rsidR="00202915" w:rsidRPr="0011794A" w:rsidRDefault="00202915" w:rsidP="00202915">
      <w:pPr>
        <w:pStyle w:val="Heading2"/>
      </w:pPr>
      <w:bookmarkStart w:id="63" w:name="_Toc356560776"/>
      <w:r w:rsidRPr="0011794A">
        <w:t xml:space="preserve">Part </w:t>
      </w:r>
      <w:r>
        <w:t>Three of the STFOWG</w:t>
      </w:r>
      <w:r w:rsidRPr="0011794A">
        <w:t xml:space="preserve">: </w:t>
      </w:r>
      <w:r w:rsidRPr="00B66466">
        <w:rPr>
          <w:sz w:val="24"/>
          <w:szCs w:val="24"/>
        </w:rPr>
        <w:t>Randomised trial evidence using other drugs to show that there is a basis to conclude that a comparative treatment effect on the PSM has satisfactorily predicted a comparative treatment effect on the TCO</w:t>
      </w:r>
      <w:r w:rsidRPr="0011794A">
        <w:t>.</w:t>
      </w:r>
      <w:bookmarkEnd w:id="63"/>
      <w:r w:rsidRPr="0011794A">
        <w:t xml:space="preserve"> </w:t>
      </w:r>
    </w:p>
    <w:p w:rsidR="00202915" w:rsidRPr="0011794A" w:rsidRDefault="00202915" w:rsidP="00202915">
      <w:r w:rsidRPr="0011794A">
        <w:t xml:space="preserve">This </w:t>
      </w:r>
      <w:r>
        <w:t>p</w:t>
      </w:r>
      <w:r w:rsidRPr="0011794A">
        <w:t xml:space="preserve">art is the most relevant criterion. </w:t>
      </w:r>
      <w:r>
        <w:t xml:space="preserve"> </w:t>
      </w:r>
      <w:r w:rsidRPr="0011794A">
        <w:t>Ideal evidence would be based on studies in which the endoscopic ulcers and clinical endpoints were measured on the same patients</w:t>
      </w:r>
      <w:r>
        <w:t xml:space="preserve"> randomized to treatment options. [Direct evidence].</w:t>
      </w:r>
      <w:r w:rsidRPr="0011794A">
        <w:t xml:space="preserve"> STFOWG suggest the following hierarchy, with Level I providing the strongest support for the PSM and Level IV the weakest: </w:t>
      </w:r>
    </w:p>
    <w:p w:rsidR="00202915" w:rsidRPr="0011794A" w:rsidRDefault="00202915" w:rsidP="00B66466">
      <w:pPr>
        <w:spacing w:after="0"/>
      </w:pPr>
      <w:r w:rsidRPr="0011794A">
        <w:t xml:space="preserve">I. multi-trial meta-regression possible </w:t>
      </w:r>
    </w:p>
    <w:p w:rsidR="00202915" w:rsidRPr="0011794A" w:rsidRDefault="00202915" w:rsidP="00B66466">
      <w:pPr>
        <w:spacing w:after="0"/>
      </w:pPr>
      <w:r w:rsidRPr="0011794A">
        <w:t xml:space="preserve">II. single or small number of randomised trials: multi-centre analysis possible - could only be done if participants were randomised by centre and individual patient data are available </w:t>
      </w:r>
    </w:p>
    <w:p w:rsidR="00202915" w:rsidRPr="0011794A" w:rsidRDefault="00202915" w:rsidP="00B66466">
      <w:pPr>
        <w:spacing w:after="0"/>
      </w:pPr>
      <w:r w:rsidRPr="0011794A">
        <w:t xml:space="preserve">III. one randomised trial, no individual patient data or not randomised by centre </w:t>
      </w:r>
    </w:p>
    <w:p w:rsidR="00202915" w:rsidRPr="0011794A" w:rsidRDefault="00202915" w:rsidP="00B66466">
      <w:pPr>
        <w:spacing w:after="0"/>
      </w:pPr>
      <w:r w:rsidRPr="0011794A">
        <w:t xml:space="preserve">IV. no randomised trial data. </w:t>
      </w:r>
    </w:p>
    <w:p w:rsidR="00202915" w:rsidRPr="00E82E9A" w:rsidRDefault="00202915" w:rsidP="00202915">
      <w:pPr>
        <w:rPr>
          <w:b/>
        </w:rPr>
      </w:pPr>
      <w:r w:rsidRPr="00E82E9A">
        <w:rPr>
          <w:b/>
        </w:rPr>
        <w:t xml:space="preserve">Extent to which addressed by Sponsor submission </w:t>
      </w:r>
    </w:p>
    <w:p w:rsidR="00202915" w:rsidRDefault="00202915" w:rsidP="00202915">
      <w:r>
        <w:t>Direct evidence is not</w:t>
      </w:r>
      <w:r w:rsidRPr="0011794A">
        <w:t xml:space="preserve"> available, so the </w:t>
      </w:r>
      <w:r>
        <w:t>Sponsor</w:t>
      </w:r>
      <w:r w:rsidRPr="0011794A">
        <w:t xml:space="preserve"> </w:t>
      </w:r>
      <w:r>
        <w:t>has</w:t>
      </w:r>
      <w:r w:rsidRPr="0011794A">
        <w:t xml:space="preserve"> relied on evidence from PSM and TCO in different </w:t>
      </w:r>
      <w:r>
        <w:t>trials</w:t>
      </w:r>
      <w:r w:rsidRPr="0011794A">
        <w:t xml:space="preserve">. Based on a </w:t>
      </w:r>
      <w:r>
        <w:t>review</w:t>
      </w:r>
      <w:r w:rsidRPr="0011794A">
        <w:t xml:space="preserve"> </w:t>
      </w:r>
      <w:r>
        <w:t>[Rostom et al</w:t>
      </w:r>
      <w:r w:rsidR="00D25D76">
        <w:t>, 2010</w:t>
      </w:r>
      <w:r>
        <w:t xml:space="preserve">] </w:t>
      </w:r>
      <w:r w:rsidRPr="0011794A">
        <w:t>and extra info</w:t>
      </w:r>
      <w:r>
        <w:t>rmation</w:t>
      </w:r>
      <w:r w:rsidRPr="0011794A">
        <w:t xml:space="preserve"> from GIDAC documents to FDA </w:t>
      </w:r>
      <w:r>
        <w:t>[GIDAC</w:t>
      </w:r>
      <w:r w:rsidR="00D25D76">
        <w:t>, 2010</w:t>
      </w:r>
      <w:r>
        <w:t xml:space="preserve">], the Sponsor claims that: </w:t>
      </w:r>
      <w:r w:rsidRPr="0011794A">
        <w:rPr>
          <w:i/>
        </w:rPr>
        <w:t xml:space="preserve">When compared with traditional </w:t>
      </w:r>
      <w:r w:rsidR="001F6C5E">
        <w:rPr>
          <w:i/>
        </w:rPr>
        <w:t>NSAIDs</w:t>
      </w:r>
      <w:r w:rsidRPr="0011794A">
        <w:rPr>
          <w:i/>
        </w:rPr>
        <w:t xml:space="preserve"> alone, treatment with </w:t>
      </w:r>
      <w:r w:rsidR="001F6C5E">
        <w:rPr>
          <w:i/>
        </w:rPr>
        <w:t>NSAIDs</w:t>
      </w:r>
      <w:r w:rsidRPr="0011794A">
        <w:rPr>
          <w:i/>
        </w:rPr>
        <w:t xml:space="preserve"> plus PPIs or COX-2 inhibitors results in a similar magnitude of risk reduction for endoscopically-detected ulcers and for symptomatic ulcers.</w:t>
      </w:r>
      <w:r>
        <w:rPr>
          <w:i/>
        </w:rPr>
        <w:t xml:space="preserve"> </w:t>
      </w:r>
    </w:p>
    <w:p w:rsidR="00202915" w:rsidRDefault="00202915" w:rsidP="00202915">
      <w:r>
        <w:t>Because of the importance of this Part, the tables from the 2</w:t>
      </w:r>
      <w:r w:rsidRPr="000D2244">
        <w:rPr>
          <w:vertAlign w:val="superscript"/>
        </w:rPr>
        <w:t>nd</w:t>
      </w:r>
      <w:r>
        <w:t xml:space="preserve"> major submission are reproduced below. </w:t>
      </w:r>
    </w:p>
    <w:p w:rsidR="00202915" w:rsidRPr="00DD71F2" w:rsidRDefault="00202915" w:rsidP="00202915">
      <w:pPr>
        <w:pStyle w:val="Caption"/>
        <w:jc w:val="center"/>
        <w:rPr>
          <w:color w:val="auto"/>
        </w:rPr>
      </w:pPr>
      <w:r w:rsidRPr="00DD71F2">
        <w:rPr>
          <w:color w:val="auto"/>
        </w:rPr>
        <w:t xml:space="preserve">Table 6:  Extract from AstraZeneca second submission comparing </w:t>
      </w:r>
      <w:r w:rsidR="001F6C5E">
        <w:rPr>
          <w:color w:val="auto"/>
        </w:rPr>
        <w:t>NSAIDs</w:t>
      </w:r>
      <w:r w:rsidRPr="00DD71F2">
        <w:rPr>
          <w:color w:val="auto"/>
        </w:rPr>
        <w:t>, and Cox2 inhibitors</w:t>
      </w:r>
    </w:p>
    <w:p w:rsidR="00202915" w:rsidRDefault="00853824" w:rsidP="00202915">
      <w:pPr>
        <w:pStyle w:val="NoSpacing"/>
      </w:pPr>
      <w:r>
        <w:rPr>
          <w:noProof/>
          <w:lang w:val="en-AU" w:eastAsia="en-AU"/>
        </w:rPr>
        <w:drawing>
          <wp:anchor distT="0" distB="0" distL="114300" distR="114300" simplePos="0" relativeHeight="251664384" behindDoc="1" locked="0" layoutInCell="1" allowOverlap="1" wp14:anchorId="53AFB62A" wp14:editId="16EC4233">
            <wp:simplePos x="0" y="0"/>
            <wp:positionH relativeFrom="column">
              <wp:posOffset>129540</wp:posOffset>
            </wp:positionH>
            <wp:positionV relativeFrom="paragraph">
              <wp:posOffset>43180</wp:posOffset>
            </wp:positionV>
            <wp:extent cx="5274945" cy="3681730"/>
            <wp:effectExtent l="19050" t="19050" r="20955" b="13970"/>
            <wp:wrapTight wrapText="bothSides">
              <wp:wrapPolygon edited="0">
                <wp:start x="-78" y="-112"/>
                <wp:lineTo x="-78" y="21570"/>
                <wp:lineTo x="21608" y="21570"/>
                <wp:lineTo x="21608" y="-112"/>
                <wp:lineTo x="-78" y="-112"/>
              </wp:wrapPolygon>
            </wp:wrapTight>
            <wp:docPr id="2" name="Picture 35" descr="Table 6:  Extract from AstraZeneca second submission comparing NSAIDs, and Cox2 inhibi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07 at 7.46.19 PM.png"/>
                    <pic:cNvPicPr/>
                  </pic:nvPicPr>
                  <pic:blipFill>
                    <a:blip r:embed="rId19">
                      <a:extLst>
                        <a:ext uri="{28A0092B-C50C-407E-A947-70E740481C1C}">
                          <a14:useLocalDpi xmlns:a14="http://schemas.microsoft.com/office/drawing/2010/main" val="0"/>
                        </a:ext>
                      </a:extLst>
                    </a:blip>
                    <a:stretch>
                      <a:fillRect/>
                    </a:stretch>
                  </pic:blipFill>
                  <pic:spPr>
                    <a:xfrm>
                      <a:off x="0" y="0"/>
                      <a:ext cx="5274945" cy="36817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202915" w:rsidRDefault="00202915" w:rsidP="00202915">
      <w:pPr>
        <w:pStyle w:val="NoSpacing"/>
        <w:keepNext/>
      </w:pPr>
      <w:r>
        <w:rPr>
          <w:noProof/>
          <w:lang w:val="en-AU" w:eastAsia="en-AU"/>
        </w:rPr>
        <w:drawing>
          <wp:inline distT="0" distB="0" distL="0" distR="0" wp14:anchorId="3E85C5D8" wp14:editId="2D03B2FB">
            <wp:extent cx="5274945" cy="5436235"/>
            <wp:effectExtent l="19050" t="19050" r="20955" b="12065"/>
            <wp:docPr id="4" name="Picture 36" descr="Table 7:  Extract form AstraZeneca second submission comparing NSAIDs, and NSAIDs plus PP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07 at 7.47.07 PM.png"/>
                    <pic:cNvPicPr/>
                  </pic:nvPicPr>
                  <pic:blipFill>
                    <a:blip r:embed="rId20">
                      <a:extLst>
                        <a:ext uri="{28A0092B-C50C-407E-A947-70E740481C1C}">
                          <a14:useLocalDpi xmlns:a14="http://schemas.microsoft.com/office/drawing/2010/main" val="0"/>
                        </a:ext>
                      </a:extLst>
                    </a:blip>
                    <a:stretch>
                      <a:fillRect/>
                    </a:stretch>
                  </pic:blipFill>
                  <pic:spPr>
                    <a:xfrm>
                      <a:off x="0" y="0"/>
                      <a:ext cx="5274945" cy="5436235"/>
                    </a:xfrm>
                    <a:prstGeom prst="rect">
                      <a:avLst/>
                    </a:prstGeom>
                    <a:ln>
                      <a:solidFill>
                        <a:schemeClr val="tx1"/>
                      </a:solidFill>
                    </a:ln>
                  </pic:spPr>
                </pic:pic>
              </a:graphicData>
            </a:graphic>
          </wp:inline>
        </w:drawing>
      </w:r>
    </w:p>
    <w:p w:rsidR="00202915" w:rsidRPr="00DD71F2" w:rsidRDefault="00202915" w:rsidP="00202915">
      <w:pPr>
        <w:pStyle w:val="Caption"/>
        <w:jc w:val="center"/>
        <w:rPr>
          <w:color w:val="auto"/>
        </w:rPr>
      </w:pPr>
      <w:r w:rsidRPr="00DD71F2">
        <w:rPr>
          <w:color w:val="auto"/>
        </w:rPr>
        <w:t xml:space="preserve">Table 7:  Extract form AstraZeneca second submission comparing </w:t>
      </w:r>
      <w:r w:rsidR="001F6C5E">
        <w:rPr>
          <w:color w:val="auto"/>
        </w:rPr>
        <w:t>NSAIDs</w:t>
      </w:r>
      <w:r w:rsidRPr="00DD71F2">
        <w:rPr>
          <w:color w:val="auto"/>
        </w:rPr>
        <w:t xml:space="preserve">, </w:t>
      </w:r>
      <w:r w:rsidR="00881786">
        <w:rPr>
          <w:color w:val="auto"/>
        </w:rPr>
        <w:t xml:space="preserve">and </w:t>
      </w:r>
      <w:r w:rsidR="001F6C5E">
        <w:rPr>
          <w:color w:val="auto"/>
        </w:rPr>
        <w:t>NSAIDs</w:t>
      </w:r>
      <w:r>
        <w:rPr>
          <w:color w:val="auto"/>
        </w:rPr>
        <w:t xml:space="preserve"> plus PPIs </w:t>
      </w:r>
    </w:p>
    <w:p w:rsidR="00202915" w:rsidRDefault="00202915" w:rsidP="00202915">
      <w:pPr>
        <w:pStyle w:val="NoSpacing"/>
      </w:pPr>
    </w:p>
    <w:p w:rsidR="00202915" w:rsidRPr="006424BD" w:rsidRDefault="00202915" w:rsidP="0090148E">
      <w:pPr>
        <w:pStyle w:val="NoSpacing"/>
        <w:spacing w:line="276" w:lineRule="auto"/>
        <w:rPr>
          <w:color w:val="C0504D" w:themeColor="accent2"/>
        </w:rPr>
      </w:pPr>
      <w:r>
        <w:t xml:space="preserve">From Table </w:t>
      </w:r>
      <w:r w:rsidRPr="00DB2DC4">
        <w:t>6</w:t>
      </w:r>
      <w:r>
        <w:t xml:space="preserve"> [second major submission report table 30], COX-2 selective </w:t>
      </w:r>
      <w:r w:rsidR="001F6C5E">
        <w:t>NSAIDs</w:t>
      </w:r>
      <w:r>
        <w:t xml:space="preserve"> reduce the risk of both endoscopic ulcers and clinically relevant outcomes [POBs/PUBs] compared to conventional </w:t>
      </w:r>
      <w:r w:rsidR="001F6C5E">
        <w:t>NSAIDs</w:t>
      </w:r>
      <w:r>
        <w:t xml:space="preserve">. There is a suggestion in the data that the relative risk is smaller [i.e. larger relative risk </w:t>
      </w:r>
      <w:r w:rsidRPr="000D2244">
        <w:rPr>
          <w:b/>
        </w:rPr>
        <w:t>reduction</w:t>
      </w:r>
      <w:r>
        <w:rPr>
          <w:b/>
        </w:rPr>
        <w:t>]</w:t>
      </w:r>
      <w:r>
        <w:t xml:space="preserve"> for endoscopic ulcers than for POBs/PUBs. In Table </w:t>
      </w:r>
      <w:r w:rsidRPr="00DB2DC4">
        <w:t>7</w:t>
      </w:r>
      <w:r>
        <w:t xml:space="preserve"> above [second major submission report table 31], for the comparison of naproxen plus esomeprazole vs. naproxen, the adjusted RR for clinically relevant outcomes was 0.2 [CI 0.1, 0.8]. The RR for endoscopy studies was reported as 0.2 [CI 0.2-0.4], based on a meta-analysis of 2 studies. Inspection of the tables on which this meta-analysis was based had a data inconsistency for one of the two </w:t>
      </w:r>
      <w:r w:rsidRPr="006424BD">
        <w:t>stud</w:t>
      </w:r>
      <w:r>
        <w:t>ies, which reported</w:t>
      </w:r>
      <w:r w:rsidRPr="00DB2DC4">
        <w:t xml:space="preserve"> 1 endoscopic ulcer in the esomeprazole/naproxen group, out of 218 patients, but g</w:t>
      </w:r>
      <w:r w:rsidR="00EA5A38">
        <w:t>ave</w:t>
      </w:r>
      <w:r w:rsidRPr="00DB2DC4">
        <w:t xml:space="preserve"> the incidence as 5%.</w:t>
      </w:r>
      <w:r>
        <w:rPr>
          <w:lang w:val="en-AU"/>
        </w:rPr>
        <w:t xml:space="preserve"> This has been queried with the </w:t>
      </w:r>
      <w:r w:rsidR="00EA5A38">
        <w:rPr>
          <w:lang w:val="en-AU"/>
        </w:rPr>
        <w:t>Sponsor</w:t>
      </w:r>
      <w:r>
        <w:rPr>
          <w:lang w:val="en-AU"/>
        </w:rPr>
        <w:t xml:space="preserve">, and analysis of the correct data shows the RR as 0.23 [CI 0.13, 0.39]. The full explanation is provided in </w:t>
      </w:r>
      <w:r w:rsidR="007D7B91">
        <w:rPr>
          <w:lang w:val="en-AU"/>
        </w:rPr>
        <w:t xml:space="preserve">Attachment 4, </w:t>
      </w:r>
      <w:r w:rsidR="007D7B91" w:rsidRPr="00FE0AF9">
        <w:rPr>
          <w:i/>
          <w:lang w:val="en-AU"/>
        </w:rPr>
        <w:t>Documents used in the review</w:t>
      </w:r>
      <w:r w:rsidR="007D7B91">
        <w:rPr>
          <w:lang w:val="en-AU"/>
        </w:rPr>
        <w:t>.</w:t>
      </w:r>
      <w:r>
        <w:rPr>
          <w:lang w:val="en-AU"/>
        </w:rPr>
        <w:t xml:space="preserve"> </w:t>
      </w:r>
    </w:p>
    <w:p w:rsidR="00202915" w:rsidRPr="0011794A" w:rsidRDefault="00202915" w:rsidP="00202915">
      <w:pPr>
        <w:widowControl w:val="0"/>
        <w:autoSpaceDE w:val="0"/>
        <w:autoSpaceDN w:val="0"/>
        <w:adjustRightInd w:val="0"/>
        <w:rPr>
          <w:rFonts w:ascii="TimesNewRomanPSMT" w:hAnsi="TimesNewRomanPSMT" w:cs="TimesNewRomanPSMT"/>
        </w:rPr>
      </w:pPr>
    </w:p>
    <w:p w:rsidR="00202915" w:rsidRPr="00DD71F2" w:rsidRDefault="00202915" w:rsidP="00202915">
      <w:pPr>
        <w:rPr>
          <w:b/>
        </w:rPr>
      </w:pPr>
      <w:r w:rsidRPr="00DD71F2">
        <w:rPr>
          <w:b/>
        </w:rPr>
        <w:t>Extent to which addressed in recent comments by PES/ PBAC</w:t>
      </w:r>
    </w:p>
    <w:p w:rsidR="00202915" w:rsidRPr="0011794A" w:rsidRDefault="00202915" w:rsidP="00202915">
      <w:r>
        <w:t xml:space="preserve">The PES commentary for the March 2012 meeting comments on the fact that the RRs for COX-2 selective inhibitors compared with </w:t>
      </w:r>
      <w:r w:rsidR="001F6C5E">
        <w:t>NSAIDS</w:t>
      </w:r>
      <w:r>
        <w:t xml:space="preserve"> are generally smaller [greater relative risk reduction] for endoscopic ulcers than for clinically relevant outcomes. They suggest that overestimation by using endoscopically detected ulcers may have an impact on establishing non-inferiority. The PES also point out that the CIs are very wide for the study on clinically relevant outcomes in the study of high-risk patients comparing naproxen +</w:t>
      </w:r>
      <w:r w:rsidR="0090148E">
        <w:t xml:space="preserve"> </w:t>
      </w:r>
      <w:r>
        <w:t>esomeprazole vs. naproxen</w:t>
      </w:r>
      <w:r w:rsidR="0090148E">
        <w:t>.</w:t>
      </w:r>
      <w:r>
        <w:t xml:space="preserve"> </w:t>
      </w:r>
    </w:p>
    <w:p w:rsidR="00202915" w:rsidRPr="00DD71F2" w:rsidRDefault="00202915" w:rsidP="00202915">
      <w:pPr>
        <w:rPr>
          <w:b/>
        </w:rPr>
      </w:pPr>
      <w:r w:rsidRPr="00DD71F2">
        <w:rPr>
          <w:b/>
        </w:rPr>
        <w:t>Reviewer Comment</w:t>
      </w:r>
    </w:p>
    <w:p w:rsidR="00202915" w:rsidRPr="0011794A" w:rsidRDefault="00202915" w:rsidP="00202915">
      <w:pPr>
        <w:rPr>
          <w:rFonts w:eastAsiaTheme="majorEastAsia" w:cstheme="majorBidi"/>
          <w:b/>
          <w:bCs/>
          <w:i/>
        </w:rPr>
      </w:pPr>
      <w:r w:rsidRPr="0011794A">
        <w:t xml:space="preserve">This is </w:t>
      </w:r>
      <w:r>
        <w:t>considered</w:t>
      </w:r>
      <w:r w:rsidRPr="0011794A">
        <w:t xml:space="preserve"> the most important </w:t>
      </w:r>
      <w:r>
        <w:t>p</w:t>
      </w:r>
      <w:r w:rsidRPr="0011794A">
        <w:t>art</w:t>
      </w:r>
      <w:r>
        <w:t xml:space="preserve"> of the STFOWG</w:t>
      </w:r>
      <w:r w:rsidRPr="0011794A">
        <w:t xml:space="preserve">. </w:t>
      </w:r>
      <w:r>
        <w:rPr>
          <w:rFonts w:eastAsiaTheme="majorEastAsia" w:cstheme="majorBidi"/>
          <w:bCs/>
        </w:rPr>
        <w:t>D</w:t>
      </w:r>
      <w:r w:rsidRPr="0011794A">
        <w:rPr>
          <w:rFonts w:eastAsiaTheme="majorEastAsia" w:cstheme="majorBidi"/>
          <w:bCs/>
        </w:rPr>
        <w:t>irect evidence is lacking</w:t>
      </w:r>
      <w:r>
        <w:rPr>
          <w:rFonts w:eastAsiaTheme="majorEastAsia" w:cstheme="majorBidi"/>
          <w:bCs/>
        </w:rPr>
        <w:t xml:space="preserve"> and unlikely to be obtainable. T</w:t>
      </w:r>
      <w:r w:rsidRPr="0011794A">
        <w:rPr>
          <w:rFonts w:eastAsiaTheme="majorEastAsia" w:cstheme="majorBidi"/>
          <w:bCs/>
        </w:rPr>
        <w:t>he indirect evidence points towards endoscopic ulcers showing similar results to clinical endpoints</w:t>
      </w:r>
      <w:r>
        <w:rPr>
          <w:rFonts w:eastAsiaTheme="majorEastAsia" w:cstheme="majorBidi"/>
          <w:bCs/>
        </w:rPr>
        <w:t xml:space="preserve">, based on the point estimates, for several drugs which are designed to avoid the UGI complications of conventional </w:t>
      </w:r>
      <w:r w:rsidR="001F6C5E">
        <w:rPr>
          <w:rFonts w:eastAsiaTheme="majorEastAsia" w:cstheme="majorBidi"/>
          <w:bCs/>
        </w:rPr>
        <w:t>NSAIDs</w:t>
      </w:r>
      <w:r>
        <w:rPr>
          <w:rFonts w:eastAsiaTheme="majorEastAsia" w:cstheme="majorBidi"/>
          <w:bCs/>
        </w:rPr>
        <w:t xml:space="preserve">. If the effect of these drugs is greater on the PSM than the TCO, it will make for a more stringent test of non-inferiority. </w:t>
      </w:r>
    </w:p>
    <w:p w:rsidR="00202915" w:rsidRDefault="00202915" w:rsidP="00202915">
      <w:pPr>
        <w:pStyle w:val="Heading3"/>
      </w:pPr>
      <w:bookmarkStart w:id="64" w:name="_Toc356560777"/>
      <w:r w:rsidRPr="0011794A">
        <w:t>Conclusion</w:t>
      </w:r>
      <w:bookmarkEnd w:id="64"/>
    </w:p>
    <w:p w:rsidR="00202915" w:rsidRPr="00F90CA1" w:rsidRDefault="00202915" w:rsidP="00202915">
      <w:r>
        <w:t>Though not ideal, the evidence is considered acceptable to fulfil this part of the STFOWG</w:t>
      </w:r>
      <w:r w:rsidR="0090148E">
        <w:t>.</w:t>
      </w:r>
    </w:p>
    <w:p w:rsidR="00202915" w:rsidRDefault="00202915" w:rsidP="00202915">
      <w:pPr>
        <w:pStyle w:val="Heading2"/>
      </w:pPr>
      <w:bookmarkStart w:id="65" w:name="_Toc356560778"/>
      <w:r w:rsidRPr="0011794A">
        <w:t xml:space="preserve">Part </w:t>
      </w:r>
      <w:r>
        <w:t>Four of the STFOWG</w:t>
      </w:r>
      <w:r w:rsidRPr="0011794A">
        <w:t xml:space="preserve">: </w:t>
      </w:r>
      <w:r w:rsidRPr="00B66466">
        <w:rPr>
          <w:sz w:val="24"/>
          <w:szCs w:val="24"/>
        </w:rPr>
        <w:t>Support for why the relationship between the comparative treatment effects on the PSM and TCO with these other drugs is likely to apply to the proposed drug.  Information about the comparative treatment effect of the proposed drug on the PSM.</w:t>
      </w:r>
      <w:bookmarkEnd w:id="65"/>
      <w:r w:rsidRPr="0011794A">
        <w:t xml:space="preserve"> </w:t>
      </w:r>
    </w:p>
    <w:p w:rsidR="00202915" w:rsidRPr="0011794A" w:rsidRDefault="00202915" w:rsidP="00202915">
      <w:r w:rsidRPr="0011794A">
        <w:t>In addition to th</w:t>
      </w:r>
      <w:r>
        <w:t>e</w:t>
      </w:r>
      <w:r w:rsidRPr="0011794A">
        <w:t xml:space="preserve"> </w:t>
      </w:r>
      <w:r>
        <w:t>P</w:t>
      </w:r>
      <w:r w:rsidRPr="0011794A">
        <w:t xml:space="preserve">art </w:t>
      </w:r>
      <w:r>
        <w:t>Fo</w:t>
      </w:r>
      <w:r w:rsidRPr="0011794A">
        <w:t>ur requirement</w:t>
      </w:r>
      <w:r>
        <w:t xml:space="preserve"> stated in the above title</w:t>
      </w:r>
      <w:r w:rsidRPr="0011794A">
        <w:t>, an</w:t>
      </w:r>
      <w:r>
        <w:t>other issue</w:t>
      </w:r>
      <w:r w:rsidRPr="0011794A">
        <w:t xml:space="preserve"> in studies comparing drugs is whether the surrogate is equally good for assessing the drug effects in both arms, i.e. an unbiased ‘umpire’ of effects </w:t>
      </w:r>
      <w:r>
        <w:t>[Glasziou et al</w:t>
      </w:r>
      <w:r w:rsidR="00D25D76">
        <w:t>, 2008</w:t>
      </w:r>
      <w:r>
        <w:t>]</w:t>
      </w:r>
    </w:p>
    <w:p w:rsidR="00202915" w:rsidRPr="00DD71F2" w:rsidRDefault="00202915" w:rsidP="00202915">
      <w:pPr>
        <w:rPr>
          <w:b/>
        </w:rPr>
      </w:pPr>
      <w:r w:rsidRPr="00DD71F2">
        <w:rPr>
          <w:b/>
        </w:rPr>
        <w:t>Extent to which addressed in recent comments by Sponsor submission</w:t>
      </w:r>
    </w:p>
    <w:p w:rsidR="00202915" w:rsidRDefault="00202915" w:rsidP="00202915">
      <w:pPr>
        <w:pStyle w:val="NoSpacing"/>
      </w:pPr>
      <w:r w:rsidRPr="0011794A">
        <w:t xml:space="preserve">The information in </w:t>
      </w:r>
      <w:r>
        <w:t>P</w:t>
      </w:r>
      <w:r w:rsidRPr="0011794A">
        <w:t xml:space="preserve">art </w:t>
      </w:r>
      <w:r w:rsidR="00D25D76">
        <w:t>Three</w:t>
      </w:r>
      <w:r w:rsidRPr="0011794A">
        <w:t xml:space="preserve"> </w:t>
      </w:r>
      <w:r>
        <w:t xml:space="preserve">above </w:t>
      </w:r>
      <w:r w:rsidRPr="0011794A">
        <w:t xml:space="preserve">seems to hold reasonably for </w:t>
      </w:r>
      <w:r>
        <w:t xml:space="preserve">drugs such as celecoxib [the major comparator] and there is some evidence that the effect is similar for naproxen plus esomeprazole. </w:t>
      </w:r>
    </w:p>
    <w:p w:rsidR="00202915" w:rsidRPr="0011794A" w:rsidRDefault="00202915" w:rsidP="00202915">
      <w:pPr>
        <w:pStyle w:val="NoSpacing"/>
      </w:pPr>
    </w:p>
    <w:p w:rsidR="00202915" w:rsidRPr="00DD71F2" w:rsidRDefault="00202915" w:rsidP="00202915">
      <w:pPr>
        <w:rPr>
          <w:b/>
        </w:rPr>
      </w:pPr>
      <w:r w:rsidRPr="00DD71F2">
        <w:rPr>
          <w:b/>
        </w:rPr>
        <w:t>Extent to which addressed in recent comments by PES/ PBAC</w:t>
      </w:r>
    </w:p>
    <w:p w:rsidR="00202915" w:rsidRPr="0011794A" w:rsidRDefault="00202915" w:rsidP="00202915">
      <w:r w:rsidRPr="0011794A">
        <w:t xml:space="preserve">No </w:t>
      </w:r>
      <w:r>
        <w:t>additional major</w:t>
      </w:r>
      <w:r w:rsidRPr="0011794A">
        <w:t xml:space="preserve"> comment</w:t>
      </w:r>
    </w:p>
    <w:p w:rsidR="00202915" w:rsidRPr="00DD71F2" w:rsidRDefault="00202915" w:rsidP="00202915">
      <w:pPr>
        <w:rPr>
          <w:b/>
        </w:rPr>
      </w:pPr>
      <w:r w:rsidRPr="00DD71F2">
        <w:rPr>
          <w:b/>
        </w:rPr>
        <w:t>Reviewer Comment</w:t>
      </w:r>
    </w:p>
    <w:p w:rsidR="00202915" w:rsidRPr="0011794A" w:rsidRDefault="00202915" w:rsidP="00202915">
      <w:r>
        <w:t xml:space="preserve">Within the constraints of the information available in Part Three, there are no additional concerns about Part Four. </w:t>
      </w:r>
    </w:p>
    <w:p w:rsidR="00202915" w:rsidRPr="0011794A" w:rsidRDefault="00202915" w:rsidP="00202915">
      <w:pPr>
        <w:pStyle w:val="Heading3"/>
      </w:pPr>
      <w:bookmarkStart w:id="66" w:name="_Toc356560779"/>
      <w:r w:rsidRPr="0011794A">
        <w:t>Conclusion</w:t>
      </w:r>
      <w:bookmarkEnd w:id="66"/>
    </w:p>
    <w:p w:rsidR="00202915" w:rsidRPr="0011794A" w:rsidRDefault="00202915" w:rsidP="00202915">
      <w:r w:rsidRPr="0011794A">
        <w:t xml:space="preserve">The requirement for </w:t>
      </w:r>
      <w:r>
        <w:t>P</w:t>
      </w:r>
      <w:r w:rsidRPr="0011794A">
        <w:t xml:space="preserve">art </w:t>
      </w:r>
      <w:r>
        <w:t>F</w:t>
      </w:r>
      <w:r w:rsidRPr="0011794A">
        <w:t>our is reasonably met</w:t>
      </w:r>
      <w:r>
        <w:t xml:space="preserve">. </w:t>
      </w:r>
    </w:p>
    <w:p w:rsidR="00202915" w:rsidRPr="0011794A" w:rsidRDefault="00202915" w:rsidP="00202915">
      <w:pPr>
        <w:pStyle w:val="Heading2"/>
      </w:pPr>
      <w:bookmarkStart w:id="67" w:name="_Toc356560780"/>
      <w:r w:rsidRPr="0011794A">
        <w:t xml:space="preserve">Part </w:t>
      </w:r>
      <w:r>
        <w:t>Five of the STFOWG</w:t>
      </w:r>
      <w:r w:rsidRPr="0011794A">
        <w:t xml:space="preserve">: </w:t>
      </w:r>
      <w:r w:rsidRPr="00B66466">
        <w:rPr>
          <w:sz w:val="24"/>
          <w:szCs w:val="24"/>
        </w:rPr>
        <w:t>Relevant considerations for incorporation of the comparative treatment effect based on the PSM into the economic evaluation.</w:t>
      </w:r>
      <w:bookmarkEnd w:id="67"/>
      <w:r w:rsidRPr="0011794A">
        <w:t xml:space="preserve"> </w:t>
      </w:r>
    </w:p>
    <w:p w:rsidR="00202915" w:rsidRPr="0011794A" w:rsidRDefault="00202915" w:rsidP="00202915">
      <w:r w:rsidRPr="0011794A">
        <w:t>According to the STFOWG report “…..economic evaluations presented to PBAC need to capture the full extent of uncertainty associated with having to rely on PSMs to predict comparative treatment effects on the TCOs rather than on a direct measurement of the comparative treatment effect of the TCOs and their 95% confidence intervals in direct randomised trials. Incorporating the full extent of uncertainty more formally into the economic evaluation is particularly important if the uncertainty is to be presented via a probabilistic sensitivity analysis. At the very least, the elements of this uncertainty need to reflect both the uncertainty in the estimation of the comparative treatment effect on the PSM and also the uncertainty of the transformation.”</w:t>
      </w:r>
    </w:p>
    <w:p w:rsidR="00202915" w:rsidRPr="0011794A" w:rsidRDefault="00202915" w:rsidP="00202915">
      <w:r w:rsidRPr="0011794A">
        <w:t>Although non-inferiority is not directly addressed in the STFOWG report, the concept of transformation is relevant to decision-making</w:t>
      </w:r>
      <w:r>
        <w:t xml:space="preserve"> by the PBAC. Decisions</w:t>
      </w:r>
      <w:r w:rsidRPr="0011794A">
        <w:t xml:space="preserve"> about non-inferiority limits for </w:t>
      </w:r>
      <w:r w:rsidR="00361630">
        <w:t>surrogates is facilitated i</w:t>
      </w:r>
      <w:r w:rsidRPr="0011794A">
        <w:t xml:space="preserve">f there is a quantitative estimate of the relationship between </w:t>
      </w:r>
      <w:r>
        <w:t xml:space="preserve">the effect of drugs on the </w:t>
      </w:r>
      <w:r w:rsidRPr="0011794A">
        <w:t xml:space="preserve">PSM and </w:t>
      </w:r>
      <w:r>
        <w:t xml:space="preserve">the </w:t>
      </w:r>
      <w:r w:rsidRPr="0011794A">
        <w:t>TCO, so that a judgement on the</w:t>
      </w:r>
      <w:r>
        <w:t xml:space="preserve"> non-inferiority</w:t>
      </w:r>
      <w:r w:rsidRPr="0011794A">
        <w:t xml:space="preserve"> limit on the TCO can be back-transformed to the </w:t>
      </w:r>
      <w:r>
        <w:t xml:space="preserve">non-inferiority </w:t>
      </w:r>
      <w:r w:rsidRPr="0011794A">
        <w:t xml:space="preserve">limit for the surrogate. If </w:t>
      </w:r>
      <w:r>
        <w:t>this quantitative estimate of the PSM:TCO relationship</w:t>
      </w:r>
      <w:r w:rsidRPr="0011794A">
        <w:t xml:space="preserve"> is not available, the judgement still needs to take account of the </w:t>
      </w:r>
      <w:r>
        <w:t>available information about this relationship</w:t>
      </w:r>
      <w:r w:rsidRPr="0011794A">
        <w:t xml:space="preserve">. </w:t>
      </w:r>
    </w:p>
    <w:p w:rsidR="00202915" w:rsidRPr="003233C6" w:rsidRDefault="00202915" w:rsidP="00202915">
      <w:pPr>
        <w:rPr>
          <w:b/>
        </w:rPr>
      </w:pPr>
      <w:r w:rsidRPr="003233C6">
        <w:rPr>
          <w:b/>
        </w:rPr>
        <w:t>Extent to which addressed by Sponsor submission</w:t>
      </w:r>
    </w:p>
    <w:p w:rsidR="00202915" w:rsidRDefault="00202915" w:rsidP="00202915">
      <w:pPr>
        <w:pStyle w:val="NoSpacing"/>
      </w:pPr>
      <w:r w:rsidRPr="0011794A">
        <w:t xml:space="preserve">This has not been materially addressed by the </w:t>
      </w:r>
      <w:r>
        <w:t>Sponsor</w:t>
      </w:r>
      <w:r w:rsidRPr="0011794A">
        <w:t xml:space="preserve"> </w:t>
      </w:r>
      <w:r>
        <w:t xml:space="preserve">beyond the information in previous </w:t>
      </w:r>
      <w:r w:rsidR="002909E6">
        <w:t>p</w:t>
      </w:r>
      <w:r>
        <w:t>arts</w:t>
      </w:r>
      <w:r w:rsidR="007436F4">
        <w:t>.</w:t>
      </w:r>
    </w:p>
    <w:p w:rsidR="00202915" w:rsidRPr="0011794A" w:rsidRDefault="00202915" w:rsidP="00202915">
      <w:pPr>
        <w:pStyle w:val="NoSpacing"/>
      </w:pPr>
    </w:p>
    <w:p w:rsidR="00202915" w:rsidRPr="003233C6" w:rsidRDefault="00202915" w:rsidP="00202915">
      <w:pPr>
        <w:rPr>
          <w:b/>
        </w:rPr>
      </w:pPr>
      <w:r w:rsidRPr="003233C6">
        <w:rPr>
          <w:b/>
        </w:rPr>
        <w:t>Extent to which addressed in recent comments by PES/ PBAC</w:t>
      </w:r>
    </w:p>
    <w:p w:rsidR="00202915" w:rsidRDefault="00202915" w:rsidP="00202915">
      <w:pPr>
        <w:pStyle w:val="NoSpacing"/>
      </w:pPr>
      <w:r w:rsidRPr="0011794A">
        <w:t>This has not been materially addressed by the PBAC</w:t>
      </w:r>
      <w:r>
        <w:t xml:space="preserve"> beyond the information in previous </w:t>
      </w:r>
      <w:r w:rsidR="002909E6">
        <w:t>p</w:t>
      </w:r>
      <w:r>
        <w:t>arts</w:t>
      </w:r>
      <w:r w:rsidR="007436F4">
        <w:t>.</w:t>
      </w:r>
    </w:p>
    <w:p w:rsidR="00202915" w:rsidRPr="0011794A" w:rsidRDefault="00202915" w:rsidP="00202915">
      <w:pPr>
        <w:pStyle w:val="NoSpacing"/>
      </w:pPr>
    </w:p>
    <w:p w:rsidR="00202915" w:rsidRPr="003233C6" w:rsidRDefault="00202915" w:rsidP="00202915">
      <w:pPr>
        <w:rPr>
          <w:b/>
        </w:rPr>
      </w:pPr>
      <w:r w:rsidRPr="003233C6">
        <w:rPr>
          <w:b/>
        </w:rPr>
        <w:t>Reviewer Comment</w:t>
      </w:r>
    </w:p>
    <w:p w:rsidR="00202915" w:rsidRPr="0011794A" w:rsidRDefault="00202915" w:rsidP="00202915">
      <w:r>
        <w:t xml:space="preserve">Good quantitative direct evidence on the relative effects of the drugs on the PSM and TCO is lacking. However, the indirect evidence suggests that the effect of drugs will be similar or less on clinically relevant outcomes than on endoscopic ulcers. </w:t>
      </w:r>
    </w:p>
    <w:p w:rsidR="00202915" w:rsidRPr="0011794A" w:rsidRDefault="00202915" w:rsidP="00202915">
      <w:pPr>
        <w:pStyle w:val="Heading3"/>
      </w:pPr>
      <w:bookmarkStart w:id="68" w:name="_Toc356560781"/>
      <w:r w:rsidRPr="0011794A">
        <w:t>Conclusion</w:t>
      </w:r>
      <w:bookmarkEnd w:id="68"/>
    </w:p>
    <w:p w:rsidR="00202915" w:rsidRPr="0011794A" w:rsidRDefault="00202915" w:rsidP="00202915">
      <w:r>
        <w:t>The available evidence suggests it would be reasonable to consider Part Five as sufficiently well addressed to allow non-inferiority limits to be set on endoscopic ulcers as a surrogate for clinically relevant outcomes.</w:t>
      </w:r>
    </w:p>
    <w:p w:rsidR="00202915" w:rsidRDefault="00202915" w:rsidP="00202915">
      <w:pPr>
        <w:pStyle w:val="Heading2"/>
      </w:pPr>
      <w:bookmarkStart w:id="69" w:name="_Toc356560782"/>
      <w:r>
        <w:t>Overall Conclusion about the validity of the surrogate in principle.</w:t>
      </w:r>
      <w:bookmarkEnd w:id="69"/>
    </w:p>
    <w:p w:rsidR="00202915" w:rsidRPr="004E3BAF" w:rsidRDefault="00202915" w:rsidP="00202915">
      <w:r>
        <w:t>Although evidence from studies assessing clinically relevant outcomes is clearly always preferable, it seems</w:t>
      </w:r>
      <w:r w:rsidRPr="004E3BAF">
        <w:t xml:space="preserve"> </w:t>
      </w:r>
      <w:r>
        <w:t xml:space="preserve">reasonable to </w:t>
      </w:r>
      <w:r w:rsidRPr="004E3BAF">
        <w:t xml:space="preserve">use endoscopic ulcers as a surrogate for clinically relevant upper gastrointestinal outcomes based </w:t>
      </w:r>
      <w:r>
        <w:t xml:space="preserve">especially </w:t>
      </w:r>
      <w:r w:rsidRPr="004E3BAF">
        <w:t xml:space="preserve">on Parts </w:t>
      </w:r>
      <w:r w:rsidR="00D25D76">
        <w:t>Two</w:t>
      </w:r>
      <w:r w:rsidRPr="004E3BAF">
        <w:t xml:space="preserve"> and </w:t>
      </w:r>
      <w:r w:rsidR="00D25D76">
        <w:t>Three</w:t>
      </w:r>
      <w:r w:rsidRPr="004E3BAF">
        <w:t xml:space="preserve">, the most important </w:t>
      </w:r>
      <w:r>
        <w:t>pa</w:t>
      </w:r>
      <w:r w:rsidRPr="004E3BAF">
        <w:t xml:space="preserve">rts of the STFOWG report. </w:t>
      </w:r>
    </w:p>
    <w:p w:rsidR="00202915" w:rsidRPr="008214CA" w:rsidRDefault="00202915" w:rsidP="00202915">
      <w:r>
        <w:t xml:space="preserve">However, as part of its responsibilities, </w:t>
      </w:r>
      <w:r w:rsidRPr="008214CA">
        <w:t xml:space="preserve">PBAC </w:t>
      </w:r>
      <w:r>
        <w:t xml:space="preserve">will still </w:t>
      </w:r>
      <w:r w:rsidRPr="008214CA">
        <w:t>need to</w:t>
      </w:r>
      <w:r>
        <w:t xml:space="preserve"> decide </w:t>
      </w:r>
      <w:r w:rsidRPr="008214CA">
        <w:t xml:space="preserve">whether the evidence is sufficiently strong for them to accept the use of endoscopic ulcers as a surrogate. This judgement needs to take into account that: </w:t>
      </w:r>
    </w:p>
    <w:p w:rsidR="00202915" w:rsidRDefault="00202915" w:rsidP="00202915">
      <w:pPr>
        <w:pStyle w:val="ListParagraph"/>
        <w:numPr>
          <w:ilvl w:val="0"/>
          <w:numId w:val="17"/>
        </w:numPr>
        <w:spacing w:after="0" w:line="240" w:lineRule="auto"/>
      </w:pPr>
      <w:r>
        <w:t>Surrogates are most useful when the clinically relevant outcomes are distant in time. In that case, the use of surrogates can appreciably shorten the duration of studies. If the clinically relevant outcomes occur in a similar timescale to the surrogates, they may still have the advantage of requiring smaller sample sizes in randomised trials.</w:t>
      </w:r>
    </w:p>
    <w:p w:rsidR="00202915" w:rsidRPr="008214CA" w:rsidRDefault="00202915" w:rsidP="00202915">
      <w:pPr>
        <w:pStyle w:val="ListParagraph"/>
        <w:numPr>
          <w:ilvl w:val="0"/>
          <w:numId w:val="17"/>
        </w:numPr>
        <w:spacing w:after="0" w:line="240" w:lineRule="auto"/>
      </w:pPr>
      <w:r>
        <w:t>E</w:t>
      </w:r>
      <w:r w:rsidRPr="008214CA">
        <w:t>vidence has accumulated, since PBAC decisions were made about celecoxib, to support the use of endoscopic ulcers as a surrogate.</w:t>
      </w:r>
    </w:p>
    <w:p w:rsidR="00202915" w:rsidRPr="008214CA" w:rsidRDefault="00202915" w:rsidP="00202915">
      <w:pPr>
        <w:pStyle w:val="ListParagraph"/>
        <w:numPr>
          <w:ilvl w:val="0"/>
          <w:numId w:val="17"/>
        </w:numPr>
        <w:spacing w:after="0" w:line="240" w:lineRule="auto"/>
      </w:pPr>
      <w:r>
        <w:t>G</w:t>
      </w:r>
      <w:r w:rsidRPr="008214CA">
        <w:t>etting better [direct] evidence about the value of the surrogate as a predictor of clinically relevant outcomes is unlikely</w:t>
      </w:r>
      <w:r>
        <w:t>. [STFOWG Part Two]</w:t>
      </w:r>
    </w:p>
    <w:p w:rsidR="00202915" w:rsidRPr="008214CA" w:rsidRDefault="00202915" w:rsidP="00202915">
      <w:pPr>
        <w:pStyle w:val="ListParagraph"/>
        <w:numPr>
          <w:ilvl w:val="0"/>
          <w:numId w:val="17"/>
        </w:numPr>
        <w:spacing w:after="0" w:line="240" w:lineRule="auto"/>
      </w:pPr>
      <w:r>
        <w:t>B</w:t>
      </w:r>
      <w:r w:rsidRPr="008214CA">
        <w:t>ecause endoscopic ulcers as a surrogate is becoming more widely accepted, it is difficult now to mount studies to get direct evidence on clinically relevant outcomes.</w:t>
      </w:r>
      <w:r>
        <w:t xml:space="preserve"> [STFOWG Part Three]</w:t>
      </w:r>
    </w:p>
    <w:p w:rsidR="00202915" w:rsidRPr="004E3BAF" w:rsidRDefault="00202915" w:rsidP="00202915"/>
    <w:p w:rsidR="00202915" w:rsidRPr="0011794A" w:rsidRDefault="00202915" w:rsidP="00202915">
      <w:pPr>
        <w:pStyle w:val="Heading1"/>
      </w:pPr>
      <w:bookmarkStart w:id="70" w:name="_Toc356560783"/>
      <w:r w:rsidRPr="0011794A">
        <w:t>Adequacy of assessment of non-inferiority</w:t>
      </w:r>
      <w:bookmarkEnd w:id="70"/>
      <w:r w:rsidRPr="0011794A">
        <w:t xml:space="preserve"> </w:t>
      </w:r>
    </w:p>
    <w:p w:rsidR="00202915" w:rsidRDefault="00202915" w:rsidP="00202915">
      <w:r>
        <w:t xml:space="preserve">If PBAC accept the use of endoscopic ulcers as a surrogate for clinically relevant outcomes, there is still the requirement to assess non-inferiority using the surrogate. </w:t>
      </w:r>
      <w:r w:rsidRPr="0011794A">
        <w:t xml:space="preserve"> </w:t>
      </w:r>
    </w:p>
    <w:p w:rsidR="00202915" w:rsidRDefault="00202915" w:rsidP="00202915">
      <w:r>
        <w:t>The Sponsor states that the focus of the 2</w:t>
      </w:r>
      <w:r w:rsidRPr="00006458">
        <w:rPr>
          <w:vertAlign w:val="superscript"/>
        </w:rPr>
        <w:t>nd</w:t>
      </w:r>
      <w:r>
        <w:t xml:space="preserve"> submission is on endoscopically-detected ulcer outcome, with one of the points in the overall claim being that </w:t>
      </w:r>
      <w:r w:rsidR="004B2048">
        <w:t>Vimovo®</w:t>
      </w:r>
      <w:r>
        <w:t xml:space="preserve"> is non-inferior to celecoxib. [page 114].</w:t>
      </w:r>
    </w:p>
    <w:p w:rsidR="00202915" w:rsidRDefault="00202915" w:rsidP="00202915">
      <w:r>
        <w:t xml:space="preserve">The PBAC Guidelines say that Sponsors are to </w:t>
      </w:r>
      <w:r w:rsidRPr="0011794A">
        <w:t>explain and justify on clinical or other grounds the value of the non</w:t>
      </w:r>
      <w:r>
        <w:t>-</w:t>
      </w:r>
      <w:r w:rsidRPr="0011794A">
        <w:t>inferiority</w:t>
      </w:r>
      <w:r>
        <w:t xml:space="preserve"> </w:t>
      </w:r>
      <w:r w:rsidRPr="0011794A">
        <w:t>threshold difference in treatment effect between the proposed drug and its main</w:t>
      </w:r>
      <w:r>
        <w:t xml:space="preserve"> </w:t>
      </w:r>
      <w:r w:rsidRPr="0011794A">
        <w:t>comparator. Furthermore</w:t>
      </w:r>
      <w:r>
        <w:t xml:space="preserve">, there should then be a </w:t>
      </w:r>
      <w:r w:rsidRPr="0011794A">
        <w:t xml:space="preserve">comparison </w:t>
      </w:r>
      <w:r>
        <w:t xml:space="preserve">of </w:t>
      </w:r>
      <w:r w:rsidRPr="0011794A">
        <w:t xml:space="preserve">the point estimate of the difference </w:t>
      </w:r>
      <w:r>
        <w:t xml:space="preserve">between the Sponsor’s drug and the comparator </w:t>
      </w:r>
      <w:r w:rsidRPr="0011794A">
        <w:t>with its 95% confidence interval. This allows PBAC to assess whether the confidence interval contains the minimal clinically important difference</w:t>
      </w:r>
      <w:r>
        <w:t>. This expectation is also reflected in the cost-minimisation checklist.</w:t>
      </w:r>
      <w:r w:rsidRPr="0011794A">
        <w:t xml:space="preserve"> The following cost-minimisation checklist </w:t>
      </w:r>
      <w:r>
        <w:t xml:space="preserve">for </w:t>
      </w:r>
      <w:r w:rsidR="004B2048">
        <w:t>Vimovo®</w:t>
      </w:r>
      <w:r>
        <w:t xml:space="preserve"> </w:t>
      </w:r>
      <w:r w:rsidRPr="0011794A">
        <w:t xml:space="preserve">is copied from the </w:t>
      </w:r>
      <w:r>
        <w:t xml:space="preserve">PES </w:t>
      </w:r>
      <w:r w:rsidRPr="0011794A">
        <w:t xml:space="preserve">commentary </w:t>
      </w:r>
      <w:r>
        <w:t>for the March 2012 PBAC meeting.</w:t>
      </w:r>
      <w:r w:rsidRPr="00FA632B">
        <w:t xml:space="preserve"> </w:t>
      </w:r>
      <w:r>
        <w:t>It</w:t>
      </w:r>
      <w:r w:rsidRPr="0011794A">
        <w:t xml:space="preserve">ems 4, 5, </w:t>
      </w:r>
      <w:r>
        <w:t xml:space="preserve">and </w:t>
      </w:r>
      <w:r w:rsidRPr="0011794A">
        <w:t xml:space="preserve">6 are </w:t>
      </w:r>
      <w:r>
        <w:t xml:space="preserve">the </w:t>
      </w:r>
      <w:r w:rsidRPr="0011794A">
        <w:t xml:space="preserve">relevant </w:t>
      </w:r>
      <w:r>
        <w:t>points for consideration of non-inferiority limits for surrogates.</w:t>
      </w:r>
    </w:p>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Pr="003233C6" w:rsidRDefault="002909E6" w:rsidP="002909E6">
      <w:pPr>
        <w:pStyle w:val="Caption"/>
        <w:jc w:val="center"/>
        <w:rPr>
          <w:color w:val="auto"/>
        </w:rPr>
      </w:pPr>
      <w:r w:rsidRPr="003233C6">
        <w:rPr>
          <w:color w:val="auto"/>
        </w:rPr>
        <w:t>Table 8:  copy of PES Cost Minimisation Checklist March 2012 meeting</w:t>
      </w:r>
    </w:p>
    <w:p w:rsidR="00202915" w:rsidRDefault="00202915" w:rsidP="00202915">
      <w:pPr>
        <w:keepNext/>
      </w:pPr>
      <w:r w:rsidRPr="0011794A">
        <w:rPr>
          <w:noProof/>
          <w:lang w:eastAsia="en-AU"/>
        </w:rPr>
        <w:drawing>
          <wp:inline distT="0" distB="0" distL="0" distR="0" wp14:anchorId="566CBF2F" wp14:editId="24EF5733">
            <wp:extent cx="5274945" cy="4805045"/>
            <wp:effectExtent l="19050" t="19050" r="20955" b="14605"/>
            <wp:docPr id="5" name="Picture 16" descr="Table 8:  copy of PES Cost Minimisation Checklist March 2012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4-27 at 12.04.19 PM.png"/>
                    <pic:cNvPicPr/>
                  </pic:nvPicPr>
                  <pic:blipFill>
                    <a:blip r:embed="rId21">
                      <a:extLst>
                        <a:ext uri="{28A0092B-C50C-407E-A947-70E740481C1C}">
                          <a14:useLocalDpi xmlns:a14="http://schemas.microsoft.com/office/drawing/2010/main" val="0"/>
                        </a:ext>
                      </a:extLst>
                    </a:blip>
                    <a:stretch>
                      <a:fillRect/>
                    </a:stretch>
                  </pic:blipFill>
                  <pic:spPr>
                    <a:xfrm>
                      <a:off x="0" y="0"/>
                      <a:ext cx="5274945" cy="4805045"/>
                    </a:xfrm>
                    <a:prstGeom prst="rect">
                      <a:avLst/>
                    </a:prstGeom>
                    <a:ln>
                      <a:solidFill>
                        <a:schemeClr val="tx1"/>
                      </a:solidFill>
                    </a:ln>
                  </pic:spPr>
                </pic:pic>
              </a:graphicData>
            </a:graphic>
          </wp:inline>
        </w:drawing>
      </w:r>
    </w:p>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Default="002909E6" w:rsidP="00202915"/>
    <w:p w:rsidR="002909E6" w:rsidRPr="003233C6" w:rsidRDefault="002909E6" w:rsidP="002909E6">
      <w:pPr>
        <w:pStyle w:val="Caption"/>
        <w:jc w:val="center"/>
        <w:rPr>
          <w:color w:val="auto"/>
        </w:rPr>
      </w:pPr>
      <w:r w:rsidRPr="00F277E9">
        <w:rPr>
          <w:color w:val="auto"/>
        </w:rPr>
        <w:t>Table 8</w:t>
      </w:r>
      <w:r w:rsidRPr="00A53BA7">
        <w:rPr>
          <w:color w:val="auto"/>
        </w:rPr>
        <w:t xml:space="preserve"> [continued]</w:t>
      </w:r>
      <w:r>
        <w:rPr>
          <w:color w:val="auto"/>
        </w:rPr>
        <w:t>:</w:t>
      </w:r>
      <w:r w:rsidRPr="00F277E9">
        <w:rPr>
          <w:color w:val="auto"/>
        </w:rPr>
        <w:t xml:space="preserve">  copy</w:t>
      </w:r>
      <w:r w:rsidRPr="003233C6">
        <w:rPr>
          <w:color w:val="auto"/>
        </w:rPr>
        <w:t xml:space="preserve"> of PES Cost Minimisation Checklist March 2012 meeting</w:t>
      </w:r>
    </w:p>
    <w:p w:rsidR="00202915" w:rsidRDefault="00202915" w:rsidP="00202915">
      <w:pPr>
        <w:keepNext/>
      </w:pPr>
      <w:r w:rsidRPr="0011794A">
        <w:rPr>
          <w:noProof/>
          <w:lang w:eastAsia="en-AU"/>
        </w:rPr>
        <w:drawing>
          <wp:inline distT="0" distB="0" distL="0" distR="0" wp14:anchorId="21AC7993" wp14:editId="70C0AF33">
            <wp:extent cx="5274945" cy="6988810"/>
            <wp:effectExtent l="19050" t="19050" r="20955" b="21590"/>
            <wp:docPr id="6" name="Picture 17" descr="Table 8:  copy of PES Cost Minimisation Checklist March 2012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4-27 at 12.05.23 PM.png"/>
                    <pic:cNvPicPr/>
                  </pic:nvPicPr>
                  <pic:blipFill>
                    <a:blip r:embed="rId22">
                      <a:extLst>
                        <a:ext uri="{28A0092B-C50C-407E-A947-70E740481C1C}">
                          <a14:useLocalDpi xmlns:a14="http://schemas.microsoft.com/office/drawing/2010/main" val="0"/>
                        </a:ext>
                      </a:extLst>
                    </a:blip>
                    <a:stretch>
                      <a:fillRect/>
                    </a:stretch>
                  </pic:blipFill>
                  <pic:spPr>
                    <a:xfrm>
                      <a:off x="0" y="0"/>
                      <a:ext cx="5274945" cy="6988810"/>
                    </a:xfrm>
                    <a:prstGeom prst="rect">
                      <a:avLst/>
                    </a:prstGeom>
                    <a:ln>
                      <a:solidFill>
                        <a:schemeClr val="tx1"/>
                      </a:solidFill>
                    </a:ln>
                  </pic:spPr>
                </pic:pic>
              </a:graphicData>
            </a:graphic>
          </wp:inline>
        </w:drawing>
      </w:r>
    </w:p>
    <w:p w:rsidR="00202915" w:rsidRPr="0011794A" w:rsidRDefault="00202915" w:rsidP="00202915">
      <w:r w:rsidRPr="0011794A">
        <w:t xml:space="preserve">The </w:t>
      </w:r>
      <w:r>
        <w:t>checklist</w:t>
      </w:r>
      <w:r w:rsidRPr="0011794A">
        <w:t xml:space="preserve"> </w:t>
      </w:r>
      <w:r>
        <w:t>above highlights the fact</w:t>
      </w:r>
      <w:r w:rsidRPr="0011794A">
        <w:t xml:space="preserve"> that non-inferiority has been </w:t>
      </w:r>
      <w:r>
        <w:t>addressed</w:t>
      </w:r>
      <w:r w:rsidRPr="0011794A">
        <w:t xml:space="preserve"> for the pain </w:t>
      </w:r>
      <w:r>
        <w:t xml:space="preserve">and joint function </w:t>
      </w:r>
      <w:r w:rsidRPr="0011794A">
        <w:t xml:space="preserve">outcomes, but that it has not been </w:t>
      </w:r>
      <w:r>
        <w:t>addressed</w:t>
      </w:r>
      <w:r w:rsidRPr="0011794A">
        <w:t xml:space="preserve"> for the upper gastro-intestinal outcomes</w:t>
      </w:r>
      <w:r>
        <w:t>.</w:t>
      </w:r>
      <w:r w:rsidRPr="0011794A">
        <w:t xml:space="preserve"> </w:t>
      </w:r>
      <w:r>
        <w:t xml:space="preserve">Non-inferiority limits for gastro-intestinal outcomes have not been presented, and therefore the available data on the </w:t>
      </w:r>
      <w:r w:rsidR="004B2048">
        <w:t>Vimovo®</w:t>
      </w:r>
      <w:r>
        <w:t xml:space="preserve">-celecoxib comparison was not evaluated.  However, there is information on the comparison of </w:t>
      </w:r>
      <w:r w:rsidR="004B2048">
        <w:t>Vimovo®</w:t>
      </w:r>
      <w:r>
        <w:t xml:space="preserve"> and celecoxib for gastroduodenal ulcers at 3 months, based on an indirect comparison via Naproxen: t</w:t>
      </w:r>
      <w:r w:rsidRPr="000D2244">
        <w:t xml:space="preserve">he Risk Ratio </w:t>
      </w:r>
      <w:r>
        <w:t xml:space="preserve">is </w:t>
      </w:r>
      <w:r w:rsidRPr="000D2244">
        <w:t xml:space="preserve">0.85 </w:t>
      </w:r>
      <w:r>
        <w:t xml:space="preserve">[CI </w:t>
      </w:r>
      <w:r w:rsidRPr="000D2244">
        <w:t>0.28 2.56</w:t>
      </w:r>
      <w:r>
        <w:t xml:space="preserve">]. </w:t>
      </w:r>
    </w:p>
    <w:p w:rsidR="00202915" w:rsidRPr="003233C6" w:rsidRDefault="00202915" w:rsidP="00202915">
      <w:pPr>
        <w:rPr>
          <w:b/>
        </w:rPr>
      </w:pPr>
      <w:r w:rsidRPr="003233C6">
        <w:rPr>
          <w:b/>
        </w:rPr>
        <w:t>Reviewer comment</w:t>
      </w:r>
    </w:p>
    <w:p w:rsidR="00202915" w:rsidRPr="0011794A" w:rsidRDefault="00202915" w:rsidP="00202915">
      <w:r w:rsidRPr="0011794A">
        <w:t xml:space="preserve">The upper gastro-intestinal outcomes are of obvious importance for this drug combination, </w:t>
      </w:r>
      <w:r>
        <w:t>as stated by the Sponsor. However, non-inferiority</w:t>
      </w:r>
      <w:r w:rsidRPr="0011794A">
        <w:t xml:space="preserve"> limits have </w:t>
      </w:r>
      <w:r>
        <w:t xml:space="preserve">not </w:t>
      </w:r>
      <w:r w:rsidRPr="0011794A">
        <w:t>been set</w:t>
      </w:r>
      <w:r>
        <w:t xml:space="preserve">. </w:t>
      </w:r>
      <w:r w:rsidRPr="0011794A">
        <w:t xml:space="preserve"> </w:t>
      </w:r>
      <w:r>
        <w:t xml:space="preserve">The comparison of endoscopic ulcer risk in patients given </w:t>
      </w:r>
      <w:r w:rsidR="004B2048">
        <w:t>Vimovo®</w:t>
      </w:r>
      <w:r>
        <w:t xml:space="preserve"> or celecoxib is based on an indirect comparison, and has wide confidence intervals.</w:t>
      </w:r>
    </w:p>
    <w:p w:rsidR="00202915" w:rsidRPr="0011794A" w:rsidRDefault="00202915" w:rsidP="00202915">
      <w:pPr>
        <w:pStyle w:val="Heading2"/>
      </w:pPr>
      <w:bookmarkStart w:id="71" w:name="_Toc356560784"/>
      <w:r w:rsidRPr="0011794A">
        <w:t>Conclusion</w:t>
      </w:r>
      <w:bookmarkEnd w:id="71"/>
    </w:p>
    <w:p w:rsidR="00202915" w:rsidRPr="0011794A" w:rsidRDefault="00202915" w:rsidP="00202915">
      <w:r>
        <w:t>There is in</w:t>
      </w:r>
      <w:r w:rsidRPr="0011794A">
        <w:t xml:space="preserve">adequate information on which to judge the non-inferiority of </w:t>
      </w:r>
      <w:r w:rsidR="004B2048">
        <w:t>Vimovo®</w:t>
      </w:r>
      <w:r w:rsidRPr="0011794A">
        <w:t xml:space="preserve"> vs</w:t>
      </w:r>
      <w:r>
        <w:t>.</w:t>
      </w:r>
      <w:r w:rsidRPr="0011794A">
        <w:t xml:space="preserve"> the comparator</w:t>
      </w:r>
      <w:r>
        <w:t>.</w:t>
      </w:r>
      <w:r w:rsidRPr="0011794A">
        <w:t xml:space="preserve"> </w:t>
      </w:r>
      <w:r>
        <w:t>Therefore,</w:t>
      </w:r>
      <w:r w:rsidRPr="0011794A">
        <w:t xml:space="preserve"> an economic analysis based on cost-minimisation </w:t>
      </w:r>
      <w:r>
        <w:t>i</w:t>
      </w:r>
      <w:r w:rsidRPr="0011794A">
        <w:t>s not well justified</w:t>
      </w:r>
      <w:r>
        <w:t>.</w:t>
      </w:r>
    </w:p>
    <w:p w:rsidR="00202915" w:rsidRPr="004E3BAF" w:rsidRDefault="00202915" w:rsidP="00202915">
      <w:r>
        <w:t>N</w:t>
      </w:r>
      <w:r w:rsidRPr="004E3BAF">
        <w:t xml:space="preserve">on-inferiority limits for upper gastrointestinal outcomes </w:t>
      </w:r>
      <w:r>
        <w:t>need to be proposed and justified.</w:t>
      </w:r>
      <w:r w:rsidRPr="004E3BAF">
        <w:t xml:space="preserve"> Using their usual methods and cost-minimisation </w:t>
      </w:r>
      <w:r>
        <w:t>checklist</w:t>
      </w:r>
      <w:r w:rsidRPr="004E3BAF">
        <w:t xml:space="preserve">, PBAC then can consider the </w:t>
      </w:r>
      <w:r>
        <w:t xml:space="preserve">quality of the evidence and the </w:t>
      </w:r>
      <w:r w:rsidRPr="004E3BAF">
        <w:t xml:space="preserve">confidence limits around the estimated difference in </w:t>
      </w:r>
      <w:r>
        <w:t>u</w:t>
      </w:r>
      <w:r w:rsidRPr="004E3BAF">
        <w:t xml:space="preserve">lcer outcomes between </w:t>
      </w:r>
      <w:r w:rsidR="004B2048">
        <w:t>Vimovo®</w:t>
      </w:r>
      <w:r w:rsidRPr="004E3BAF">
        <w:t xml:space="preserve"> and comparator drug</w:t>
      </w:r>
      <w:r>
        <w:t>s</w:t>
      </w:r>
      <w:r w:rsidRPr="004E3BAF">
        <w:t xml:space="preserve"> to decide whether non-inferiority is a reasonable assumption.</w:t>
      </w:r>
    </w:p>
    <w:p w:rsidR="00202915" w:rsidRPr="004E3BAF" w:rsidRDefault="00202915" w:rsidP="00202915">
      <w:r>
        <w:t>A</w:t>
      </w:r>
      <w:r w:rsidRPr="004E3BAF">
        <w:t xml:space="preserve"> judgement </w:t>
      </w:r>
      <w:r>
        <w:t xml:space="preserve">then </w:t>
      </w:r>
      <w:r w:rsidRPr="004E3BAF">
        <w:t xml:space="preserve">needs to be made about the appropriate economic evaluation, with sensitivity analyses to reflect the uncertainty about the differences in gastrointestinal outcomes between </w:t>
      </w:r>
      <w:r w:rsidR="004B2048">
        <w:t>Vimovo®</w:t>
      </w:r>
      <w:r w:rsidRPr="004E3BAF">
        <w:t xml:space="preserve"> and comparator drugs.  The sensitivity analyses could reflect both the statistical uncertainty of the estimated surrogate outcome, as well as any uncertainty about how the result on the surrogate outcome translates to clinically relevant outcomes. </w:t>
      </w:r>
    </w:p>
    <w:p w:rsidR="00202915" w:rsidRDefault="00202915" w:rsidP="00202915">
      <w:pPr>
        <w:pStyle w:val="Heading1"/>
      </w:pPr>
      <w:bookmarkStart w:id="72" w:name="_Toc356560785"/>
      <w:r w:rsidRPr="0011794A">
        <w:t>Recommendations</w:t>
      </w:r>
      <w:bookmarkEnd w:id="72"/>
    </w:p>
    <w:p w:rsidR="00202915" w:rsidRDefault="00202915" w:rsidP="00202915">
      <w:r>
        <w:t>The following are recommendations</w:t>
      </w:r>
      <w:r w:rsidRPr="0011794A">
        <w:t xml:space="preserve"> for PBAC submissions pro</w:t>
      </w:r>
      <w:r>
        <w:t>m</w:t>
      </w:r>
      <w:r w:rsidRPr="0011794A">
        <w:t xml:space="preserve">pted by consideration of this request for </w:t>
      </w:r>
      <w:r>
        <w:t>I</w:t>
      </w:r>
      <w:r w:rsidRPr="0011794A">
        <w:t xml:space="preserve">ndependent </w:t>
      </w:r>
      <w:r>
        <w:t>R</w:t>
      </w:r>
      <w:r w:rsidRPr="0011794A">
        <w:t>eview</w:t>
      </w:r>
      <w:r>
        <w:t>.</w:t>
      </w:r>
    </w:p>
    <w:p w:rsidR="00202915" w:rsidRPr="003233C6" w:rsidRDefault="00202915" w:rsidP="00202915">
      <w:pPr>
        <w:rPr>
          <w:b/>
        </w:rPr>
      </w:pPr>
      <w:r w:rsidRPr="003233C6">
        <w:rPr>
          <w:b/>
        </w:rPr>
        <w:t>1. Considering surrogates</w:t>
      </w:r>
    </w:p>
    <w:p w:rsidR="00202915" w:rsidRPr="008214CA" w:rsidRDefault="00202915" w:rsidP="00202915">
      <w:pPr>
        <w:rPr>
          <w:b/>
        </w:rPr>
      </w:pPr>
      <w:r>
        <w:rPr>
          <w:b/>
        </w:rPr>
        <w:t xml:space="preserve">Future submissions that involve drugs with surrogate outcomes should include </w:t>
      </w:r>
      <w:r w:rsidRPr="008214CA">
        <w:rPr>
          <w:b/>
        </w:rPr>
        <w:t xml:space="preserve">a table that summarises information </w:t>
      </w:r>
      <w:r>
        <w:rPr>
          <w:b/>
        </w:rPr>
        <w:t>about</w:t>
      </w:r>
      <w:r w:rsidRPr="008214CA">
        <w:rPr>
          <w:b/>
        </w:rPr>
        <w:t xml:space="preserve"> the </w:t>
      </w:r>
      <w:r>
        <w:rPr>
          <w:b/>
        </w:rPr>
        <w:t>five</w:t>
      </w:r>
      <w:r w:rsidRPr="008214CA">
        <w:rPr>
          <w:b/>
        </w:rPr>
        <w:t xml:space="preserve"> </w:t>
      </w:r>
      <w:r w:rsidR="007D7B91">
        <w:rPr>
          <w:b/>
        </w:rPr>
        <w:t>p</w:t>
      </w:r>
      <w:r w:rsidRPr="008214CA">
        <w:rPr>
          <w:b/>
        </w:rPr>
        <w:t>arts of the STFOWG report</w:t>
      </w:r>
      <w:r>
        <w:rPr>
          <w:b/>
        </w:rPr>
        <w:t>.</w:t>
      </w:r>
    </w:p>
    <w:p w:rsidR="00202915" w:rsidRPr="003233C6" w:rsidRDefault="00202915" w:rsidP="00202915">
      <w:pPr>
        <w:rPr>
          <w:b/>
        </w:rPr>
      </w:pPr>
      <w:r w:rsidRPr="003233C6">
        <w:rPr>
          <w:b/>
        </w:rPr>
        <w:t>2. Non-inferiority for drugs with multiple outcomes</w:t>
      </w:r>
    </w:p>
    <w:p w:rsidR="00202915" w:rsidRPr="008214CA" w:rsidRDefault="00202915" w:rsidP="00202915">
      <w:pPr>
        <w:rPr>
          <w:b/>
        </w:rPr>
      </w:pPr>
      <w:r w:rsidRPr="008214CA">
        <w:rPr>
          <w:b/>
        </w:rPr>
        <w:t>For drugs with multiple outcomes and for which economic analysis by cost-minimisation is being proposed, it would be helpful to have an explicit process of considering at least all the primary outcomes and deciding for which non-inferiority needs to be assessed</w:t>
      </w:r>
      <w:r w:rsidRPr="008214CA">
        <w:rPr>
          <w:b/>
          <w:color w:val="3366FF"/>
        </w:rPr>
        <w:t xml:space="preserve">. </w:t>
      </w:r>
      <w:r w:rsidRPr="008214CA">
        <w:rPr>
          <w:b/>
        </w:rPr>
        <w:t xml:space="preserve">This </w:t>
      </w:r>
      <w:r>
        <w:rPr>
          <w:b/>
        </w:rPr>
        <w:t>is</w:t>
      </w:r>
      <w:r w:rsidRPr="008214CA">
        <w:rPr>
          <w:b/>
        </w:rPr>
        <w:t xml:space="preserve"> particularly important for combination drugs, especially when the two drugs are being used to affect different outcomes. This process could be incorporated into </w:t>
      </w:r>
      <w:r>
        <w:rPr>
          <w:b/>
        </w:rPr>
        <w:t xml:space="preserve">PBAC Guidelines and </w:t>
      </w:r>
      <w:r w:rsidRPr="008214CA">
        <w:rPr>
          <w:b/>
        </w:rPr>
        <w:t>the cost-minimisation checklist.</w:t>
      </w:r>
    </w:p>
    <w:p w:rsidR="0090148E" w:rsidRDefault="0090148E">
      <w:pPr>
        <w:spacing w:after="200"/>
        <w:rPr>
          <w:rFonts w:asciiTheme="majorHAnsi" w:eastAsiaTheme="majorEastAsia" w:hAnsiTheme="majorHAnsi" w:cstheme="majorBidi"/>
          <w:b/>
          <w:bCs/>
          <w:sz w:val="28"/>
          <w:szCs w:val="26"/>
        </w:rPr>
      </w:pPr>
      <w:r>
        <w:br w:type="page"/>
      </w:r>
    </w:p>
    <w:p w:rsidR="00202915" w:rsidRPr="0011794A" w:rsidRDefault="00202915" w:rsidP="00FE0AF9">
      <w:pPr>
        <w:pStyle w:val="Heading1"/>
      </w:pPr>
      <w:bookmarkStart w:id="73" w:name="_Toc356560786"/>
      <w:r>
        <w:t>Annexure 1:  Material used in th</w:t>
      </w:r>
      <w:r w:rsidR="00C268CC">
        <w:t>is report</w:t>
      </w:r>
      <w:bookmarkEnd w:id="73"/>
    </w:p>
    <w:p w:rsidR="0090148E" w:rsidRDefault="0090148E" w:rsidP="00202915"/>
    <w:p w:rsidR="00202915" w:rsidRDefault="00202915" w:rsidP="00202915">
      <w:r>
        <w:t xml:space="preserve">All requests were made though the IRR Convenor. </w:t>
      </w:r>
    </w:p>
    <w:p w:rsidR="00202915" w:rsidRDefault="00202915" w:rsidP="00202915">
      <w:r w:rsidRPr="0011794A">
        <w:t>I enquired</w:t>
      </w:r>
      <w:r>
        <w:t xml:space="preserve"> </w:t>
      </w:r>
      <w:r w:rsidRPr="0011794A">
        <w:t>whether there have been any updates to the 2009</w:t>
      </w:r>
      <w:r>
        <w:t xml:space="preserve"> </w:t>
      </w:r>
      <w:r w:rsidRPr="0011794A">
        <w:t xml:space="preserve">Report of the Surrogate to Final Outcome Working Group [STFOWG] to the Pharmaceutical Benefits Advisory Committee document, and was told there were none. </w:t>
      </w:r>
    </w:p>
    <w:p w:rsidR="00202915" w:rsidRDefault="00202915" w:rsidP="00202915">
      <w:r w:rsidRPr="0011794A">
        <w:t xml:space="preserve">I requested </w:t>
      </w:r>
      <w:r>
        <w:t xml:space="preserve">more information about the PBACs previous acceptance of directly assessed improvements in patient-relevant outcomes for celecoxib, </w:t>
      </w:r>
      <w:r w:rsidRPr="0011794A">
        <w:t xml:space="preserve">which is referred to several times in the material </w:t>
      </w:r>
      <w:r>
        <w:t xml:space="preserve">initially supplied to me. I received the minutes from PBAC's review of COX2 inhibitors in 2003 and 2004. I have not used this material in my report </w:t>
      </w:r>
    </w:p>
    <w:p w:rsidR="00202915" w:rsidRPr="0011794A" w:rsidRDefault="00202915" w:rsidP="00202915">
      <w:r>
        <w:t xml:space="preserve">Because of an inconsistency between a number and a percentage in table 5.4 of the GIDAC FDA report, on which the Sponsor’s meta-analysis of naproxen plus esomeprazole vs. naproxen was based, I requested the Sponsor to confirm exactly what data were used in their meta-analysis, and to provide the results of the meta-analysis to 2 decimal places. The response is attached in full at </w:t>
      </w:r>
      <w:r w:rsidRPr="00BF320E">
        <w:t xml:space="preserve">Attachment </w:t>
      </w:r>
      <w:r w:rsidRPr="00FE0AF9">
        <w:t>4</w:t>
      </w:r>
      <w:r w:rsidRPr="00BF320E">
        <w:t xml:space="preserve"> and</w:t>
      </w:r>
      <w:r>
        <w:t xml:space="preserve"> commented on in the body of the report.</w:t>
      </w:r>
    </w:p>
    <w:p w:rsidR="00202915" w:rsidRDefault="00202915" w:rsidP="00FE0AF9">
      <w:pPr>
        <w:pStyle w:val="Heading1"/>
      </w:pPr>
      <w:bookmarkStart w:id="74" w:name="_Toc356560787"/>
      <w:r>
        <w:t xml:space="preserve">Annexure 2:  </w:t>
      </w:r>
      <w:r w:rsidRPr="0011794A">
        <w:t>References</w:t>
      </w:r>
      <w:bookmarkEnd w:id="74"/>
      <w:r>
        <w:t xml:space="preserve"> </w:t>
      </w:r>
    </w:p>
    <w:p w:rsidR="00202915" w:rsidRPr="000D2244" w:rsidRDefault="00202915" w:rsidP="00202915">
      <w:r>
        <w:t>All references are referred to in the material supplied to me, except those marked with an *asterisk, which provide conceptual underpinning to my assessment of the material.</w:t>
      </w:r>
    </w:p>
    <w:p w:rsidR="00D25D76" w:rsidRDefault="00202915" w:rsidP="00202915">
      <w:pPr>
        <w:rPr>
          <w:rFonts w:ascii="Calibri" w:eastAsia="Times New Roman" w:hAnsi="Calibri" w:cs="Calibri"/>
          <w:sz w:val="28"/>
          <w:szCs w:val="28"/>
        </w:rPr>
      </w:pPr>
      <w:r w:rsidRPr="000D2244">
        <w:rPr>
          <w:rFonts w:cs="TimesNewRomanPS-BoldMT"/>
          <w:bCs/>
        </w:rPr>
        <w:t>GIDAC</w:t>
      </w:r>
      <w:r>
        <w:rPr>
          <w:rFonts w:cs="TimesNewRomanPS-BoldMT"/>
          <w:bCs/>
        </w:rPr>
        <w:t>.</w:t>
      </w:r>
      <w:r w:rsidRPr="000D2244">
        <w:rPr>
          <w:rFonts w:cs="TimesNewRomanPS-BoldMT"/>
          <w:bCs/>
        </w:rPr>
        <w:t xml:space="preserve"> Gastrointestinal Drug Advisory Committee Meeting</w:t>
      </w:r>
      <w:r>
        <w:rPr>
          <w:rFonts w:cs="TimesNewRomanPS-BoldMT"/>
          <w:bCs/>
        </w:rPr>
        <w:t xml:space="preserve"> November 4, 2010: </w:t>
      </w:r>
      <w:r w:rsidRPr="000D2244">
        <w:rPr>
          <w:rFonts w:cs="TimesNewRomanPS-BoldMT"/>
          <w:bCs/>
        </w:rPr>
        <w:t>Outcome Measures for Claims to Reduce NSAID-Associated Upper</w:t>
      </w:r>
      <w:r>
        <w:rPr>
          <w:rFonts w:cs="TimesNewRomanPS-BoldMT"/>
          <w:bCs/>
        </w:rPr>
        <w:t xml:space="preserve"> </w:t>
      </w:r>
      <w:r w:rsidRPr="000D2244">
        <w:rPr>
          <w:rFonts w:cs="TimesNewRomanPS-BoldMT"/>
          <w:bCs/>
        </w:rPr>
        <w:t>Gastrointestinal (UGI) Toxicity</w:t>
      </w:r>
      <w:r>
        <w:rPr>
          <w:rFonts w:cs="TimesNewRomanPS-BoldMT"/>
          <w:bCs/>
        </w:rPr>
        <w:t xml:space="preserve"> </w:t>
      </w:r>
      <w:r w:rsidRPr="000D2244">
        <w:rPr>
          <w:rFonts w:cs="TimesNewRomanPS-BoldMT"/>
          <w:bCs/>
        </w:rPr>
        <w:t>Department of Health &amp; Human Services</w:t>
      </w:r>
      <w:r>
        <w:rPr>
          <w:rFonts w:cs="TimesNewRomanPS-BoldMT"/>
          <w:bCs/>
        </w:rPr>
        <w:t xml:space="preserve">, </w:t>
      </w:r>
      <w:r w:rsidRPr="000D2244">
        <w:rPr>
          <w:rFonts w:cs="TimesNewRomanPS-BoldMT"/>
          <w:bCs/>
        </w:rPr>
        <w:t>Food &amp; Drug Administration</w:t>
      </w:r>
      <w:r>
        <w:rPr>
          <w:rFonts w:cs="TimesNewRomanPS-BoldMT"/>
          <w:bCs/>
        </w:rPr>
        <w:t xml:space="preserve"> </w:t>
      </w:r>
      <w:r w:rsidRPr="000D2244">
        <w:rPr>
          <w:rFonts w:cs="TimesNewRomanPS-BoldMT"/>
          <w:bCs/>
        </w:rPr>
        <w:t>Center for Drug Evaluation &amp; Research</w:t>
      </w:r>
      <w:r>
        <w:rPr>
          <w:rFonts w:cs="TimesNewRomanPS-BoldMT"/>
          <w:bCs/>
        </w:rPr>
        <w:t xml:space="preserve">, </w:t>
      </w:r>
      <w:r w:rsidRPr="000D2244">
        <w:rPr>
          <w:rFonts w:cs="TimesNewRomanPS-BoldMT"/>
          <w:bCs/>
        </w:rPr>
        <w:t>Office of New Drugs</w:t>
      </w:r>
      <w:r>
        <w:rPr>
          <w:rFonts w:cs="TimesNewRomanPS-BoldMT"/>
          <w:bCs/>
        </w:rPr>
        <w:t xml:space="preserve">, </w:t>
      </w:r>
      <w:r w:rsidRPr="000D2244">
        <w:rPr>
          <w:rFonts w:cs="TimesNewRomanPS-BoldMT"/>
          <w:bCs/>
        </w:rPr>
        <w:t>Division of Gastroenterology Products</w:t>
      </w:r>
      <w:r>
        <w:rPr>
          <w:rFonts w:cs="TimesNewRomanPS-BoldMT"/>
          <w:bCs/>
        </w:rPr>
        <w:t xml:space="preserve"> </w:t>
      </w:r>
      <w:r>
        <w:t>*</w:t>
      </w:r>
      <w:r w:rsidRPr="000E4B81">
        <w:rPr>
          <w:rFonts w:ascii="Calibri" w:eastAsia="Times New Roman" w:hAnsi="Calibri" w:cs="Calibri"/>
          <w:sz w:val="28"/>
          <w:szCs w:val="28"/>
        </w:rPr>
        <w:t xml:space="preserve"> </w:t>
      </w:r>
    </w:p>
    <w:p w:rsidR="00202915" w:rsidRPr="000E4B81" w:rsidRDefault="00202915" w:rsidP="00202915">
      <w:pPr>
        <w:rPr>
          <w:bCs/>
        </w:rPr>
      </w:pPr>
      <w:r w:rsidRPr="000E4B81">
        <w:t>Glasziou P</w:t>
      </w:r>
      <w:r>
        <w:t xml:space="preserve"> et al</w:t>
      </w:r>
      <w:r w:rsidRPr="000E4B81">
        <w:t>.  When should a new test become the current reference standard?  Annals Intern Med 2008; 149(11): 816-</w:t>
      </w:r>
      <w:r w:rsidR="00D25D76">
        <w:t>2</w:t>
      </w:r>
      <w:r w:rsidRPr="000E4B81">
        <w:t>2.</w:t>
      </w:r>
    </w:p>
    <w:p w:rsidR="00202915" w:rsidRPr="000D2244" w:rsidRDefault="00202915" w:rsidP="00202915">
      <w:pPr>
        <w:rPr>
          <w:rFonts w:cs="TimesNewRomanPS-BoldMT"/>
          <w:bCs/>
        </w:rPr>
      </w:pPr>
      <w:r>
        <w:t>*</w:t>
      </w:r>
      <w:r w:rsidRPr="0011794A">
        <w:t>Guyatt GH et al. for the GRADE [Grading of Recommendations Assessment, Development and Evaluation] working group. Grade Guidelines: 8. Rating the quality of evidence – indirectness. J Clin Epidemiol 2011;64:130</w:t>
      </w:r>
      <w:r w:rsidR="00D25D76">
        <w:t>3</w:t>
      </w:r>
      <w:r w:rsidRPr="0011794A">
        <w:t>-10</w:t>
      </w:r>
      <w:r>
        <w:t xml:space="preserve"> </w:t>
      </w:r>
    </w:p>
    <w:p w:rsidR="00202915" w:rsidRPr="000D2244" w:rsidRDefault="00202915" w:rsidP="00202915">
      <w:r w:rsidRPr="000D2244">
        <w:t>Moore</w:t>
      </w:r>
      <w:r>
        <w:t xml:space="preserve"> A et al. Evidence for Endoscopic Ulcers as Meaningful Surrogate Endpoint for Clinically significant Upper Gastrointestinal Harm. Clinical Gastroenterology and Hepatology 2009;7:1156-63</w:t>
      </w:r>
    </w:p>
    <w:p w:rsidR="00202915" w:rsidRPr="0011794A" w:rsidRDefault="00202915" w:rsidP="00202915">
      <w:r w:rsidRPr="0011794A">
        <w:t xml:space="preserve">Report of the Surrogate to Final Outcome Working Group [STFOWG] to the Pharmaceutical Benefits Advisory Committee: a framework for evaluating proposed surrogate measures and their use in submissions to PBAC. 2009 </w:t>
      </w:r>
      <w:hyperlink r:id="rId23" w:history="1">
        <w:r w:rsidRPr="000D2244">
          <w:rPr>
            <w:rStyle w:val="Hyperlink"/>
          </w:rPr>
          <w:t>http://www.health.gov.au/internet/main/publishing.nsf/Content/B11E8EF19B358E39CA25754B000A9C07/$File/STFOWG%20paper%20FINAL.pdf</w:t>
        </w:r>
      </w:hyperlink>
      <w:r w:rsidRPr="0011794A">
        <w:t xml:space="preserve">  Downloaded 27 March 2013</w:t>
      </w:r>
    </w:p>
    <w:p w:rsidR="00202915" w:rsidRDefault="00202915" w:rsidP="00202915">
      <w:r>
        <w:t xml:space="preserve">Rostom A et al. Non steroidal anti-inflammatory drug-induced gastro-duodenal toxicity. In McDonald J et al Evidence </w:t>
      </w:r>
      <w:r w:rsidRPr="00A53BA7">
        <w:t>Based</w:t>
      </w:r>
      <w:r>
        <w:t xml:space="preserve"> Gastroeneterology and Hepatology, 3</w:t>
      </w:r>
      <w:r w:rsidRPr="000D2244">
        <w:rPr>
          <w:vertAlign w:val="superscript"/>
        </w:rPr>
        <w:t>rd</w:t>
      </w:r>
      <w:r>
        <w:t xml:space="preserve"> ed. Blackwell publishing 2010</w:t>
      </w:r>
    </w:p>
    <w:p w:rsidR="00202915" w:rsidRDefault="00202915" w:rsidP="00C1275E">
      <w:r>
        <w:t>T</w:t>
      </w:r>
      <w:r w:rsidRPr="000D2244">
        <w:t>ramer</w:t>
      </w:r>
      <w:r>
        <w:t xml:space="preserve"> MR et al. Quantitative estimation of ra</w:t>
      </w:r>
      <w:r w:rsidR="00D25D76">
        <w:t>re adverse events which follow</w:t>
      </w:r>
      <w:r>
        <w:t xml:space="preserve"> a biological progression: a new model applied to chronic NSAID use. Pain 2000:85:169</w:t>
      </w:r>
      <w:r w:rsidR="00D25D76">
        <w:t>-</w:t>
      </w:r>
      <w:r>
        <w:t>82</w:t>
      </w:r>
      <w:r>
        <w:br w:type="page"/>
      </w:r>
    </w:p>
    <w:p w:rsidR="00202915" w:rsidRDefault="00202915" w:rsidP="00202915">
      <w:pPr>
        <w:sectPr w:rsidR="00202915" w:rsidSect="002C5CFE">
          <w:footerReference w:type="default" r:id="rId24"/>
          <w:pgSz w:w="11907" w:h="16839" w:code="9"/>
          <w:pgMar w:top="1440" w:right="1440" w:bottom="1440" w:left="1440" w:header="720" w:footer="720" w:gutter="0"/>
          <w:cols w:space="720"/>
          <w:docGrid w:linePitch="360"/>
        </w:sectPr>
      </w:pPr>
    </w:p>
    <w:p w:rsidR="00B776E2" w:rsidRDefault="00B776E2"/>
    <w:p w:rsidR="00D609F8" w:rsidRPr="00B66466" w:rsidRDefault="00B776E2" w:rsidP="00FE0AF9">
      <w:pPr>
        <w:pStyle w:val="Heading1"/>
        <w:jc w:val="right"/>
        <w:rPr>
          <w:szCs w:val="24"/>
        </w:rPr>
      </w:pPr>
      <w:bookmarkStart w:id="75" w:name="_Toc229650980"/>
      <w:bookmarkStart w:id="76" w:name="_Toc356560788"/>
      <w:r w:rsidRPr="00B66466">
        <w:rPr>
          <w:sz w:val="24"/>
          <w:szCs w:val="24"/>
        </w:rPr>
        <w:t xml:space="preserve">Attachment </w:t>
      </w:r>
      <w:r w:rsidR="00751EE5" w:rsidRPr="00B66466">
        <w:rPr>
          <w:sz w:val="24"/>
          <w:szCs w:val="24"/>
        </w:rPr>
        <w:t>3</w:t>
      </w:r>
      <w:bookmarkEnd w:id="75"/>
      <w:bookmarkEnd w:id="76"/>
      <w:r w:rsidRPr="00B66466">
        <w:rPr>
          <w:sz w:val="24"/>
          <w:szCs w:val="24"/>
        </w:rPr>
        <w:t xml:space="preserve">  </w:t>
      </w:r>
    </w:p>
    <w:p w:rsidR="00AB3F49" w:rsidRDefault="00AB3F49" w:rsidP="006002F9">
      <w:pPr>
        <w:pStyle w:val="Heading1"/>
      </w:pPr>
      <w:bookmarkStart w:id="77" w:name="_Toc229650981"/>
    </w:p>
    <w:p w:rsidR="00AB3F49" w:rsidRDefault="00AB3F49" w:rsidP="006002F9">
      <w:pPr>
        <w:pStyle w:val="Heading1"/>
      </w:pPr>
    </w:p>
    <w:p w:rsidR="00AB3F49" w:rsidRDefault="00AB3F49" w:rsidP="006002F9">
      <w:pPr>
        <w:pStyle w:val="Heading1"/>
      </w:pPr>
    </w:p>
    <w:p w:rsidR="00B776E2" w:rsidRDefault="00DA0E4A" w:rsidP="00AB3F49">
      <w:pPr>
        <w:pStyle w:val="Heading1"/>
        <w:jc w:val="center"/>
      </w:pPr>
      <w:bookmarkStart w:id="78" w:name="_Toc356560789"/>
      <w:r w:rsidRPr="00A27372">
        <w:t>CONTINUING CONCERN THAT THE LISTING OF VIMOVO COULD RESULT IN INCREASED COSTS TO THE PBS.</w:t>
      </w:r>
      <w:bookmarkEnd w:id="77"/>
      <w:bookmarkEnd w:id="78"/>
    </w:p>
    <w:p w:rsidR="00AB3F49" w:rsidRDefault="006F68E3" w:rsidP="00AB3F49">
      <w:r>
        <w:rPr>
          <w:noProof/>
          <w:lang w:eastAsia="en-AU"/>
        </w:rPr>
        <mc:AlternateContent>
          <mc:Choice Requires="wps">
            <w:drawing>
              <wp:anchor distT="0" distB="0" distL="114300" distR="114300" simplePos="0" relativeHeight="251678720" behindDoc="0" locked="0" layoutInCell="1" allowOverlap="1" wp14:anchorId="1A4DF5AB" wp14:editId="3BD66FCC">
                <wp:simplePos x="0" y="0"/>
                <wp:positionH relativeFrom="column">
                  <wp:posOffset>1262380</wp:posOffset>
                </wp:positionH>
                <wp:positionV relativeFrom="paragraph">
                  <wp:posOffset>191135</wp:posOffset>
                </wp:positionV>
                <wp:extent cx="2374265" cy="1403985"/>
                <wp:effectExtent l="0" t="0" r="12065"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95000"/>
                          </a:schemeClr>
                        </a:solidFill>
                        <a:ln w="9525">
                          <a:solidFill>
                            <a:srgbClr val="000000"/>
                          </a:solidFill>
                          <a:miter lim="800000"/>
                          <a:headEnd/>
                          <a:tailEnd/>
                        </a:ln>
                      </wps:spPr>
                      <wps:txbx>
                        <w:txbxContent>
                          <w:p w:rsidR="00335FA4" w:rsidRPr="00335FA4" w:rsidRDefault="00335FA4" w:rsidP="00335FA4">
                            <w:pPr>
                              <w:rPr>
                                <w:i/>
                              </w:rPr>
                            </w:pPr>
                            <w:r w:rsidRPr="00335FA4">
                              <w:rPr>
                                <w:i/>
                              </w:rPr>
                              <w:t>Names of reviewers redacted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margin-left:99.4pt;margin-top:15.05pt;width:186.95pt;height:110.55pt;z-index:2516787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" fillcolor="#f2f2f2 [3052]">
                <v:textbox style="mso-fit-shape-to-text:t">
                  <w:txbxContent>
                    <w:p w:rsidR="00335FA4" w:rsidRPr="00335FA4" w:rsidRDefault="00335FA4" w:rsidP="00335FA4">
                      <w:pPr>
                        <w:rPr>
                          <w:i/>
                        </w:rPr>
                      </w:pPr>
                      <w:r w:rsidRPr="00335FA4">
                        <w:rPr>
                          <w:i/>
                        </w:rPr>
                        <w:t>Names of reviewers redacted</w:t>
                      </w:r>
                    </w:p>
                  </w:txbxContent>
                </v:textbox>
              </v:shape>
            </w:pict>
          </mc:Fallback>
        </mc:AlternateContent>
      </w:r>
    </w:p>
    <w:p w:rsidR="00335FA4" w:rsidRDefault="00AB3F49" w:rsidP="00335FA4">
      <w:r>
        <w:t xml:space="preserve">Report prepared by </w:t>
      </w:r>
    </w:p>
    <w:p w:rsidR="00AB3F49" w:rsidRPr="00AB3F49" w:rsidRDefault="00AB3F49" w:rsidP="00AB3F49">
      <w:pPr>
        <w:jc w:val="center"/>
      </w:pPr>
    </w:p>
    <w:p w:rsidR="00AB3F49" w:rsidRDefault="00AB3F49" w:rsidP="00AB3F49"/>
    <w:p w:rsidR="00AB3F49" w:rsidRPr="00FE0AF9" w:rsidRDefault="00AB3F49">
      <w:pPr>
        <w:spacing w:after="200"/>
        <w:rPr>
          <w:vertAlign w:val="superscript"/>
        </w:rPr>
      </w:pPr>
      <w:r w:rsidRPr="00FE0AF9">
        <w:rPr>
          <w:vertAlign w:val="superscript"/>
        </w:rPr>
        <w:br w:type="page"/>
      </w:r>
    </w:p>
    <w:p w:rsidR="00AB3F49" w:rsidRPr="0090148E" w:rsidRDefault="00C53552" w:rsidP="00AB3F49">
      <w:pPr>
        <w:rPr>
          <w:rFonts w:asciiTheme="majorHAnsi" w:hAnsiTheme="majorHAnsi"/>
          <w:b/>
          <w:sz w:val="32"/>
          <w:szCs w:val="32"/>
        </w:rPr>
      </w:pPr>
      <w:r w:rsidRPr="0090148E">
        <w:rPr>
          <w:rFonts w:asciiTheme="majorHAnsi" w:hAnsiTheme="majorHAnsi"/>
          <w:b/>
          <w:sz w:val="32"/>
          <w:szCs w:val="32"/>
        </w:rPr>
        <w:t>CONTINUING CONCERN THAT LISTING VIMOVO</w:t>
      </w:r>
      <w:r w:rsidR="002909E6" w:rsidRPr="00FE0AF9">
        <w:rPr>
          <w:sz w:val="44"/>
          <w:vertAlign w:val="superscript"/>
        </w:rPr>
        <w:t>®</w:t>
      </w:r>
      <w:r w:rsidRPr="0090148E">
        <w:rPr>
          <w:rFonts w:asciiTheme="majorHAnsi" w:hAnsiTheme="majorHAnsi"/>
          <w:b/>
          <w:sz w:val="32"/>
          <w:szCs w:val="32"/>
        </w:rPr>
        <w:t xml:space="preserve"> COULD RESULT IN INCREASED COSTS TO PBS.</w:t>
      </w:r>
    </w:p>
    <w:p w:rsidR="00B776E2" w:rsidRPr="00EC14E6" w:rsidRDefault="00B776E2" w:rsidP="007310BD">
      <w:pPr>
        <w:pStyle w:val="Heading1"/>
      </w:pPr>
      <w:bookmarkStart w:id="79" w:name="_Toc229650982"/>
      <w:bookmarkStart w:id="80" w:name="_Toc356560790"/>
      <w:r w:rsidRPr="00EC14E6">
        <w:t>Reviewer</w:t>
      </w:r>
      <w:bookmarkEnd w:id="79"/>
      <w:r w:rsidR="0090148E">
        <w:t>s</w:t>
      </w:r>
      <w:bookmarkEnd w:id="80"/>
    </w:p>
    <w:p w:rsidR="00335FA4" w:rsidRDefault="00335FA4" w:rsidP="00335FA4">
      <w:r>
        <w:rPr>
          <w:noProof/>
          <w:lang w:eastAsia="en-AU"/>
        </w:rPr>
        <mc:AlternateContent>
          <mc:Choice Requires="wps">
            <w:drawing>
              <wp:anchor distT="0" distB="0" distL="114300" distR="114300" simplePos="0" relativeHeight="251680768" behindDoc="0" locked="0" layoutInCell="1" allowOverlap="1" wp14:anchorId="6C32320C" wp14:editId="5CB6E2C7">
                <wp:simplePos x="0" y="0"/>
                <wp:positionH relativeFrom="column">
                  <wp:posOffset>20320</wp:posOffset>
                </wp:positionH>
                <wp:positionV relativeFrom="paragraph">
                  <wp:posOffset>0</wp:posOffset>
                </wp:positionV>
                <wp:extent cx="2374265" cy="1403985"/>
                <wp:effectExtent l="0" t="0" r="12065"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lumMod val="95000"/>
                          </a:schemeClr>
                        </a:solidFill>
                        <a:ln w="9525">
                          <a:solidFill>
                            <a:srgbClr val="000000"/>
                          </a:solidFill>
                          <a:miter lim="800000"/>
                          <a:headEnd/>
                          <a:tailEnd/>
                        </a:ln>
                      </wps:spPr>
                      <wps:txbx>
                        <w:txbxContent>
                          <w:p w:rsidR="00335FA4" w:rsidRPr="00335FA4" w:rsidRDefault="00335FA4" w:rsidP="006F68E3">
                            <w:pPr>
                              <w:rPr>
                                <w:i/>
                              </w:rPr>
                            </w:pPr>
                            <w:r w:rsidRPr="00335FA4">
                              <w:rPr>
                                <w:i/>
                              </w:rPr>
                              <w:t>Names of reviewers redacted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4" type="#_x0000_t202" style="position:absolute;margin-left:1.6pt;margin-top:0;width:186.95pt;height:110.55pt;z-index:2516807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" fillcolor="#f2f2f2 [3052]">
                <v:textbox style="mso-fit-shape-to-text:t">
                  <w:txbxContent>
                    <w:p w:rsidR="00335FA4" w:rsidRPr="00335FA4" w:rsidRDefault="00335FA4" w:rsidP="006F68E3">
                      <w:pPr>
                        <w:rPr>
                          <w:i/>
                        </w:rPr>
                      </w:pPr>
                      <w:r w:rsidRPr="00335FA4">
                        <w:rPr>
                          <w:i/>
                        </w:rPr>
                        <w:t>Names of reviewers redacted</w:t>
                      </w:r>
                    </w:p>
                  </w:txbxContent>
                </v:textbox>
              </v:shape>
            </w:pict>
          </mc:Fallback>
        </mc:AlternateContent>
      </w:r>
    </w:p>
    <w:p w:rsidR="00B776E2" w:rsidRPr="00B776E2" w:rsidRDefault="00B776E2" w:rsidP="00B776E2"/>
    <w:p w:rsidR="00B776E2" w:rsidRPr="00B776E2" w:rsidRDefault="00B776E2" w:rsidP="003233C6">
      <w:pPr>
        <w:pStyle w:val="Heading1"/>
      </w:pPr>
      <w:bookmarkStart w:id="81" w:name="_Toc229650983"/>
      <w:bookmarkStart w:id="82" w:name="_Toc356560791"/>
      <w:r>
        <w:t xml:space="preserve">Matter </w:t>
      </w:r>
      <w:bookmarkEnd w:id="81"/>
      <w:r w:rsidR="00D8372A">
        <w:t>detailed in the Independent Review Request</w:t>
      </w:r>
      <w:bookmarkEnd w:id="82"/>
    </w:p>
    <w:p w:rsidR="00B776E2" w:rsidRDefault="00D8372A" w:rsidP="00B776E2">
      <w:pPr>
        <w:autoSpaceDE w:val="0"/>
        <w:autoSpaceDN w:val="0"/>
        <w:adjustRightInd w:val="0"/>
        <w:spacing w:after="0" w:line="240" w:lineRule="auto"/>
        <w:rPr>
          <w:rFonts w:cs="Times New Roman"/>
          <w:szCs w:val="24"/>
        </w:rPr>
      </w:pPr>
      <w:r>
        <w:rPr>
          <w:rFonts w:cs="Times New Roman"/>
          <w:szCs w:val="24"/>
        </w:rPr>
        <w:t xml:space="preserve">This report addresses the third </w:t>
      </w:r>
      <w:r w:rsidR="006931A9">
        <w:rPr>
          <w:rFonts w:cs="Times New Roman"/>
          <w:szCs w:val="24"/>
        </w:rPr>
        <w:t>ground</w:t>
      </w:r>
      <w:r>
        <w:rPr>
          <w:rFonts w:cs="Times New Roman"/>
          <w:szCs w:val="24"/>
        </w:rPr>
        <w:t xml:space="preserve"> for review:</w:t>
      </w:r>
    </w:p>
    <w:p w:rsidR="00D8372A" w:rsidRPr="00B66466" w:rsidRDefault="00D8372A" w:rsidP="00B66466">
      <w:pPr>
        <w:ind w:left="360"/>
        <w:rPr>
          <w:u w:val="single"/>
        </w:rPr>
      </w:pPr>
      <w:r w:rsidRPr="00B66466">
        <w:rPr>
          <w:u w:val="single"/>
        </w:rPr>
        <w:t xml:space="preserve">Continuing concern that the listing of </w:t>
      </w:r>
      <w:r w:rsidR="004B2048" w:rsidRPr="00B66466">
        <w:rPr>
          <w:u w:val="single"/>
        </w:rPr>
        <w:t>Vimovo®</w:t>
      </w:r>
      <w:r w:rsidRPr="00B66466">
        <w:rPr>
          <w:u w:val="single"/>
        </w:rPr>
        <w:t xml:space="preserve"> could result in increased costs to the PBS.</w:t>
      </w:r>
    </w:p>
    <w:p w:rsidR="00D8372A" w:rsidRDefault="00D8372A" w:rsidP="00D8372A">
      <w:pPr>
        <w:spacing w:after="0"/>
        <w:ind w:left="360"/>
        <w:rPr>
          <w:lang w:val="en-GB"/>
        </w:rPr>
      </w:pPr>
      <w:r w:rsidRPr="00DA0E4A">
        <w:rPr>
          <w:lang w:val="en-GB"/>
        </w:rPr>
        <w:t>PBAC's conclusion that there is "continuing concern that the listing could result in increased costs to the PBS" (Ratified minutes of the November 2012 PBAC meeting, p</w:t>
      </w:r>
      <w:r w:rsidR="003C097C">
        <w:rPr>
          <w:lang w:val="en-GB"/>
        </w:rPr>
        <w:t xml:space="preserve">age </w:t>
      </w:r>
      <w:r w:rsidRPr="00DA0E4A">
        <w:rPr>
          <w:lang w:val="en-GB"/>
        </w:rPr>
        <w:t xml:space="preserve">2, paragraph 4) is unable to be reconciled with any costing analysis available. </w:t>
      </w:r>
    </w:p>
    <w:p w:rsidR="0090148E" w:rsidRDefault="0090148E" w:rsidP="003233C6">
      <w:pPr>
        <w:rPr>
          <w:lang w:val="en-GB"/>
        </w:rPr>
      </w:pPr>
    </w:p>
    <w:p w:rsidR="00D8372A" w:rsidRDefault="00D8372A" w:rsidP="003233C6">
      <w:pPr>
        <w:rPr>
          <w:lang w:val="en-GB"/>
        </w:rPr>
      </w:pPr>
      <w:r>
        <w:rPr>
          <w:lang w:val="en-GB"/>
        </w:rPr>
        <w:t>There are two specific concerns in relation to the matter:</w:t>
      </w:r>
    </w:p>
    <w:p w:rsidR="00D8372A" w:rsidRPr="00A34C43" w:rsidRDefault="00D8372A" w:rsidP="00C95A79">
      <w:pPr>
        <w:rPr>
          <w:szCs w:val="24"/>
          <w:lang w:val="en-GB"/>
        </w:rPr>
      </w:pPr>
      <w:r w:rsidRPr="00DB712B">
        <w:rPr>
          <w:szCs w:val="24"/>
          <w:lang w:val="en-GB"/>
        </w:rPr>
        <w:t>1.</w:t>
      </w:r>
      <w:r w:rsidRPr="00DB712B">
        <w:rPr>
          <w:szCs w:val="24"/>
          <w:lang w:val="en-GB"/>
        </w:rPr>
        <w:tab/>
        <w:t xml:space="preserve">That the Pharmaceutical Benefit Advisory Committee’s (PBAC’s) </w:t>
      </w:r>
      <w:r w:rsidRPr="00A34C43">
        <w:rPr>
          <w:szCs w:val="24"/>
          <w:lang w:val="en-GB"/>
        </w:rPr>
        <w:t xml:space="preserve">conclusion that there is "continuing concern that the listing could result in increased costs to the </w:t>
      </w:r>
      <w:r>
        <w:rPr>
          <w:szCs w:val="24"/>
          <w:lang w:val="en-GB"/>
        </w:rPr>
        <w:tab/>
      </w:r>
      <w:r w:rsidRPr="00A34C43">
        <w:rPr>
          <w:szCs w:val="24"/>
          <w:lang w:val="en-GB"/>
        </w:rPr>
        <w:t xml:space="preserve">PBS" (Ratified </w:t>
      </w:r>
      <w:r>
        <w:rPr>
          <w:szCs w:val="24"/>
          <w:lang w:val="en-GB"/>
        </w:rPr>
        <w:t>m</w:t>
      </w:r>
      <w:r w:rsidRPr="00A34C43">
        <w:rPr>
          <w:szCs w:val="24"/>
          <w:lang w:val="en-GB"/>
        </w:rPr>
        <w:t>inutes of the November 2012 PBAC meeting, p</w:t>
      </w:r>
      <w:r w:rsidR="003C097C">
        <w:rPr>
          <w:szCs w:val="24"/>
          <w:lang w:val="en-GB"/>
        </w:rPr>
        <w:t xml:space="preserve">age </w:t>
      </w:r>
      <w:r w:rsidRPr="00A34C43">
        <w:rPr>
          <w:szCs w:val="24"/>
          <w:lang w:val="en-GB"/>
        </w:rPr>
        <w:t>2) is unable to be with any costing analysis available;</w:t>
      </w:r>
    </w:p>
    <w:p w:rsidR="00D8372A" w:rsidRDefault="00D8372A" w:rsidP="00D8372A">
      <w:pPr>
        <w:rPr>
          <w:szCs w:val="24"/>
        </w:rPr>
      </w:pPr>
      <w:r>
        <w:rPr>
          <w:lang w:val="en-GB"/>
        </w:rPr>
        <w:t>2</w:t>
      </w:r>
      <w:r>
        <w:rPr>
          <w:lang w:val="en-GB"/>
        </w:rPr>
        <w:tab/>
      </w:r>
      <w:r>
        <w:rPr>
          <w:szCs w:val="24"/>
        </w:rPr>
        <w:t>T</w:t>
      </w:r>
      <w:r w:rsidRPr="00C50E19">
        <w:rPr>
          <w:szCs w:val="24"/>
        </w:rPr>
        <w:t xml:space="preserve">hat the request by the PBAC that it should take into account “ongoing reductions in the PBS prices of some PPIs and NSAID medicines” is inconsistent with the PBAC </w:t>
      </w:r>
      <w:r>
        <w:rPr>
          <w:szCs w:val="24"/>
        </w:rPr>
        <w:tab/>
        <w:t>Guidelines</w:t>
      </w:r>
      <w:r w:rsidRPr="00C50E19">
        <w:rPr>
          <w:szCs w:val="24"/>
        </w:rPr>
        <w:t xml:space="preserve"> that state that cost estimates should be based on constant prices with no </w:t>
      </w:r>
      <w:r>
        <w:rPr>
          <w:szCs w:val="24"/>
        </w:rPr>
        <w:tab/>
      </w:r>
      <w:r w:rsidRPr="00C50E19">
        <w:rPr>
          <w:szCs w:val="24"/>
        </w:rPr>
        <w:t>allowance made for inflation and use of a zero discount rate</w:t>
      </w:r>
      <w:r>
        <w:rPr>
          <w:szCs w:val="24"/>
        </w:rPr>
        <w:t xml:space="preserve"> (Part ll Guidelines, p</w:t>
      </w:r>
      <w:r w:rsidR="003C097C">
        <w:rPr>
          <w:szCs w:val="24"/>
        </w:rPr>
        <w:t xml:space="preserve">age </w:t>
      </w:r>
      <w:r>
        <w:rPr>
          <w:szCs w:val="24"/>
        </w:rPr>
        <w:t>151)</w:t>
      </w:r>
      <w:r w:rsidRPr="00C50E19">
        <w:rPr>
          <w:szCs w:val="24"/>
        </w:rPr>
        <w:t>.</w:t>
      </w:r>
    </w:p>
    <w:p w:rsidR="00B776E2" w:rsidRDefault="00B776E2" w:rsidP="00C95A79">
      <w:pPr>
        <w:pStyle w:val="Heading1"/>
      </w:pPr>
      <w:bookmarkStart w:id="83" w:name="_Toc229650984"/>
      <w:bookmarkStart w:id="84" w:name="_Toc356560792"/>
      <w:r>
        <w:t>Reviewer’s understanding of the matter to be reviewed</w:t>
      </w:r>
      <w:bookmarkEnd w:id="83"/>
      <w:bookmarkEnd w:id="84"/>
    </w:p>
    <w:p w:rsidR="008D0FDD" w:rsidRPr="00D452E5" w:rsidRDefault="008D0FDD" w:rsidP="00EC14E6">
      <w:r>
        <w:t xml:space="preserve">Part II of </w:t>
      </w:r>
      <w:r w:rsidRPr="00D452E5">
        <w:t>The Guidelines</w:t>
      </w:r>
      <w:r>
        <w:t>, Section D</w:t>
      </w:r>
      <w:r w:rsidRPr="00D452E5">
        <w:t xml:space="preserve"> </w:t>
      </w:r>
      <w:r>
        <w:t>(p</w:t>
      </w:r>
      <w:r w:rsidR="003C097C">
        <w:t>age</w:t>
      </w:r>
      <w:r>
        <w:t xml:space="preserve"> 115) </w:t>
      </w:r>
      <w:r>
        <w:rPr>
          <w:i/>
        </w:rPr>
        <w:t>Economic Evaluation for the main indication</w:t>
      </w:r>
      <w:r w:rsidRPr="00D452E5">
        <w:t xml:space="preserve"> </w:t>
      </w:r>
      <w:r>
        <w:t>and Section E (p</w:t>
      </w:r>
      <w:r w:rsidR="003C097C">
        <w:t>age</w:t>
      </w:r>
      <w:r>
        <w:t xml:space="preserve"> 143) </w:t>
      </w:r>
      <w:r>
        <w:rPr>
          <w:i/>
        </w:rPr>
        <w:t>Estimated extent of use and financial implications</w:t>
      </w:r>
      <w:r w:rsidR="00A312FB">
        <w:t xml:space="preserve"> </w:t>
      </w:r>
      <w:r>
        <w:t xml:space="preserve"> </w:t>
      </w:r>
      <w:r w:rsidRPr="00D452E5">
        <w:t xml:space="preserve">require the </w:t>
      </w:r>
      <w:r w:rsidR="003824EF">
        <w:t>Sponsor</w:t>
      </w:r>
      <w:r w:rsidRPr="00D452E5">
        <w:t xml:space="preserve"> to provide information on the</w:t>
      </w:r>
      <w:r>
        <w:t xml:space="preserve"> economic evaluation, the</w:t>
      </w:r>
      <w:r w:rsidRPr="00D452E5">
        <w:t xml:space="preserve"> overall net cost to the PBS and the overall net cost to the government health budget</w:t>
      </w:r>
      <w:r>
        <w:t xml:space="preserve">. </w:t>
      </w:r>
      <w:r w:rsidRPr="00D452E5">
        <w:t xml:space="preserve">In each of the three submissions the </w:t>
      </w:r>
      <w:r w:rsidR="003824EF">
        <w:t>Sponsor</w:t>
      </w:r>
      <w:r w:rsidRPr="00D452E5">
        <w:t xml:space="preserve"> presented information on the </w:t>
      </w:r>
      <w:r>
        <w:t xml:space="preserve">projected </w:t>
      </w:r>
      <w:r w:rsidRPr="00D452E5">
        <w:t xml:space="preserve">financial impact of </w:t>
      </w:r>
      <w:r w:rsidR="004B2048">
        <w:t>Vimovo®</w:t>
      </w:r>
      <w:r>
        <w:t xml:space="preserve"> listing</w:t>
      </w:r>
      <w:r w:rsidRPr="00D452E5">
        <w:t xml:space="preserve"> </w:t>
      </w:r>
      <w:r>
        <w:t xml:space="preserve">to the PBS </w:t>
      </w:r>
      <w:r w:rsidRPr="00D452E5">
        <w:t xml:space="preserve">in accordance with the Guidelines. </w:t>
      </w:r>
      <w:r>
        <w:t xml:space="preserve"> </w:t>
      </w:r>
      <w:r w:rsidR="00EC14E6">
        <w:t>The following is an excerpt from the records of each of the three meetings.</w:t>
      </w:r>
    </w:p>
    <w:p w:rsidR="0090148E" w:rsidRDefault="0090148E">
      <w:pPr>
        <w:spacing w:after="200"/>
        <w:rPr>
          <w:b/>
        </w:rPr>
      </w:pPr>
      <w:r>
        <w:rPr>
          <w:b/>
        </w:rPr>
        <w:br w:type="page"/>
      </w:r>
    </w:p>
    <w:p w:rsidR="00EC14E6" w:rsidRDefault="008D0FDD" w:rsidP="00EC14E6">
      <w:r w:rsidRPr="00C95A79">
        <w:rPr>
          <w:b/>
        </w:rPr>
        <w:t>First Major Submission</w:t>
      </w:r>
      <w:r>
        <w:t xml:space="preserve"> (considered </w:t>
      </w:r>
      <w:r w:rsidRPr="00DC27F2">
        <w:t>August 2011)</w:t>
      </w:r>
    </w:p>
    <w:p w:rsidR="008D0FDD" w:rsidRPr="00DC27F2" w:rsidRDefault="008D0FDD" w:rsidP="00EC14E6">
      <w:r w:rsidRPr="00DC27F2">
        <w:t xml:space="preserve">The net cost (savings) to the PBS is uncertain for the following reasons: </w:t>
      </w:r>
    </w:p>
    <w:p w:rsidR="008D0FDD" w:rsidRPr="00DC27F2" w:rsidRDefault="008D0FDD" w:rsidP="003233C6">
      <w:pPr>
        <w:pStyle w:val="ListParagraph"/>
        <w:numPr>
          <w:ilvl w:val="0"/>
          <w:numId w:val="35"/>
        </w:numPr>
      </w:pPr>
      <w:r>
        <w:t>“There is uncertainty in the proportion of currently listed NSAID +/- gastroprotective combinations that will be substituted following the listing of naproxen/esomeprazole FDC;</w:t>
      </w:r>
    </w:p>
    <w:p w:rsidR="008D0FDD" w:rsidRPr="00DC27F2" w:rsidRDefault="008D0FDD" w:rsidP="003233C6">
      <w:pPr>
        <w:pStyle w:val="ListParagraph"/>
        <w:numPr>
          <w:ilvl w:val="0"/>
          <w:numId w:val="35"/>
        </w:numPr>
      </w:pPr>
      <w:r>
        <w:t xml:space="preserve">There is likely to be higher uptake than predicted in the population taking NSAID + PPI or other gastroprotective medicines due to the lower costs to the lower costs to patients resulting from fewer </w:t>
      </w:r>
      <w:r w:rsidR="006931A9">
        <w:t>co-payments</w:t>
      </w:r>
      <w:r>
        <w:t>;</w:t>
      </w:r>
    </w:p>
    <w:p w:rsidR="008D0FDD" w:rsidRPr="00DC27F2" w:rsidRDefault="008D0FDD" w:rsidP="003233C6">
      <w:pPr>
        <w:pStyle w:val="ListParagraph"/>
        <w:numPr>
          <w:ilvl w:val="0"/>
          <w:numId w:val="35"/>
        </w:numPr>
      </w:pPr>
      <w:r>
        <w:t>There is also likely to be some uptake in those taking only NSAID’s (other than celecoxib) as monotherapy and this has not been considered in the current estimates;</w:t>
      </w:r>
    </w:p>
    <w:p w:rsidR="008D0FDD" w:rsidRPr="00DC27F2" w:rsidRDefault="008D0FDD" w:rsidP="003233C6">
      <w:pPr>
        <w:pStyle w:val="ListParagraph"/>
        <w:numPr>
          <w:ilvl w:val="0"/>
          <w:numId w:val="35"/>
        </w:numPr>
      </w:pPr>
      <w:r>
        <w:t>It is likely that the total cost of substituted therapies has been overstated and that the total reduction in net costs to the PBS also overstated.</w:t>
      </w:r>
    </w:p>
    <w:p w:rsidR="008D0FDD" w:rsidRDefault="008D0FDD" w:rsidP="00EC14E6">
      <w:pPr>
        <w:rPr>
          <w:noProof/>
        </w:rPr>
      </w:pPr>
      <w:r w:rsidRPr="00DC27F2">
        <w:rPr>
          <w:noProof/>
        </w:rPr>
        <w:t xml:space="preserve">(Extract </w:t>
      </w:r>
      <w:r>
        <w:rPr>
          <w:noProof/>
        </w:rPr>
        <w:t>from the Pharmaceutical Evaluation Section Commentary from August 2011 consideration, p</w:t>
      </w:r>
      <w:r w:rsidR="003C097C">
        <w:rPr>
          <w:noProof/>
        </w:rPr>
        <w:t>age</w:t>
      </w:r>
      <w:r>
        <w:rPr>
          <w:noProof/>
        </w:rPr>
        <w:t xml:space="preserve"> 5.7.Com.81) </w:t>
      </w:r>
    </w:p>
    <w:p w:rsidR="008D0FDD" w:rsidRDefault="008D0FDD" w:rsidP="008D0FDD">
      <w:pPr>
        <w:rPr>
          <w:szCs w:val="24"/>
        </w:rPr>
      </w:pPr>
      <w:r w:rsidRPr="00663E76">
        <w:rPr>
          <w:b/>
          <w:szCs w:val="24"/>
        </w:rPr>
        <w:t>Second Major Submission</w:t>
      </w:r>
      <w:r>
        <w:rPr>
          <w:szCs w:val="24"/>
        </w:rPr>
        <w:t xml:space="preserve"> (considered March 2012)</w:t>
      </w:r>
    </w:p>
    <w:p w:rsidR="008D0FDD" w:rsidRPr="003E65C5" w:rsidRDefault="008D0FDD" w:rsidP="00E53949">
      <w:pPr>
        <w:pStyle w:val="ListParagraph"/>
        <w:numPr>
          <w:ilvl w:val="0"/>
          <w:numId w:val="19"/>
        </w:numPr>
      </w:pPr>
      <w:r w:rsidRPr="003E65C5">
        <w:t>…”the predicted overall and continued decline in the NSAID market is uncertain and an assumption of a stable trend into the future may be more appropriate.”</w:t>
      </w:r>
    </w:p>
    <w:p w:rsidR="008D0FDD" w:rsidRDefault="00E53949" w:rsidP="00EC14E6">
      <w:r w:rsidRPr="003E65C5">
        <w:t xml:space="preserve"> </w:t>
      </w:r>
      <w:r w:rsidR="008D0FDD" w:rsidRPr="003E65C5">
        <w:t xml:space="preserve">“Further, the DUSC also considered that the assumption that the overall NSAID market will continue to contract may not be valid as it may begin to grow again </w:t>
      </w:r>
      <w:r w:rsidR="008D0FDD">
        <w:t>due</w:t>
      </w:r>
      <w:r w:rsidR="008D0FDD" w:rsidRPr="003E65C5">
        <w:t xml:space="preserve"> to increasing prevalence of obesity and other conditions requiring analgesia which are associated with an ageing population</w:t>
      </w:r>
      <w:r w:rsidR="008D0FDD">
        <w:t>.” (Extract from the Pharmaceutical Evaluation Section Commentary from March 2012 consideration, p</w:t>
      </w:r>
      <w:r w:rsidR="003C097C">
        <w:t>age</w:t>
      </w:r>
      <w:r w:rsidR="008D0FDD">
        <w:t xml:space="preserve"> 7.4.Com.81) </w:t>
      </w:r>
    </w:p>
    <w:p w:rsidR="008D0FDD" w:rsidRDefault="008D0FDD" w:rsidP="00EC14E6">
      <w:r>
        <w:t xml:space="preserve">The PES commentary then listed sources of uncertainty in the financial impact estimates, including the proportion of currently listed NSAID +/- gastroprotection combinations that would be substituted with </w:t>
      </w:r>
      <w:r w:rsidR="004B2048">
        <w:t>Vimovo®</w:t>
      </w:r>
      <w:r>
        <w:t xml:space="preserve">; higher uptake of </w:t>
      </w:r>
      <w:r w:rsidR="004B2048">
        <w:t>Vimovo®</w:t>
      </w:r>
      <w:r>
        <w:t xml:space="preserve"> in the population currently taking NSAID + PPI due to lower costs to patients resulting from fewer co-payments; some uptake of </w:t>
      </w:r>
      <w:r w:rsidR="004B2048">
        <w:t>Vimovo®</w:t>
      </w:r>
      <w:r>
        <w:t xml:space="preserve"> in patients taking </w:t>
      </w:r>
      <w:r w:rsidR="001F6C5E">
        <w:t>NSAIDs</w:t>
      </w:r>
      <w:r>
        <w:t xml:space="preserve"> as monotherapy; likelihood that the total cost of substituted therapies has been overstated and the total reduction in net costs to the PBS are also overstated. (summarized from the Pharmaceutical Evaluation Section Commentary from March 2012 consideration, p</w:t>
      </w:r>
      <w:r w:rsidR="003C097C">
        <w:t>age</w:t>
      </w:r>
      <w:r>
        <w:t xml:space="preserve"> 7.4.Com82 and 83)</w:t>
      </w:r>
    </w:p>
    <w:p w:rsidR="008D0FDD" w:rsidRPr="00443D36" w:rsidRDefault="008D0FDD" w:rsidP="00EC14E6">
      <w:r>
        <w:t>The PES Commentary concluded that “Overall, the estimates in the submission are uncertain and a likely overestimate of the stated cost savings to the PBS”. (7.4.Com83)</w:t>
      </w:r>
    </w:p>
    <w:p w:rsidR="008D0FDD" w:rsidRDefault="008D0FDD" w:rsidP="00EC14E6">
      <w:r>
        <w:t xml:space="preserve">The PBAC stated its concern that the use of </w:t>
      </w:r>
      <w:r w:rsidR="004B2048">
        <w:t>Vimovo®</w:t>
      </w:r>
      <w:r>
        <w:t xml:space="preserve"> would be high and that net savings with listing naproxen/esomeprazole were unlikely.</w:t>
      </w:r>
    </w:p>
    <w:p w:rsidR="008D0FDD" w:rsidRDefault="008D0FDD" w:rsidP="00EC14E6">
      <w:r>
        <w:t>7.4.21 “</w:t>
      </w:r>
      <w:r w:rsidRPr="003E65C5">
        <w:t xml:space="preserve">The PBAC considered that the net savings with listing naproxen/esomeprazole were unlikely. The PBAC considered that usage of the product would be high, particularly if it substitutes for cheaper </w:t>
      </w:r>
      <w:r w:rsidR="001F6C5E">
        <w:t>NSAIDS</w:t>
      </w:r>
      <w:r w:rsidRPr="003E65C5">
        <w:t xml:space="preserve">, and is prescribed for those patients not currently taking concurrent PPIs with </w:t>
      </w:r>
      <w:r w:rsidR="001F6C5E">
        <w:t>NSAIDS</w:t>
      </w:r>
      <w:r w:rsidRPr="003E65C5">
        <w:t xml:space="preserve"> and for those patients requiring high doses of naproxen for short periods of time</w:t>
      </w:r>
      <w:r>
        <w:t>” (Ratified minutes March 2012 PBAC meeting, p</w:t>
      </w:r>
      <w:r w:rsidR="003C097C">
        <w:t xml:space="preserve">age </w:t>
      </w:r>
      <w:r>
        <w:t>297)</w:t>
      </w:r>
      <w:r w:rsidR="0090148E">
        <w:t>.</w:t>
      </w:r>
    </w:p>
    <w:p w:rsidR="008D0FDD" w:rsidRPr="0090148E" w:rsidRDefault="008D0FDD" w:rsidP="0090148E">
      <w:pPr>
        <w:spacing w:after="200"/>
        <w:rPr>
          <w:b/>
        </w:rPr>
      </w:pPr>
      <w:r w:rsidRPr="00663E76">
        <w:rPr>
          <w:b/>
        </w:rPr>
        <w:t>Third Minor Submission</w:t>
      </w:r>
      <w:r>
        <w:t xml:space="preserve"> (considered November 2012)</w:t>
      </w:r>
    </w:p>
    <w:p w:rsidR="008D0FDD" w:rsidRDefault="008D0FDD" w:rsidP="00EC14E6">
      <w:r>
        <w:t>…”Lastly the Committee was concerned that the financial impact of the proposed listing requires further analysis and evaluation, which was not possible in the context of a minor re-submission. The analysis and evaluation should take into account the issues raised in previous evaluations and the ongoing reductions in the PBS-prices of some PPI and NSAID medicines. …”(Ratified minutes November 2012 meeting of the PBAC, p</w:t>
      </w:r>
      <w:r w:rsidR="003C097C">
        <w:t xml:space="preserve">age </w:t>
      </w:r>
      <w:r>
        <w:t>2)</w:t>
      </w:r>
      <w:r w:rsidR="0090148E">
        <w:t>.</w:t>
      </w:r>
    </w:p>
    <w:p w:rsidR="00EC14E6" w:rsidRPr="003233C6" w:rsidRDefault="00EC14E6" w:rsidP="00EC14E6">
      <w:pPr>
        <w:rPr>
          <w:b/>
        </w:rPr>
      </w:pPr>
      <w:r w:rsidRPr="003233C6">
        <w:rPr>
          <w:b/>
        </w:rPr>
        <w:t>The application for review raises the following questions:</w:t>
      </w:r>
    </w:p>
    <w:p w:rsidR="00EC14E6" w:rsidRDefault="00EC14E6" w:rsidP="00C95A79">
      <w:pPr>
        <w:pStyle w:val="ListParagraph"/>
        <w:numPr>
          <w:ilvl w:val="0"/>
          <w:numId w:val="41"/>
        </w:numPr>
      </w:pPr>
      <w:r>
        <w:t>What were the reasons for PBAC’s continuing concern</w:t>
      </w:r>
      <w:r w:rsidR="001F6C5E">
        <w:t xml:space="preserve"> that the listing of </w:t>
      </w:r>
      <w:r w:rsidR="004B2048">
        <w:t>Vimovo®</w:t>
      </w:r>
      <w:r w:rsidR="001F6C5E">
        <w:t xml:space="preserve"> on </w:t>
      </w:r>
      <w:r>
        <w:t xml:space="preserve">the PBS </w:t>
      </w:r>
      <w:r w:rsidRPr="00D452E5">
        <w:t>could result in increased costs to the PBS</w:t>
      </w:r>
      <w:r>
        <w:t xml:space="preserve">? </w:t>
      </w:r>
    </w:p>
    <w:p w:rsidR="00EC14E6" w:rsidRDefault="00EC14E6" w:rsidP="00C95A79">
      <w:pPr>
        <w:pStyle w:val="ListParagraph"/>
        <w:numPr>
          <w:ilvl w:val="0"/>
          <w:numId w:val="41"/>
        </w:numPr>
      </w:pPr>
      <w:r>
        <w:t xml:space="preserve">Was there any information from the Sponsor or </w:t>
      </w:r>
      <w:r w:rsidR="001F6C5E">
        <w:t xml:space="preserve">used by PBAC that demonstrated </w:t>
      </w:r>
      <w:r>
        <w:t>the likelihood of increased costs to the PBS?</w:t>
      </w:r>
    </w:p>
    <w:p w:rsidR="00EC14E6" w:rsidRDefault="00EC14E6" w:rsidP="00C95A79">
      <w:pPr>
        <w:pStyle w:val="ListParagraph"/>
        <w:numPr>
          <w:ilvl w:val="0"/>
          <w:numId w:val="41"/>
        </w:numPr>
      </w:pPr>
      <w:r>
        <w:t>Is PBAC required to apply The Guidelines [Part II, Section E  p</w:t>
      </w:r>
      <w:r w:rsidR="003C097C">
        <w:t>age</w:t>
      </w:r>
      <w:r>
        <w:t xml:space="preserve"> 151 “</w:t>
      </w:r>
      <w:r w:rsidR="001F6C5E">
        <w:rPr>
          <w:bCs/>
        </w:rPr>
        <w:t xml:space="preserve">Costs over five </w:t>
      </w:r>
      <w:r w:rsidRPr="00C95A79">
        <w:rPr>
          <w:bCs/>
        </w:rPr>
        <w:t>years”</w:t>
      </w:r>
      <w:r w:rsidR="00170191">
        <w:rPr>
          <w:bCs/>
        </w:rPr>
        <w:t>]</w:t>
      </w:r>
      <w:r w:rsidRPr="00C95A79">
        <w:rPr>
          <w:bCs/>
        </w:rPr>
        <w:t xml:space="preserve"> consistently?</w:t>
      </w:r>
    </w:p>
    <w:p w:rsidR="00EC14E6" w:rsidRDefault="00EC14E6" w:rsidP="00C95A79">
      <w:pPr>
        <w:pStyle w:val="ListParagraph"/>
        <w:numPr>
          <w:ilvl w:val="0"/>
          <w:numId w:val="41"/>
        </w:numPr>
      </w:pPr>
      <w:r>
        <w:t xml:space="preserve">What are the possible sources of concern that </w:t>
      </w:r>
      <w:r w:rsidR="004B2048">
        <w:t>Vimovo®</w:t>
      </w:r>
      <w:r>
        <w:t xml:space="preserve"> l</w:t>
      </w:r>
      <w:r w:rsidR="001F6C5E">
        <w:t xml:space="preserve">isting would increase costs to </w:t>
      </w:r>
      <w:r>
        <w:t>the PBS?</w:t>
      </w:r>
    </w:p>
    <w:p w:rsidR="008D0FDD" w:rsidRPr="0026182E" w:rsidRDefault="008D0FDD" w:rsidP="00546335">
      <w:pPr>
        <w:pStyle w:val="Heading1"/>
      </w:pPr>
      <w:bookmarkStart w:id="85" w:name="_Toc356560793"/>
      <w:r w:rsidRPr="0026182E">
        <w:t xml:space="preserve">PBAC’s continuing concern that the listing of </w:t>
      </w:r>
      <w:r w:rsidR="004B2048">
        <w:t>Vimovo</w:t>
      </w:r>
      <w:r w:rsidR="004B2048" w:rsidRPr="00FE0AF9">
        <w:rPr>
          <w:vertAlign w:val="superscript"/>
        </w:rPr>
        <w:t>®</w:t>
      </w:r>
      <w:r w:rsidRPr="0026182E">
        <w:t xml:space="preserve"> on the PBS could result in increased costs to the PBS</w:t>
      </w:r>
      <w:bookmarkEnd w:id="85"/>
      <w:r w:rsidRPr="0026182E">
        <w:t xml:space="preserve"> </w:t>
      </w:r>
    </w:p>
    <w:p w:rsidR="008D0FDD" w:rsidRDefault="008D0FDD" w:rsidP="00EC14E6">
      <w:r w:rsidRPr="00D452E5">
        <w:t xml:space="preserve">The grounds for </w:t>
      </w:r>
      <w:r>
        <w:t xml:space="preserve">PBAC’s </w:t>
      </w:r>
      <w:r w:rsidRPr="00D452E5">
        <w:t>continuing concern</w:t>
      </w:r>
      <w:r>
        <w:t xml:space="preserve"> that the listing of </w:t>
      </w:r>
      <w:r w:rsidR="004B2048">
        <w:t>Vimovo®</w:t>
      </w:r>
      <w:r>
        <w:t xml:space="preserve"> on the PBS </w:t>
      </w:r>
      <w:r w:rsidRPr="00D452E5">
        <w:t xml:space="preserve">could result in increased costs to the PBS </w:t>
      </w:r>
      <w:r>
        <w:t xml:space="preserve">relates specifically to factors associated with uncertainty in the </w:t>
      </w:r>
      <w:r w:rsidR="003824EF">
        <w:t>Sponsor</w:t>
      </w:r>
      <w:r>
        <w:t xml:space="preserve">’s assumptions relating to </w:t>
      </w:r>
      <w:r w:rsidR="00B4230C">
        <w:t xml:space="preserve">the </w:t>
      </w:r>
      <w:r>
        <w:t>quantity of the drug consumed in the market and price.</w:t>
      </w:r>
    </w:p>
    <w:p w:rsidR="008D0FDD" w:rsidRDefault="008D0FDD" w:rsidP="00EC14E6">
      <w:r>
        <w:t xml:space="preserve"> </w:t>
      </w:r>
      <w:r w:rsidRPr="00D86E47">
        <w:t>Those factors include:</w:t>
      </w:r>
    </w:p>
    <w:p w:rsidR="008D0FDD" w:rsidRDefault="008D0FDD" w:rsidP="003233C6">
      <w:pPr>
        <w:pStyle w:val="ListParagraph"/>
        <w:numPr>
          <w:ilvl w:val="0"/>
          <w:numId w:val="36"/>
        </w:numPr>
      </w:pPr>
      <w:r w:rsidRPr="00C90B54">
        <w:t>growth in the NSAID market itself</w:t>
      </w:r>
      <w:r w:rsidR="003C097C">
        <w:t>;</w:t>
      </w:r>
      <w:r w:rsidRPr="00C90B54">
        <w:t xml:space="preserve"> </w:t>
      </w:r>
    </w:p>
    <w:p w:rsidR="008D0FDD" w:rsidRDefault="004B2048" w:rsidP="003233C6">
      <w:pPr>
        <w:pStyle w:val="ListParagraph"/>
        <w:numPr>
          <w:ilvl w:val="0"/>
          <w:numId w:val="36"/>
        </w:numPr>
      </w:pPr>
      <w:r>
        <w:t>Vimovo®</w:t>
      </w:r>
      <w:r w:rsidR="008D0FDD" w:rsidRPr="00C90B54">
        <w:t xml:space="preserve">’s share of the market and the specific assumptions regarding uptake and substitution patterns for </w:t>
      </w:r>
      <w:r>
        <w:t>Vimovo®</w:t>
      </w:r>
      <w:r w:rsidR="003C097C">
        <w:t>;</w:t>
      </w:r>
    </w:p>
    <w:p w:rsidR="008D0FDD" w:rsidRDefault="008D0FDD" w:rsidP="003233C6">
      <w:pPr>
        <w:pStyle w:val="ListParagraph"/>
        <w:numPr>
          <w:ilvl w:val="0"/>
          <w:numId w:val="36"/>
        </w:numPr>
      </w:pPr>
      <w:r w:rsidRPr="00C90B54">
        <w:t xml:space="preserve">price weighting of </w:t>
      </w:r>
      <w:r w:rsidR="004B2048">
        <w:t>Vimovo®</w:t>
      </w:r>
      <w:r w:rsidR="003C097C">
        <w:t>;</w:t>
      </w:r>
      <w:r w:rsidRPr="00C90B54">
        <w:t xml:space="preserve"> </w:t>
      </w:r>
    </w:p>
    <w:p w:rsidR="008D0FDD" w:rsidRDefault="008D0FDD" w:rsidP="003233C6">
      <w:pPr>
        <w:pStyle w:val="ListParagraph"/>
        <w:numPr>
          <w:ilvl w:val="0"/>
          <w:numId w:val="36"/>
        </w:numPr>
      </w:pPr>
      <w:r w:rsidRPr="00C90B54">
        <w:t>the proportion of patients cu</w:t>
      </w:r>
      <w:r w:rsidR="003C097C">
        <w:t xml:space="preserve">rrently on celecoxib + PPI or </w:t>
      </w:r>
      <w:r w:rsidRPr="00C90B54">
        <w:t xml:space="preserve">NSAID + PPI who have at least 1 </w:t>
      </w:r>
      <w:r>
        <w:t>gastrointestinal (</w:t>
      </w:r>
      <w:r w:rsidRPr="00C90B54">
        <w:t>GI</w:t>
      </w:r>
      <w:r>
        <w:t>)</w:t>
      </w:r>
      <w:r w:rsidRPr="00C90B54">
        <w:t xml:space="preserve"> risk factor</w:t>
      </w:r>
      <w:r w:rsidR="003C097C">
        <w:t>;</w:t>
      </w:r>
    </w:p>
    <w:p w:rsidR="008D0FDD" w:rsidRDefault="008D0FDD" w:rsidP="003233C6">
      <w:pPr>
        <w:pStyle w:val="ListParagraph"/>
        <w:numPr>
          <w:ilvl w:val="0"/>
          <w:numId w:val="36"/>
        </w:numPr>
      </w:pPr>
      <w:r w:rsidRPr="00C90B54">
        <w:t>known statutory price reductions for PPIs</w:t>
      </w:r>
      <w:r w:rsidR="003C097C">
        <w:t>;</w:t>
      </w:r>
      <w:r w:rsidRPr="00C90B54">
        <w:t xml:space="preserve"> and </w:t>
      </w:r>
    </w:p>
    <w:p w:rsidR="008D0FDD" w:rsidRPr="00C90B54" w:rsidRDefault="003C097C" w:rsidP="003233C6">
      <w:pPr>
        <w:pStyle w:val="ListParagraph"/>
        <w:numPr>
          <w:ilvl w:val="0"/>
          <w:numId w:val="36"/>
        </w:numPr>
      </w:pPr>
      <w:r>
        <w:t xml:space="preserve">further price reductions of </w:t>
      </w:r>
      <w:r w:rsidR="001F6C5E">
        <w:t>NSAIDs</w:t>
      </w:r>
      <w:r w:rsidR="008D0FDD" w:rsidRPr="00C90B54">
        <w:t>.</w:t>
      </w:r>
    </w:p>
    <w:p w:rsidR="00C95A79" w:rsidRDefault="008D0FDD" w:rsidP="00E53949">
      <w:r>
        <w:t xml:space="preserve">From the first to the third PBAC submissions for </w:t>
      </w:r>
      <w:r w:rsidR="004B2048">
        <w:t>Vimovo®</w:t>
      </w:r>
      <w:r>
        <w:t xml:space="preserve"> the PES and PBAC </w:t>
      </w:r>
      <w:r w:rsidR="00C95A79">
        <w:t xml:space="preserve">consistently </w:t>
      </w:r>
      <w:r>
        <w:t xml:space="preserve">expressed concerns about the potential for </w:t>
      </w:r>
      <w:r w:rsidR="004B2048">
        <w:t>Vimovo®</w:t>
      </w:r>
      <w:r>
        <w:t xml:space="preserve"> to increase overall net costs to the PBS. </w:t>
      </w:r>
    </w:p>
    <w:p w:rsidR="00C95A79" w:rsidRPr="00E53949" w:rsidRDefault="007310BD" w:rsidP="00B66466">
      <w:pPr>
        <w:pStyle w:val="Heading2"/>
      </w:pPr>
      <w:bookmarkStart w:id="86" w:name="_Toc356560794"/>
      <w:r>
        <w:t>I</w:t>
      </w:r>
      <w:r w:rsidR="00C95A79" w:rsidRPr="00E53949">
        <w:t xml:space="preserve">nformation presented </w:t>
      </w:r>
      <w:r w:rsidR="00C95A79">
        <w:t>to</w:t>
      </w:r>
      <w:r w:rsidR="00C95A79" w:rsidRPr="00E53949">
        <w:t xml:space="preserve"> PBAC that demonstrated the likelihood of increased costs to the PBS?</w:t>
      </w:r>
      <w:bookmarkEnd w:id="86"/>
    </w:p>
    <w:p w:rsidR="008D0FDD" w:rsidRPr="00D452E5" w:rsidRDefault="008D0FDD" w:rsidP="00E53949">
      <w:r>
        <w:t xml:space="preserve">As can be seen below, each successive submission demonstrated greater cost savings to the PBS if </w:t>
      </w:r>
      <w:r w:rsidR="004B2048">
        <w:t>Vimovo®</w:t>
      </w:r>
      <w:r>
        <w:t xml:space="preserve"> were listed. In the 3</w:t>
      </w:r>
      <w:r w:rsidRPr="00583729">
        <w:rPr>
          <w:vertAlign w:val="superscript"/>
        </w:rPr>
        <w:t>rd</w:t>
      </w:r>
      <w:r>
        <w:t xml:space="preserve"> (minor) PBAC submission when the </w:t>
      </w:r>
      <w:r w:rsidR="003824EF">
        <w:t>Sponsor</w:t>
      </w:r>
      <w:r>
        <w:t xml:space="preserve"> included, at the request of PBAC, the known statutory price reductions for rabeprazole and esomeprazole the projected cost saving to the PBS over the forward estimates were maintained. However, despite consideration of each of the issues raised the overall net cost to the PBS does not come close to switching from the negative (cost saving) to the positive (cost inducing).  </w:t>
      </w:r>
    </w:p>
    <w:p w:rsidR="008D0FDD" w:rsidRPr="00D452E5" w:rsidRDefault="008D0FDD" w:rsidP="008D0FDD">
      <w:pPr>
        <w:rPr>
          <w:b/>
          <w:szCs w:val="24"/>
        </w:rPr>
      </w:pPr>
      <w:r>
        <w:rPr>
          <w:b/>
          <w:szCs w:val="24"/>
        </w:rPr>
        <w:t xml:space="preserve">Overall </w:t>
      </w:r>
      <w:r w:rsidRPr="00D452E5">
        <w:rPr>
          <w:b/>
          <w:szCs w:val="24"/>
        </w:rPr>
        <w:t xml:space="preserve">Net Cost to the </w:t>
      </w:r>
      <w:r>
        <w:rPr>
          <w:b/>
          <w:szCs w:val="24"/>
        </w:rPr>
        <w:t>PBS</w:t>
      </w:r>
      <w:r w:rsidRPr="00D452E5">
        <w:rPr>
          <w:b/>
          <w:szCs w:val="24"/>
        </w:rPr>
        <w:t xml:space="preserve"> </w:t>
      </w:r>
      <w:r>
        <w:rPr>
          <w:b/>
          <w:szCs w:val="24"/>
        </w:rPr>
        <w:t>and the Government Health Budget</w:t>
      </w:r>
    </w:p>
    <w:p w:rsidR="008D0FDD" w:rsidRPr="008C09D3" w:rsidRDefault="008D0FDD" w:rsidP="008D0FDD">
      <w:pPr>
        <w:rPr>
          <w:szCs w:val="24"/>
        </w:rPr>
      </w:pPr>
      <w:r w:rsidRPr="006627F8">
        <w:rPr>
          <w:b/>
          <w:szCs w:val="24"/>
        </w:rPr>
        <w:t>1</w:t>
      </w:r>
      <w:r w:rsidRPr="006627F8">
        <w:rPr>
          <w:b/>
          <w:szCs w:val="24"/>
          <w:vertAlign w:val="superscript"/>
        </w:rPr>
        <w:t>st</w:t>
      </w:r>
      <w:r w:rsidRPr="006627F8">
        <w:rPr>
          <w:b/>
          <w:szCs w:val="24"/>
        </w:rPr>
        <w:t xml:space="preserve"> submission</w:t>
      </w:r>
      <w:r>
        <w:rPr>
          <w:b/>
          <w:szCs w:val="24"/>
        </w:rPr>
        <w:t xml:space="preserve"> </w:t>
      </w:r>
      <w:r w:rsidRPr="008C09D3">
        <w:rPr>
          <w:szCs w:val="24"/>
        </w:rPr>
        <w:t>Base Case</w:t>
      </w:r>
    </w:p>
    <w:p w:rsidR="008D0FDD" w:rsidRDefault="008D0FDD" w:rsidP="008D0FDD">
      <w:pPr>
        <w:rPr>
          <w:b/>
          <w:szCs w:val="24"/>
        </w:rPr>
      </w:pPr>
      <w:r>
        <w:rPr>
          <w:b/>
          <w:noProof/>
          <w:szCs w:val="24"/>
          <w:lang w:eastAsia="en-AU"/>
        </w:rPr>
        <w:drawing>
          <wp:inline distT="0" distB="0" distL="0" distR="0" wp14:anchorId="74284152" wp14:editId="475ED815">
            <wp:extent cx="5783580" cy="912212"/>
            <wp:effectExtent l="0" t="0" r="0" b="2540"/>
            <wp:docPr id="12" name="Picture 12" descr="Overall Net Cost to the PBS and the Government Health Budget - 1st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3580" cy="912212"/>
                    </a:xfrm>
                    <a:prstGeom prst="rect">
                      <a:avLst/>
                    </a:prstGeom>
                    <a:noFill/>
                    <a:ln>
                      <a:noFill/>
                    </a:ln>
                  </pic:spPr>
                </pic:pic>
              </a:graphicData>
            </a:graphic>
          </wp:inline>
        </w:drawing>
      </w:r>
    </w:p>
    <w:p w:rsidR="008D0FDD" w:rsidRPr="006627F8" w:rsidRDefault="008D0FDD" w:rsidP="008D0FDD">
      <w:pPr>
        <w:rPr>
          <w:b/>
          <w:szCs w:val="24"/>
        </w:rPr>
      </w:pPr>
    </w:p>
    <w:p w:rsidR="008D0FDD" w:rsidRPr="008C09D3" w:rsidRDefault="008D0FDD" w:rsidP="008D0FDD">
      <w:pPr>
        <w:rPr>
          <w:szCs w:val="24"/>
        </w:rPr>
      </w:pPr>
      <w:r w:rsidRPr="006627F8">
        <w:rPr>
          <w:b/>
          <w:szCs w:val="24"/>
        </w:rPr>
        <w:t>2</w:t>
      </w:r>
      <w:r w:rsidRPr="006627F8">
        <w:rPr>
          <w:b/>
          <w:szCs w:val="24"/>
          <w:vertAlign w:val="superscript"/>
        </w:rPr>
        <w:t>nd</w:t>
      </w:r>
      <w:r w:rsidRPr="006627F8">
        <w:rPr>
          <w:b/>
          <w:szCs w:val="24"/>
        </w:rPr>
        <w:t xml:space="preserve"> submission</w:t>
      </w:r>
      <w:r w:rsidRPr="0098090B">
        <w:rPr>
          <w:szCs w:val="24"/>
        </w:rPr>
        <w:t xml:space="preserve"> </w:t>
      </w:r>
      <w:r w:rsidRPr="008C09D3">
        <w:rPr>
          <w:szCs w:val="24"/>
        </w:rPr>
        <w:t>Base Case</w:t>
      </w:r>
    </w:p>
    <w:p w:rsidR="008D0FDD" w:rsidRDefault="008D0FDD" w:rsidP="008D0FDD">
      <w:pPr>
        <w:rPr>
          <w:szCs w:val="24"/>
        </w:rPr>
      </w:pPr>
      <w:r>
        <w:rPr>
          <w:noProof/>
          <w:szCs w:val="24"/>
          <w:lang w:eastAsia="en-AU"/>
        </w:rPr>
        <w:drawing>
          <wp:inline distT="0" distB="0" distL="0" distR="0" wp14:anchorId="1C9469AF" wp14:editId="04A72011">
            <wp:extent cx="5844540" cy="799229"/>
            <wp:effectExtent l="0" t="0" r="3810" b="1270"/>
            <wp:docPr id="10" name="Picture 10" descr="Overall Net Cost to the PBS and the Government Health Budget - 2nd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4540" cy="799229"/>
                    </a:xfrm>
                    <a:prstGeom prst="rect">
                      <a:avLst/>
                    </a:prstGeom>
                    <a:noFill/>
                    <a:ln>
                      <a:noFill/>
                    </a:ln>
                  </pic:spPr>
                </pic:pic>
              </a:graphicData>
            </a:graphic>
          </wp:inline>
        </w:drawing>
      </w:r>
    </w:p>
    <w:p w:rsidR="008D0FDD" w:rsidRPr="008C09D3" w:rsidRDefault="008D0FDD" w:rsidP="008D0FDD">
      <w:pPr>
        <w:rPr>
          <w:szCs w:val="24"/>
        </w:rPr>
      </w:pPr>
      <w:r w:rsidRPr="008C09D3">
        <w:rPr>
          <w:szCs w:val="24"/>
        </w:rPr>
        <w:t>Base Case</w:t>
      </w:r>
    </w:p>
    <w:p w:rsidR="008D0FDD" w:rsidRDefault="008D0FDD" w:rsidP="008D0FDD">
      <w:pPr>
        <w:rPr>
          <w:b/>
          <w:szCs w:val="24"/>
        </w:rPr>
      </w:pPr>
    </w:p>
    <w:p w:rsidR="008D0FDD" w:rsidRPr="008C09D3" w:rsidRDefault="008D0FDD" w:rsidP="008D0FDD">
      <w:pPr>
        <w:rPr>
          <w:szCs w:val="24"/>
        </w:rPr>
      </w:pPr>
      <w:r w:rsidRPr="006627F8">
        <w:rPr>
          <w:b/>
          <w:szCs w:val="24"/>
        </w:rPr>
        <w:t>3</w:t>
      </w:r>
      <w:r w:rsidRPr="006627F8">
        <w:rPr>
          <w:b/>
          <w:szCs w:val="24"/>
          <w:vertAlign w:val="superscript"/>
        </w:rPr>
        <w:t>rd</w:t>
      </w:r>
      <w:r w:rsidRPr="006627F8">
        <w:rPr>
          <w:b/>
          <w:szCs w:val="24"/>
        </w:rPr>
        <w:t xml:space="preserve"> submission</w:t>
      </w:r>
      <w:r>
        <w:rPr>
          <w:b/>
          <w:szCs w:val="24"/>
        </w:rPr>
        <w:t xml:space="preserve"> </w:t>
      </w:r>
      <w:r w:rsidRPr="0098090B">
        <w:rPr>
          <w:szCs w:val="24"/>
        </w:rPr>
        <w:t>Ba</w:t>
      </w:r>
      <w:r w:rsidRPr="008C09D3">
        <w:rPr>
          <w:szCs w:val="24"/>
        </w:rPr>
        <w:t>se Case</w:t>
      </w:r>
    </w:p>
    <w:p w:rsidR="008D0FDD" w:rsidRDefault="008D0FDD" w:rsidP="008D0FDD">
      <w:pPr>
        <w:rPr>
          <w:szCs w:val="24"/>
        </w:rPr>
      </w:pPr>
      <w:r>
        <w:rPr>
          <w:noProof/>
          <w:szCs w:val="24"/>
          <w:lang w:eastAsia="en-AU"/>
        </w:rPr>
        <w:drawing>
          <wp:inline distT="0" distB="0" distL="0" distR="0" wp14:anchorId="1A85D637" wp14:editId="1B77ABA3">
            <wp:extent cx="5783580" cy="898017"/>
            <wp:effectExtent l="0" t="0" r="7620" b="0"/>
            <wp:docPr id="11" name="Picture 11" descr="Overall Net Cost to the PBS and the Government Health Budget - 3rd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3580" cy="898017"/>
                    </a:xfrm>
                    <a:prstGeom prst="rect">
                      <a:avLst/>
                    </a:prstGeom>
                    <a:noFill/>
                    <a:ln>
                      <a:noFill/>
                    </a:ln>
                  </pic:spPr>
                </pic:pic>
              </a:graphicData>
            </a:graphic>
          </wp:inline>
        </w:drawing>
      </w:r>
    </w:p>
    <w:p w:rsidR="008D0FDD" w:rsidRPr="00D86E47" w:rsidRDefault="008D0FDD" w:rsidP="008D0FDD">
      <w:pPr>
        <w:rPr>
          <w:szCs w:val="24"/>
        </w:rPr>
      </w:pPr>
      <w:r w:rsidRPr="00D86E47">
        <w:rPr>
          <w:szCs w:val="24"/>
        </w:rPr>
        <w:t xml:space="preserve">Sensitivity analysis – including known statutory price reductions of rabeprazole and </w:t>
      </w:r>
      <w:r>
        <w:rPr>
          <w:szCs w:val="24"/>
        </w:rPr>
        <w:t>e</w:t>
      </w:r>
      <w:r w:rsidRPr="00D86E47">
        <w:rPr>
          <w:szCs w:val="24"/>
        </w:rPr>
        <w:t>someprazole</w:t>
      </w:r>
    </w:p>
    <w:p w:rsidR="008D0FDD" w:rsidRDefault="008D0FDD" w:rsidP="008D0FDD">
      <w:pPr>
        <w:rPr>
          <w:szCs w:val="24"/>
        </w:rPr>
      </w:pPr>
      <w:r>
        <w:rPr>
          <w:noProof/>
          <w:szCs w:val="24"/>
          <w:lang w:eastAsia="en-AU"/>
        </w:rPr>
        <w:drawing>
          <wp:inline distT="0" distB="0" distL="0" distR="0" wp14:anchorId="590053C5" wp14:editId="7C9A984F">
            <wp:extent cx="5783580" cy="271260"/>
            <wp:effectExtent l="0" t="0" r="0" b="0"/>
            <wp:docPr id="3" name="Picture 3" descr="Cumulative cost to Govt over first 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3580" cy="271260"/>
                    </a:xfrm>
                    <a:prstGeom prst="rect">
                      <a:avLst/>
                    </a:prstGeom>
                    <a:noFill/>
                    <a:ln>
                      <a:noFill/>
                    </a:ln>
                  </pic:spPr>
                </pic:pic>
              </a:graphicData>
            </a:graphic>
          </wp:inline>
        </w:drawing>
      </w:r>
    </w:p>
    <w:p w:rsidR="00C95A79" w:rsidRPr="00CF5EE1" w:rsidRDefault="00C95A79" w:rsidP="00C95A79">
      <w:r w:rsidRPr="00CF5EE1">
        <w:t xml:space="preserve">The PES and PBAC accepted the Section D and Section E information with just a few minor corrections, the validity of the </w:t>
      </w:r>
      <w:r>
        <w:t>Sponsor</w:t>
      </w:r>
      <w:r w:rsidRPr="00CF5EE1">
        <w:t xml:space="preserve">’s financial estimates model was not questioned and the </w:t>
      </w:r>
      <w:r>
        <w:t>Sponsor</w:t>
      </w:r>
      <w:r w:rsidRPr="00CF5EE1">
        <w:t xml:space="preserve"> responded appropriately to PBAC requests for it to model the financial impa</w:t>
      </w:r>
      <w:r>
        <w:t>ct using revised assumptions.</w:t>
      </w:r>
    </w:p>
    <w:p w:rsidR="00EC14E6" w:rsidRDefault="00C95A79" w:rsidP="00FE0AF9">
      <w:pPr>
        <w:pStyle w:val="Heading2"/>
      </w:pPr>
      <w:bookmarkStart w:id="87" w:name="_Toc356560795"/>
      <w:r>
        <w:t>Quantitative estimate of uncertainty</w:t>
      </w:r>
      <w:bookmarkEnd w:id="87"/>
    </w:p>
    <w:p w:rsidR="008D0FDD" w:rsidRPr="00C50E19" w:rsidRDefault="008D0FDD" w:rsidP="00E53949">
      <w:r w:rsidRPr="00C50E19">
        <w:t>The key issue</w:t>
      </w:r>
      <w:r>
        <w:t xml:space="preserve"> </w:t>
      </w:r>
      <w:r w:rsidRPr="00C50E19">
        <w:t>is whether there was any quantitative estimate of uncertainty provided that would support PBAC’s continuing concern that the listing could result in increased costs to the PBS.</w:t>
      </w:r>
    </w:p>
    <w:p w:rsidR="00EC14E6" w:rsidRPr="00D452E5" w:rsidRDefault="00EC14E6" w:rsidP="00EC14E6">
      <w:r>
        <w:t xml:space="preserve">The </w:t>
      </w:r>
      <w:r w:rsidRPr="00D452E5">
        <w:t xml:space="preserve">Guidelines (Section E, Page </w:t>
      </w:r>
      <w:r>
        <w:t>160</w:t>
      </w:r>
      <w:r w:rsidRPr="00D452E5">
        <w:t>) specif</w:t>
      </w:r>
      <w:r>
        <w:t>y</w:t>
      </w:r>
      <w:r w:rsidRPr="00D452E5">
        <w:t xml:space="preserve"> three aspects for consideration </w:t>
      </w:r>
      <w:r>
        <w:t xml:space="preserve">when </w:t>
      </w:r>
      <w:r w:rsidRPr="00D452E5">
        <w:t>dealing with uncertainty on the financial impact of a new drug, the</w:t>
      </w:r>
      <w:r>
        <w:t>y are</w:t>
      </w:r>
      <w:r w:rsidRPr="00D452E5">
        <w:t>:</w:t>
      </w:r>
    </w:p>
    <w:p w:rsidR="00EC14E6" w:rsidRPr="00EC14E6" w:rsidRDefault="00EC14E6" w:rsidP="003233C6">
      <w:pPr>
        <w:pStyle w:val="ListParagraph"/>
        <w:numPr>
          <w:ilvl w:val="0"/>
          <w:numId w:val="37"/>
        </w:numPr>
        <w:rPr>
          <w:rFonts w:cs="Times"/>
        </w:rPr>
      </w:pPr>
      <w:r>
        <w:t>t</w:t>
      </w:r>
      <w:r w:rsidRPr="00D452E5">
        <w:t xml:space="preserve">he direction of impact </w:t>
      </w:r>
      <w:r w:rsidRPr="00EC14E6">
        <w:rPr>
          <w:rFonts w:cs="Times New Roman"/>
        </w:rPr>
        <w:t xml:space="preserve">on the estimate (underestimate or overestimate) </w:t>
      </w:r>
    </w:p>
    <w:p w:rsidR="00EC14E6" w:rsidRPr="00EC14E6" w:rsidRDefault="00EC14E6" w:rsidP="003233C6">
      <w:pPr>
        <w:pStyle w:val="ListParagraph"/>
        <w:numPr>
          <w:ilvl w:val="0"/>
          <w:numId w:val="37"/>
        </w:numPr>
        <w:rPr>
          <w:rFonts w:cs="Times"/>
        </w:rPr>
      </w:pPr>
      <w:r w:rsidRPr="00EC14E6">
        <w:rPr>
          <w:rFonts w:cs="Times New Roman"/>
        </w:rPr>
        <w:t xml:space="preserve">the impact on the magnitude of the estimate (small or large) </w:t>
      </w:r>
    </w:p>
    <w:p w:rsidR="00EC14E6" w:rsidRPr="00EC14E6" w:rsidRDefault="00EC14E6" w:rsidP="003233C6">
      <w:pPr>
        <w:pStyle w:val="ListParagraph"/>
        <w:numPr>
          <w:ilvl w:val="0"/>
          <w:numId w:val="37"/>
        </w:numPr>
        <w:rPr>
          <w:rFonts w:cs="Times"/>
        </w:rPr>
      </w:pPr>
      <w:r w:rsidRPr="00EC14E6">
        <w:rPr>
          <w:rFonts w:cs="Times New Roman"/>
        </w:rPr>
        <w:t xml:space="preserve">the likelihood that another estimate should replace the base case estimate (probable or improbable). </w:t>
      </w:r>
    </w:p>
    <w:p w:rsidR="00EC14E6" w:rsidRPr="00D452E5" w:rsidRDefault="00EC14E6" w:rsidP="00EC14E6">
      <w:pPr>
        <w:rPr>
          <w:rFonts w:cs="Times"/>
        </w:rPr>
      </w:pPr>
      <w:r w:rsidRPr="00D452E5">
        <w:rPr>
          <w:rFonts w:cs="Times"/>
        </w:rPr>
        <w:t>The Guidelines go on to state</w:t>
      </w:r>
      <w:r>
        <w:rPr>
          <w:rFonts w:cs="Times"/>
        </w:rPr>
        <w:t>:</w:t>
      </w:r>
      <w:r w:rsidRPr="00D452E5">
        <w:rPr>
          <w:rFonts w:cs="Times"/>
        </w:rPr>
        <w:t xml:space="preserve"> “</w:t>
      </w:r>
      <w:r w:rsidRPr="009C5F0F">
        <w:rPr>
          <w:rFonts w:cs="Times"/>
          <w:i/>
        </w:rPr>
        <w:t>a</w:t>
      </w:r>
      <w:r w:rsidRPr="009C5F0F">
        <w:rPr>
          <w:rFonts w:cs="Times New Roman"/>
          <w:i/>
        </w:rPr>
        <w:t>lthough quantitative estimates of uncertainty are preferred, semi-quantitative assessments may need to be given in many instances. Where the effects of some uncertainties are difficult to quantify, this should be noted. As a general principle, the more sensitive the overall financial implications are to a particular source of uncertainty, the more important it is to minimise that uncertainty</w:t>
      </w:r>
      <w:r w:rsidRPr="00D452E5">
        <w:rPr>
          <w:rFonts w:cs="Times New Roman"/>
        </w:rPr>
        <w:t>”</w:t>
      </w:r>
      <w:r>
        <w:rPr>
          <w:rFonts w:cs="Times New Roman"/>
        </w:rPr>
        <w:t xml:space="preserve"> (page 160)</w:t>
      </w:r>
    </w:p>
    <w:p w:rsidR="008D0FDD" w:rsidRPr="00C50E19" w:rsidRDefault="008D0FDD" w:rsidP="00EC14E6">
      <w:r w:rsidRPr="00C50E19">
        <w:t xml:space="preserve">A review of all the documents in the three </w:t>
      </w:r>
      <w:r w:rsidR="004B2048">
        <w:t>Vimovo®</w:t>
      </w:r>
      <w:r>
        <w:t xml:space="preserve"> PBS </w:t>
      </w:r>
      <w:r w:rsidRPr="00C50E19">
        <w:t>submissions</w:t>
      </w:r>
      <w:r>
        <w:t xml:space="preserve"> and minutes of the meetings</w:t>
      </w:r>
      <w:r w:rsidRPr="00C50E19">
        <w:t xml:space="preserve">, focusing in particular on Section D and Section E requirements of the Guidelines, did not reveal any written evidence to support the PBAC claim that listing </w:t>
      </w:r>
      <w:r w:rsidR="004B2048">
        <w:t>Vimovo®</w:t>
      </w:r>
      <w:r w:rsidRPr="00C50E19">
        <w:t xml:space="preserve"> would increase costs to the PBS.  </w:t>
      </w:r>
    </w:p>
    <w:p w:rsidR="008D0FDD" w:rsidRPr="00CF5EE1" w:rsidRDefault="008D0FDD" w:rsidP="00EC14E6">
      <w:r w:rsidRPr="00CF5EE1">
        <w:t xml:space="preserve">The Primary Reviewer sought a meeting with the Chair of the PBAC to clarify how PBAC arrived at the conclusion in the minutes of PBAC meeting that </w:t>
      </w:r>
      <w:r w:rsidR="004B2048">
        <w:t>Vimovo®</w:t>
      </w:r>
      <w:r w:rsidRPr="00CF5EE1">
        <w:t xml:space="preserve"> would increase the overall net cost to the PBS.</w:t>
      </w:r>
      <w:r>
        <w:t xml:space="preserve"> That meeting occurred on 23 April 2013.</w:t>
      </w:r>
    </w:p>
    <w:p w:rsidR="008D0FDD" w:rsidRDefault="008D0FDD" w:rsidP="00EC14E6">
      <w:r>
        <w:t xml:space="preserve">The Primary Reviewer was advised that the </w:t>
      </w:r>
      <w:r w:rsidR="003824EF">
        <w:t>Sponsor</w:t>
      </w:r>
      <w:r w:rsidRPr="00CF5EE1">
        <w:t xml:space="preserve"> lodging a minor submission (as suggested by the Department of Health and Ageing in a pre-submission meeting)</w:t>
      </w:r>
      <w:r>
        <w:t xml:space="preserve"> meant that</w:t>
      </w:r>
      <w:r w:rsidRPr="00CF5EE1">
        <w:t xml:space="preserve"> the application</w:t>
      </w:r>
      <w:r w:rsidR="009C5F0F">
        <w:t xml:space="preserve"> could not be r</w:t>
      </w:r>
      <w:r w:rsidRPr="00CF5EE1">
        <w:t xml:space="preserve">eturned to DUSC for further analysis of utilization against the latest financial impact costings. As a result, the PBAC had to form a view </w:t>
      </w:r>
      <w:r>
        <w:t xml:space="preserve">about the utilization figures at the Committee meeting. </w:t>
      </w:r>
      <w:r w:rsidRPr="00CF5EE1">
        <w:t xml:space="preserve">In the absence of proposals such as a financial cap or authority restrictions, the </w:t>
      </w:r>
      <w:r w:rsidR="00277E5B">
        <w:t>C</w:t>
      </w:r>
      <w:r w:rsidRPr="00CF5EE1">
        <w:t>ommittee concluded use in practice would in turn increase the costs to the PBS</w:t>
      </w:r>
      <w:r w:rsidR="00615957">
        <w:rPr>
          <w:rStyle w:val="FootnoteReference"/>
        </w:rPr>
        <w:footnoteReference w:id="4"/>
      </w:r>
      <w:r>
        <w:t>.</w:t>
      </w:r>
    </w:p>
    <w:p w:rsidR="00B4230C" w:rsidRDefault="00B4230C" w:rsidP="00FE0AF9">
      <w:pPr>
        <w:pStyle w:val="Heading2"/>
      </w:pPr>
      <w:bookmarkStart w:id="88" w:name="_Toc356560796"/>
      <w:r>
        <w:t>Conclusion</w:t>
      </w:r>
      <w:bookmarkEnd w:id="88"/>
    </w:p>
    <w:p w:rsidR="00B4230C" w:rsidRDefault="00B4230C" w:rsidP="00B4230C">
      <w:r w:rsidRPr="00AA5DDB">
        <w:t xml:space="preserve">The claim for </w:t>
      </w:r>
      <w:r w:rsidR="004B2048">
        <w:t>Vimovo®</w:t>
      </w:r>
      <w:r w:rsidRPr="00AA5DDB">
        <w:t xml:space="preserve"> being cost saving is robust across all submissions</w:t>
      </w:r>
      <w:r>
        <w:t xml:space="preserve"> and material before the PBAC.</w:t>
      </w:r>
      <w:r w:rsidRPr="00B4230C">
        <w:t xml:space="preserve"> </w:t>
      </w:r>
      <w:r>
        <w:t xml:space="preserve"> The Sponsor is correct in saying that the PBAC conclusion is unable to be reconciled with any costing analysis available.</w:t>
      </w:r>
    </w:p>
    <w:p w:rsidR="008D0FDD" w:rsidRPr="00CF5EE1" w:rsidRDefault="00615957" w:rsidP="00E53949">
      <w:r>
        <w:t>T</w:t>
      </w:r>
      <w:r w:rsidR="008D0FDD" w:rsidRPr="00CF5EE1">
        <w:t xml:space="preserve">he PBAC did not adequately explain and communicate the causes of their concern about </w:t>
      </w:r>
      <w:r w:rsidR="004B2048">
        <w:t>Vimovo®</w:t>
      </w:r>
      <w:r w:rsidR="008D0FDD" w:rsidRPr="00CF5EE1">
        <w:t xml:space="preserve"> </w:t>
      </w:r>
      <w:r w:rsidR="008D0FDD">
        <w:t xml:space="preserve">listing </w:t>
      </w:r>
      <w:r w:rsidR="008D0FDD" w:rsidRPr="00CF5EE1">
        <w:t xml:space="preserve">increasing costs to the PBS.  </w:t>
      </w:r>
    </w:p>
    <w:p w:rsidR="008D0FDD" w:rsidRDefault="008D0FDD" w:rsidP="00E53949">
      <w:r>
        <w:t xml:space="preserve">That the PBAC were concerned about growth in the market was clear in observations in the March and November 2012 PBAC minutes. However, the minutes have not made it clear the Committee holds a strong view that the market for </w:t>
      </w:r>
      <w:r w:rsidR="001F6C5E">
        <w:t>NSAIDs</w:t>
      </w:r>
      <w:r>
        <w:t xml:space="preserve"> will grow and that this is an expert view of the Committee itself. </w:t>
      </w:r>
    </w:p>
    <w:p w:rsidR="008D0FDD" w:rsidRDefault="008D0FDD" w:rsidP="00E53949">
      <w:r>
        <w:t xml:space="preserve">The basic principles of just and accountable decision-making generally afford the </w:t>
      </w:r>
      <w:r w:rsidR="003824EF">
        <w:t>Sponsor</w:t>
      </w:r>
      <w:r>
        <w:t xml:space="preserve"> the right to:</w:t>
      </w:r>
    </w:p>
    <w:p w:rsidR="008D0FDD" w:rsidRDefault="008D0FDD" w:rsidP="00E53949">
      <w:pPr>
        <w:pStyle w:val="ListParagraph"/>
        <w:numPr>
          <w:ilvl w:val="0"/>
          <w:numId w:val="21"/>
        </w:numPr>
      </w:pPr>
      <w:r>
        <w:t>know what criteria they must satisfy;</w:t>
      </w:r>
    </w:p>
    <w:p w:rsidR="008D0FDD" w:rsidRDefault="008D0FDD" w:rsidP="00E53949">
      <w:pPr>
        <w:pStyle w:val="ListParagraph"/>
        <w:numPr>
          <w:ilvl w:val="0"/>
          <w:numId w:val="21"/>
        </w:numPr>
      </w:pPr>
      <w:r>
        <w:t>be heard – to provide information and argue their case;</w:t>
      </w:r>
    </w:p>
    <w:p w:rsidR="008D0FDD" w:rsidRDefault="008D0FDD" w:rsidP="00E53949">
      <w:pPr>
        <w:pStyle w:val="ListParagraph"/>
        <w:numPr>
          <w:ilvl w:val="0"/>
          <w:numId w:val="21"/>
        </w:numPr>
      </w:pPr>
      <w:r>
        <w:t>know what information has been considered in making the decision; and</w:t>
      </w:r>
    </w:p>
    <w:p w:rsidR="008D0FDD" w:rsidRPr="00C401B0" w:rsidRDefault="008D0FDD" w:rsidP="00E53949">
      <w:pPr>
        <w:pStyle w:val="ListParagraph"/>
        <w:numPr>
          <w:ilvl w:val="0"/>
          <w:numId w:val="21"/>
        </w:numPr>
      </w:pPr>
      <w:r>
        <w:t>know the reasons for the decision.</w:t>
      </w:r>
    </w:p>
    <w:p w:rsidR="008D0FDD" w:rsidRPr="00C401B0" w:rsidRDefault="008D0FDD" w:rsidP="00E53949">
      <w:r w:rsidRPr="00C401B0">
        <w:t xml:space="preserve">As the minutes did not say clearly that the market was expected to grow by a specified percentage over 5 years this has meant that the </w:t>
      </w:r>
      <w:r w:rsidR="003824EF">
        <w:t>Sponsor</w:t>
      </w:r>
      <w:r w:rsidRPr="00C401B0">
        <w:t xml:space="preserve"> has been unable to address this issue in the pre-PBAC submissions.  </w:t>
      </w:r>
    </w:p>
    <w:p w:rsidR="008D0FDD" w:rsidRPr="00E53949" w:rsidRDefault="008D0FDD" w:rsidP="003233C6">
      <w:pPr>
        <w:pStyle w:val="Heading1"/>
      </w:pPr>
      <w:bookmarkStart w:id="89" w:name="_Toc356560797"/>
      <w:r w:rsidRPr="00E53949">
        <w:t>Is PBAC required to apply The Guidelines [Part II, Section E  p 151 “Costs over five years”</w:t>
      </w:r>
      <w:r w:rsidR="00403347">
        <w:t>]</w:t>
      </w:r>
      <w:r w:rsidRPr="00E53949">
        <w:t xml:space="preserve"> consistently?</w:t>
      </w:r>
      <w:bookmarkEnd w:id="89"/>
    </w:p>
    <w:p w:rsidR="008D0FDD" w:rsidRDefault="008D0FDD" w:rsidP="00E53949">
      <w:pPr>
        <w:rPr>
          <w:lang w:val="en-GB"/>
        </w:rPr>
      </w:pPr>
      <w:r>
        <w:rPr>
          <w:lang w:val="en-GB"/>
        </w:rPr>
        <w:t>The ratified minutes of the November 2012 PBAC meeting state that “</w:t>
      </w:r>
      <w:r w:rsidRPr="008F040B">
        <w:rPr>
          <w:lang w:val="en-GB"/>
        </w:rPr>
        <w:t>the Committee was concerned that the financial impact of the proposed listing requires further analysis and evaluation, which was not possible in the context of a minor resubmission. The analysis and evaluation should take into account the issues raised in previous evaluations and the ongoing reductions in the PBS prices of some PPIs and NSAID medicines</w:t>
      </w:r>
      <w:r>
        <w:rPr>
          <w:lang w:val="en-GB"/>
        </w:rPr>
        <w:t>.” (Ratified minutes of the November 2012 PBAC meeting, p</w:t>
      </w:r>
      <w:r w:rsidR="009C5F0F">
        <w:rPr>
          <w:lang w:val="en-GB"/>
        </w:rPr>
        <w:t>a</w:t>
      </w:r>
      <w:r>
        <w:rPr>
          <w:lang w:val="en-GB"/>
        </w:rPr>
        <w:t>g</w:t>
      </w:r>
      <w:r w:rsidR="009C5F0F">
        <w:rPr>
          <w:lang w:val="en-GB"/>
        </w:rPr>
        <w:t>e</w:t>
      </w:r>
      <w:r>
        <w:rPr>
          <w:lang w:val="en-GB"/>
        </w:rPr>
        <w:t xml:space="preserve"> 2).</w:t>
      </w:r>
    </w:p>
    <w:p w:rsidR="008D0FDD" w:rsidRPr="00C50E19" w:rsidRDefault="008D0FDD" w:rsidP="00E53949">
      <w:pPr>
        <w:rPr>
          <w:szCs w:val="24"/>
        </w:rPr>
      </w:pPr>
      <w:r w:rsidRPr="00C50E19">
        <w:rPr>
          <w:szCs w:val="24"/>
        </w:rPr>
        <w:t xml:space="preserve">The </w:t>
      </w:r>
      <w:r w:rsidR="003824EF">
        <w:rPr>
          <w:szCs w:val="24"/>
        </w:rPr>
        <w:t>Sponsor</w:t>
      </w:r>
      <w:r w:rsidRPr="00C50E19">
        <w:rPr>
          <w:szCs w:val="24"/>
        </w:rPr>
        <w:t xml:space="preserve"> states that the request by the PBAC that it should take into account “ongoing reductions in the PBS prices of some PPIs and NSAID medicines” is inconsistent with the PBAC </w:t>
      </w:r>
      <w:r w:rsidR="003824EF">
        <w:rPr>
          <w:szCs w:val="24"/>
        </w:rPr>
        <w:t>Guidelines</w:t>
      </w:r>
      <w:r w:rsidRPr="00C50E19">
        <w:rPr>
          <w:szCs w:val="24"/>
        </w:rPr>
        <w:t xml:space="preserve"> that state that cost estimates should be based on constant prices with no allowance made for inflation and use of a zero discount rate.</w:t>
      </w:r>
    </w:p>
    <w:p w:rsidR="008D0FDD" w:rsidRPr="00C50E19" w:rsidRDefault="008D0FDD" w:rsidP="00E53949">
      <w:pPr>
        <w:rPr>
          <w:szCs w:val="24"/>
        </w:rPr>
      </w:pPr>
      <w:r w:rsidRPr="00C50E19">
        <w:rPr>
          <w:szCs w:val="24"/>
        </w:rPr>
        <w:t>The reviewer agrees that the PBAC request is contrary to the Guidelines.</w:t>
      </w:r>
      <w:r>
        <w:rPr>
          <w:szCs w:val="24"/>
        </w:rPr>
        <w:t xml:space="preserve"> However, as the future price reductions for </w:t>
      </w:r>
      <w:r w:rsidRPr="00176DB0">
        <w:rPr>
          <w:szCs w:val="24"/>
        </w:rPr>
        <w:t>rabeprazole and esomeprazole</w:t>
      </w:r>
      <w:r>
        <w:rPr>
          <w:szCs w:val="24"/>
        </w:rPr>
        <w:t xml:space="preserve"> were statutory reductions the reviewers consider this to be an entirely justifiable request by PBAC. Beyond that including further price reductions in the financial estimates should have been explained clearly to the </w:t>
      </w:r>
      <w:r w:rsidR="003824EF">
        <w:rPr>
          <w:szCs w:val="24"/>
        </w:rPr>
        <w:t>Sponsor</w:t>
      </w:r>
      <w:r>
        <w:rPr>
          <w:szCs w:val="24"/>
        </w:rPr>
        <w:t xml:space="preserve">. </w:t>
      </w:r>
    </w:p>
    <w:p w:rsidR="008D0FDD" w:rsidRPr="00C50E19" w:rsidRDefault="008D0FDD" w:rsidP="003233C6">
      <w:pPr>
        <w:pStyle w:val="Heading2"/>
      </w:pPr>
      <w:bookmarkStart w:id="90" w:name="_Toc356560798"/>
      <w:r w:rsidRPr="00C50E19">
        <w:t>Conclusion</w:t>
      </w:r>
      <w:bookmarkEnd w:id="90"/>
      <w:r w:rsidRPr="00C50E19">
        <w:t xml:space="preserve"> </w:t>
      </w:r>
    </w:p>
    <w:p w:rsidR="008D0FDD" w:rsidRDefault="008D0FDD" w:rsidP="00E53949">
      <w:pPr>
        <w:rPr>
          <w:szCs w:val="24"/>
        </w:rPr>
      </w:pPr>
      <w:r w:rsidRPr="00C50E19">
        <w:rPr>
          <w:szCs w:val="24"/>
        </w:rPr>
        <w:t xml:space="preserve">PBAC required further information from the </w:t>
      </w:r>
      <w:r w:rsidR="003824EF">
        <w:rPr>
          <w:szCs w:val="24"/>
        </w:rPr>
        <w:t>Sponsor</w:t>
      </w:r>
      <w:r w:rsidRPr="00C50E19">
        <w:rPr>
          <w:szCs w:val="24"/>
        </w:rPr>
        <w:t xml:space="preserve"> that is inconsistent with the Guidelines with the intention of </w:t>
      </w:r>
      <w:r w:rsidRPr="00C50E19">
        <w:rPr>
          <w:b/>
          <w:szCs w:val="24"/>
        </w:rPr>
        <w:t>reducing</w:t>
      </w:r>
      <w:r w:rsidRPr="00C50E19">
        <w:rPr>
          <w:szCs w:val="24"/>
        </w:rPr>
        <w:t xml:space="preserve"> the uncertainty about the financial impact of </w:t>
      </w:r>
      <w:r w:rsidR="004B2048">
        <w:rPr>
          <w:szCs w:val="24"/>
        </w:rPr>
        <w:t>Vimovo®</w:t>
      </w:r>
      <w:r>
        <w:rPr>
          <w:szCs w:val="24"/>
        </w:rPr>
        <w:t xml:space="preserve"> listing</w:t>
      </w:r>
      <w:r w:rsidRPr="00C50E19">
        <w:rPr>
          <w:szCs w:val="24"/>
        </w:rPr>
        <w:t>. Whilst PBAC has the ri</w:t>
      </w:r>
      <w:r>
        <w:rPr>
          <w:szCs w:val="24"/>
        </w:rPr>
        <w:t xml:space="preserve">ght to request such information it might consider including information on </w:t>
      </w:r>
      <w:r w:rsidRPr="00C50E19">
        <w:rPr>
          <w:szCs w:val="24"/>
        </w:rPr>
        <w:t xml:space="preserve">the reasons for departing from the Guidelines. </w:t>
      </w:r>
    </w:p>
    <w:p w:rsidR="008D0FDD" w:rsidRPr="0026182E" w:rsidRDefault="00B4230C" w:rsidP="003233C6">
      <w:pPr>
        <w:pStyle w:val="Heading1"/>
      </w:pPr>
      <w:bookmarkStart w:id="91" w:name="_Toc356560799"/>
      <w:r>
        <w:t>Under which scenarios</w:t>
      </w:r>
      <w:r w:rsidR="008D0FDD" w:rsidRPr="0026182E">
        <w:t xml:space="preserve"> </w:t>
      </w:r>
      <w:r>
        <w:t xml:space="preserve">would </w:t>
      </w:r>
      <w:r w:rsidR="004B2048">
        <w:t>Vimovo</w:t>
      </w:r>
      <w:r w:rsidR="004B2048" w:rsidRPr="00FE0AF9">
        <w:rPr>
          <w:vertAlign w:val="superscript"/>
        </w:rPr>
        <w:t>®</w:t>
      </w:r>
      <w:r w:rsidR="008D0FDD" w:rsidRPr="0026182E">
        <w:t xml:space="preserve"> would increase costs to the PBS?</w:t>
      </w:r>
      <w:bookmarkEnd w:id="91"/>
    </w:p>
    <w:p w:rsidR="008D0FDD" w:rsidRPr="00C50E19" w:rsidRDefault="008D0FDD" w:rsidP="00E53949">
      <w:pPr>
        <w:rPr>
          <w:szCs w:val="24"/>
        </w:rPr>
      </w:pPr>
      <w:r w:rsidRPr="00C50E19">
        <w:rPr>
          <w:szCs w:val="24"/>
        </w:rPr>
        <w:t xml:space="preserve">The reviewers undertook a sensitivity analysis of the </w:t>
      </w:r>
      <w:r>
        <w:rPr>
          <w:szCs w:val="24"/>
        </w:rPr>
        <w:t xml:space="preserve">projected </w:t>
      </w:r>
      <w:r w:rsidRPr="00C50E19">
        <w:rPr>
          <w:szCs w:val="24"/>
        </w:rPr>
        <w:t xml:space="preserve">financial impact of </w:t>
      </w:r>
      <w:r>
        <w:rPr>
          <w:szCs w:val="24"/>
        </w:rPr>
        <w:t xml:space="preserve">listing </w:t>
      </w:r>
      <w:r w:rsidR="004B2048">
        <w:rPr>
          <w:szCs w:val="24"/>
        </w:rPr>
        <w:t>Vimovo®</w:t>
      </w:r>
      <w:r w:rsidRPr="00C50E19">
        <w:rPr>
          <w:szCs w:val="24"/>
        </w:rPr>
        <w:t>, using a range of possible causes for PBAC’s ongoing concern about cost increases. The purpose of this analysis is to quantify the</w:t>
      </w:r>
      <w:r>
        <w:rPr>
          <w:szCs w:val="24"/>
        </w:rPr>
        <w:t xml:space="preserve"> magnitude of the</w:t>
      </w:r>
      <w:r w:rsidRPr="00C50E19">
        <w:rPr>
          <w:szCs w:val="24"/>
        </w:rPr>
        <w:t xml:space="preserve"> impact of the estimate on the net cost to the PBS and the Government health budget and ascertain the likelihood that listing </w:t>
      </w:r>
      <w:r w:rsidR="004B2048">
        <w:rPr>
          <w:szCs w:val="24"/>
        </w:rPr>
        <w:t>Vimovo®</w:t>
      </w:r>
      <w:r w:rsidRPr="00C50E19">
        <w:rPr>
          <w:szCs w:val="24"/>
        </w:rPr>
        <w:t xml:space="preserve"> would increase costs to the PBS.</w:t>
      </w:r>
      <w:r>
        <w:rPr>
          <w:szCs w:val="24"/>
        </w:rPr>
        <w:t xml:space="preserve"> The results of the sensitivity analysis are indicative only.</w:t>
      </w:r>
    </w:p>
    <w:p w:rsidR="008D0FDD" w:rsidRPr="00C50E19" w:rsidRDefault="008D0FDD" w:rsidP="00E53949">
      <w:pPr>
        <w:rPr>
          <w:szCs w:val="24"/>
        </w:rPr>
      </w:pPr>
      <w:r w:rsidRPr="00C50E19">
        <w:rPr>
          <w:szCs w:val="24"/>
        </w:rPr>
        <w:t xml:space="preserve">The sensitivity analysis was conducted using the </w:t>
      </w:r>
      <w:r w:rsidR="003824EF">
        <w:rPr>
          <w:szCs w:val="24"/>
        </w:rPr>
        <w:t>Sponsor</w:t>
      </w:r>
      <w:r w:rsidRPr="00C50E19">
        <w:rPr>
          <w:szCs w:val="24"/>
        </w:rPr>
        <w:t>’s ‘Section E’ Excel spreadsheet model. The reviewer</w:t>
      </w:r>
      <w:r w:rsidR="009C5F0F">
        <w:rPr>
          <w:szCs w:val="24"/>
        </w:rPr>
        <w:t>s</w:t>
      </w:r>
      <w:r w:rsidRPr="00C50E19">
        <w:rPr>
          <w:szCs w:val="24"/>
        </w:rPr>
        <w:t xml:space="preserve"> note that the PBAC did </w:t>
      </w:r>
      <w:r>
        <w:rPr>
          <w:szCs w:val="24"/>
        </w:rPr>
        <w:t xml:space="preserve">not </w:t>
      </w:r>
      <w:r w:rsidRPr="00C50E19">
        <w:rPr>
          <w:szCs w:val="24"/>
        </w:rPr>
        <w:t>report on any errors or problems relating to the validity and reliability of the Section E model, nor were any found by the reviewer</w:t>
      </w:r>
      <w:r w:rsidR="009C5F0F">
        <w:rPr>
          <w:szCs w:val="24"/>
        </w:rPr>
        <w:t>s</w:t>
      </w:r>
      <w:r w:rsidRPr="00C50E19">
        <w:rPr>
          <w:szCs w:val="24"/>
        </w:rPr>
        <w:t xml:space="preserve"> (over and above the few minor corrections notes by the PES in their commentary).</w:t>
      </w:r>
    </w:p>
    <w:p w:rsidR="008D0FDD" w:rsidRDefault="008D0FDD" w:rsidP="00E53949">
      <w:pPr>
        <w:rPr>
          <w:szCs w:val="24"/>
        </w:rPr>
      </w:pPr>
      <w:r w:rsidRPr="00C50E19">
        <w:rPr>
          <w:szCs w:val="24"/>
        </w:rPr>
        <w:t xml:space="preserve">For each of the potential individual </w:t>
      </w:r>
      <w:r>
        <w:rPr>
          <w:szCs w:val="24"/>
        </w:rPr>
        <w:t>scenarios</w:t>
      </w:r>
      <w:r w:rsidRPr="00C50E19">
        <w:rPr>
          <w:szCs w:val="24"/>
        </w:rPr>
        <w:t xml:space="preserve"> a range of estimates was made around the base case assumption and the predicted impact on the Overall Net Cost to the PBS (which in this application is equivalent to the Overall Net Cost to Government Health Budget). The results of this </w:t>
      </w:r>
      <w:r w:rsidR="00030534" w:rsidRPr="00C50E19">
        <w:rPr>
          <w:szCs w:val="24"/>
        </w:rPr>
        <w:t>modelling</w:t>
      </w:r>
      <w:r w:rsidRPr="00C50E19">
        <w:rPr>
          <w:szCs w:val="24"/>
        </w:rPr>
        <w:t xml:space="preserve"> are summarized in </w:t>
      </w:r>
      <w:r w:rsidR="0045598B">
        <w:rPr>
          <w:szCs w:val="24"/>
        </w:rPr>
        <w:t>Ta</w:t>
      </w:r>
      <w:r w:rsidRPr="00514D87">
        <w:rPr>
          <w:szCs w:val="24"/>
        </w:rPr>
        <w:t xml:space="preserve">ble </w:t>
      </w:r>
      <w:r w:rsidR="0045598B">
        <w:rPr>
          <w:szCs w:val="24"/>
        </w:rPr>
        <w:t>below</w:t>
      </w:r>
      <w:r>
        <w:rPr>
          <w:szCs w:val="24"/>
        </w:rPr>
        <w:t xml:space="preserve">. </w:t>
      </w:r>
    </w:p>
    <w:p w:rsidR="00336520" w:rsidRDefault="00336520">
      <w:pPr>
        <w:spacing w:after="200"/>
        <w:rPr>
          <w:szCs w:val="24"/>
        </w:rPr>
      </w:pPr>
      <w:r>
        <w:rPr>
          <w:szCs w:val="24"/>
        </w:rPr>
        <w:br w:type="page"/>
      </w:r>
    </w:p>
    <w:p w:rsidR="00336520" w:rsidRDefault="00336520" w:rsidP="00E53949">
      <w:pPr>
        <w:rPr>
          <w:szCs w:val="24"/>
        </w:rPr>
        <w:sectPr w:rsidR="00336520" w:rsidSect="006F4AB3">
          <w:footerReference w:type="first" r:id="rId29"/>
          <w:pgSz w:w="11907" w:h="16839" w:code="9"/>
          <w:pgMar w:top="1440" w:right="1440" w:bottom="1440" w:left="1440" w:header="720" w:footer="720" w:gutter="0"/>
          <w:cols w:space="720"/>
          <w:titlePg/>
          <w:docGrid w:linePitch="360"/>
        </w:sectPr>
      </w:pPr>
    </w:p>
    <w:p w:rsidR="009C5F0F" w:rsidRPr="00277E5B" w:rsidRDefault="009C5F0F" w:rsidP="009C5F0F">
      <w:pPr>
        <w:pStyle w:val="Caption"/>
        <w:jc w:val="center"/>
        <w:rPr>
          <w:color w:val="auto"/>
        </w:rPr>
      </w:pPr>
      <w:r w:rsidRPr="00B66466">
        <w:rPr>
          <w:color w:val="auto"/>
        </w:rPr>
        <w:t xml:space="preserve">Table </w:t>
      </w:r>
      <w:r w:rsidR="007D7B91" w:rsidRPr="00BF320E">
        <w:rPr>
          <w:color w:val="auto"/>
        </w:rPr>
        <w:t>9</w:t>
      </w:r>
      <w:r w:rsidRPr="00BF320E">
        <w:rPr>
          <w:color w:val="auto"/>
        </w:rPr>
        <w:t xml:space="preserve">. Consideration of assumptions in the </w:t>
      </w:r>
      <w:r w:rsidR="004B2048" w:rsidRPr="00BF320E">
        <w:rPr>
          <w:color w:val="auto"/>
        </w:rPr>
        <w:t>Vimovo®</w:t>
      </w:r>
      <w:r w:rsidRPr="00B66466">
        <w:rPr>
          <w:color w:val="auto"/>
        </w:rPr>
        <w:t xml:space="preserve"> submissions and price comparison</w:t>
      </w:r>
    </w:p>
    <w:tbl>
      <w:tblPr>
        <w:tblStyle w:val="TableGrid"/>
        <w:tblW w:w="0" w:type="auto"/>
        <w:tblLook w:val="04A0" w:firstRow="1" w:lastRow="0" w:firstColumn="1" w:lastColumn="0" w:noHBand="0" w:noVBand="1"/>
        <w:tblDescription w:val="Table 9. Consideration of assumptions in the Vimovo® submissions and price comparison"/>
      </w:tblPr>
      <w:tblGrid>
        <w:gridCol w:w="3794"/>
        <w:gridCol w:w="4961"/>
        <w:gridCol w:w="4536"/>
      </w:tblGrid>
      <w:tr w:rsidR="008D0FDD" w:rsidRPr="00B66466" w:rsidTr="003F3694">
        <w:trPr>
          <w:tblHeader/>
        </w:trPr>
        <w:tc>
          <w:tcPr>
            <w:tcW w:w="3794" w:type="dxa"/>
            <w:shd w:val="pct5" w:color="auto" w:fill="auto"/>
          </w:tcPr>
          <w:p w:rsidR="008D0FDD" w:rsidRPr="00B66466" w:rsidRDefault="008D0FDD" w:rsidP="00E53949">
            <w:pPr>
              <w:spacing w:line="276" w:lineRule="auto"/>
              <w:rPr>
                <w:b/>
                <w:sz w:val="20"/>
                <w:szCs w:val="20"/>
              </w:rPr>
            </w:pPr>
            <w:r w:rsidRPr="00B66466">
              <w:rPr>
                <w:b/>
                <w:sz w:val="20"/>
                <w:szCs w:val="20"/>
              </w:rPr>
              <w:t>Assumption</w:t>
            </w:r>
          </w:p>
        </w:tc>
        <w:tc>
          <w:tcPr>
            <w:tcW w:w="4961" w:type="dxa"/>
            <w:shd w:val="pct5" w:color="auto" w:fill="auto"/>
          </w:tcPr>
          <w:p w:rsidR="008D0FDD" w:rsidRPr="00B66466" w:rsidRDefault="008D0FDD" w:rsidP="00E53949">
            <w:pPr>
              <w:spacing w:line="276" w:lineRule="auto"/>
              <w:rPr>
                <w:b/>
                <w:sz w:val="20"/>
                <w:szCs w:val="20"/>
              </w:rPr>
            </w:pPr>
            <w:r w:rsidRPr="00B66466">
              <w:rPr>
                <w:b/>
                <w:sz w:val="20"/>
                <w:szCs w:val="20"/>
              </w:rPr>
              <w:t xml:space="preserve">Comment and evidence </w:t>
            </w:r>
          </w:p>
        </w:tc>
        <w:tc>
          <w:tcPr>
            <w:tcW w:w="4536" w:type="dxa"/>
            <w:shd w:val="pct5" w:color="auto" w:fill="auto"/>
          </w:tcPr>
          <w:p w:rsidR="008D0FDD" w:rsidRPr="00B66466" w:rsidRDefault="008D0FDD" w:rsidP="00E53949">
            <w:pPr>
              <w:spacing w:line="276" w:lineRule="auto"/>
              <w:rPr>
                <w:b/>
                <w:sz w:val="20"/>
                <w:szCs w:val="20"/>
              </w:rPr>
            </w:pPr>
            <w:r w:rsidRPr="00B66466">
              <w:rPr>
                <w:b/>
                <w:sz w:val="20"/>
                <w:szCs w:val="20"/>
              </w:rPr>
              <w:t>Implication of change in assumption</w:t>
            </w:r>
          </w:p>
        </w:tc>
      </w:tr>
      <w:tr w:rsidR="008D0FDD" w:rsidRPr="00D5753A" w:rsidTr="00277E5B">
        <w:tc>
          <w:tcPr>
            <w:tcW w:w="3794" w:type="dxa"/>
            <w:shd w:val="pct5" w:color="auto" w:fill="auto"/>
          </w:tcPr>
          <w:p w:rsidR="008D0FDD" w:rsidRPr="00B66466" w:rsidRDefault="008D0FDD" w:rsidP="00E53949">
            <w:pPr>
              <w:spacing w:line="276" w:lineRule="auto"/>
              <w:rPr>
                <w:b/>
                <w:sz w:val="20"/>
                <w:szCs w:val="20"/>
              </w:rPr>
            </w:pPr>
            <w:r w:rsidRPr="00B66466">
              <w:rPr>
                <w:b/>
                <w:sz w:val="20"/>
                <w:szCs w:val="20"/>
              </w:rPr>
              <w:t>Assumption 1</w:t>
            </w:r>
          </w:p>
        </w:tc>
        <w:tc>
          <w:tcPr>
            <w:tcW w:w="4961" w:type="dxa"/>
            <w:shd w:val="pct5" w:color="auto" w:fill="auto"/>
          </w:tcPr>
          <w:p w:rsidR="008D0FDD" w:rsidRPr="00277E5B" w:rsidRDefault="008D0FDD" w:rsidP="00E53949">
            <w:pPr>
              <w:spacing w:line="276" w:lineRule="auto"/>
              <w:rPr>
                <w:sz w:val="20"/>
                <w:szCs w:val="20"/>
              </w:rPr>
            </w:pPr>
          </w:p>
        </w:tc>
        <w:tc>
          <w:tcPr>
            <w:tcW w:w="4536" w:type="dxa"/>
            <w:shd w:val="pct5" w:color="auto" w:fill="auto"/>
          </w:tcPr>
          <w:p w:rsidR="008D0FDD" w:rsidRPr="00277E5B" w:rsidRDefault="008D0FDD" w:rsidP="00E53949">
            <w:pPr>
              <w:spacing w:line="276" w:lineRule="auto"/>
              <w:rPr>
                <w:sz w:val="20"/>
                <w:szCs w:val="20"/>
              </w:rPr>
            </w:pP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Reimbursement market for the treatment of chronic athropathies is mature and well established</w:t>
            </w:r>
          </w:p>
          <w:p w:rsidR="008D0FDD" w:rsidRPr="00277E5B" w:rsidRDefault="008D0FDD" w:rsidP="00E53949">
            <w:pPr>
              <w:spacing w:line="276" w:lineRule="auto"/>
              <w:rPr>
                <w:sz w:val="20"/>
                <w:szCs w:val="20"/>
              </w:rPr>
            </w:pPr>
            <w:r w:rsidRPr="00277E5B">
              <w:rPr>
                <w:i/>
                <w:sz w:val="20"/>
                <w:szCs w:val="20"/>
              </w:rPr>
              <w:t>Assumption</w:t>
            </w:r>
            <w:r w:rsidRPr="00277E5B">
              <w:rPr>
                <w:sz w:val="20"/>
                <w:szCs w:val="20"/>
              </w:rPr>
              <w:t>: Predictions of NSAID (including meloxicam) and celecoxib remain constant over the duration of the model</w:t>
            </w:r>
          </w:p>
        </w:tc>
        <w:tc>
          <w:tcPr>
            <w:tcW w:w="4961" w:type="dxa"/>
          </w:tcPr>
          <w:p w:rsidR="008D0FDD" w:rsidRPr="00277E5B" w:rsidRDefault="008D0FDD" w:rsidP="00277B82">
            <w:pPr>
              <w:spacing w:line="276" w:lineRule="auto"/>
              <w:rPr>
                <w:sz w:val="20"/>
                <w:szCs w:val="20"/>
              </w:rPr>
            </w:pPr>
            <w:r w:rsidRPr="00277E5B">
              <w:rPr>
                <w:sz w:val="20"/>
                <w:szCs w:val="20"/>
              </w:rPr>
              <w:t xml:space="preserve">This is a reasonable assumption and the conclusion that listing </w:t>
            </w:r>
            <w:r w:rsidR="004B2048">
              <w:rPr>
                <w:sz w:val="20"/>
                <w:szCs w:val="20"/>
              </w:rPr>
              <w:t>Vimovo®</w:t>
            </w:r>
            <w:r w:rsidRPr="00277E5B">
              <w:rPr>
                <w:sz w:val="20"/>
                <w:szCs w:val="20"/>
              </w:rPr>
              <w:t xml:space="preserve"> will not grow the market (but will take market share from other </w:t>
            </w:r>
            <w:r w:rsidR="001F6C5E">
              <w:rPr>
                <w:sz w:val="20"/>
                <w:szCs w:val="20"/>
              </w:rPr>
              <w:t>NSAIDs</w:t>
            </w:r>
            <w:r w:rsidRPr="00277E5B">
              <w:rPr>
                <w:sz w:val="20"/>
                <w:szCs w:val="20"/>
              </w:rPr>
              <w:t xml:space="preserve">) is realistic. The introduction of coxibs is likely to have expanded this market to its capacity. </w:t>
            </w:r>
            <w:r w:rsidR="00336520" w:rsidRPr="00277E5B">
              <w:rPr>
                <w:sz w:val="20"/>
                <w:szCs w:val="20"/>
              </w:rPr>
              <w:t xml:space="preserve"> Note </w:t>
            </w:r>
            <w:r w:rsidR="00277B82">
              <w:rPr>
                <w:sz w:val="20"/>
                <w:szCs w:val="20"/>
              </w:rPr>
              <w:t>Sponsor</w:t>
            </w:r>
            <w:r w:rsidRPr="00277E5B">
              <w:rPr>
                <w:sz w:val="20"/>
                <w:szCs w:val="20"/>
              </w:rPr>
              <w:t xml:space="preserve"> contends that the market is actually declining in volume</w:t>
            </w:r>
            <w:r w:rsidR="009C5F0F">
              <w:rPr>
                <w:sz w:val="20"/>
                <w:szCs w:val="20"/>
              </w:rPr>
              <w:t>.</w:t>
            </w:r>
          </w:p>
        </w:tc>
        <w:tc>
          <w:tcPr>
            <w:tcW w:w="4536" w:type="dxa"/>
          </w:tcPr>
          <w:p w:rsidR="008D0FDD" w:rsidRPr="00277E5B" w:rsidRDefault="008D0FDD" w:rsidP="00E53949">
            <w:pPr>
              <w:spacing w:line="276" w:lineRule="auto"/>
              <w:rPr>
                <w:sz w:val="20"/>
                <w:szCs w:val="20"/>
              </w:rPr>
            </w:pPr>
            <w:r w:rsidRPr="00277E5B">
              <w:rPr>
                <w:sz w:val="20"/>
                <w:szCs w:val="20"/>
              </w:rPr>
              <w:t xml:space="preserve">If the market for the treatment of chronic athropathies INCREASES then at some point a </w:t>
            </w:r>
            <w:r w:rsidR="004B2048">
              <w:rPr>
                <w:sz w:val="20"/>
                <w:szCs w:val="20"/>
              </w:rPr>
              <w:t>Vimovo®</w:t>
            </w:r>
            <w:r w:rsidRPr="00277E5B">
              <w:rPr>
                <w:sz w:val="20"/>
                <w:szCs w:val="20"/>
              </w:rPr>
              <w:t xml:space="preserve"> listing will INCREASE costs to the PBS</w:t>
            </w:r>
          </w:p>
          <w:p w:rsidR="008D0FDD" w:rsidRPr="00277E5B" w:rsidRDefault="008D0FDD" w:rsidP="00E53949">
            <w:pPr>
              <w:spacing w:line="276" w:lineRule="auto"/>
              <w:rPr>
                <w:sz w:val="20"/>
                <w:szCs w:val="20"/>
              </w:rPr>
            </w:pPr>
            <w:r w:rsidRPr="00277E5B">
              <w:rPr>
                <w:sz w:val="20"/>
                <w:szCs w:val="20"/>
              </w:rPr>
              <w:t xml:space="preserve">If the market for the treatment of chronic athropathies DECREASES then </w:t>
            </w:r>
            <w:r w:rsidR="004B2048">
              <w:rPr>
                <w:sz w:val="20"/>
                <w:szCs w:val="20"/>
              </w:rPr>
              <w:t>Vimovo®</w:t>
            </w:r>
            <w:r w:rsidRPr="00277E5B">
              <w:rPr>
                <w:sz w:val="20"/>
                <w:szCs w:val="20"/>
              </w:rPr>
              <w:t xml:space="preserve"> listing will not alter the costs to the PBS but will lead to greater projected savings as it replaced more expensive treatments (celecoxib and celecoxib +PPI)</w:t>
            </w:r>
          </w:p>
        </w:tc>
      </w:tr>
      <w:tr w:rsidR="008D0FDD" w:rsidTr="00277E5B">
        <w:tc>
          <w:tcPr>
            <w:tcW w:w="3794" w:type="dxa"/>
          </w:tcPr>
          <w:p w:rsidR="008D0FDD" w:rsidRPr="00277E5B" w:rsidRDefault="008D0FDD" w:rsidP="00E53949">
            <w:pPr>
              <w:spacing w:line="276" w:lineRule="auto"/>
              <w:rPr>
                <w:i/>
                <w:sz w:val="20"/>
                <w:szCs w:val="20"/>
              </w:rPr>
            </w:pPr>
            <w:r w:rsidRPr="00277E5B">
              <w:rPr>
                <w:i/>
                <w:sz w:val="20"/>
                <w:szCs w:val="20"/>
              </w:rPr>
              <w:t>Economic Analysis</w:t>
            </w:r>
          </w:p>
          <w:p w:rsidR="008D0FDD" w:rsidRPr="00277E5B" w:rsidRDefault="008D0FDD" w:rsidP="00E53949">
            <w:pPr>
              <w:spacing w:line="276" w:lineRule="auto"/>
              <w:rPr>
                <w:i/>
                <w:sz w:val="20"/>
                <w:szCs w:val="20"/>
              </w:rPr>
            </w:pPr>
          </w:p>
          <w:p w:rsidR="008D0FDD" w:rsidRPr="00277E5B" w:rsidRDefault="008D0FDD" w:rsidP="00E53949">
            <w:pPr>
              <w:spacing w:line="276" w:lineRule="auto"/>
              <w:rPr>
                <w:i/>
                <w:sz w:val="20"/>
                <w:szCs w:val="20"/>
              </w:rPr>
            </w:pPr>
            <w:r w:rsidRPr="00277E5B">
              <w:rPr>
                <w:i/>
                <w:sz w:val="20"/>
                <w:szCs w:val="20"/>
              </w:rPr>
              <w:t>Relax assumption of ‘No Growth’ in the NSAID</w:t>
            </w:r>
            <w:r w:rsidR="0045598B" w:rsidRPr="00277E5B">
              <w:rPr>
                <w:i/>
                <w:sz w:val="20"/>
                <w:szCs w:val="20"/>
              </w:rPr>
              <w:t xml:space="preserve"> market</w:t>
            </w:r>
          </w:p>
        </w:tc>
        <w:tc>
          <w:tcPr>
            <w:tcW w:w="4961" w:type="dxa"/>
          </w:tcPr>
          <w:p w:rsidR="008D0FDD" w:rsidRPr="00277E5B" w:rsidRDefault="008D0FDD" w:rsidP="00E53949">
            <w:pPr>
              <w:spacing w:line="276" w:lineRule="auto"/>
              <w:rPr>
                <w:i/>
                <w:sz w:val="20"/>
                <w:szCs w:val="20"/>
              </w:rPr>
            </w:pPr>
            <w:r w:rsidRPr="00277E5B">
              <w:rPr>
                <w:i/>
                <w:sz w:val="20"/>
                <w:szCs w:val="20"/>
              </w:rPr>
              <w:t xml:space="preserve">Using Excel GOAL SEEK function, what is the ANNUAL growth of </w:t>
            </w:r>
            <w:r w:rsidR="001F6C5E">
              <w:rPr>
                <w:i/>
                <w:sz w:val="20"/>
                <w:szCs w:val="20"/>
              </w:rPr>
              <w:t>NSAIDs</w:t>
            </w:r>
            <w:r w:rsidRPr="00277E5B">
              <w:rPr>
                <w:i/>
                <w:sz w:val="20"/>
                <w:szCs w:val="20"/>
              </w:rPr>
              <w:t xml:space="preserve"> (only) that would switch the financial impact from cost saving to cost inducing? (Celecoxib market held constant, no further cost saving due to substitution – market growth only)</w:t>
            </w:r>
          </w:p>
        </w:tc>
        <w:tc>
          <w:tcPr>
            <w:tcW w:w="4536" w:type="dxa"/>
          </w:tcPr>
          <w:p w:rsidR="008D0FDD" w:rsidRPr="00277E5B" w:rsidRDefault="008D0FDD" w:rsidP="00E53949">
            <w:pPr>
              <w:spacing w:line="276" w:lineRule="auto"/>
              <w:rPr>
                <w:sz w:val="20"/>
                <w:szCs w:val="20"/>
              </w:rPr>
            </w:pPr>
          </w:p>
          <w:p w:rsidR="008D0FDD" w:rsidRPr="00277E5B" w:rsidRDefault="008D0FDD" w:rsidP="00E53949">
            <w:pPr>
              <w:spacing w:line="276" w:lineRule="auto"/>
              <w:rPr>
                <w:i/>
                <w:sz w:val="20"/>
                <w:szCs w:val="20"/>
              </w:rPr>
            </w:pPr>
            <w:r w:rsidRPr="00277E5B">
              <w:rPr>
                <w:i/>
                <w:sz w:val="20"/>
                <w:szCs w:val="20"/>
              </w:rPr>
              <w:t>9.39% Annual growth in NSAID market is needed to achieve zero cost to government over the next 5 years</w:t>
            </w:r>
          </w:p>
        </w:tc>
      </w:tr>
      <w:tr w:rsidR="008D0FDD" w:rsidTr="00B66466">
        <w:tc>
          <w:tcPr>
            <w:tcW w:w="3794" w:type="dxa"/>
            <w:tcBorders>
              <w:bottom w:val="single" w:sz="4" w:space="0" w:color="auto"/>
            </w:tcBorders>
          </w:tcPr>
          <w:p w:rsidR="008D0FDD" w:rsidRPr="00277E5B" w:rsidRDefault="008D0FDD" w:rsidP="00E53949">
            <w:pPr>
              <w:spacing w:line="276" w:lineRule="auto"/>
              <w:rPr>
                <w:i/>
                <w:sz w:val="20"/>
                <w:szCs w:val="20"/>
              </w:rPr>
            </w:pPr>
            <w:r w:rsidRPr="00277E5B">
              <w:rPr>
                <w:i/>
                <w:sz w:val="20"/>
                <w:szCs w:val="20"/>
              </w:rPr>
              <w:t>Economic Analysis</w:t>
            </w:r>
          </w:p>
          <w:p w:rsidR="008D0FDD" w:rsidRPr="00277E5B" w:rsidRDefault="008D0FDD" w:rsidP="00E53949">
            <w:pPr>
              <w:spacing w:line="276" w:lineRule="auto"/>
              <w:rPr>
                <w:i/>
                <w:sz w:val="20"/>
                <w:szCs w:val="20"/>
              </w:rPr>
            </w:pPr>
          </w:p>
          <w:p w:rsidR="008D0FDD" w:rsidRPr="00277E5B" w:rsidRDefault="008D0FDD" w:rsidP="00E53949">
            <w:pPr>
              <w:spacing w:line="276" w:lineRule="auto"/>
              <w:rPr>
                <w:i/>
                <w:sz w:val="20"/>
                <w:szCs w:val="20"/>
              </w:rPr>
            </w:pPr>
            <w:r w:rsidRPr="00277E5B">
              <w:rPr>
                <w:i/>
                <w:sz w:val="20"/>
                <w:szCs w:val="20"/>
              </w:rPr>
              <w:t>Relax assumption of ‘No Growth’ in the NSAID market</w:t>
            </w:r>
          </w:p>
        </w:tc>
        <w:tc>
          <w:tcPr>
            <w:tcW w:w="4961" w:type="dxa"/>
            <w:tcBorders>
              <w:bottom w:val="single" w:sz="4" w:space="0" w:color="auto"/>
            </w:tcBorders>
          </w:tcPr>
          <w:p w:rsidR="008D0FDD" w:rsidRPr="00277E5B" w:rsidRDefault="008D0FDD" w:rsidP="00E53949">
            <w:pPr>
              <w:spacing w:line="276" w:lineRule="auto"/>
              <w:rPr>
                <w:sz w:val="20"/>
                <w:szCs w:val="20"/>
              </w:rPr>
            </w:pPr>
            <w:r w:rsidRPr="00277E5B">
              <w:rPr>
                <w:i/>
                <w:sz w:val="20"/>
                <w:szCs w:val="20"/>
              </w:rPr>
              <w:t>Using Excel GOAL SEEK function, what is the ANNUAL growth of Celecoxib (only) that would switch the financial impact from cost saving to cost inducing? (NSAID market held constant, no further cost saving due to substitution – market growth only)</w:t>
            </w:r>
          </w:p>
        </w:tc>
        <w:tc>
          <w:tcPr>
            <w:tcW w:w="4536" w:type="dxa"/>
            <w:tcBorders>
              <w:bottom w:val="single" w:sz="4" w:space="0" w:color="auto"/>
            </w:tcBorders>
          </w:tcPr>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r w:rsidRPr="00277E5B">
              <w:rPr>
                <w:i/>
                <w:sz w:val="20"/>
                <w:szCs w:val="20"/>
              </w:rPr>
              <w:t>23.9% Annual growth in celecoxib market is needed to achieve zero cost to government over the next 5 years</w:t>
            </w:r>
          </w:p>
        </w:tc>
      </w:tr>
      <w:tr w:rsidR="008D0FDD" w:rsidTr="00B66466">
        <w:tc>
          <w:tcPr>
            <w:tcW w:w="3794" w:type="dxa"/>
            <w:shd w:val="clear" w:color="auto" w:fill="D9D9D9" w:themeFill="background1" w:themeFillShade="D9"/>
          </w:tcPr>
          <w:p w:rsidR="008D0FDD" w:rsidRPr="00B66466" w:rsidRDefault="008D0FDD" w:rsidP="00E53949">
            <w:pPr>
              <w:spacing w:line="276" w:lineRule="auto"/>
              <w:rPr>
                <w:b/>
                <w:sz w:val="20"/>
                <w:szCs w:val="20"/>
              </w:rPr>
            </w:pPr>
            <w:r w:rsidRPr="00B66466">
              <w:rPr>
                <w:b/>
                <w:sz w:val="20"/>
                <w:szCs w:val="20"/>
              </w:rPr>
              <w:t>Assumption 2</w:t>
            </w:r>
          </w:p>
        </w:tc>
        <w:tc>
          <w:tcPr>
            <w:tcW w:w="4961" w:type="dxa"/>
            <w:shd w:val="clear" w:color="auto" w:fill="D9D9D9" w:themeFill="background1" w:themeFillShade="D9"/>
          </w:tcPr>
          <w:p w:rsidR="008D0FDD" w:rsidRPr="00277E5B" w:rsidRDefault="008D0FDD" w:rsidP="00E53949">
            <w:pPr>
              <w:spacing w:line="276" w:lineRule="auto"/>
              <w:rPr>
                <w:sz w:val="20"/>
                <w:szCs w:val="20"/>
              </w:rPr>
            </w:pPr>
          </w:p>
        </w:tc>
        <w:tc>
          <w:tcPr>
            <w:tcW w:w="4536" w:type="dxa"/>
            <w:shd w:val="clear" w:color="auto" w:fill="D9D9D9" w:themeFill="background1" w:themeFillShade="D9"/>
          </w:tcPr>
          <w:p w:rsidR="008D0FDD" w:rsidRPr="00277E5B" w:rsidRDefault="008D0FDD" w:rsidP="00E53949">
            <w:pPr>
              <w:spacing w:line="276" w:lineRule="auto"/>
              <w:rPr>
                <w:sz w:val="20"/>
                <w:szCs w:val="20"/>
              </w:rPr>
            </w:pP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 xml:space="preserve">75% of </w:t>
            </w:r>
            <w:r w:rsidR="004B2048">
              <w:rPr>
                <w:sz w:val="20"/>
                <w:szCs w:val="20"/>
              </w:rPr>
              <w:t>Vimovo®</w:t>
            </w:r>
            <w:r w:rsidRPr="00277E5B">
              <w:rPr>
                <w:sz w:val="20"/>
                <w:szCs w:val="20"/>
              </w:rPr>
              <w:t xml:space="preserve">’s market share will come from gastroprotective strategies currently recommended in Australian treatment </w:t>
            </w:r>
            <w:r w:rsidR="003824EF" w:rsidRPr="00277E5B">
              <w:rPr>
                <w:sz w:val="20"/>
                <w:szCs w:val="20"/>
              </w:rPr>
              <w:t>Guidelines</w:t>
            </w:r>
            <w:r w:rsidRPr="00277E5B">
              <w:rPr>
                <w:sz w:val="20"/>
                <w:szCs w:val="20"/>
              </w:rPr>
              <w:t xml:space="preserve">, namely celecoxib </w:t>
            </w:r>
            <w:r w:rsidRPr="00277E5B">
              <w:rPr>
                <w:rFonts w:cs="Arial"/>
                <w:sz w:val="20"/>
                <w:szCs w:val="20"/>
              </w:rPr>
              <w:t>±</w:t>
            </w:r>
            <w:r w:rsidRPr="00277E5B">
              <w:rPr>
                <w:sz w:val="20"/>
                <w:szCs w:val="20"/>
              </w:rPr>
              <w:t xml:space="preserve"> PPI and NSAID + PPI </w:t>
            </w:r>
          </w:p>
        </w:tc>
        <w:tc>
          <w:tcPr>
            <w:tcW w:w="4961" w:type="dxa"/>
          </w:tcPr>
          <w:p w:rsidR="008D0FDD" w:rsidRPr="00277E5B" w:rsidRDefault="008D0FDD" w:rsidP="00E53949">
            <w:pPr>
              <w:spacing w:line="276" w:lineRule="auto"/>
              <w:rPr>
                <w:sz w:val="20"/>
                <w:szCs w:val="20"/>
              </w:rPr>
            </w:pPr>
            <w:r w:rsidRPr="00277E5B">
              <w:rPr>
                <w:sz w:val="20"/>
                <w:szCs w:val="20"/>
              </w:rPr>
              <w:t xml:space="preserve"> This is a reasonable assumption given these are the major current gastroprotective strategies employed in high risk people.</w:t>
            </w:r>
          </w:p>
        </w:tc>
        <w:tc>
          <w:tcPr>
            <w:tcW w:w="4536" w:type="dxa"/>
          </w:tcPr>
          <w:p w:rsidR="008D0FDD" w:rsidRPr="00277E5B" w:rsidRDefault="008D0FDD" w:rsidP="00E53949">
            <w:pPr>
              <w:spacing w:line="276" w:lineRule="auto"/>
              <w:rPr>
                <w:sz w:val="20"/>
                <w:szCs w:val="20"/>
              </w:rPr>
            </w:pPr>
            <w:r w:rsidRPr="00277E5B">
              <w:rPr>
                <w:sz w:val="20"/>
                <w:szCs w:val="20"/>
              </w:rPr>
              <w:t xml:space="preserve">If GREATER than 75% uptake of </w:t>
            </w:r>
            <w:r w:rsidR="004B2048">
              <w:rPr>
                <w:sz w:val="20"/>
                <w:szCs w:val="20"/>
              </w:rPr>
              <w:t>Vimovo®</w:t>
            </w:r>
            <w:r w:rsidRPr="00277E5B">
              <w:rPr>
                <w:sz w:val="20"/>
                <w:szCs w:val="20"/>
              </w:rPr>
              <w:t xml:space="preserve"> occurs it would increase net savings to the PBS LESS market share – </w:t>
            </w:r>
            <w:r w:rsidR="004B2048">
              <w:rPr>
                <w:sz w:val="20"/>
                <w:szCs w:val="20"/>
              </w:rPr>
              <w:t>Vimovo®</w:t>
            </w:r>
            <w:r w:rsidRPr="00277E5B">
              <w:rPr>
                <w:sz w:val="20"/>
                <w:szCs w:val="20"/>
              </w:rPr>
              <w:t xml:space="preserve"> listing would decrease net savings to the PBS</w:t>
            </w:r>
          </w:p>
        </w:tc>
      </w:tr>
      <w:tr w:rsidR="00277B82" w:rsidTr="00277E5B">
        <w:tc>
          <w:tcPr>
            <w:tcW w:w="3794" w:type="dxa"/>
            <w:vMerge w:val="restart"/>
          </w:tcPr>
          <w:p w:rsidR="00277B82" w:rsidRPr="00277E5B" w:rsidRDefault="00277B82" w:rsidP="00E53949">
            <w:pPr>
              <w:spacing w:line="276" w:lineRule="auto"/>
              <w:rPr>
                <w:i/>
                <w:sz w:val="20"/>
                <w:szCs w:val="20"/>
              </w:rPr>
            </w:pPr>
            <w:r w:rsidRPr="00277E5B">
              <w:rPr>
                <w:i/>
                <w:sz w:val="20"/>
                <w:szCs w:val="20"/>
              </w:rPr>
              <w:t>Economic Analysis</w:t>
            </w:r>
          </w:p>
          <w:p w:rsidR="00277B82" w:rsidRPr="00277E5B" w:rsidRDefault="00277B82" w:rsidP="00E53949">
            <w:pPr>
              <w:spacing w:line="276" w:lineRule="auto"/>
              <w:rPr>
                <w:i/>
                <w:sz w:val="20"/>
                <w:szCs w:val="20"/>
              </w:rPr>
            </w:pPr>
            <w:r w:rsidRPr="00277E5B">
              <w:rPr>
                <w:i/>
                <w:sz w:val="20"/>
                <w:szCs w:val="20"/>
              </w:rPr>
              <w:t xml:space="preserve">Sensitivity analysis on DUSC estimates regarding uptake and substitution patterns for </w:t>
            </w:r>
            <w:r>
              <w:rPr>
                <w:i/>
                <w:sz w:val="20"/>
                <w:szCs w:val="20"/>
              </w:rPr>
              <w:t>Vimovo®</w:t>
            </w:r>
          </w:p>
        </w:tc>
        <w:tc>
          <w:tcPr>
            <w:tcW w:w="4961" w:type="dxa"/>
          </w:tcPr>
          <w:p w:rsidR="00277B82" w:rsidRPr="00277E5B" w:rsidRDefault="00277B82" w:rsidP="00E53949">
            <w:pPr>
              <w:spacing w:line="276" w:lineRule="auto"/>
              <w:rPr>
                <w:i/>
                <w:sz w:val="20"/>
                <w:szCs w:val="20"/>
              </w:rPr>
            </w:pPr>
            <w:r w:rsidRPr="00277E5B">
              <w:rPr>
                <w:i/>
                <w:sz w:val="20"/>
                <w:szCs w:val="20"/>
              </w:rPr>
              <w:t xml:space="preserve">INCREASE </w:t>
            </w:r>
            <w:r>
              <w:rPr>
                <w:i/>
                <w:sz w:val="20"/>
                <w:szCs w:val="20"/>
              </w:rPr>
              <w:t>Vimovo®</w:t>
            </w:r>
            <w:r w:rsidRPr="00277E5B">
              <w:rPr>
                <w:i/>
                <w:sz w:val="20"/>
                <w:szCs w:val="20"/>
              </w:rPr>
              <w:t>’s market share by 5% across the board (each year), except for NSAID monotherapy</w:t>
            </w:r>
          </w:p>
        </w:tc>
        <w:tc>
          <w:tcPr>
            <w:tcW w:w="4536" w:type="dxa"/>
          </w:tcPr>
          <w:p w:rsidR="00277B82" w:rsidRPr="00277E5B" w:rsidRDefault="00277B82" w:rsidP="00E53949">
            <w:pPr>
              <w:spacing w:line="276" w:lineRule="auto"/>
              <w:rPr>
                <w:i/>
                <w:sz w:val="20"/>
                <w:szCs w:val="20"/>
              </w:rPr>
            </w:pPr>
            <w:r w:rsidRPr="00277E5B">
              <w:rPr>
                <w:i/>
                <w:sz w:val="20"/>
                <w:szCs w:val="20"/>
              </w:rPr>
              <w:t>BASE CASE</w:t>
            </w:r>
            <w:r>
              <w:rPr>
                <w:i/>
                <w:sz w:val="20"/>
                <w:szCs w:val="20"/>
              </w:rPr>
              <w:t xml:space="preserve">:  </w:t>
            </w:r>
            <w:r w:rsidRPr="00277E5B">
              <w:rPr>
                <w:i/>
                <w:sz w:val="20"/>
                <w:szCs w:val="20"/>
              </w:rPr>
              <w:t>Cumulative cost to Govt over first 5 years of listing</w:t>
            </w:r>
            <w:r>
              <w:rPr>
                <w:i/>
                <w:sz w:val="20"/>
                <w:szCs w:val="20"/>
              </w:rPr>
              <w:t xml:space="preserve">, </w:t>
            </w:r>
            <w:r w:rsidRPr="00277E5B">
              <w:rPr>
                <w:sz w:val="20"/>
                <w:szCs w:val="20"/>
              </w:rPr>
              <w:t>-</w:t>
            </w:r>
            <w:r w:rsidRPr="00F5523F">
              <w:rPr>
                <w:rFonts w:ascii="Arial" w:eastAsia="Times New Roman" w:hAnsi="Arial" w:cs="Arial"/>
                <w:bCs/>
                <w:sz w:val="20"/>
                <w:szCs w:val="20"/>
              </w:rPr>
              <w:t xml:space="preserve">$41,903,849 </w:t>
            </w:r>
          </w:p>
          <w:p w:rsidR="00277B82" w:rsidRPr="00277E5B" w:rsidRDefault="00277B82" w:rsidP="00E53949">
            <w:pPr>
              <w:spacing w:line="276" w:lineRule="auto"/>
              <w:rPr>
                <w:i/>
                <w:sz w:val="20"/>
                <w:szCs w:val="20"/>
              </w:rPr>
            </w:pPr>
            <w:r w:rsidRPr="00277E5B">
              <w:rPr>
                <w:i/>
                <w:sz w:val="20"/>
                <w:szCs w:val="20"/>
              </w:rPr>
              <w:t>Sensitivity Analysis</w:t>
            </w:r>
            <w:r>
              <w:rPr>
                <w:i/>
                <w:sz w:val="20"/>
                <w:szCs w:val="20"/>
              </w:rPr>
              <w:t xml:space="preserve">: </w:t>
            </w:r>
            <w:r w:rsidRPr="00277E5B">
              <w:rPr>
                <w:i/>
                <w:sz w:val="20"/>
                <w:szCs w:val="20"/>
              </w:rPr>
              <w:t>Cumulative cost to Govt over first 5 years of listing</w:t>
            </w:r>
            <w:r>
              <w:rPr>
                <w:i/>
                <w:sz w:val="20"/>
                <w:szCs w:val="20"/>
              </w:rPr>
              <w:t xml:space="preserve">, </w:t>
            </w:r>
            <w:r w:rsidRPr="00277E5B">
              <w:rPr>
                <w:i/>
                <w:sz w:val="20"/>
                <w:szCs w:val="20"/>
              </w:rPr>
              <w:t>-$47,762,826</w:t>
            </w:r>
          </w:p>
        </w:tc>
      </w:tr>
      <w:tr w:rsidR="00277B82" w:rsidTr="00B66466">
        <w:tc>
          <w:tcPr>
            <w:tcW w:w="3794" w:type="dxa"/>
            <w:vMerge/>
            <w:tcBorders>
              <w:bottom w:val="single" w:sz="4" w:space="0" w:color="auto"/>
            </w:tcBorders>
          </w:tcPr>
          <w:p w:rsidR="00277B82" w:rsidRPr="00277E5B" w:rsidRDefault="00277B82" w:rsidP="00E53949">
            <w:pPr>
              <w:spacing w:line="276" w:lineRule="auto"/>
              <w:rPr>
                <w:i/>
                <w:sz w:val="20"/>
                <w:szCs w:val="20"/>
              </w:rPr>
            </w:pPr>
          </w:p>
        </w:tc>
        <w:tc>
          <w:tcPr>
            <w:tcW w:w="4961" w:type="dxa"/>
            <w:tcBorders>
              <w:bottom w:val="single" w:sz="4" w:space="0" w:color="auto"/>
            </w:tcBorders>
          </w:tcPr>
          <w:p w:rsidR="00277B82" w:rsidRPr="00277E5B" w:rsidRDefault="00277B82" w:rsidP="00E53949">
            <w:pPr>
              <w:spacing w:line="276" w:lineRule="auto"/>
              <w:rPr>
                <w:i/>
                <w:sz w:val="20"/>
                <w:szCs w:val="20"/>
              </w:rPr>
            </w:pPr>
            <w:r w:rsidRPr="00277E5B">
              <w:rPr>
                <w:i/>
                <w:sz w:val="20"/>
                <w:szCs w:val="20"/>
              </w:rPr>
              <w:t xml:space="preserve">DECREASE </w:t>
            </w:r>
            <w:r>
              <w:rPr>
                <w:i/>
                <w:sz w:val="20"/>
                <w:szCs w:val="20"/>
              </w:rPr>
              <w:t>Vimovo®</w:t>
            </w:r>
            <w:r w:rsidRPr="00277E5B">
              <w:rPr>
                <w:i/>
                <w:sz w:val="20"/>
                <w:szCs w:val="20"/>
              </w:rPr>
              <w:t>’s market share by 5% - 15% across the board (each year), except for NSAID monotherapy</w:t>
            </w:r>
          </w:p>
          <w:p w:rsidR="00277B82" w:rsidRPr="00277E5B" w:rsidRDefault="00277B82" w:rsidP="00E53949">
            <w:pPr>
              <w:spacing w:line="276" w:lineRule="auto"/>
              <w:rPr>
                <w:sz w:val="20"/>
                <w:szCs w:val="20"/>
              </w:rPr>
            </w:pPr>
          </w:p>
        </w:tc>
        <w:tc>
          <w:tcPr>
            <w:tcW w:w="4536" w:type="dxa"/>
            <w:tcBorders>
              <w:bottom w:val="single" w:sz="4" w:space="0" w:color="auto"/>
            </w:tcBorders>
          </w:tcPr>
          <w:p w:rsidR="00277B82" w:rsidRPr="00277E5B" w:rsidRDefault="00277B82" w:rsidP="00F5523F">
            <w:pPr>
              <w:spacing w:line="276" w:lineRule="auto"/>
              <w:rPr>
                <w:rFonts w:cstheme="minorHAnsi"/>
                <w:sz w:val="20"/>
                <w:szCs w:val="20"/>
              </w:rPr>
            </w:pPr>
            <w:r w:rsidRPr="00277E5B">
              <w:rPr>
                <w:rFonts w:cstheme="minorHAnsi"/>
                <w:i/>
                <w:sz w:val="20"/>
                <w:szCs w:val="20"/>
              </w:rPr>
              <w:t xml:space="preserve">BASE CASE: </w:t>
            </w:r>
            <w:r w:rsidRPr="00277E5B">
              <w:rPr>
                <w:rFonts w:cstheme="minorHAnsi"/>
                <w:sz w:val="20"/>
                <w:szCs w:val="20"/>
              </w:rPr>
              <w:t>Cumulative cost to Govt over first 5 years of listing, -</w:t>
            </w:r>
            <w:r w:rsidRPr="00277E5B">
              <w:rPr>
                <w:rFonts w:eastAsia="Times New Roman" w:cstheme="minorHAnsi"/>
                <w:bCs/>
                <w:sz w:val="20"/>
                <w:szCs w:val="20"/>
              </w:rPr>
              <w:t xml:space="preserve">$41,903,849 </w:t>
            </w:r>
          </w:p>
          <w:p w:rsidR="00277B82" w:rsidRPr="00277E5B" w:rsidRDefault="00277B82" w:rsidP="00F5523F">
            <w:pPr>
              <w:spacing w:line="276" w:lineRule="auto"/>
              <w:rPr>
                <w:i/>
                <w:sz w:val="20"/>
              </w:rPr>
            </w:pPr>
            <w:r w:rsidRPr="00277E5B">
              <w:rPr>
                <w:i/>
                <w:sz w:val="20"/>
              </w:rPr>
              <w:t>Sensitivity Analysis 5% decrease</w:t>
            </w:r>
            <w:r>
              <w:rPr>
                <w:i/>
                <w:sz w:val="20"/>
              </w:rPr>
              <w:t xml:space="preserve"> : </w:t>
            </w:r>
            <w:r w:rsidRPr="00277E5B">
              <w:rPr>
                <w:i/>
                <w:sz w:val="20"/>
              </w:rPr>
              <w:t>Cumulative cost to Govt over first 5 years of listin</w:t>
            </w:r>
            <w:r>
              <w:rPr>
                <w:i/>
                <w:sz w:val="20"/>
              </w:rPr>
              <w:t xml:space="preserve">g, </w:t>
            </w:r>
            <w:r w:rsidRPr="00277E5B">
              <w:rPr>
                <w:i/>
                <w:sz w:val="20"/>
              </w:rPr>
              <w:t>-$36,044,873</w:t>
            </w:r>
          </w:p>
          <w:p w:rsidR="00277B82" w:rsidRPr="00277E5B" w:rsidRDefault="00277B82" w:rsidP="00F5523F">
            <w:pPr>
              <w:spacing w:line="276" w:lineRule="auto"/>
              <w:rPr>
                <w:sz w:val="20"/>
              </w:rPr>
            </w:pPr>
            <w:r w:rsidRPr="00277E5B">
              <w:rPr>
                <w:i/>
                <w:sz w:val="20"/>
              </w:rPr>
              <w:t>Sensitivity Analysis 15% decreas</w:t>
            </w:r>
            <w:r>
              <w:rPr>
                <w:i/>
                <w:sz w:val="20"/>
              </w:rPr>
              <w:t xml:space="preserve">e: </w:t>
            </w:r>
            <w:r w:rsidRPr="00277E5B">
              <w:rPr>
                <w:i/>
                <w:sz w:val="20"/>
              </w:rPr>
              <w:t>Cumulative cost to Govt over first 5 years of listing -$24,789,344</w:t>
            </w:r>
          </w:p>
        </w:tc>
      </w:tr>
      <w:tr w:rsidR="008D0FDD" w:rsidTr="00B66466">
        <w:tc>
          <w:tcPr>
            <w:tcW w:w="3794" w:type="dxa"/>
            <w:shd w:val="clear" w:color="auto" w:fill="D9D9D9" w:themeFill="background1" w:themeFillShade="D9"/>
          </w:tcPr>
          <w:p w:rsidR="008D0FDD" w:rsidRPr="00B66466" w:rsidRDefault="008D0FDD" w:rsidP="00E53949">
            <w:pPr>
              <w:spacing w:line="276" w:lineRule="auto"/>
              <w:rPr>
                <w:b/>
                <w:sz w:val="20"/>
                <w:szCs w:val="20"/>
              </w:rPr>
            </w:pPr>
            <w:r w:rsidRPr="00B66466">
              <w:rPr>
                <w:b/>
                <w:sz w:val="20"/>
                <w:szCs w:val="20"/>
              </w:rPr>
              <w:t>Assumption 3</w:t>
            </w:r>
          </w:p>
        </w:tc>
        <w:tc>
          <w:tcPr>
            <w:tcW w:w="4961" w:type="dxa"/>
            <w:shd w:val="clear" w:color="auto" w:fill="D9D9D9" w:themeFill="background1" w:themeFillShade="D9"/>
          </w:tcPr>
          <w:p w:rsidR="008D0FDD" w:rsidRPr="00277E5B" w:rsidRDefault="008D0FDD" w:rsidP="00E53949">
            <w:pPr>
              <w:spacing w:line="276" w:lineRule="auto"/>
              <w:rPr>
                <w:sz w:val="20"/>
                <w:szCs w:val="20"/>
              </w:rPr>
            </w:pPr>
          </w:p>
        </w:tc>
        <w:tc>
          <w:tcPr>
            <w:tcW w:w="4536" w:type="dxa"/>
            <w:shd w:val="clear" w:color="auto" w:fill="D9D9D9" w:themeFill="background1" w:themeFillShade="D9"/>
          </w:tcPr>
          <w:p w:rsidR="008D0FDD" w:rsidRPr="00277E5B" w:rsidRDefault="008D0FDD" w:rsidP="00E53949">
            <w:pPr>
              <w:spacing w:line="276" w:lineRule="auto"/>
              <w:rPr>
                <w:sz w:val="20"/>
                <w:szCs w:val="20"/>
              </w:rPr>
            </w:pP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 xml:space="preserve">Uptake from NSAID (incl meloxicam) monotherapy is expected to account for less than 10% of the total therapies that </w:t>
            </w:r>
            <w:r w:rsidR="004B2048">
              <w:rPr>
                <w:sz w:val="20"/>
                <w:szCs w:val="20"/>
              </w:rPr>
              <w:t>Vimovo®</w:t>
            </w:r>
            <w:r w:rsidRPr="00277E5B">
              <w:rPr>
                <w:sz w:val="20"/>
                <w:szCs w:val="20"/>
              </w:rPr>
              <w:t xml:space="preserve"> will replace.</w:t>
            </w:r>
          </w:p>
        </w:tc>
        <w:tc>
          <w:tcPr>
            <w:tcW w:w="4961" w:type="dxa"/>
          </w:tcPr>
          <w:p w:rsidR="008D0FDD" w:rsidRPr="00277E5B" w:rsidRDefault="008D0FDD" w:rsidP="00E53949">
            <w:pPr>
              <w:spacing w:line="276" w:lineRule="auto"/>
              <w:rPr>
                <w:sz w:val="20"/>
                <w:szCs w:val="20"/>
              </w:rPr>
            </w:pPr>
            <w:r w:rsidRPr="00277E5B">
              <w:rPr>
                <w:sz w:val="20"/>
                <w:szCs w:val="20"/>
              </w:rPr>
              <w:t xml:space="preserve">Meloxicam monotherapy at a dose of 15 mg daily is not recommended for use in at-risk patients in Australian treatment </w:t>
            </w:r>
            <w:r w:rsidR="00277B82">
              <w:rPr>
                <w:sz w:val="20"/>
                <w:szCs w:val="20"/>
              </w:rPr>
              <w:t>g</w:t>
            </w:r>
            <w:r w:rsidR="003824EF" w:rsidRPr="00277E5B">
              <w:rPr>
                <w:sz w:val="20"/>
                <w:szCs w:val="20"/>
              </w:rPr>
              <w:t>uidelines</w:t>
            </w:r>
            <w:r w:rsidRPr="00277E5B">
              <w:rPr>
                <w:sz w:val="20"/>
                <w:szCs w:val="20"/>
              </w:rPr>
              <w:t xml:space="preserve">.  </w:t>
            </w:r>
          </w:p>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r w:rsidRPr="00277E5B">
              <w:rPr>
                <w:sz w:val="20"/>
                <w:szCs w:val="20"/>
              </w:rPr>
              <w:t xml:space="preserve">This is reasonable and conservative assumption given that the PBS review of selective </w:t>
            </w:r>
            <w:r w:rsidR="001F6C5E">
              <w:rPr>
                <w:sz w:val="20"/>
                <w:szCs w:val="20"/>
              </w:rPr>
              <w:t>NSAIDs</w:t>
            </w:r>
            <w:r w:rsidRPr="00277E5B">
              <w:rPr>
                <w:sz w:val="20"/>
                <w:szCs w:val="20"/>
              </w:rPr>
              <w:t xml:space="preserve"> concluded similar findings regarding the advantage of celecoxib over </w:t>
            </w:r>
            <w:r w:rsidRPr="00522C5E">
              <w:rPr>
                <w:sz w:val="20"/>
                <w:szCs w:val="20"/>
              </w:rPr>
              <w:t>meloxicam (</w:t>
            </w:r>
            <w:r w:rsidRPr="00522C5E">
              <w:rPr>
                <w:i/>
                <w:sz w:val="20"/>
                <w:szCs w:val="20"/>
              </w:rPr>
              <w:t xml:space="preserve">2004 review of the Cox-2 agents, the PBAC considered that meloxicam lies between traditional </w:t>
            </w:r>
            <w:r w:rsidR="001F6C5E" w:rsidRPr="00522C5E">
              <w:rPr>
                <w:i/>
                <w:sz w:val="20"/>
                <w:szCs w:val="20"/>
              </w:rPr>
              <w:t>NSAIDs</w:t>
            </w:r>
            <w:r w:rsidRPr="00522C5E">
              <w:rPr>
                <w:i/>
                <w:sz w:val="20"/>
                <w:szCs w:val="20"/>
              </w:rPr>
              <w:t xml:space="preserve"> and Cox-2 specific agents</w:t>
            </w:r>
            <w:r w:rsidR="00522C5E">
              <w:rPr>
                <w:sz w:val="20"/>
                <w:szCs w:val="20"/>
              </w:rPr>
              <w:t>)</w:t>
            </w:r>
          </w:p>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r w:rsidRPr="00277E5B">
              <w:rPr>
                <w:sz w:val="20"/>
                <w:szCs w:val="20"/>
              </w:rPr>
              <w:t xml:space="preserve">The conservative estimate of (slow) uptake of </w:t>
            </w:r>
            <w:r w:rsidR="004B2048">
              <w:rPr>
                <w:sz w:val="20"/>
                <w:szCs w:val="20"/>
              </w:rPr>
              <w:t>Vimovo®</w:t>
            </w:r>
            <w:r w:rsidRPr="00277E5B">
              <w:rPr>
                <w:sz w:val="20"/>
                <w:szCs w:val="20"/>
              </w:rPr>
              <w:t xml:space="preserve"> in at risk people with chronic arthropathies is realistic – especially the comments that it is “unlikely to change prescribing behaviour “ in a “short time frame”.</w:t>
            </w:r>
          </w:p>
        </w:tc>
        <w:tc>
          <w:tcPr>
            <w:tcW w:w="4536" w:type="dxa"/>
          </w:tcPr>
          <w:p w:rsidR="008D0FDD" w:rsidRPr="00277E5B" w:rsidRDefault="008D0FDD" w:rsidP="00E53949">
            <w:pPr>
              <w:spacing w:line="276" w:lineRule="auto"/>
              <w:rPr>
                <w:sz w:val="20"/>
                <w:szCs w:val="20"/>
              </w:rPr>
            </w:pPr>
            <w:r w:rsidRPr="00277E5B">
              <w:rPr>
                <w:sz w:val="20"/>
                <w:szCs w:val="20"/>
              </w:rPr>
              <w:t xml:space="preserve">HIGHER </w:t>
            </w:r>
            <w:r w:rsidR="00277B82">
              <w:rPr>
                <w:sz w:val="20"/>
                <w:szCs w:val="20"/>
              </w:rPr>
              <w:t>ns</w:t>
            </w:r>
            <w:r w:rsidRPr="00277E5B">
              <w:rPr>
                <w:sz w:val="20"/>
                <w:szCs w:val="20"/>
              </w:rPr>
              <w:t xml:space="preserve">NSAID (meloxicam) monotherapy  use – </w:t>
            </w:r>
            <w:r w:rsidR="004B2048">
              <w:rPr>
                <w:sz w:val="20"/>
                <w:szCs w:val="20"/>
              </w:rPr>
              <w:t>Vimovo®</w:t>
            </w:r>
            <w:r w:rsidRPr="00277E5B">
              <w:rPr>
                <w:sz w:val="20"/>
                <w:szCs w:val="20"/>
              </w:rPr>
              <w:t xml:space="preserve"> listing it would </w:t>
            </w:r>
            <w:r w:rsidR="009C5F0F">
              <w:rPr>
                <w:sz w:val="20"/>
                <w:szCs w:val="20"/>
              </w:rPr>
              <w:t>DECREASE</w:t>
            </w:r>
            <w:r w:rsidRPr="00277E5B">
              <w:rPr>
                <w:sz w:val="20"/>
                <w:szCs w:val="20"/>
              </w:rPr>
              <w:t xml:space="preserve"> net savings to the PBS</w:t>
            </w:r>
          </w:p>
          <w:p w:rsidR="008D0FDD" w:rsidRPr="00277E5B" w:rsidRDefault="008D0FDD" w:rsidP="009C5F0F">
            <w:pPr>
              <w:spacing w:line="276" w:lineRule="auto"/>
              <w:rPr>
                <w:sz w:val="20"/>
                <w:szCs w:val="20"/>
              </w:rPr>
            </w:pPr>
            <w:r w:rsidRPr="00277E5B">
              <w:rPr>
                <w:sz w:val="20"/>
                <w:szCs w:val="20"/>
              </w:rPr>
              <w:t xml:space="preserve">LOWER nsNSAID (meloxicam) monotherapy  use – </w:t>
            </w:r>
            <w:r w:rsidR="004B2048">
              <w:rPr>
                <w:sz w:val="20"/>
                <w:szCs w:val="20"/>
              </w:rPr>
              <w:t>Vimovo®</w:t>
            </w:r>
            <w:r w:rsidRPr="00277E5B">
              <w:rPr>
                <w:sz w:val="20"/>
                <w:szCs w:val="20"/>
              </w:rPr>
              <w:t xml:space="preserve"> it would </w:t>
            </w:r>
            <w:r w:rsidR="009C5F0F">
              <w:rPr>
                <w:sz w:val="20"/>
                <w:szCs w:val="20"/>
              </w:rPr>
              <w:t>INCREASE</w:t>
            </w:r>
            <w:r w:rsidRPr="00277E5B">
              <w:rPr>
                <w:sz w:val="20"/>
                <w:szCs w:val="20"/>
              </w:rPr>
              <w:t xml:space="preserve"> net savings to the PBS</w:t>
            </w:r>
          </w:p>
        </w:tc>
      </w:tr>
      <w:tr w:rsidR="00277B82" w:rsidTr="00277E5B">
        <w:trPr>
          <w:trHeight w:val="1550"/>
        </w:trPr>
        <w:tc>
          <w:tcPr>
            <w:tcW w:w="3794" w:type="dxa"/>
            <w:vMerge w:val="restart"/>
          </w:tcPr>
          <w:p w:rsidR="00277B82" w:rsidRPr="00277E5B" w:rsidRDefault="00277B82" w:rsidP="00E53949">
            <w:pPr>
              <w:spacing w:line="276" w:lineRule="auto"/>
              <w:rPr>
                <w:i/>
                <w:sz w:val="20"/>
                <w:szCs w:val="20"/>
              </w:rPr>
            </w:pPr>
            <w:r w:rsidRPr="00277E5B">
              <w:rPr>
                <w:i/>
                <w:sz w:val="20"/>
                <w:szCs w:val="20"/>
              </w:rPr>
              <w:t>Economic Analysis</w:t>
            </w:r>
          </w:p>
          <w:p w:rsidR="00277B82" w:rsidRPr="00277E5B" w:rsidRDefault="00277B82" w:rsidP="00E53949">
            <w:pPr>
              <w:spacing w:line="276" w:lineRule="auto"/>
              <w:rPr>
                <w:i/>
                <w:sz w:val="20"/>
                <w:szCs w:val="20"/>
              </w:rPr>
            </w:pPr>
          </w:p>
          <w:p w:rsidR="00277B82" w:rsidRPr="00277E5B" w:rsidRDefault="00277B82" w:rsidP="00E53949">
            <w:pPr>
              <w:spacing w:line="276" w:lineRule="auto"/>
              <w:rPr>
                <w:i/>
                <w:sz w:val="20"/>
                <w:szCs w:val="20"/>
              </w:rPr>
            </w:pPr>
            <w:r w:rsidRPr="00277E5B">
              <w:rPr>
                <w:i/>
                <w:sz w:val="20"/>
                <w:szCs w:val="20"/>
              </w:rPr>
              <w:t xml:space="preserve">Sensitivity analysis on DUSC estimates regarding uptake and substitution patterns for </w:t>
            </w:r>
            <w:r>
              <w:rPr>
                <w:i/>
                <w:sz w:val="20"/>
                <w:szCs w:val="20"/>
              </w:rPr>
              <w:t>Vimovo®</w:t>
            </w:r>
          </w:p>
        </w:tc>
        <w:tc>
          <w:tcPr>
            <w:tcW w:w="4961" w:type="dxa"/>
          </w:tcPr>
          <w:p w:rsidR="00277B82" w:rsidRPr="00277E5B" w:rsidRDefault="00277B82" w:rsidP="00E53949">
            <w:pPr>
              <w:spacing w:line="276" w:lineRule="auto"/>
              <w:rPr>
                <w:i/>
                <w:sz w:val="20"/>
                <w:szCs w:val="20"/>
              </w:rPr>
            </w:pPr>
            <w:r w:rsidRPr="00277E5B">
              <w:rPr>
                <w:i/>
                <w:sz w:val="20"/>
                <w:szCs w:val="20"/>
              </w:rPr>
              <w:t xml:space="preserve">INCREASE </w:t>
            </w:r>
            <w:r>
              <w:rPr>
                <w:i/>
                <w:sz w:val="20"/>
                <w:szCs w:val="20"/>
              </w:rPr>
              <w:t>Vimovo®</w:t>
            </w:r>
            <w:r w:rsidRPr="00277E5B">
              <w:rPr>
                <w:i/>
                <w:sz w:val="20"/>
                <w:szCs w:val="20"/>
              </w:rPr>
              <w:t>’s market share by for NSAID monotherapy ONL</w:t>
            </w:r>
            <w:r>
              <w:rPr>
                <w:i/>
                <w:sz w:val="20"/>
                <w:szCs w:val="20"/>
              </w:rPr>
              <w:t>Y</w:t>
            </w:r>
          </w:p>
          <w:p w:rsidR="00277B82" w:rsidRPr="00277E5B" w:rsidRDefault="00277B82" w:rsidP="0045598B">
            <w:pPr>
              <w:spacing w:line="276" w:lineRule="auto"/>
              <w:rPr>
                <w:sz w:val="20"/>
                <w:szCs w:val="20"/>
              </w:rPr>
            </w:pPr>
          </w:p>
        </w:tc>
        <w:tc>
          <w:tcPr>
            <w:tcW w:w="4536" w:type="dxa"/>
          </w:tcPr>
          <w:p w:rsidR="00277B82" w:rsidRPr="00277E5B" w:rsidRDefault="00277B82" w:rsidP="00E53949">
            <w:pPr>
              <w:spacing w:line="276" w:lineRule="auto"/>
              <w:rPr>
                <w:rFonts w:cstheme="minorHAnsi"/>
                <w:i/>
                <w:sz w:val="20"/>
                <w:szCs w:val="20"/>
              </w:rPr>
            </w:pPr>
            <w:r w:rsidRPr="00277E5B">
              <w:rPr>
                <w:i/>
                <w:sz w:val="20"/>
                <w:szCs w:val="20"/>
              </w:rPr>
              <w:t>BASE CASE</w:t>
            </w:r>
            <w:r>
              <w:rPr>
                <w:i/>
                <w:sz w:val="20"/>
                <w:szCs w:val="20"/>
              </w:rPr>
              <w:t xml:space="preserve">:  </w:t>
            </w:r>
            <w:r w:rsidRPr="00277E5B">
              <w:rPr>
                <w:i/>
                <w:sz w:val="20"/>
                <w:szCs w:val="20"/>
              </w:rPr>
              <w:t>Cumulative cost to Govt over first 5 years of listing</w:t>
            </w:r>
            <w:r>
              <w:rPr>
                <w:i/>
                <w:sz w:val="20"/>
                <w:szCs w:val="20"/>
              </w:rPr>
              <w:t xml:space="preserve">, </w:t>
            </w:r>
            <w:r w:rsidRPr="00277E5B">
              <w:rPr>
                <w:rFonts w:cstheme="minorHAnsi"/>
                <w:sz w:val="20"/>
                <w:szCs w:val="20"/>
              </w:rPr>
              <w:t>-</w:t>
            </w:r>
            <w:r w:rsidRPr="00277E5B">
              <w:rPr>
                <w:rFonts w:eastAsia="Times New Roman" w:cstheme="minorHAnsi"/>
                <w:bCs/>
                <w:sz w:val="20"/>
                <w:szCs w:val="20"/>
              </w:rPr>
              <w:t xml:space="preserve">$41,903,849 </w:t>
            </w:r>
          </w:p>
          <w:p w:rsidR="00277B82" w:rsidRPr="00277E5B" w:rsidRDefault="00277B82" w:rsidP="0045598B">
            <w:pPr>
              <w:spacing w:line="276" w:lineRule="auto"/>
              <w:rPr>
                <w:sz w:val="20"/>
                <w:szCs w:val="20"/>
              </w:rPr>
            </w:pPr>
            <w:r w:rsidRPr="00277E5B">
              <w:rPr>
                <w:i/>
                <w:sz w:val="20"/>
                <w:szCs w:val="20"/>
              </w:rPr>
              <w:t>Sensitivity Analysis</w:t>
            </w:r>
            <w:r>
              <w:rPr>
                <w:i/>
                <w:sz w:val="20"/>
                <w:szCs w:val="20"/>
              </w:rPr>
              <w:t xml:space="preserve">: </w:t>
            </w:r>
            <w:r w:rsidRPr="00277E5B">
              <w:rPr>
                <w:i/>
                <w:sz w:val="20"/>
                <w:szCs w:val="20"/>
              </w:rPr>
              <w:t xml:space="preserve">Cumulative cost to Govt over first 5 years of listing </w:t>
            </w:r>
            <w:r w:rsidRPr="00F5523F">
              <w:rPr>
                <w:rFonts w:cstheme="minorHAnsi"/>
                <w:i/>
                <w:sz w:val="20"/>
                <w:szCs w:val="20"/>
              </w:rPr>
              <w:t xml:space="preserve">, </w:t>
            </w:r>
            <w:r w:rsidRPr="00277E5B">
              <w:rPr>
                <w:rFonts w:eastAsia="Times New Roman" w:cstheme="minorHAnsi"/>
                <w:bCs/>
                <w:i/>
                <w:sz w:val="20"/>
                <w:szCs w:val="20"/>
              </w:rPr>
              <w:t>-$36,722,929</w:t>
            </w:r>
            <w:r w:rsidRPr="00277E5B">
              <w:rPr>
                <w:rFonts w:eastAsia="Times New Roman" w:cstheme="minorHAnsi"/>
                <w:bCs/>
                <w:sz w:val="20"/>
                <w:szCs w:val="20"/>
              </w:rPr>
              <w:t xml:space="preserve"> </w:t>
            </w:r>
          </w:p>
        </w:tc>
      </w:tr>
      <w:tr w:rsidR="00277B82" w:rsidTr="00B66466">
        <w:trPr>
          <w:trHeight w:val="1231"/>
        </w:trPr>
        <w:tc>
          <w:tcPr>
            <w:tcW w:w="3794" w:type="dxa"/>
            <w:vMerge/>
            <w:tcBorders>
              <w:bottom w:val="single" w:sz="4" w:space="0" w:color="auto"/>
            </w:tcBorders>
          </w:tcPr>
          <w:p w:rsidR="00277B82" w:rsidRPr="00277E5B" w:rsidRDefault="00277B82" w:rsidP="00E53949">
            <w:pPr>
              <w:spacing w:line="276" w:lineRule="auto"/>
              <w:rPr>
                <w:i/>
                <w:sz w:val="20"/>
                <w:szCs w:val="20"/>
              </w:rPr>
            </w:pPr>
          </w:p>
        </w:tc>
        <w:tc>
          <w:tcPr>
            <w:tcW w:w="4961" w:type="dxa"/>
            <w:tcBorders>
              <w:bottom w:val="single" w:sz="4" w:space="0" w:color="auto"/>
            </w:tcBorders>
          </w:tcPr>
          <w:p w:rsidR="00277B82" w:rsidRPr="00277E5B" w:rsidRDefault="00277B82" w:rsidP="0045598B">
            <w:pPr>
              <w:spacing w:line="276" w:lineRule="auto"/>
              <w:rPr>
                <w:i/>
                <w:sz w:val="20"/>
                <w:szCs w:val="20"/>
              </w:rPr>
            </w:pPr>
            <w:r w:rsidRPr="00277E5B">
              <w:rPr>
                <w:i/>
                <w:sz w:val="20"/>
                <w:szCs w:val="20"/>
              </w:rPr>
              <w:t xml:space="preserve">DECREASE </w:t>
            </w:r>
            <w:r>
              <w:rPr>
                <w:i/>
                <w:sz w:val="20"/>
                <w:szCs w:val="20"/>
              </w:rPr>
              <w:t>Vimovo®</w:t>
            </w:r>
            <w:r w:rsidRPr="00277E5B">
              <w:rPr>
                <w:i/>
                <w:sz w:val="20"/>
                <w:szCs w:val="20"/>
              </w:rPr>
              <w:t>’s market share by for NSAID monotherapy ONLY</w:t>
            </w:r>
          </w:p>
          <w:p w:rsidR="00277B82" w:rsidRPr="00277E5B" w:rsidDel="0045598B" w:rsidRDefault="00277B82" w:rsidP="00E53949">
            <w:pPr>
              <w:spacing w:line="276" w:lineRule="auto"/>
              <w:rPr>
                <w:sz w:val="20"/>
                <w:szCs w:val="20"/>
              </w:rPr>
            </w:pPr>
          </w:p>
        </w:tc>
        <w:tc>
          <w:tcPr>
            <w:tcW w:w="4536" w:type="dxa"/>
            <w:tcBorders>
              <w:bottom w:val="single" w:sz="4" w:space="0" w:color="auto"/>
            </w:tcBorders>
          </w:tcPr>
          <w:p w:rsidR="00277B82" w:rsidRPr="00277E5B" w:rsidRDefault="00277B82" w:rsidP="0045598B">
            <w:pPr>
              <w:spacing w:line="276" w:lineRule="auto"/>
              <w:rPr>
                <w:rFonts w:cstheme="minorHAnsi"/>
                <w:i/>
                <w:sz w:val="20"/>
                <w:szCs w:val="20"/>
              </w:rPr>
            </w:pPr>
            <w:r w:rsidRPr="00277E5B">
              <w:rPr>
                <w:i/>
                <w:sz w:val="20"/>
                <w:szCs w:val="20"/>
              </w:rPr>
              <w:t>BASE CASE</w:t>
            </w:r>
            <w:r>
              <w:rPr>
                <w:i/>
                <w:sz w:val="20"/>
                <w:szCs w:val="20"/>
              </w:rPr>
              <w:t xml:space="preserve">, </w:t>
            </w:r>
            <w:r w:rsidRPr="00277E5B">
              <w:rPr>
                <w:i/>
                <w:sz w:val="20"/>
                <w:szCs w:val="20"/>
              </w:rPr>
              <w:t xml:space="preserve">Cumulative cost to Govt over first 5 years of listing </w:t>
            </w:r>
            <w:r w:rsidRPr="00277E5B">
              <w:rPr>
                <w:rFonts w:cstheme="minorHAnsi"/>
                <w:sz w:val="20"/>
                <w:szCs w:val="20"/>
              </w:rPr>
              <w:t>-</w:t>
            </w:r>
            <w:r w:rsidRPr="00277E5B">
              <w:rPr>
                <w:rFonts w:eastAsia="Times New Roman" w:cstheme="minorHAnsi"/>
                <w:bCs/>
                <w:sz w:val="20"/>
                <w:szCs w:val="20"/>
              </w:rPr>
              <w:t xml:space="preserve">$41,903,849 </w:t>
            </w:r>
          </w:p>
          <w:p w:rsidR="00277B82" w:rsidRPr="00277E5B" w:rsidRDefault="00277B82" w:rsidP="0045598B">
            <w:pPr>
              <w:spacing w:line="276" w:lineRule="auto"/>
              <w:rPr>
                <w:rFonts w:cstheme="minorHAnsi"/>
                <w:i/>
                <w:sz w:val="20"/>
                <w:szCs w:val="20"/>
              </w:rPr>
            </w:pPr>
            <w:r w:rsidRPr="00277E5B">
              <w:rPr>
                <w:i/>
                <w:sz w:val="20"/>
                <w:szCs w:val="20"/>
              </w:rPr>
              <w:t>Sensitivity Analysis</w:t>
            </w:r>
            <w:r>
              <w:rPr>
                <w:i/>
                <w:sz w:val="20"/>
                <w:szCs w:val="20"/>
              </w:rPr>
              <w:t xml:space="preserve"> </w:t>
            </w:r>
            <w:r w:rsidRPr="00277E5B">
              <w:rPr>
                <w:i/>
                <w:sz w:val="20"/>
                <w:szCs w:val="20"/>
              </w:rPr>
              <w:t>Cumulative cost to Govt over first 5 years of listing</w:t>
            </w:r>
            <w:r>
              <w:rPr>
                <w:i/>
                <w:sz w:val="20"/>
                <w:szCs w:val="20"/>
              </w:rPr>
              <w:t xml:space="preserve"> </w:t>
            </w:r>
            <w:r w:rsidRPr="00277E5B">
              <w:rPr>
                <w:rFonts w:eastAsia="Times New Roman" w:cstheme="minorHAnsi"/>
                <w:bCs/>
                <w:i/>
                <w:sz w:val="20"/>
                <w:szCs w:val="20"/>
              </w:rPr>
              <w:t>-$47, 084,769</w:t>
            </w:r>
            <w:r w:rsidRPr="00277E5B">
              <w:rPr>
                <w:rFonts w:eastAsia="Times New Roman" w:cstheme="minorHAnsi"/>
                <w:bCs/>
                <w:sz w:val="20"/>
                <w:szCs w:val="20"/>
              </w:rPr>
              <w:t xml:space="preserve"> </w:t>
            </w:r>
          </w:p>
          <w:p w:rsidR="00277B82" w:rsidRPr="00277E5B" w:rsidDel="0045598B" w:rsidRDefault="00277B82" w:rsidP="00E53949">
            <w:pPr>
              <w:spacing w:line="276" w:lineRule="auto"/>
              <w:rPr>
                <w:sz w:val="20"/>
                <w:szCs w:val="20"/>
              </w:rPr>
            </w:pPr>
          </w:p>
        </w:tc>
      </w:tr>
      <w:tr w:rsidR="008D0FDD" w:rsidTr="00B66466">
        <w:tc>
          <w:tcPr>
            <w:tcW w:w="3794" w:type="dxa"/>
            <w:shd w:val="clear" w:color="auto" w:fill="D9D9D9" w:themeFill="background1" w:themeFillShade="D9"/>
          </w:tcPr>
          <w:p w:rsidR="008D0FDD" w:rsidRPr="00B66466" w:rsidRDefault="008D0FDD" w:rsidP="00E53949">
            <w:pPr>
              <w:spacing w:line="276" w:lineRule="auto"/>
              <w:rPr>
                <w:b/>
                <w:sz w:val="20"/>
                <w:szCs w:val="20"/>
              </w:rPr>
            </w:pPr>
            <w:r w:rsidRPr="00B66466">
              <w:rPr>
                <w:b/>
                <w:sz w:val="20"/>
                <w:szCs w:val="20"/>
              </w:rPr>
              <w:t>Assumption 4</w:t>
            </w:r>
          </w:p>
        </w:tc>
        <w:tc>
          <w:tcPr>
            <w:tcW w:w="4961" w:type="dxa"/>
            <w:shd w:val="clear" w:color="auto" w:fill="D9D9D9" w:themeFill="background1" w:themeFillShade="D9"/>
          </w:tcPr>
          <w:p w:rsidR="008D0FDD" w:rsidRPr="00277E5B" w:rsidRDefault="008D0FDD" w:rsidP="00E53949">
            <w:pPr>
              <w:spacing w:line="276" w:lineRule="auto"/>
              <w:rPr>
                <w:sz w:val="20"/>
                <w:szCs w:val="20"/>
              </w:rPr>
            </w:pPr>
          </w:p>
        </w:tc>
        <w:tc>
          <w:tcPr>
            <w:tcW w:w="4536" w:type="dxa"/>
            <w:shd w:val="clear" w:color="auto" w:fill="D9D9D9" w:themeFill="background1" w:themeFillShade="D9"/>
          </w:tcPr>
          <w:p w:rsidR="008D0FDD" w:rsidRPr="00277E5B" w:rsidRDefault="008D0FDD" w:rsidP="00E53949">
            <w:pPr>
              <w:spacing w:line="276" w:lineRule="auto"/>
              <w:rPr>
                <w:sz w:val="20"/>
                <w:szCs w:val="20"/>
              </w:rPr>
            </w:pP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 xml:space="preserve">Price weighting of </w:t>
            </w:r>
            <w:r w:rsidR="004B2048">
              <w:rPr>
                <w:sz w:val="20"/>
                <w:szCs w:val="20"/>
              </w:rPr>
              <w:t>Vimovo®</w:t>
            </w:r>
          </w:p>
          <w:p w:rsidR="008D0FDD" w:rsidRPr="00277E5B" w:rsidRDefault="008D0FDD" w:rsidP="00E53949">
            <w:pPr>
              <w:spacing w:line="276" w:lineRule="auto"/>
              <w:rPr>
                <w:sz w:val="20"/>
                <w:szCs w:val="20"/>
              </w:rPr>
            </w:pPr>
            <w:r w:rsidRPr="00277E5B">
              <w:rPr>
                <w:sz w:val="20"/>
                <w:szCs w:val="20"/>
              </w:rPr>
              <w:t xml:space="preserve">73% celecoxib price and </w:t>
            </w:r>
          </w:p>
          <w:p w:rsidR="008D0FDD" w:rsidRPr="00277E5B" w:rsidRDefault="008D0FDD" w:rsidP="00E53949">
            <w:pPr>
              <w:spacing w:line="276" w:lineRule="auto"/>
              <w:rPr>
                <w:sz w:val="20"/>
                <w:szCs w:val="20"/>
              </w:rPr>
            </w:pPr>
            <w:r w:rsidRPr="00277E5B">
              <w:rPr>
                <w:sz w:val="20"/>
                <w:szCs w:val="20"/>
              </w:rPr>
              <w:t>27% meloxicam price</w:t>
            </w:r>
          </w:p>
        </w:tc>
        <w:tc>
          <w:tcPr>
            <w:tcW w:w="4961" w:type="dxa"/>
          </w:tcPr>
          <w:p w:rsidR="008D0FDD" w:rsidRPr="00277E5B" w:rsidRDefault="00277B82" w:rsidP="00E53949">
            <w:pPr>
              <w:spacing w:line="276" w:lineRule="auto"/>
              <w:rPr>
                <w:sz w:val="20"/>
                <w:szCs w:val="20"/>
              </w:rPr>
            </w:pPr>
            <w:r>
              <w:rPr>
                <w:sz w:val="20"/>
                <w:szCs w:val="20"/>
              </w:rPr>
              <w:t>Sponsor</w:t>
            </w:r>
            <w:r w:rsidR="008D0FDD" w:rsidRPr="00277E5B">
              <w:rPr>
                <w:sz w:val="20"/>
                <w:szCs w:val="20"/>
              </w:rPr>
              <w:t xml:space="preserve"> contends that this split reflects the likely substitution patterns and further highlights that a 50/50 is not a realistic reflection of the advance of celecoxib over meloxicam</w:t>
            </w:r>
          </w:p>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r w:rsidRPr="00277E5B">
              <w:rPr>
                <w:sz w:val="20"/>
                <w:szCs w:val="20"/>
              </w:rPr>
              <w:t>My assessment is that these are conservative figures</w:t>
            </w:r>
          </w:p>
        </w:tc>
        <w:tc>
          <w:tcPr>
            <w:tcW w:w="4536" w:type="dxa"/>
          </w:tcPr>
          <w:p w:rsidR="008D0FDD" w:rsidRPr="00277E5B" w:rsidRDefault="008D0FDD" w:rsidP="00E53949">
            <w:pPr>
              <w:spacing w:line="276" w:lineRule="auto"/>
              <w:rPr>
                <w:sz w:val="20"/>
                <w:szCs w:val="20"/>
              </w:rPr>
            </w:pPr>
            <w:r w:rsidRPr="00277E5B">
              <w:rPr>
                <w:sz w:val="20"/>
                <w:szCs w:val="20"/>
              </w:rPr>
              <w:t xml:space="preserve">HIGHER portion of meloxicam price – </w:t>
            </w:r>
            <w:r w:rsidR="004B2048">
              <w:rPr>
                <w:sz w:val="20"/>
                <w:szCs w:val="20"/>
              </w:rPr>
              <w:t>Vimovo®</w:t>
            </w:r>
            <w:r w:rsidRPr="00277E5B">
              <w:rPr>
                <w:sz w:val="20"/>
                <w:szCs w:val="20"/>
              </w:rPr>
              <w:t xml:space="preserve"> listing represents BETTER is value for money on the PBS</w:t>
            </w:r>
          </w:p>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r w:rsidRPr="00277E5B">
              <w:rPr>
                <w:sz w:val="20"/>
                <w:szCs w:val="20"/>
              </w:rPr>
              <w:t xml:space="preserve">HIGHER portion of celecoxib price – </w:t>
            </w:r>
            <w:r w:rsidR="004B2048">
              <w:rPr>
                <w:sz w:val="20"/>
                <w:szCs w:val="20"/>
              </w:rPr>
              <w:t>Vimovo®</w:t>
            </w:r>
            <w:r w:rsidRPr="00277E5B">
              <w:rPr>
                <w:sz w:val="20"/>
                <w:szCs w:val="20"/>
              </w:rPr>
              <w:t xml:space="preserve"> listing represents WORSE value for money on the PBS</w:t>
            </w:r>
          </w:p>
          <w:p w:rsidR="008D0FDD" w:rsidRPr="00277E5B" w:rsidRDefault="008D0FDD" w:rsidP="00E53949">
            <w:pPr>
              <w:spacing w:line="276" w:lineRule="auto"/>
              <w:rPr>
                <w:sz w:val="20"/>
                <w:szCs w:val="20"/>
              </w:rPr>
            </w:pPr>
          </w:p>
        </w:tc>
      </w:tr>
      <w:tr w:rsidR="008D0FDD" w:rsidTr="00B66466">
        <w:trPr>
          <w:trHeight w:val="56"/>
        </w:trPr>
        <w:tc>
          <w:tcPr>
            <w:tcW w:w="3794" w:type="dxa"/>
            <w:tcBorders>
              <w:bottom w:val="single" w:sz="4" w:space="0" w:color="auto"/>
            </w:tcBorders>
          </w:tcPr>
          <w:p w:rsidR="008D0FDD" w:rsidRPr="00277E5B" w:rsidRDefault="008D0FDD" w:rsidP="00E53949">
            <w:pPr>
              <w:spacing w:line="276" w:lineRule="auto"/>
              <w:rPr>
                <w:i/>
                <w:sz w:val="20"/>
                <w:szCs w:val="20"/>
              </w:rPr>
            </w:pPr>
            <w:r w:rsidRPr="00277E5B">
              <w:rPr>
                <w:i/>
                <w:sz w:val="20"/>
                <w:szCs w:val="20"/>
              </w:rPr>
              <w:t>Economic Analysis</w:t>
            </w:r>
          </w:p>
          <w:p w:rsidR="008D0FDD" w:rsidRPr="00277E5B" w:rsidRDefault="008D0FDD" w:rsidP="00E53949">
            <w:pPr>
              <w:spacing w:line="276" w:lineRule="auto"/>
              <w:rPr>
                <w:sz w:val="20"/>
                <w:szCs w:val="20"/>
              </w:rPr>
            </w:pPr>
            <w:r w:rsidRPr="00277E5B">
              <w:rPr>
                <w:i/>
                <w:sz w:val="20"/>
                <w:szCs w:val="20"/>
              </w:rPr>
              <w:t>Sensitivity Analysis on Pricing Split between Celecoxib and Meloxicam</w:t>
            </w:r>
          </w:p>
        </w:tc>
        <w:tc>
          <w:tcPr>
            <w:tcW w:w="4961" w:type="dxa"/>
            <w:tcBorders>
              <w:bottom w:val="single" w:sz="4" w:space="0" w:color="auto"/>
            </w:tcBorders>
          </w:tcPr>
          <w:p w:rsidR="008D0FDD" w:rsidRPr="00277E5B" w:rsidRDefault="008D0FDD" w:rsidP="00E53949">
            <w:pPr>
              <w:spacing w:line="276" w:lineRule="auto"/>
              <w:rPr>
                <w:sz w:val="20"/>
                <w:szCs w:val="20"/>
              </w:rPr>
            </w:pPr>
            <w:r w:rsidRPr="00277E5B">
              <w:rPr>
                <w:sz w:val="20"/>
                <w:szCs w:val="20"/>
              </w:rPr>
              <w:t>50:50 Split (celecoxib : meloxicam)</w:t>
            </w:r>
          </w:p>
          <w:p w:rsidR="008D0FDD" w:rsidRPr="00277E5B" w:rsidRDefault="008D0FDD" w:rsidP="00E53949">
            <w:pPr>
              <w:spacing w:line="276" w:lineRule="auto"/>
              <w:rPr>
                <w:sz w:val="20"/>
                <w:szCs w:val="20"/>
              </w:rPr>
            </w:pPr>
            <w:r w:rsidRPr="00277E5B">
              <w:rPr>
                <w:sz w:val="20"/>
                <w:szCs w:val="20"/>
              </w:rPr>
              <w:t>90:10 Split (celecoxib : meloxicam)</w:t>
            </w:r>
          </w:p>
        </w:tc>
        <w:tc>
          <w:tcPr>
            <w:tcW w:w="4536" w:type="dxa"/>
            <w:tcBorders>
              <w:bottom w:val="single" w:sz="4" w:space="0" w:color="auto"/>
            </w:tcBorders>
          </w:tcPr>
          <w:p w:rsidR="008D0FDD" w:rsidRPr="00277E5B" w:rsidRDefault="008D0FDD" w:rsidP="00E53949">
            <w:pPr>
              <w:spacing w:line="276" w:lineRule="auto"/>
              <w:rPr>
                <w:rFonts w:eastAsia="Times New Roman" w:cstheme="minorHAnsi"/>
                <w:bCs/>
                <w:sz w:val="20"/>
                <w:szCs w:val="20"/>
              </w:rPr>
            </w:pPr>
            <w:r w:rsidRPr="00277E5B">
              <w:rPr>
                <w:i/>
                <w:sz w:val="20"/>
                <w:szCs w:val="20"/>
              </w:rPr>
              <w:t xml:space="preserve">BASE CASE Cumulative cost to Govt over first 5 years of listing </w:t>
            </w:r>
            <w:r w:rsidRPr="00277E5B">
              <w:rPr>
                <w:rFonts w:cstheme="minorHAnsi"/>
                <w:sz w:val="20"/>
                <w:szCs w:val="20"/>
              </w:rPr>
              <w:t>-</w:t>
            </w:r>
            <w:r w:rsidRPr="00277E5B">
              <w:rPr>
                <w:rFonts w:eastAsia="Times New Roman" w:cstheme="minorHAnsi"/>
                <w:bCs/>
                <w:sz w:val="20"/>
                <w:szCs w:val="20"/>
              </w:rPr>
              <w:t xml:space="preserve">$41,903,849 </w:t>
            </w:r>
          </w:p>
          <w:p w:rsidR="008D0FDD" w:rsidRPr="00277E5B" w:rsidRDefault="008D0FDD" w:rsidP="00E53949">
            <w:pPr>
              <w:spacing w:line="276" w:lineRule="auto"/>
              <w:rPr>
                <w:bCs/>
                <w:i/>
                <w:sz w:val="20"/>
                <w:szCs w:val="20"/>
              </w:rPr>
            </w:pPr>
            <w:r w:rsidRPr="00277E5B">
              <w:rPr>
                <w:i/>
                <w:sz w:val="20"/>
                <w:szCs w:val="20"/>
              </w:rPr>
              <w:t>50:50 Split Cumulative cost to Govt over first 5 years of listing -</w:t>
            </w:r>
            <w:r w:rsidRPr="00277E5B">
              <w:rPr>
                <w:bCs/>
                <w:i/>
                <w:sz w:val="20"/>
                <w:szCs w:val="20"/>
              </w:rPr>
              <w:t>$55,689,339</w:t>
            </w:r>
          </w:p>
          <w:p w:rsidR="008D0FDD" w:rsidRPr="00277E5B" w:rsidRDefault="008D0FDD" w:rsidP="00E53949">
            <w:pPr>
              <w:spacing w:line="276" w:lineRule="auto"/>
              <w:rPr>
                <w:bCs/>
                <w:i/>
                <w:sz w:val="20"/>
                <w:szCs w:val="20"/>
              </w:rPr>
            </w:pPr>
            <w:r w:rsidRPr="00277E5B">
              <w:rPr>
                <w:i/>
                <w:sz w:val="20"/>
                <w:szCs w:val="20"/>
              </w:rPr>
              <w:t>90:10 Split Cumulative cost to Govt over first 5 years of listing -</w:t>
            </w:r>
            <w:r w:rsidRPr="00277E5B">
              <w:rPr>
                <w:bCs/>
                <w:i/>
                <w:sz w:val="20"/>
                <w:szCs w:val="20"/>
              </w:rPr>
              <w:t>$31,925,781</w:t>
            </w:r>
          </w:p>
          <w:p w:rsidR="008D0FDD" w:rsidRPr="00277E5B" w:rsidRDefault="008D0FDD" w:rsidP="00E53949">
            <w:pPr>
              <w:spacing w:line="276" w:lineRule="auto"/>
              <w:rPr>
                <w:sz w:val="20"/>
                <w:szCs w:val="20"/>
              </w:rPr>
            </w:pPr>
          </w:p>
        </w:tc>
      </w:tr>
      <w:tr w:rsidR="008D0FDD" w:rsidTr="00B66466">
        <w:tc>
          <w:tcPr>
            <w:tcW w:w="3794" w:type="dxa"/>
            <w:shd w:val="clear" w:color="auto" w:fill="D9D9D9" w:themeFill="background1" w:themeFillShade="D9"/>
          </w:tcPr>
          <w:p w:rsidR="008D0FDD" w:rsidRPr="00B66466" w:rsidRDefault="008D0FDD" w:rsidP="00E53949">
            <w:pPr>
              <w:spacing w:line="276" w:lineRule="auto"/>
              <w:rPr>
                <w:b/>
                <w:sz w:val="20"/>
                <w:szCs w:val="20"/>
              </w:rPr>
            </w:pPr>
            <w:r w:rsidRPr="00B66466">
              <w:rPr>
                <w:b/>
                <w:sz w:val="20"/>
                <w:szCs w:val="20"/>
              </w:rPr>
              <w:t>Assumption 5</w:t>
            </w:r>
          </w:p>
        </w:tc>
        <w:tc>
          <w:tcPr>
            <w:tcW w:w="4961" w:type="dxa"/>
            <w:shd w:val="clear" w:color="auto" w:fill="D9D9D9" w:themeFill="background1" w:themeFillShade="D9"/>
          </w:tcPr>
          <w:p w:rsidR="008D0FDD" w:rsidRPr="00277E5B" w:rsidRDefault="008D0FDD" w:rsidP="00E53949">
            <w:pPr>
              <w:spacing w:line="276" w:lineRule="auto"/>
              <w:rPr>
                <w:sz w:val="20"/>
                <w:szCs w:val="20"/>
              </w:rPr>
            </w:pPr>
          </w:p>
        </w:tc>
        <w:tc>
          <w:tcPr>
            <w:tcW w:w="4536" w:type="dxa"/>
            <w:shd w:val="clear" w:color="auto" w:fill="D9D9D9" w:themeFill="background1" w:themeFillShade="D9"/>
          </w:tcPr>
          <w:p w:rsidR="008D0FDD" w:rsidRPr="00277E5B" w:rsidRDefault="008D0FDD" w:rsidP="00E53949">
            <w:pPr>
              <w:spacing w:line="276" w:lineRule="auto"/>
              <w:rPr>
                <w:sz w:val="20"/>
                <w:szCs w:val="20"/>
              </w:rPr>
            </w:pP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Cost of celecoxib + PPI (separate dispensed dose forms)</w:t>
            </w:r>
          </w:p>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p>
        </w:tc>
        <w:tc>
          <w:tcPr>
            <w:tcW w:w="4961" w:type="dxa"/>
          </w:tcPr>
          <w:p w:rsidR="008D0FDD" w:rsidRPr="00277E5B" w:rsidRDefault="008D0FDD" w:rsidP="00E53949">
            <w:pPr>
              <w:spacing w:line="276" w:lineRule="auto"/>
              <w:rPr>
                <w:sz w:val="20"/>
                <w:szCs w:val="20"/>
                <w:lang w:val="en-US" w:eastAsia="zh-CN"/>
              </w:rPr>
            </w:pPr>
            <w:r w:rsidRPr="00277E5B">
              <w:rPr>
                <w:sz w:val="20"/>
                <w:szCs w:val="20"/>
              </w:rPr>
              <w:t>A gastroprotective strategy in high risk patients - calculated from Medicare Australia data which estimated the proportion of use accruing to the most frequently dispensed combinations of NSAID + PPI.  This is a reasonable assumption – Table suggest</w:t>
            </w:r>
            <w:r w:rsidRPr="00277E5B">
              <w:rPr>
                <w:sz w:val="20"/>
                <w:szCs w:val="20"/>
                <w:lang w:val="en-US" w:eastAsia="zh-CN"/>
              </w:rPr>
              <w:t>s lower uptake from celecoxib + PPI than celecoxib monotherapy.</w:t>
            </w:r>
          </w:p>
        </w:tc>
        <w:tc>
          <w:tcPr>
            <w:tcW w:w="4536" w:type="dxa"/>
          </w:tcPr>
          <w:p w:rsidR="008D0FDD" w:rsidRPr="00277E5B" w:rsidRDefault="008D0FDD" w:rsidP="00E53949">
            <w:pPr>
              <w:spacing w:line="276" w:lineRule="auto"/>
              <w:rPr>
                <w:sz w:val="20"/>
                <w:szCs w:val="20"/>
              </w:rPr>
            </w:pPr>
            <w:r w:rsidRPr="00277E5B">
              <w:rPr>
                <w:sz w:val="20"/>
                <w:szCs w:val="20"/>
              </w:rPr>
              <w:t xml:space="preserve">HIGHER use of </w:t>
            </w:r>
            <w:r w:rsidRPr="00277E5B">
              <w:rPr>
                <w:sz w:val="20"/>
                <w:szCs w:val="20"/>
                <w:lang w:val="en-US" w:eastAsia="zh-CN"/>
              </w:rPr>
              <w:t>celecoxib</w:t>
            </w:r>
            <w:r w:rsidRPr="00277E5B">
              <w:rPr>
                <w:sz w:val="20"/>
                <w:szCs w:val="20"/>
              </w:rPr>
              <w:t xml:space="preserve"> + PPI in high risk people – then </w:t>
            </w:r>
            <w:r w:rsidR="004B2048">
              <w:rPr>
                <w:sz w:val="20"/>
                <w:szCs w:val="20"/>
              </w:rPr>
              <w:t>Vimovo®</w:t>
            </w:r>
            <w:r w:rsidRPr="00277E5B">
              <w:rPr>
                <w:sz w:val="20"/>
                <w:szCs w:val="20"/>
              </w:rPr>
              <w:t xml:space="preserve"> listing represents BETER value for money on the PBS</w:t>
            </w:r>
          </w:p>
          <w:p w:rsidR="008D0FDD" w:rsidRPr="00277E5B" w:rsidRDefault="008D0FDD" w:rsidP="00E53949">
            <w:pPr>
              <w:spacing w:line="276" w:lineRule="auto"/>
              <w:rPr>
                <w:sz w:val="20"/>
                <w:szCs w:val="20"/>
              </w:rPr>
            </w:pPr>
            <w:r w:rsidRPr="00277E5B">
              <w:rPr>
                <w:sz w:val="20"/>
                <w:szCs w:val="20"/>
              </w:rPr>
              <w:t xml:space="preserve">LOWER use of </w:t>
            </w:r>
            <w:r w:rsidRPr="00277E5B">
              <w:rPr>
                <w:sz w:val="20"/>
                <w:szCs w:val="20"/>
                <w:lang w:val="en-US" w:eastAsia="zh-CN"/>
              </w:rPr>
              <w:t>celecoxib</w:t>
            </w:r>
            <w:r w:rsidRPr="00277E5B">
              <w:rPr>
                <w:sz w:val="20"/>
                <w:szCs w:val="20"/>
              </w:rPr>
              <w:t xml:space="preserve"> + PPI in high risk people – then </w:t>
            </w:r>
            <w:r w:rsidR="004B2048">
              <w:rPr>
                <w:sz w:val="20"/>
                <w:szCs w:val="20"/>
              </w:rPr>
              <w:t>Vimovo®</w:t>
            </w:r>
            <w:r w:rsidRPr="00277E5B">
              <w:rPr>
                <w:sz w:val="20"/>
                <w:szCs w:val="20"/>
              </w:rPr>
              <w:t xml:space="preserve"> listing represents LESS value for money on the PBS but remain cost neutral</w:t>
            </w:r>
          </w:p>
        </w:tc>
      </w:tr>
      <w:tr w:rsidR="008D0FDD" w:rsidTr="00B66466">
        <w:trPr>
          <w:trHeight w:val="1959"/>
        </w:trPr>
        <w:tc>
          <w:tcPr>
            <w:tcW w:w="3794" w:type="dxa"/>
            <w:tcBorders>
              <w:bottom w:val="single" w:sz="4" w:space="0" w:color="auto"/>
            </w:tcBorders>
          </w:tcPr>
          <w:p w:rsidR="008D0FDD" w:rsidRPr="00277E5B" w:rsidRDefault="008D0FDD" w:rsidP="00E53949">
            <w:pPr>
              <w:spacing w:line="276" w:lineRule="auto"/>
              <w:rPr>
                <w:i/>
                <w:sz w:val="20"/>
                <w:szCs w:val="20"/>
              </w:rPr>
            </w:pPr>
            <w:r w:rsidRPr="00277E5B">
              <w:rPr>
                <w:i/>
                <w:sz w:val="20"/>
                <w:szCs w:val="20"/>
              </w:rPr>
              <w:t>Economic Analysis</w:t>
            </w:r>
          </w:p>
          <w:p w:rsidR="008D0FDD" w:rsidRPr="00277E5B" w:rsidRDefault="008D0FDD" w:rsidP="00E53949">
            <w:pPr>
              <w:spacing w:line="276" w:lineRule="auto"/>
              <w:rPr>
                <w:i/>
                <w:sz w:val="20"/>
                <w:szCs w:val="20"/>
              </w:rPr>
            </w:pPr>
          </w:p>
          <w:p w:rsidR="008D0FDD" w:rsidRPr="00277E5B" w:rsidRDefault="008D0FDD" w:rsidP="00E53949">
            <w:pPr>
              <w:spacing w:line="276" w:lineRule="auto"/>
              <w:rPr>
                <w:i/>
                <w:sz w:val="20"/>
                <w:szCs w:val="20"/>
              </w:rPr>
            </w:pPr>
            <w:r w:rsidRPr="00277E5B">
              <w:rPr>
                <w:i/>
                <w:sz w:val="20"/>
                <w:szCs w:val="20"/>
              </w:rPr>
              <w:t>Sensitivity analysis</w:t>
            </w:r>
          </w:p>
        </w:tc>
        <w:tc>
          <w:tcPr>
            <w:tcW w:w="4961" w:type="dxa"/>
            <w:tcBorders>
              <w:bottom w:val="single" w:sz="4" w:space="0" w:color="auto"/>
            </w:tcBorders>
          </w:tcPr>
          <w:p w:rsidR="008D0FDD" w:rsidRPr="00277E5B" w:rsidRDefault="008D0FDD" w:rsidP="00E53949">
            <w:pPr>
              <w:spacing w:line="276" w:lineRule="auto"/>
              <w:rPr>
                <w:i/>
                <w:sz w:val="20"/>
                <w:szCs w:val="20"/>
              </w:rPr>
            </w:pPr>
            <w:r w:rsidRPr="00277E5B">
              <w:rPr>
                <w:i/>
                <w:sz w:val="20"/>
                <w:szCs w:val="20"/>
              </w:rPr>
              <w:t>Increase the proportion of use of celecoxib +PPI therapy associated with at least 1 GI risk factor from 82% to 100%</w:t>
            </w:r>
          </w:p>
          <w:p w:rsidR="008D0FDD" w:rsidRPr="00277E5B" w:rsidRDefault="008D0FDD" w:rsidP="00E53949">
            <w:pPr>
              <w:spacing w:line="276" w:lineRule="auto"/>
              <w:rPr>
                <w:sz w:val="20"/>
                <w:szCs w:val="20"/>
              </w:rPr>
            </w:pPr>
            <w:r w:rsidRPr="00277E5B">
              <w:rPr>
                <w:i/>
                <w:sz w:val="20"/>
                <w:szCs w:val="20"/>
              </w:rPr>
              <w:t>Decrease the proportion of use of celecoxib +PPI therapy associated with at least 1 GI risk factor from 82% to 50%</w:t>
            </w:r>
          </w:p>
        </w:tc>
        <w:tc>
          <w:tcPr>
            <w:tcW w:w="4536" w:type="dxa"/>
            <w:tcBorders>
              <w:bottom w:val="single" w:sz="4" w:space="0" w:color="auto"/>
            </w:tcBorders>
          </w:tcPr>
          <w:p w:rsidR="008D0FDD" w:rsidRPr="00F5523F" w:rsidRDefault="008D0FDD" w:rsidP="00E53949">
            <w:pPr>
              <w:rPr>
                <w:rFonts w:ascii="Arial" w:eastAsia="Times New Roman" w:hAnsi="Arial" w:cs="Arial"/>
                <w:bCs/>
                <w:sz w:val="20"/>
                <w:szCs w:val="20"/>
              </w:rPr>
            </w:pPr>
            <w:r w:rsidRPr="00277E5B">
              <w:rPr>
                <w:i/>
                <w:sz w:val="20"/>
                <w:szCs w:val="20"/>
              </w:rPr>
              <w:t xml:space="preserve">BASE CASE Cumulative cost to Govt over first 5 years of listing </w:t>
            </w:r>
            <w:r w:rsidRPr="00277E5B">
              <w:rPr>
                <w:sz w:val="20"/>
                <w:szCs w:val="20"/>
              </w:rPr>
              <w:t>-</w:t>
            </w:r>
            <w:r w:rsidRPr="00F5523F">
              <w:rPr>
                <w:rFonts w:ascii="Arial" w:eastAsia="Times New Roman" w:hAnsi="Arial" w:cs="Arial"/>
                <w:bCs/>
                <w:sz w:val="20"/>
                <w:szCs w:val="20"/>
              </w:rPr>
              <w:t xml:space="preserve">$41,903,849 </w:t>
            </w:r>
          </w:p>
          <w:p w:rsidR="008D0FDD" w:rsidRPr="00277E5B" w:rsidRDefault="008D0FDD" w:rsidP="00E53949">
            <w:pPr>
              <w:spacing w:line="276" w:lineRule="auto"/>
              <w:rPr>
                <w:bCs/>
                <w:i/>
                <w:sz w:val="20"/>
                <w:szCs w:val="20"/>
              </w:rPr>
            </w:pPr>
            <w:r w:rsidRPr="00277E5B">
              <w:rPr>
                <w:i/>
                <w:sz w:val="20"/>
                <w:szCs w:val="20"/>
              </w:rPr>
              <w:t>Sensitivity Analysis 100% Cumulative cost to Govt over first 5 years of listing -</w:t>
            </w:r>
            <w:r w:rsidRPr="00277E5B">
              <w:rPr>
                <w:bCs/>
                <w:i/>
                <w:sz w:val="20"/>
                <w:szCs w:val="20"/>
              </w:rPr>
              <w:t>$44,670,342</w:t>
            </w:r>
          </w:p>
          <w:p w:rsidR="008D0FDD" w:rsidRPr="00277E5B" w:rsidRDefault="008D0FDD" w:rsidP="00E53949">
            <w:pPr>
              <w:spacing w:line="276" w:lineRule="auto"/>
              <w:rPr>
                <w:i/>
                <w:sz w:val="20"/>
                <w:szCs w:val="20"/>
              </w:rPr>
            </w:pPr>
            <w:r w:rsidRPr="00277E5B">
              <w:rPr>
                <w:i/>
                <w:sz w:val="20"/>
                <w:szCs w:val="20"/>
              </w:rPr>
              <w:t>Sensitivity Analysis 50% Cumulative cost to Govt over first 5 years of listing -</w:t>
            </w:r>
            <w:r w:rsidRPr="00277E5B">
              <w:rPr>
                <w:bCs/>
                <w:i/>
                <w:sz w:val="20"/>
                <w:szCs w:val="20"/>
              </w:rPr>
              <w:t>$37,044,368</w:t>
            </w:r>
          </w:p>
        </w:tc>
      </w:tr>
      <w:tr w:rsidR="008D0FDD" w:rsidTr="00B66466">
        <w:tc>
          <w:tcPr>
            <w:tcW w:w="3794" w:type="dxa"/>
            <w:shd w:val="clear" w:color="auto" w:fill="D9D9D9" w:themeFill="background1" w:themeFillShade="D9"/>
          </w:tcPr>
          <w:p w:rsidR="008D0FDD" w:rsidRPr="00B66466" w:rsidRDefault="008D0FDD" w:rsidP="00E53949">
            <w:pPr>
              <w:spacing w:line="276" w:lineRule="auto"/>
              <w:rPr>
                <w:b/>
                <w:sz w:val="20"/>
                <w:szCs w:val="20"/>
              </w:rPr>
            </w:pPr>
            <w:r w:rsidRPr="00B66466">
              <w:rPr>
                <w:b/>
                <w:sz w:val="20"/>
                <w:szCs w:val="20"/>
              </w:rPr>
              <w:t>Assumption 6</w:t>
            </w:r>
          </w:p>
        </w:tc>
        <w:tc>
          <w:tcPr>
            <w:tcW w:w="4961" w:type="dxa"/>
            <w:shd w:val="clear" w:color="auto" w:fill="D9D9D9" w:themeFill="background1" w:themeFillShade="D9"/>
          </w:tcPr>
          <w:p w:rsidR="008D0FDD" w:rsidRPr="00277E5B" w:rsidRDefault="008D0FDD" w:rsidP="00E53949">
            <w:pPr>
              <w:spacing w:line="276" w:lineRule="auto"/>
              <w:rPr>
                <w:sz w:val="20"/>
                <w:szCs w:val="20"/>
              </w:rPr>
            </w:pPr>
          </w:p>
        </w:tc>
        <w:tc>
          <w:tcPr>
            <w:tcW w:w="4536" w:type="dxa"/>
            <w:shd w:val="clear" w:color="auto" w:fill="D9D9D9" w:themeFill="background1" w:themeFillShade="D9"/>
          </w:tcPr>
          <w:p w:rsidR="008D0FDD" w:rsidRPr="00277E5B" w:rsidRDefault="008D0FDD" w:rsidP="00E53949">
            <w:pPr>
              <w:spacing w:line="276" w:lineRule="auto"/>
              <w:rPr>
                <w:sz w:val="20"/>
                <w:szCs w:val="20"/>
              </w:rPr>
            </w:pP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Cost of NSAID + PPI (separate dispensed dose forms)</w:t>
            </w:r>
          </w:p>
        </w:tc>
        <w:tc>
          <w:tcPr>
            <w:tcW w:w="4961" w:type="dxa"/>
          </w:tcPr>
          <w:p w:rsidR="008D0FDD" w:rsidRPr="00277E5B" w:rsidRDefault="008D0FDD" w:rsidP="00E53949">
            <w:pPr>
              <w:spacing w:line="276" w:lineRule="auto"/>
              <w:rPr>
                <w:sz w:val="20"/>
                <w:szCs w:val="20"/>
              </w:rPr>
            </w:pPr>
            <w:r w:rsidRPr="00277E5B">
              <w:rPr>
                <w:sz w:val="20"/>
                <w:szCs w:val="20"/>
              </w:rPr>
              <w:t xml:space="preserve">A gastroprotective strategy in high risk patients - calculated from Medicare Australia data which estimated the proportion of use accruing to the most frequently dispensed combinations of NSAID + PPI.  </w:t>
            </w:r>
          </w:p>
        </w:tc>
        <w:tc>
          <w:tcPr>
            <w:tcW w:w="4536" w:type="dxa"/>
          </w:tcPr>
          <w:p w:rsidR="008D0FDD" w:rsidRPr="00277E5B" w:rsidRDefault="008D0FDD" w:rsidP="00E53949">
            <w:pPr>
              <w:spacing w:line="276" w:lineRule="auto"/>
              <w:rPr>
                <w:sz w:val="20"/>
                <w:szCs w:val="20"/>
              </w:rPr>
            </w:pPr>
            <w:r w:rsidRPr="00277E5B">
              <w:rPr>
                <w:sz w:val="20"/>
                <w:szCs w:val="20"/>
              </w:rPr>
              <w:t xml:space="preserve">HIGHER use of NSAID + PPI in high risk people – then </w:t>
            </w:r>
            <w:r w:rsidR="004B2048">
              <w:rPr>
                <w:sz w:val="20"/>
                <w:szCs w:val="20"/>
              </w:rPr>
              <w:t>Vimovo®</w:t>
            </w:r>
            <w:r w:rsidRPr="00277E5B">
              <w:rPr>
                <w:sz w:val="20"/>
                <w:szCs w:val="20"/>
              </w:rPr>
              <w:t xml:space="preserve"> listing represents BETER value for money on the PBS</w:t>
            </w:r>
          </w:p>
          <w:p w:rsidR="008D0FDD" w:rsidRPr="00277E5B" w:rsidRDefault="008D0FDD" w:rsidP="00E53949">
            <w:pPr>
              <w:spacing w:line="276" w:lineRule="auto"/>
              <w:rPr>
                <w:sz w:val="20"/>
                <w:szCs w:val="20"/>
              </w:rPr>
            </w:pPr>
            <w:r w:rsidRPr="00277E5B">
              <w:rPr>
                <w:sz w:val="20"/>
                <w:szCs w:val="20"/>
              </w:rPr>
              <w:t xml:space="preserve">LOWER use of NSAID + PPI in high risk people – then </w:t>
            </w:r>
            <w:r w:rsidR="004B2048">
              <w:rPr>
                <w:sz w:val="20"/>
                <w:szCs w:val="20"/>
              </w:rPr>
              <w:t>Vimovo®</w:t>
            </w:r>
            <w:r w:rsidRPr="00277E5B">
              <w:rPr>
                <w:sz w:val="20"/>
                <w:szCs w:val="20"/>
              </w:rPr>
              <w:t xml:space="preserve"> represents LESS value for money on the PBS but remain cost neutral</w:t>
            </w:r>
          </w:p>
        </w:tc>
      </w:tr>
      <w:tr w:rsidR="008D0FDD" w:rsidTr="00277E5B">
        <w:trPr>
          <w:trHeight w:val="1792"/>
        </w:trPr>
        <w:tc>
          <w:tcPr>
            <w:tcW w:w="3794" w:type="dxa"/>
          </w:tcPr>
          <w:p w:rsidR="008D0FDD" w:rsidRPr="00277E5B" w:rsidRDefault="008D0FDD" w:rsidP="00E53949">
            <w:pPr>
              <w:spacing w:line="276" w:lineRule="auto"/>
              <w:rPr>
                <w:i/>
                <w:sz w:val="20"/>
                <w:szCs w:val="20"/>
              </w:rPr>
            </w:pPr>
            <w:r w:rsidRPr="00277E5B">
              <w:rPr>
                <w:i/>
                <w:sz w:val="20"/>
                <w:szCs w:val="20"/>
              </w:rPr>
              <w:t>Economic Analysis</w:t>
            </w:r>
          </w:p>
          <w:p w:rsidR="008D0FDD" w:rsidRPr="00277E5B" w:rsidRDefault="008D0FDD" w:rsidP="00E53949">
            <w:pPr>
              <w:spacing w:line="276" w:lineRule="auto"/>
              <w:rPr>
                <w:i/>
                <w:sz w:val="20"/>
                <w:szCs w:val="20"/>
              </w:rPr>
            </w:pPr>
          </w:p>
          <w:p w:rsidR="008D0FDD" w:rsidRPr="00277E5B" w:rsidRDefault="008D0FDD" w:rsidP="00E53949">
            <w:pPr>
              <w:spacing w:line="276" w:lineRule="auto"/>
              <w:rPr>
                <w:i/>
                <w:sz w:val="20"/>
                <w:szCs w:val="20"/>
              </w:rPr>
            </w:pPr>
            <w:r w:rsidRPr="00277E5B">
              <w:rPr>
                <w:i/>
                <w:sz w:val="20"/>
                <w:szCs w:val="20"/>
              </w:rPr>
              <w:t>Sensitivity analysis</w:t>
            </w:r>
          </w:p>
          <w:p w:rsidR="008D0FDD" w:rsidRPr="00277E5B" w:rsidRDefault="008D0FDD" w:rsidP="00F5523F">
            <w:pPr>
              <w:spacing w:line="276" w:lineRule="auto"/>
              <w:rPr>
                <w:sz w:val="20"/>
                <w:szCs w:val="20"/>
              </w:rPr>
            </w:pPr>
          </w:p>
        </w:tc>
        <w:tc>
          <w:tcPr>
            <w:tcW w:w="4961" w:type="dxa"/>
          </w:tcPr>
          <w:p w:rsidR="008D0FDD" w:rsidRPr="00277E5B" w:rsidRDefault="008D0FDD" w:rsidP="00E53949">
            <w:pPr>
              <w:spacing w:line="276" w:lineRule="auto"/>
              <w:rPr>
                <w:i/>
                <w:sz w:val="20"/>
                <w:szCs w:val="20"/>
              </w:rPr>
            </w:pPr>
            <w:r w:rsidRPr="00277E5B">
              <w:rPr>
                <w:i/>
                <w:sz w:val="20"/>
                <w:szCs w:val="20"/>
              </w:rPr>
              <w:t>Increase the proportion of use of NSAID +PPI therapy associated with at least 1 GI risk factor from 82% to 100%</w:t>
            </w:r>
          </w:p>
          <w:p w:rsidR="008D0FDD" w:rsidRPr="00277E5B" w:rsidRDefault="008D0FDD" w:rsidP="00E53949">
            <w:pPr>
              <w:spacing w:line="276" w:lineRule="auto"/>
              <w:rPr>
                <w:i/>
                <w:sz w:val="20"/>
                <w:szCs w:val="20"/>
              </w:rPr>
            </w:pPr>
          </w:p>
          <w:p w:rsidR="008D0FDD" w:rsidRPr="00277E5B" w:rsidRDefault="008D0FDD" w:rsidP="00E53949">
            <w:pPr>
              <w:spacing w:line="276" w:lineRule="auto"/>
              <w:rPr>
                <w:i/>
                <w:sz w:val="20"/>
                <w:szCs w:val="20"/>
              </w:rPr>
            </w:pPr>
            <w:r w:rsidRPr="00277E5B">
              <w:rPr>
                <w:i/>
                <w:sz w:val="20"/>
                <w:szCs w:val="20"/>
              </w:rPr>
              <w:t>Decrease the proportion of use of NSAID +PPI therapy associated with at least 1 GI risk factor from 82% to 50%</w:t>
            </w:r>
          </w:p>
          <w:p w:rsidR="008D0FDD" w:rsidRPr="00277E5B" w:rsidRDefault="008D0FDD" w:rsidP="00E53949">
            <w:pPr>
              <w:spacing w:line="276" w:lineRule="auto"/>
              <w:rPr>
                <w:sz w:val="20"/>
                <w:szCs w:val="20"/>
              </w:rPr>
            </w:pPr>
          </w:p>
        </w:tc>
        <w:tc>
          <w:tcPr>
            <w:tcW w:w="4536" w:type="dxa"/>
          </w:tcPr>
          <w:p w:rsidR="008D0FDD" w:rsidRPr="00F5523F" w:rsidRDefault="008D0FDD" w:rsidP="00E53949">
            <w:pPr>
              <w:rPr>
                <w:rFonts w:ascii="Arial" w:eastAsia="Times New Roman" w:hAnsi="Arial" w:cs="Arial"/>
                <w:bCs/>
                <w:sz w:val="20"/>
                <w:szCs w:val="20"/>
              </w:rPr>
            </w:pPr>
            <w:r w:rsidRPr="00277E5B">
              <w:rPr>
                <w:i/>
                <w:sz w:val="20"/>
                <w:szCs w:val="20"/>
              </w:rPr>
              <w:t xml:space="preserve">BASE CASE Cumulative cost to Govt over first 5 years of listing </w:t>
            </w:r>
            <w:r w:rsidRPr="00277E5B">
              <w:rPr>
                <w:sz w:val="20"/>
                <w:szCs w:val="20"/>
              </w:rPr>
              <w:t>-</w:t>
            </w:r>
            <w:r w:rsidRPr="00F5523F">
              <w:rPr>
                <w:rFonts w:ascii="Arial" w:eastAsia="Times New Roman" w:hAnsi="Arial" w:cs="Arial"/>
                <w:bCs/>
                <w:sz w:val="20"/>
                <w:szCs w:val="20"/>
              </w:rPr>
              <w:t xml:space="preserve">$41,903,849 </w:t>
            </w:r>
          </w:p>
          <w:p w:rsidR="008D0FDD" w:rsidRPr="00277E5B" w:rsidRDefault="008D0FDD" w:rsidP="00E53949">
            <w:pPr>
              <w:spacing w:line="276" w:lineRule="auto"/>
              <w:rPr>
                <w:bCs/>
                <w:i/>
                <w:sz w:val="20"/>
                <w:szCs w:val="20"/>
              </w:rPr>
            </w:pPr>
            <w:r w:rsidRPr="00277E5B">
              <w:rPr>
                <w:i/>
                <w:sz w:val="20"/>
                <w:szCs w:val="20"/>
              </w:rPr>
              <w:t>Sensitivity Analysis 100% Cumulative cost to Govt over first 5 years of listing -</w:t>
            </w:r>
            <w:r w:rsidRPr="00277E5B">
              <w:rPr>
                <w:bCs/>
                <w:i/>
                <w:sz w:val="20"/>
                <w:szCs w:val="20"/>
              </w:rPr>
              <w:t>$51,080,251</w:t>
            </w:r>
          </w:p>
          <w:p w:rsidR="008D0FDD" w:rsidRPr="00277E5B" w:rsidRDefault="008D0FDD" w:rsidP="00E53949">
            <w:pPr>
              <w:spacing w:line="276" w:lineRule="auto"/>
              <w:rPr>
                <w:sz w:val="20"/>
                <w:szCs w:val="20"/>
              </w:rPr>
            </w:pPr>
            <w:r w:rsidRPr="00277E5B">
              <w:rPr>
                <w:i/>
                <w:sz w:val="20"/>
                <w:szCs w:val="20"/>
              </w:rPr>
              <w:t>Sensitivity Analysis 50% Cumulative cost to Govt over first 5 years of listing -</w:t>
            </w:r>
            <w:r w:rsidRPr="00277E5B">
              <w:rPr>
                <w:bCs/>
                <w:i/>
                <w:sz w:val="20"/>
                <w:szCs w:val="20"/>
              </w:rPr>
              <w:t>$25,785,045</w:t>
            </w:r>
          </w:p>
        </w:tc>
      </w:tr>
      <w:tr w:rsidR="008D0FDD" w:rsidTr="00B66466">
        <w:tc>
          <w:tcPr>
            <w:tcW w:w="3794" w:type="dxa"/>
            <w:tcBorders>
              <w:bottom w:val="single" w:sz="4" w:space="0" w:color="auto"/>
            </w:tcBorders>
          </w:tcPr>
          <w:p w:rsidR="008D0FDD" w:rsidRPr="00277E5B" w:rsidRDefault="008D0FDD" w:rsidP="00E53949">
            <w:pPr>
              <w:spacing w:line="276" w:lineRule="auto"/>
              <w:rPr>
                <w:i/>
                <w:sz w:val="20"/>
                <w:szCs w:val="20"/>
              </w:rPr>
            </w:pPr>
            <w:r w:rsidRPr="00277E5B">
              <w:rPr>
                <w:i/>
                <w:sz w:val="20"/>
                <w:szCs w:val="20"/>
              </w:rPr>
              <w:t>Economic Analysis</w:t>
            </w:r>
          </w:p>
          <w:p w:rsidR="008D0FDD" w:rsidRPr="00277E5B" w:rsidRDefault="008D0FDD" w:rsidP="00E53949">
            <w:pPr>
              <w:spacing w:line="276" w:lineRule="auto"/>
              <w:rPr>
                <w:i/>
                <w:sz w:val="20"/>
                <w:szCs w:val="20"/>
              </w:rPr>
            </w:pPr>
          </w:p>
          <w:p w:rsidR="008D0FDD" w:rsidRPr="00277E5B" w:rsidRDefault="008D0FDD" w:rsidP="00E53949">
            <w:pPr>
              <w:spacing w:line="276" w:lineRule="auto"/>
              <w:rPr>
                <w:i/>
                <w:sz w:val="20"/>
                <w:szCs w:val="20"/>
              </w:rPr>
            </w:pPr>
            <w:r w:rsidRPr="00277E5B">
              <w:rPr>
                <w:i/>
                <w:sz w:val="20"/>
                <w:szCs w:val="20"/>
              </w:rPr>
              <w:t>Sensitivity analysis</w:t>
            </w:r>
          </w:p>
          <w:p w:rsidR="008D0FDD" w:rsidRPr="00277E5B" w:rsidRDefault="008D0FDD" w:rsidP="00E53949">
            <w:pPr>
              <w:spacing w:line="276" w:lineRule="auto"/>
              <w:rPr>
                <w:i/>
                <w:sz w:val="20"/>
                <w:szCs w:val="20"/>
              </w:rPr>
            </w:pPr>
          </w:p>
        </w:tc>
        <w:tc>
          <w:tcPr>
            <w:tcW w:w="4961" w:type="dxa"/>
            <w:tcBorders>
              <w:bottom w:val="single" w:sz="4" w:space="0" w:color="auto"/>
            </w:tcBorders>
          </w:tcPr>
          <w:p w:rsidR="008D0FDD" w:rsidRPr="00277E5B" w:rsidRDefault="008D0FDD" w:rsidP="00E53949">
            <w:pPr>
              <w:spacing w:line="276" w:lineRule="auto"/>
              <w:rPr>
                <w:i/>
                <w:sz w:val="20"/>
                <w:szCs w:val="20"/>
              </w:rPr>
            </w:pPr>
            <w:r w:rsidRPr="00277E5B">
              <w:rPr>
                <w:i/>
                <w:sz w:val="20"/>
                <w:szCs w:val="20"/>
              </w:rPr>
              <w:t>Increase the proportion of use of NSAID monotherapy associated with at least 1 GI risk factor from 62% to 100%</w:t>
            </w:r>
          </w:p>
          <w:p w:rsidR="008D0FDD" w:rsidRPr="00277E5B" w:rsidRDefault="008D0FDD" w:rsidP="00E53949">
            <w:pPr>
              <w:spacing w:line="276" w:lineRule="auto"/>
              <w:rPr>
                <w:sz w:val="20"/>
                <w:szCs w:val="20"/>
              </w:rPr>
            </w:pPr>
          </w:p>
        </w:tc>
        <w:tc>
          <w:tcPr>
            <w:tcW w:w="4536" w:type="dxa"/>
            <w:tcBorders>
              <w:bottom w:val="single" w:sz="4" w:space="0" w:color="auto"/>
            </w:tcBorders>
          </w:tcPr>
          <w:p w:rsidR="008D0FDD" w:rsidRPr="00F5523F" w:rsidRDefault="008D0FDD" w:rsidP="00E53949">
            <w:pPr>
              <w:rPr>
                <w:rFonts w:ascii="Arial" w:eastAsia="Times New Roman" w:hAnsi="Arial" w:cs="Arial"/>
                <w:bCs/>
                <w:sz w:val="20"/>
                <w:szCs w:val="20"/>
              </w:rPr>
            </w:pPr>
            <w:r w:rsidRPr="00277E5B">
              <w:rPr>
                <w:i/>
                <w:sz w:val="20"/>
                <w:szCs w:val="20"/>
              </w:rPr>
              <w:t xml:space="preserve">BASE CASE Cumulative cost to Govt over first 5 years of listing </w:t>
            </w:r>
            <w:r w:rsidRPr="00277E5B">
              <w:rPr>
                <w:sz w:val="20"/>
                <w:szCs w:val="20"/>
              </w:rPr>
              <w:t>-</w:t>
            </w:r>
            <w:r w:rsidRPr="00F5523F">
              <w:rPr>
                <w:rFonts w:ascii="Arial" w:eastAsia="Times New Roman" w:hAnsi="Arial" w:cs="Arial"/>
                <w:bCs/>
                <w:sz w:val="20"/>
                <w:szCs w:val="20"/>
              </w:rPr>
              <w:t xml:space="preserve">$41,903,849 </w:t>
            </w:r>
          </w:p>
          <w:p w:rsidR="008D0FDD" w:rsidRPr="00277E5B" w:rsidRDefault="008D0FDD" w:rsidP="00E53949">
            <w:pPr>
              <w:spacing w:line="276" w:lineRule="auto"/>
              <w:rPr>
                <w:bCs/>
                <w:i/>
                <w:sz w:val="20"/>
                <w:szCs w:val="20"/>
              </w:rPr>
            </w:pPr>
            <w:r w:rsidRPr="00277E5B">
              <w:rPr>
                <w:i/>
                <w:sz w:val="20"/>
                <w:szCs w:val="20"/>
              </w:rPr>
              <w:t>Sensitivity Analysis 100% Cumulative cost to Govt over first 5 years of listing -</w:t>
            </w:r>
            <w:r w:rsidRPr="00277E5B">
              <w:rPr>
                <w:bCs/>
                <w:i/>
                <w:sz w:val="20"/>
                <w:szCs w:val="20"/>
              </w:rPr>
              <w:t>$17,408,342</w:t>
            </w:r>
          </w:p>
          <w:p w:rsidR="008D0FDD" w:rsidRPr="00277E5B" w:rsidRDefault="008D0FDD" w:rsidP="00E53949">
            <w:pPr>
              <w:spacing w:line="276" w:lineRule="auto"/>
              <w:rPr>
                <w:sz w:val="20"/>
                <w:szCs w:val="20"/>
              </w:rPr>
            </w:pPr>
          </w:p>
        </w:tc>
      </w:tr>
      <w:tr w:rsidR="008D0FDD" w:rsidTr="00B66466">
        <w:tc>
          <w:tcPr>
            <w:tcW w:w="3794" w:type="dxa"/>
            <w:shd w:val="clear" w:color="auto" w:fill="D9D9D9" w:themeFill="background1" w:themeFillShade="D9"/>
          </w:tcPr>
          <w:p w:rsidR="008D0FDD" w:rsidRPr="00B66466" w:rsidRDefault="008D0FDD" w:rsidP="00E53949">
            <w:pPr>
              <w:spacing w:line="276" w:lineRule="auto"/>
              <w:rPr>
                <w:b/>
                <w:sz w:val="20"/>
                <w:szCs w:val="20"/>
              </w:rPr>
            </w:pPr>
            <w:r w:rsidRPr="00B66466">
              <w:rPr>
                <w:b/>
                <w:sz w:val="20"/>
                <w:szCs w:val="20"/>
              </w:rPr>
              <w:t>Assumption 7</w:t>
            </w:r>
          </w:p>
        </w:tc>
        <w:tc>
          <w:tcPr>
            <w:tcW w:w="4961" w:type="dxa"/>
            <w:shd w:val="clear" w:color="auto" w:fill="D9D9D9" w:themeFill="background1" w:themeFillShade="D9"/>
          </w:tcPr>
          <w:p w:rsidR="008D0FDD" w:rsidRPr="00277E5B" w:rsidRDefault="008D0FDD" w:rsidP="00E53949">
            <w:pPr>
              <w:spacing w:line="276" w:lineRule="auto"/>
              <w:rPr>
                <w:sz w:val="20"/>
                <w:szCs w:val="20"/>
              </w:rPr>
            </w:pPr>
          </w:p>
        </w:tc>
        <w:tc>
          <w:tcPr>
            <w:tcW w:w="4536" w:type="dxa"/>
            <w:shd w:val="clear" w:color="auto" w:fill="D9D9D9" w:themeFill="background1" w:themeFillShade="D9"/>
          </w:tcPr>
          <w:p w:rsidR="008D0FDD" w:rsidRPr="00277E5B" w:rsidRDefault="008D0FDD" w:rsidP="00E53949">
            <w:pPr>
              <w:spacing w:line="276" w:lineRule="auto"/>
              <w:rPr>
                <w:sz w:val="20"/>
                <w:szCs w:val="20"/>
              </w:rPr>
            </w:pP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Projected statutory price reductions of comparators (including PPIs)</w:t>
            </w:r>
          </w:p>
        </w:tc>
        <w:tc>
          <w:tcPr>
            <w:tcW w:w="4961" w:type="dxa"/>
          </w:tcPr>
          <w:p w:rsidR="008D0FDD" w:rsidRPr="00277E5B" w:rsidRDefault="008D0FDD" w:rsidP="00E53949">
            <w:pPr>
              <w:spacing w:line="276" w:lineRule="auto"/>
              <w:rPr>
                <w:sz w:val="20"/>
                <w:szCs w:val="20"/>
              </w:rPr>
            </w:pPr>
            <w:r w:rsidRPr="00277E5B">
              <w:rPr>
                <w:sz w:val="20"/>
                <w:szCs w:val="20"/>
              </w:rPr>
              <w:t>Known statutory price reductions for esomeprazole and rabeprazole have been included over the forward estimates.</w:t>
            </w:r>
          </w:p>
          <w:p w:rsidR="008D0FDD" w:rsidRPr="00277E5B" w:rsidRDefault="008D0FDD" w:rsidP="00E53949">
            <w:pPr>
              <w:spacing w:line="276" w:lineRule="auto"/>
              <w:rPr>
                <w:sz w:val="20"/>
                <w:szCs w:val="20"/>
              </w:rPr>
            </w:pPr>
            <w:r w:rsidRPr="00277E5B">
              <w:rPr>
                <w:sz w:val="20"/>
                <w:szCs w:val="20"/>
              </w:rPr>
              <w:t>These assumptions are reasonable in my view and add value the quality of the projections</w:t>
            </w:r>
          </w:p>
        </w:tc>
        <w:tc>
          <w:tcPr>
            <w:tcW w:w="4536" w:type="dxa"/>
          </w:tcPr>
          <w:p w:rsidR="008D0FDD" w:rsidRPr="00277E5B" w:rsidRDefault="008D0FDD" w:rsidP="00E53949">
            <w:pPr>
              <w:spacing w:line="276" w:lineRule="auto"/>
              <w:rPr>
                <w:sz w:val="20"/>
                <w:szCs w:val="20"/>
              </w:rPr>
            </w:pPr>
            <w:r w:rsidRPr="00277E5B">
              <w:rPr>
                <w:sz w:val="20"/>
                <w:szCs w:val="20"/>
              </w:rPr>
              <w:t>No variation expected as these changes are statutory price reductions</w:t>
            </w:r>
          </w:p>
        </w:tc>
      </w:tr>
      <w:tr w:rsidR="008D0FDD" w:rsidTr="00277E5B">
        <w:tc>
          <w:tcPr>
            <w:tcW w:w="3794" w:type="dxa"/>
          </w:tcPr>
          <w:p w:rsidR="008D0FDD" w:rsidRPr="00277E5B" w:rsidRDefault="008D0FDD" w:rsidP="00E53949">
            <w:pPr>
              <w:spacing w:line="276" w:lineRule="auto"/>
              <w:rPr>
                <w:i/>
                <w:sz w:val="20"/>
                <w:szCs w:val="20"/>
              </w:rPr>
            </w:pPr>
          </w:p>
          <w:p w:rsidR="008D0FDD" w:rsidRPr="00277E5B" w:rsidRDefault="008D0FDD" w:rsidP="00277B82">
            <w:pPr>
              <w:spacing w:line="276" w:lineRule="auto"/>
              <w:rPr>
                <w:i/>
                <w:sz w:val="20"/>
                <w:szCs w:val="20"/>
              </w:rPr>
            </w:pPr>
            <w:r w:rsidRPr="00277E5B">
              <w:rPr>
                <w:i/>
                <w:sz w:val="20"/>
                <w:szCs w:val="20"/>
              </w:rPr>
              <w:t xml:space="preserve">Sensitivity Analysis provided by </w:t>
            </w:r>
            <w:r w:rsidR="00277B82">
              <w:rPr>
                <w:i/>
                <w:sz w:val="20"/>
                <w:szCs w:val="20"/>
              </w:rPr>
              <w:t>Sponsor</w:t>
            </w:r>
            <w:r w:rsidRPr="00277E5B">
              <w:rPr>
                <w:i/>
                <w:sz w:val="20"/>
                <w:szCs w:val="20"/>
              </w:rPr>
              <w:t xml:space="preserve"> in their Economic Model</w:t>
            </w:r>
          </w:p>
        </w:tc>
        <w:tc>
          <w:tcPr>
            <w:tcW w:w="4961" w:type="dxa"/>
          </w:tcPr>
          <w:p w:rsidR="008D0FDD" w:rsidRPr="00277E5B" w:rsidRDefault="008D0FDD" w:rsidP="00E53949">
            <w:pPr>
              <w:spacing w:line="276" w:lineRule="auto"/>
              <w:rPr>
                <w:i/>
                <w:sz w:val="20"/>
                <w:szCs w:val="20"/>
              </w:rPr>
            </w:pPr>
            <w:r w:rsidRPr="00277E5B">
              <w:rPr>
                <w:i/>
                <w:sz w:val="20"/>
                <w:szCs w:val="20"/>
              </w:rPr>
              <w:t>Known statutory price reductions for esomeprazole and rabeprazole</w:t>
            </w:r>
          </w:p>
          <w:p w:rsidR="008D0FDD" w:rsidRPr="00277E5B" w:rsidRDefault="008D0FDD" w:rsidP="00E53949">
            <w:pPr>
              <w:spacing w:line="276" w:lineRule="auto"/>
              <w:rPr>
                <w:i/>
                <w:sz w:val="20"/>
                <w:szCs w:val="20"/>
              </w:rPr>
            </w:pPr>
            <w:r w:rsidRPr="00277E5B">
              <w:rPr>
                <w:i/>
                <w:sz w:val="20"/>
                <w:szCs w:val="20"/>
              </w:rPr>
              <w:t>What FURTHER price reductions for Celecoxib (+/-PPI) AND NSAID (+/- PPI) would be needed to SWITCH the Cumulative cost to Govt over first 5 years of listing from cost saving to cost INDUCING</w:t>
            </w:r>
          </w:p>
          <w:p w:rsidR="008D0FDD" w:rsidRPr="00277E5B" w:rsidRDefault="009C5F0F" w:rsidP="00E53949">
            <w:pPr>
              <w:spacing w:line="276" w:lineRule="auto"/>
              <w:rPr>
                <w:i/>
                <w:sz w:val="20"/>
                <w:szCs w:val="20"/>
              </w:rPr>
            </w:pPr>
            <w:r>
              <w:rPr>
                <w:i/>
                <w:sz w:val="20"/>
                <w:szCs w:val="20"/>
              </w:rPr>
              <w:t xml:space="preserve">For celecoxib + PPI and </w:t>
            </w:r>
            <w:r w:rsidR="008D0FDD" w:rsidRPr="00277E5B">
              <w:rPr>
                <w:i/>
                <w:sz w:val="20"/>
                <w:szCs w:val="20"/>
              </w:rPr>
              <w:t>NSAID (+/- PPI)</w:t>
            </w:r>
          </w:p>
          <w:p w:rsidR="008D0FDD" w:rsidRPr="00277E5B" w:rsidRDefault="008D0FDD" w:rsidP="00E53949">
            <w:pPr>
              <w:spacing w:line="276" w:lineRule="auto"/>
              <w:rPr>
                <w:i/>
                <w:sz w:val="20"/>
                <w:szCs w:val="20"/>
              </w:rPr>
            </w:pPr>
          </w:p>
        </w:tc>
        <w:tc>
          <w:tcPr>
            <w:tcW w:w="4536" w:type="dxa"/>
          </w:tcPr>
          <w:p w:rsidR="008D0FDD" w:rsidRPr="00F5523F" w:rsidRDefault="008D0FDD" w:rsidP="00E53949">
            <w:pPr>
              <w:rPr>
                <w:rFonts w:ascii="Arial" w:eastAsia="Times New Roman" w:hAnsi="Arial" w:cs="Arial"/>
                <w:bCs/>
                <w:sz w:val="20"/>
                <w:szCs w:val="20"/>
              </w:rPr>
            </w:pPr>
            <w:r w:rsidRPr="00277E5B">
              <w:rPr>
                <w:i/>
                <w:sz w:val="20"/>
                <w:szCs w:val="20"/>
              </w:rPr>
              <w:t xml:space="preserve">BASE CASE Cumulative cost to Govt over first 5 years of listing </w:t>
            </w:r>
            <w:r w:rsidRPr="00277E5B">
              <w:rPr>
                <w:sz w:val="20"/>
                <w:szCs w:val="20"/>
              </w:rPr>
              <w:t>-</w:t>
            </w:r>
            <w:r w:rsidRPr="00F5523F">
              <w:rPr>
                <w:rFonts w:ascii="Arial" w:eastAsia="Times New Roman" w:hAnsi="Arial" w:cs="Arial"/>
                <w:bCs/>
                <w:sz w:val="20"/>
                <w:szCs w:val="20"/>
              </w:rPr>
              <w:t xml:space="preserve">$41,903,849 </w:t>
            </w:r>
          </w:p>
          <w:p w:rsidR="008D0FDD" w:rsidRPr="00277E5B" w:rsidRDefault="008D0FDD" w:rsidP="00E53949">
            <w:pPr>
              <w:spacing w:line="276" w:lineRule="auto"/>
              <w:rPr>
                <w:bCs/>
                <w:i/>
                <w:sz w:val="20"/>
                <w:szCs w:val="20"/>
              </w:rPr>
            </w:pPr>
            <w:r w:rsidRPr="00277E5B">
              <w:rPr>
                <w:i/>
                <w:sz w:val="20"/>
                <w:szCs w:val="20"/>
              </w:rPr>
              <w:t>Sensitivity Analysis 100% Cumulative cost to Govt over first 5 years of listing -</w:t>
            </w:r>
            <w:r w:rsidRPr="00277E5B">
              <w:rPr>
                <w:bCs/>
                <w:i/>
                <w:sz w:val="20"/>
                <w:szCs w:val="20"/>
              </w:rPr>
              <w:t>$37.278,855</w:t>
            </w:r>
          </w:p>
          <w:p w:rsidR="00F5523F" w:rsidRDefault="008D0FDD" w:rsidP="00E53949">
            <w:pPr>
              <w:rPr>
                <w:sz w:val="20"/>
                <w:szCs w:val="20"/>
              </w:rPr>
            </w:pPr>
            <w:r w:rsidRPr="00277E5B">
              <w:rPr>
                <w:sz w:val="20"/>
                <w:szCs w:val="20"/>
              </w:rPr>
              <w:t xml:space="preserve">18% ADDITIONAL Price reduction, sustained over all five years, would yield a </w:t>
            </w:r>
            <w:r w:rsidRPr="00277E5B">
              <w:rPr>
                <w:i/>
                <w:sz w:val="20"/>
                <w:szCs w:val="20"/>
              </w:rPr>
              <w:t>Cumulative cost to Govt of $53,258</w:t>
            </w:r>
          </w:p>
          <w:p w:rsidR="008D0FDD" w:rsidRPr="00277E5B" w:rsidRDefault="008D0FDD" w:rsidP="00E53949">
            <w:pPr>
              <w:spacing w:line="276" w:lineRule="auto"/>
              <w:rPr>
                <w:i/>
                <w:sz w:val="20"/>
                <w:szCs w:val="20"/>
              </w:rPr>
            </w:pPr>
            <w:r w:rsidRPr="00277E5B">
              <w:rPr>
                <w:sz w:val="20"/>
                <w:szCs w:val="20"/>
              </w:rPr>
              <w:t xml:space="preserve">20% ADDITIONAL Price reduction, sustained over all five years, would yield a </w:t>
            </w:r>
            <w:r w:rsidRPr="00277E5B">
              <w:rPr>
                <w:i/>
                <w:sz w:val="20"/>
                <w:szCs w:val="20"/>
              </w:rPr>
              <w:t>Cumulative cost to Govt of $470,047</w:t>
            </w:r>
          </w:p>
          <w:p w:rsidR="008D0FDD" w:rsidRPr="00277E5B" w:rsidRDefault="008D0FDD" w:rsidP="00E53949">
            <w:pPr>
              <w:spacing w:line="276" w:lineRule="auto"/>
              <w:rPr>
                <w:sz w:val="20"/>
                <w:szCs w:val="20"/>
              </w:rPr>
            </w:pP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Guidelines re</w:t>
            </w:r>
            <w:r w:rsidR="009C5F0F">
              <w:rPr>
                <w:sz w:val="20"/>
                <w:szCs w:val="20"/>
              </w:rPr>
              <w:t xml:space="preserve">commended either celecoxib or </w:t>
            </w:r>
            <w:r w:rsidRPr="00277E5B">
              <w:rPr>
                <w:sz w:val="20"/>
                <w:szCs w:val="20"/>
              </w:rPr>
              <w:t>NSAID+PPI in high risk patients</w:t>
            </w:r>
          </w:p>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r w:rsidRPr="00277E5B">
              <w:rPr>
                <w:sz w:val="20"/>
                <w:szCs w:val="20"/>
              </w:rPr>
              <w:t>Assumptions described in Table 8 of Final Minor Submission</w:t>
            </w:r>
          </w:p>
        </w:tc>
        <w:tc>
          <w:tcPr>
            <w:tcW w:w="4961" w:type="dxa"/>
          </w:tcPr>
          <w:p w:rsidR="008D0FDD" w:rsidRPr="00277E5B" w:rsidRDefault="008D0FDD" w:rsidP="00E53949">
            <w:pPr>
              <w:spacing w:line="276" w:lineRule="auto"/>
              <w:rPr>
                <w:sz w:val="20"/>
                <w:szCs w:val="20"/>
              </w:rPr>
            </w:pPr>
            <w:r w:rsidRPr="00277E5B">
              <w:rPr>
                <w:sz w:val="20"/>
                <w:szCs w:val="20"/>
              </w:rPr>
              <w:t>Recommendations derived the TG (Gastrointestinal) 2006</w:t>
            </w:r>
          </w:p>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r w:rsidRPr="00277E5B">
              <w:rPr>
                <w:sz w:val="20"/>
                <w:szCs w:val="20"/>
              </w:rPr>
              <w:t>Table includes each of the evidence-based guideline treatment recommendations (c</w:t>
            </w:r>
            <w:r w:rsidR="009C5F0F">
              <w:rPr>
                <w:sz w:val="20"/>
                <w:szCs w:val="20"/>
              </w:rPr>
              <w:t xml:space="preserve">elecoxib, celecoxib + PPI and NSAID + PPI) and also </w:t>
            </w:r>
            <w:r w:rsidRPr="00277E5B">
              <w:rPr>
                <w:sz w:val="20"/>
                <w:szCs w:val="20"/>
              </w:rPr>
              <w:t>NSAID monotherapy (which is not recommended for high risk patients with chronic arthropathies)</w:t>
            </w:r>
          </w:p>
        </w:tc>
        <w:tc>
          <w:tcPr>
            <w:tcW w:w="4536" w:type="dxa"/>
          </w:tcPr>
          <w:p w:rsidR="008D0FDD" w:rsidRPr="00277E5B" w:rsidRDefault="009C5F0F" w:rsidP="00E53949">
            <w:pPr>
              <w:spacing w:line="276" w:lineRule="auto"/>
              <w:rPr>
                <w:sz w:val="20"/>
                <w:szCs w:val="20"/>
              </w:rPr>
            </w:pPr>
            <w:r>
              <w:rPr>
                <w:sz w:val="20"/>
                <w:szCs w:val="20"/>
              </w:rPr>
              <w:t xml:space="preserve">HIGHER use of </w:t>
            </w:r>
            <w:r w:rsidR="008D0FDD" w:rsidRPr="00277E5B">
              <w:rPr>
                <w:sz w:val="20"/>
                <w:szCs w:val="20"/>
              </w:rPr>
              <w:t xml:space="preserve">NSAID + PPI in high risk people – then </w:t>
            </w:r>
            <w:r w:rsidR="004B2048">
              <w:rPr>
                <w:sz w:val="20"/>
                <w:szCs w:val="20"/>
              </w:rPr>
              <w:t>Vimovo®</w:t>
            </w:r>
            <w:r w:rsidR="008D0FDD" w:rsidRPr="00277E5B">
              <w:rPr>
                <w:sz w:val="20"/>
                <w:szCs w:val="20"/>
              </w:rPr>
              <w:t xml:space="preserve"> listing represents BETER value for money on the PBS</w:t>
            </w:r>
          </w:p>
          <w:p w:rsidR="008D0FDD" w:rsidRPr="00277E5B" w:rsidRDefault="009C5F0F" w:rsidP="00E53949">
            <w:pPr>
              <w:spacing w:line="276" w:lineRule="auto"/>
              <w:rPr>
                <w:sz w:val="20"/>
                <w:szCs w:val="20"/>
              </w:rPr>
            </w:pPr>
            <w:r>
              <w:rPr>
                <w:sz w:val="20"/>
                <w:szCs w:val="20"/>
              </w:rPr>
              <w:t xml:space="preserve">LOWER use of </w:t>
            </w:r>
            <w:r w:rsidR="008D0FDD" w:rsidRPr="00277E5B">
              <w:rPr>
                <w:sz w:val="20"/>
                <w:szCs w:val="20"/>
              </w:rPr>
              <w:t xml:space="preserve">NSAID + PPI in high risk people – then </w:t>
            </w:r>
            <w:r w:rsidR="004B2048">
              <w:rPr>
                <w:sz w:val="20"/>
                <w:szCs w:val="20"/>
              </w:rPr>
              <w:t>Vimovo®</w:t>
            </w:r>
            <w:r w:rsidR="008D0FDD" w:rsidRPr="00277E5B">
              <w:rPr>
                <w:sz w:val="20"/>
                <w:szCs w:val="20"/>
              </w:rPr>
              <w:t xml:space="preserve"> listing represents LESS value for money on the PBS</w:t>
            </w:r>
          </w:p>
          <w:p w:rsidR="008D0FDD" w:rsidRPr="00277E5B" w:rsidRDefault="009C5F0F" w:rsidP="00E53949">
            <w:pPr>
              <w:spacing w:line="276" w:lineRule="auto"/>
              <w:rPr>
                <w:sz w:val="20"/>
                <w:szCs w:val="20"/>
              </w:rPr>
            </w:pPr>
            <w:r>
              <w:rPr>
                <w:sz w:val="20"/>
                <w:szCs w:val="20"/>
              </w:rPr>
              <w:t xml:space="preserve">HIGHER use of </w:t>
            </w:r>
            <w:r w:rsidR="008D0FDD" w:rsidRPr="00277E5B">
              <w:rPr>
                <w:sz w:val="20"/>
                <w:szCs w:val="20"/>
              </w:rPr>
              <w:t xml:space="preserve">NSAID monotherapy – then </w:t>
            </w:r>
            <w:r w:rsidR="004B2048">
              <w:rPr>
                <w:sz w:val="20"/>
                <w:szCs w:val="20"/>
              </w:rPr>
              <w:t>Vimovo®</w:t>
            </w:r>
            <w:r w:rsidR="008D0FDD" w:rsidRPr="00277E5B">
              <w:rPr>
                <w:sz w:val="20"/>
                <w:szCs w:val="20"/>
              </w:rPr>
              <w:t xml:space="preserve"> listing represents LESS value for money on the PBS</w:t>
            </w:r>
          </w:p>
          <w:p w:rsidR="008D0FDD" w:rsidRPr="00277E5B" w:rsidRDefault="009C5F0F" w:rsidP="00E53949">
            <w:pPr>
              <w:spacing w:line="276" w:lineRule="auto"/>
              <w:rPr>
                <w:sz w:val="20"/>
                <w:szCs w:val="20"/>
              </w:rPr>
            </w:pPr>
            <w:r>
              <w:rPr>
                <w:sz w:val="20"/>
                <w:szCs w:val="20"/>
              </w:rPr>
              <w:t xml:space="preserve">LOWER  use of </w:t>
            </w:r>
            <w:r w:rsidR="008D0FDD" w:rsidRPr="00277E5B">
              <w:rPr>
                <w:sz w:val="20"/>
                <w:szCs w:val="20"/>
              </w:rPr>
              <w:t xml:space="preserve">NSAID monotherapy – then </w:t>
            </w:r>
            <w:r w:rsidR="004B2048">
              <w:rPr>
                <w:sz w:val="20"/>
                <w:szCs w:val="20"/>
              </w:rPr>
              <w:t>Vimovo®</w:t>
            </w:r>
            <w:r w:rsidR="008D0FDD" w:rsidRPr="00277E5B">
              <w:rPr>
                <w:sz w:val="20"/>
                <w:szCs w:val="20"/>
              </w:rPr>
              <w:t xml:space="preserve"> listing represents MORE value for money on the PBS</w:t>
            </w:r>
          </w:p>
        </w:tc>
      </w:tr>
      <w:tr w:rsidR="008D0FDD" w:rsidTr="00277E5B">
        <w:tc>
          <w:tcPr>
            <w:tcW w:w="3794" w:type="dxa"/>
          </w:tcPr>
          <w:p w:rsidR="008D0FDD" w:rsidRPr="00277E5B" w:rsidRDefault="008D0FDD" w:rsidP="00E53949">
            <w:pPr>
              <w:spacing w:line="276" w:lineRule="auto"/>
              <w:rPr>
                <w:sz w:val="20"/>
                <w:szCs w:val="20"/>
              </w:rPr>
            </w:pPr>
            <w:r w:rsidRPr="00277E5B">
              <w:rPr>
                <w:sz w:val="20"/>
                <w:szCs w:val="20"/>
              </w:rPr>
              <w:t xml:space="preserve">Choice of PPI as the gastroprotection </w:t>
            </w:r>
          </w:p>
          <w:p w:rsidR="008D0FDD" w:rsidRPr="00277E5B" w:rsidRDefault="008D0FDD" w:rsidP="00E53949">
            <w:pPr>
              <w:spacing w:line="276" w:lineRule="auto"/>
              <w:rPr>
                <w:sz w:val="20"/>
                <w:szCs w:val="20"/>
              </w:rPr>
            </w:pPr>
          </w:p>
          <w:p w:rsidR="008D0FDD" w:rsidRPr="00277E5B" w:rsidRDefault="008D0FDD" w:rsidP="00E53949">
            <w:pPr>
              <w:spacing w:line="276" w:lineRule="auto"/>
              <w:rPr>
                <w:sz w:val="20"/>
                <w:szCs w:val="20"/>
              </w:rPr>
            </w:pPr>
            <w:r w:rsidRPr="00277E5B">
              <w:rPr>
                <w:sz w:val="20"/>
                <w:szCs w:val="20"/>
              </w:rPr>
              <w:t>Assumption:  all concomitant use of a gastroprotective agent accrues to PPIs.</w:t>
            </w:r>
          </w:p>
          <w:p w:rsidR="008D0FDD" w:rsidRPr="00277E5B" w:rsidRDefault="008D0FDD" w:rsidP="00E53949">
            <w:pPr>
              <w:spacing w:line="276" w:lineRule="auto"/>
              <w:rPr>
                <w:sz w:val="20"/>
                <w:szCs w:val="20"/>
              </w:rPr>
            </w:pPr>
          </w:p>
        </w:tc>
        <w:tc>
          <w:tcPr>
            <w:tcW w:w="4961" w:type="dxa"/>
          </w:tcPr>
          <w:p w:rsidR="008D0FDD" w:rsidRPr="00277E5B" w:rsidRDefault="008D0FDD" w:rsidP="00E53949">
            <w:pPr>
              <w:spacing w:line="276" w:lineRule="auto"/>
              <w:rPr>
                <w:sz w:val="20"/>
                <w:szCs w:val="20"/>
              </w:rPr>
            </w:pPr>
            <w:r w:rsidRPr="00277E5B">
              <w:rPr>
                <w:sz w:val="20"/>
                <w:szCs w:val="20"/>
              </w:rPr>
              <w:t>“both misoprostol and histamine2-receptor antagonists (H2RA) are reimbursed for gastroprotection, neither agent is used to any great degree in clinical practice”</w:t>
            </w:r>
          </w:p>
          <w:p w:rsidR="008D0FDD" w:rsidRPr="00277E5B" w:rsidRDefault="008D0FDD" w:rsidP="00E53949">
            <w:pPr>
              <w:spacing w:line="276" w:lineRule="auto"/>
              <w:rPr>
                <w:sz w:val="20"/>
                <w:szCs w:val="20"/>
              </w:rPr>
            </w:pPr>
            <w:r w:rsidRPr="00277E5B">
              <w:rPr>
                <w:sz w:val="20"/>
                <w:szCs w:val="20"/>
              </w:rPr>
              <w:t>Tolerability and lack of comparative efficacy data</w:t>
            </w:r>
          </w:p>
        </w:tc>
        <w:tc>
          <w:tcPr>
            <w:tcW w:w="4536" w:type="dxa"/>
          </w:tcPr>
          <w:p w:rsidR="008D0FDD" w:rsidRPr="00277E5B" w:rsidRDefault="008D0FDD" w:rsidP="00E53949">
            <w:pPr>
              <w:spacing w:line="276" w:lineRule="auto"/>
              <w:rPr>
                <w:sz w:val="20"/>
                <w:szCs w:val="20"/>
              </w:rPr>
            </w:pPr>
            <w:r w:rsidRPr="00277E5B">
              <w:rPr>
                <w:sz w:val="20"/>
                <w:szCs w:val="20"/>
              </w:rPr>
              <w:t xml:space="preserve">HIGHER uptake of H2RA for NSAID gastroprotection  – </w:t>
            </w:r>
            <w:r w:rsidR="004B2048">
              <w:rPr>
                <w:sz w:val="20"/>
                <w:szCs w:val="20"/>
              </w:rPr>
              <w:t>Vimovo®</w:t>
            </w:r>
            <w:r w:rsidRPr="00277E5B">
              <w:rPr>
                <w:sz w:val="20"/>
                <w:szCs w:val="20"/>
              </w:rPr>
              <w:t xml:space="preserve"> listing represents LESS value for money</w:t>
            </w:r>
          </w:p>
          <w:p w:rsidR="008D0FDD" w:rsidRPr="00277E5B" w:rsidRDefault="008D0FDD" w:rsidP="00E53949">
            <w:pPr>
              <w:spacing w:line="276" w:lineRule="auto"/>
              <w:rPr>
                <w:sz w:val="20"/>
                <w:szCs w:val="20"/>
              </w:rPr>
            </w:pPr>
            <w:r w:rsidRPr="00277E5B">
              <w:rPr>
                <w:sz w:val="20"/>
                <w:szCs w:val="20"/>
              </w:rPr>
              <w:t xml:space="preserve">HIGHER uptake of misoprostol for NSAID gastroprotection  – </w:t>
            </w:r>
            <w:r w:rsidR="004B2048">
              <w:rPr>
                <w:sz w:val="20"/>
                <w:szCs w:val="20"/>
              </w:rPr>
              <w:t>Vimovo®</w:t>
            </w:r>
            <w:r w:rsidRPr="00277E5B">
              <w:rPr>
                <w:sz w:val="20"/>
                <w:szCs w:val="20"/>
              </w:rPr>
              <w:t xml:space="preserve"> listing represents MORE value for money</w:t>
            </w:r>
          </w:p>
          <w:p w:rsidR="008D0FDD" w:rsidRPr="00277E5B" w:rsidRDefault="008D0FDD" w:rsidP="00277E5B">
            <w:pPr>
              <w:keepNext/>
              <w:rPr>
                <w:sz w:val="20"/>
                <w:szCs w:val="20"/>
              </w:rPr>
            </w:pPr>
          </w:p>
        </w:tc>
      </w:tr>
    </w:tbl>
    <w:p w:rsidR="00336520" w:rsidRDefault="008D0FDD" w:rsidP="008D0FDD">
      <w:pPr>
        <w:sectPr w:rsidR="00336520" w:rsidSect="00277E5B">
          <w:pgSz w:w="16839" w:h="11907" w:orient="landscape" w:code="9"/>
          <w:pgMar w:top="1440" w:right="1440" w:bottom="1440" w:left="1440" w:header="720" w:footer="720" w:gutter="0"/>
          <w:cols w:space="720"/>
          <w:titlePg/>
          <w:docGrid w:linePitch="360"/>
        </w:sectPr>
      </w:pPr>
      <w:r>
        <w:t xml:space="preserve">*reference: </w:t>
      </w:r>
      <w:hyperlink r:id="rId30" w:history="1">
        <w:r w:rsidRPr="00810ED2">
          <w:rPr>
            <w:rStyle w:val="Hyperlink"/>
          </w:rPr>
          <w:t>http://www.pbs.gov.au/info/industry/listing/elements/pbac-meetings/psd/2012-03/naproxen-and-esomeprazole</w:t>
        </w:r>
      </w:hyperlink>
      <w:r>
        <w:t xml:space="preserve"> </w:t>
      </w:r>
    </w:p>
    <w:p w:rsidR="008D0FDD" w:rsidRPr="00B66466" w:rsidRDefault="009C5F0F" w:rsidP="008D0FDD">
      <w:pPr>
        <w:rPr>
          <w:b/>
          <w:sz w:val="20"/>
          <w:szCs w:val="20"/>
        </w:rPr>
      </w:pPr>
      <w:r w:rsidRPr="00B66466">
        <w:rPr>
          <w:b/>
          <w:sz w:val="20"/>
          <w:szCs w:val="20"/>
        </w:rPr>
        <w:t xml:space="preserve">Table </w:t>
      </w:r>
      <w:r w:rsidR="003072B4" w:rsidRPr="00B66466">
        <w:rPr>
          <w:b/>
          <w:sz w:val="20"/>
          <w:szCs w:val="20"/>
        </w:rPr>
        <w:t xml:space="preserve">10: </w:t>
      </w:r>
      <w:r w:rsidR="008D0FDD" w:rsidRPr="00B66466">
        <w:rPr>
          <w:b/>
          <w:sz w:val="20"/>
          <w:szCs w:val="20"/>
        </w:rPr>
        <w:t>Matters or assumptions not included in the estimate of costs to the R/PBS but of relevance</w:t>
      </w:r>
    </w:p>
    <w:tbl>
      <w:tblPr>
        <w:tblStyle w:val="TableGrid"/>
        <w:tblW w:w="0" w:type="auto"/>
        <w:tblLook w:val="04A0" w:firstRow="1" w:lastRow="0" w:firstColumn="1" w:lastColumn="0" w:noHBand="0" w:noVBand="1"/>
        <w:tblDescription w:val="Table 10: Matters or assumptions not included in the estimate of costs to the R/PBS but of relevance"/>
      </w:tblPr>
      <w:tblGrid>
        <w:gridCol w:w="3152"/>
        <w:gridCol w:w="3041"/>
        <w:gridCol w:w="3050"/>
      </w:tblGrid>
      <w:tr w:rsidR="008D0FDD" w:rsidRPr="00D5753A" w:rsidTr="003F3694">
        <w:trPr>
          <w:tblHeader/>
        </w:trPr>
        <w:tc>
          <w:tcPr>
            <w:tcW w:w="4666" w:type="dxa"/>
            <w:shd w:val="pct5" w:color="auto" w:fill="auto"/>
          </w:tcPr>
          <w:p w:rsidR="008D0FDD" w:rsidRPr="00D5753A" w:rsidRDefault="00277B82" w:rsidP="00277B82">
            <w:pPr>
              <w:rPr>
                <w:b/>
              </w:rPr>
            </w:pPr>
            <w:r>
              <w:rPr>
                <w:b/>
              </w:rPr>
              <w:t>Sponsor</w:t>
            </w:r>
            <w:r w:rsidR="008D0FDD" w:rsidRPr="00D5753A">
              <w:rPr>
                <w:b/>
              </w:rPr>
              <w:t xml:space="preserve"> Assumption</w:t>
            </w:r>
          </w:p>
        </w:tc>
        <w:tc>
          <w:tcPr>
            <w:tcW w:w="4667" w:type="dxa"/>
            <w:shd w:val="pct5" w:color="auto" w:fill="auto"/>
          </w:tcPr>
          <w:p w:rsidR="008D0FDD" w:rsidRPr="00D5753A" w:rsidRDefault="008D0FDD" w:rsidP="00D742A8">
            <w:pPr>
              <w:rPr>
                <w:b/>
              </w:rPr>
            </w:pPr>
            <w:r w:rsidRPr="00D5753A">
              <w:rPr>
                <w:b/>
              </w:rPr>
              <w:t xml:space="preserve">Comment and evidence </w:t>
            </w:r>
          </w:p>
        </w:tc>
        <w:tc>
          <w:tcPr>
            <w:tcW w:w="4667" w:type="dxa"/>
            <w:shd w:val="pct5" w:color="auto" w:fill="auto"/>
          </w:tcPr>
          <w:p w:rsidR="008D0FDD" w:rsidRPr="00D5753A" w:rsidRDefault="008D0FDD" w:rsidP="00D742A8">
            <w:pPr>
              <w:rPr>
                <w:b/>
              </w:rPr>
            </w:pPr>
            <w:r w:rsidRPr="00D5753A">
              <w:rPr>
                <w:b/>
              </w:rPr>
              <w:t xml:space="preserve">Implication </w:t>
            </w:r>
          </w:p>
        </w:tc>
      </w:tr>
      <w:tr w:rsidR="008D0FDD" w:rsidTr="00D742A8">
        <w:tc>
          <w:tcPr>
            <w:tcW w:w="4666" w:type="dxa"/>
          </w:tcPr>
          <w:p w:rsidR="008D0FDD" w:rsidRDefault="008D0FDD" w:rsidP="00D742A8">
            <w:r>
              <w:t>Comb</w:t>
            </w:r>
            <w:r w:rsidR="009C5F0F">
              <w:t>ination</w:t>
            </w:r>
            <w:r>
              <w:t xml:space="preserve"> product (naproxen + PPI)</w:t>
            </w:r>
            <w:r w:rsidR="00277B82">
              <w:t xml:space="preserve"> </w:t>
            </w:r>
            <w:r>
              <w:t>will facilitate adherence to naproxen and gastroprotective strategies with PPI</w:t>
            </w:r>
          </w:p>
          <w:p w:rsidR="008D0FDD" w:rsidRDefault="008D0FDD" w:rsidP="00D742A8"/>
          <w:p w:rsidR="008D0FDD" w:rsidRDefault="008D0FDD" w:rsidP="00D742A8">
            <w:r>
              <w:t>*</w:t>
            </w:r>
            <w:r>
              <w:rPr>
                <w:sz w:val="20"/>
                <w:szCs w:val="20"/>
              </w:rPr>
              <w:t xml:space="preserve"> Poor adherence has been linked to increased risk of upper GI events, hospitalization and increased mortality. </w:t>
            </w:r>
          </w:p>
        </w:tc>
        <w:tc>
          <w:tcPr>
            <w:tcW w:w="4667" w:type="dxa"/>
          </w:tcPr>
          <w:p w:rsidR="008D0FDD" w:rsidRDefault="008D0FDD" w:rsidP="00D742A8">
            <w:r>
              <w:t>Published studies cited in the application demonstrate that adherence with PPI is reduced over time. This has important implications for the likely continued clinical benefit and the effectiveness</w:t>
            </w:r>
            <w:r w:rsidR="009C5F0F">
              <w:t xml:space="preserve"> comparison with </w:t>
            </w:r>
            <w:r>
              <w:t>NSAID + PPI trials.</w:t>
            </w:r>
          </w:p>
        </w:tc>
        <w:tc>
          <w:tcPr>
            <w:tcW w:w="4667" w:type="dxa"/>
          </w:tcPr>
          <w:p w:rsidR="008D0FDD" w:rsidRDefault="008D0FDD" w:rsidP="00D742A8">
            <w:r>
              <w:t>FDC products do provide improvements in adherence and can offer gastro</w:t>
            </w:r>
            <w:r w:rsidR="009C5F0F">
              <w:t>-</w:t>
            </w:r>
            <w:r>
              <w:t xml:space="preserve">protection </w:t>
            </w:r>
          </w:p>
          <w:p w:rsidR="008D0FDD" w:rsidRDefault="008D0FDD" w:rsidP="00D742A8"/>
          <w:p w:rsidR="008D0FDD" w:rsidRDefault="008D0FDD" w:rsidP="00D742A8">
            <w:r>
              <w:t>This would suggest there is a higher likelihood of the translation of RCT findings (from the 2 separate dose forms) into practice with the FDC product.</w:t>
            </w:r>
          </w:p>
        </w:tc>
      </w:tr>
      <w:tr w:rsidR="008D0FDD" w:rsidTr="00D742A8">
        <w:tc>
          <w:tcPr>
            <w:tcW w:w="4666" w:type="dxa"/>
          </w:tcPr>
          <w:p w:rsidR="008D0FDD" w:rsidRDefault="004B2048" w:rsidP="00D742A8">
            <w:r>
              <w:t>Vimovo®</w:t>
            </w:r>
            <w:r w:rsidR="008D0FDD" w:rsidRPr="00132859">
              <w:t xml:space="preserve"> </w:t>
            </w:r>
            <w:r w:rsidR="008D0FDD">
              <w:t xml:space="preserve">may </w:t>
            </w:r>
            <w:r w:rsidR="008D0FDD" w:rsidRPr="00132859">
              <w:t>off</w:t>
            </w:r>
            <w:r w:rsidR="009C5F0F">
              <w:t>er</w:t>
            </w:r>
            <w:r w:rsidR="008D0FDD" w:rsidRPr="00132859">
              <w:t xml:space="preserve"> a significant reduction in toxicity over celecoxib in those patients who have </w:t>
            </w:r>
            <w:r w:rsidR="008D0FDD">
              <w:t>cardiovascular</w:t>
            </w:r>
            <w:r w:rsidR="008D0FDD" w:rsidRPr="00132859">
              <w:t xml:space="preserve"> risk factors </w:t>
            </w:r>
          </w:p>
        </w:tc>
        <w:tc>
          <w:tcPr>
            <w:tcW w:w="4667" w:type="dxa"/>
          </w:tcPr>
          <w:p w:rsidR="008D0FDD" w:rsidRDefault="008D0FDD" w:rsidP="00D742A8">
            <w:r>
              <w:t>N</w:t>
            </w:r>
            <w:r w:rsidRPr="00132859">
              <w:t xml:space="preserve">aproxen has a more favourable </w:t>
            </w:r>
            <w:r>
              <w:t>cardiovascular risk</w:t>
            </w:r>
            <w:r w:rsidRPr="00132859">
              <w:t xml:space="preserve"> profile than celecoxib</w:t>
            </w:r>
            <w:r w:rsidR="009C5F0F">
              <w:t>.</w:t>
            </w:r>
          </w:p>
          <w:p w:rsidR="008D0FDD" w:rsidRDefault="008D0FDD" w:rsidP="00D742A8"/>
          <w:p w:rsidR="008D0FDD" w:rsidRDefault="008D0FDD" w:rsidP="00D742A8">
            <w:r>
              <w:t>This has been established in a range of trials</w:t>
            </w:r>
          </w:p>
        </w:tc>
        <w:tc>
          <w:tcPr>
            <w:tcW w:w="4667" w:type="dxa"/>
          </w:tcPr>
          <w:p w:rsidR="008D0FDD" w:rsidRDefault="008D0FDD" w:rsidP="00D742A8">
            <w:r>
              <w:t xml:space="preserve">No </w:t>
            </w:r>
            <w:r w:rsidRPr="004A4402">
              <w:rPr>
                <w:u w:val="single"/>
              </w:rPr>
              <w:t>effect</w:t>
            </w:r>
            <w:r>
              <w:t xml:space="preserve"> on main endpoints </w:t>
            </w:r>
          </w:p>
        </w:tc>
      </w:tr>
    </w:tbl>
    <w:p w:rsidR="008D0FDD" w:rsidRDefault="008D0FDD" w:rsidP="008D0FDD">
      <w:pPr>
        <w:rPr>
          <w:b/>
          <w:szCs w:val="24"/>
        </w:rPr>
      </w:pPr>
    </w:p>
    <w:p w:rsidR="008D0FDD" w:rsidRPr="00C50E19" w:rsidRDefault="008D0FDD" w:rsidP="003233C6">
      <w:pPr>
        <w:pStyle w:val="Heading2"/>
      </w:pPr>
      <w:bookmarkStart w:id="92" w:name="_Toc356560800"/>
      <w:r w:rsidRPr="00C50E19">
        <w:t>Conclusion</w:t>
      </w:r>
      <w:bookmarkEnd w:id="92"/>
      <w:r w:rsidRPr="00C50E19">
        <w:t xml:space="preserve"> </w:t>
      </w:r>
    </w:p>
    <w:p w:rsidR="003E7E52" w:rsidRDefault="008D0FDD" w:rsidP="008D0FDD">
      <w:pPr>
        <w:rPr>
          <w:szCs w:val="24"/>
        </w:rPr>
      </w:pPr>
      <w:r w:rsidRPr="00C50E19">
        <w:rPr>
          <w:szCs w:val="24"/>
        </w:rPr>
        <w:t xml:space="preserve">Only the assumptions about </w:t>
      </w:r>
      <w:r w:rsidRPr="00C50E19">
        <w:rPr>
          <w:b/>
          <w:szCs w:val="24"/>
        </w:rPr>
        <w:t xml:space="preserve">market growth </w:t>
      </w:r>
      <w:r w:rsidRPr="00C50E19">
        <w:rPr>
          <w:szCs w:val="24"/>
        </w:rPr>
        <w:t xml:space="preserve">and </w:t>
      </w:r>
      <w:r w:rsidRPr="00C50E19">
        <w:rPr>
          <w:b/>
          <w:szCs w:val="24"/>
        </w:rPr>
        <w:t>price reductions</w:t>
      </w:r>
      <w:r w:rsidR="009C5F0F">
        <w:rPr>
          <w:szCs w:val="24"/>
        </w:rPr>
        <w:t xml:space="preserve"> in celecoxib +/- PPIs and </w:t>
      </w:r>
    </w:p>
    <w:p w:rsidR="008D0FDD" w:rsidRDefault="001F6C5E" w:rsidP="008D0FDD">
      <w:pPr>
        <w:rPr>
          <w:szCs w:val="24"/>
        </w:rPr>
      </w:pPr>
      <w:r>
        <w:rPr>
          <w:szCs w:val="24"/>
        </w:rPr>
        <w:t>NSAIDs</w:t>
      </w:r>
      <w:r w:rsidR="008D0FDD" w:rsidRPr="00C50E19">
        <w:rPr>
          <w:szCs w:val="24"/>
        </w:rPr>
        <w:t xml:space="preserve"> +/- PPI demonstrated the potential to flip the Overall Net Cost to the PBS from negative (cost saving) to positive (cost inducing). </w:t>
      </w:r>
      <w:r w:rsidR="008D0FDD">
        <w:rPr>
          <w:szCs w:val="24"/>
        </w:rPr>
        <w:t>The findings can be summarized as follows:</w:t>
      </w:r>
    </w:p>
    <w:p w:rsidR="008D0FDD" w:rsidRDefault="008D0FDD" w:rsidP="008D0FDD">
      <w:pPr>
        <w:pStyle w:val="ListParagraph"/>
        <w:numPr>
          <w:ilvl w:val="0"/>
          <w:numId w:val="14"/>
        </w:numPr>
        <w:spacing w:after="200"/>
        <w:rPr>
          <w:szCs w:val="24"/>
        </w:rPr>
      </w:pPr>
      <w:r>
        <w:rPr>
          <w:szCs w:val="24"/>
        </w:rPr>
        <w:t xml:space="preserve">Changes to the following variables did </w:t>
      </w:r>
      <w:r>
        <w:rPr>
          <w:b/>
          <w:szCs w:val="24"/>
        </w:rPr>
        <w:t>not</w:t>
      </w:r>
      <w:r>
        <w:rPr>
          <w:szCs w:val="24"/>
        </w:rPr>
        <w:t xml:space="preserve"> change the overall net cost to the PBS from negative (cost saving) to positive (cost inducing)</w:t>
      </w:r>
    </w:p>
    <w:p w:rsidR="008D0FDD" w:rsidRDefault="008D0FDD" w:rsidP="008D0FDD">
      <w:pPr>
        <w:pStyle w:val="ListParagraph"/>
        <w:numPr>
          <w:ilvl w:val="0"/>
          <w:numId w:val="14"/>
        </w:numPr>
        <w:spacing w:after="200"/>
        <w:ind w:left="1800" w:hanging="180"/>
        <w:rPr>
          <w:i/>
          <w:szCs w:val="24"/>
        </w:rPr>
      </w:pPr>
      <w:r w:rsidRPr="004D4AD8">
        <w:rPr>
          <w:i/>
          <w:szCs w:val="24"/>
        </w:rPr>
        <w:t xml:space="preserve">DUSC estimates regarding uptake and substitution patterns for </w:t>
      </w:r>
      <w:r w:rsidR="004B2048">
        <w:rPr>
          <w:i/>
          <w:szCs w:val="24"/>
        </w:rPr>
        <w:t>Vimovo®</w:t>
      </w:r>
    </w:p>
    <w:p w:rsidR="008D0FDD" w:rsidRDefault="008D0FDD" w:rsidP="008D0FDD">
      <w:pPr>
        <w:pStyle w:val="ListParagraph"/>
        <w:numPr>
          <w:ilvl w:val="0"/>
          <w:numId w:val="14"/>
        </w:numPr>
        <w:spacing w:after="200"/>
        <w:ind w:left="1800" w:hanging="180"/>
        <w:rPr>
          <w:i/>
          <w:szCs w:val="24"/>
        </w:rPr>
      </w:pPr>
      <w:r>
        <w:rPr>
          <w:i/>
          <w:szCs w:val="24"/>
        </w:rPr>
        <w:t>uptake of NSAID monotherapy</w:t>
      </w:r>
    </w:p>
    <w:p w:rsidR="008D0FDD" w:rsidRDefault="008D0FDD" w:rsidP="008D0FDD">
      <w:pPr>
        <w:pStyle w:val="ListParagraph"/>
        <w:numPr>
          <w:ilvl w:val="0"/>
          <w:numId w:val="14"/>
        </w:numPr>
        <w:spacing w:after="200"/>
        <w:ind w:left="1800" w:hanging="180"/>
        <w:rPr>
          <w:i/>
          <w:szCs w:val="24"/>
        </w:rPr>
      </w:pPr>
      <w:r>
        <w:rPr>
          <w:i/>
          <w:szCs w:val="24"/>
        </w:rPr>
        <w:t>pricing split between celecoxib and meloxicam</w:t>
      </w:r>
    </w:p>
    <w:p w:rsidR="008D0FDD" w:rsidRDefault="008D0FDD" w:rsidP="008D0FDD">
      <w:pPr>
        <w:pStyle w:val="ListParagraph"/>
        <w:numPr>
          <w:ilvl w:val="0"/>
          <w:numId w:val="14"/>
        </w:numPr>
        <w:spacing w:after="200"/>
        <w:ind w:left="1800" w:hanging="180"/>
        <w:rPr>
          <w:i/>
          <w:szCs w:val="24"/>
        </w:rPr>
      </w:pPr>
      <w:r>
        <w:rPr>
          <w:i/>
          <w:szCs w:val="24"/>
        </w:rPr>
        <w:t>cost of NSAID + PPI or celecoxib + PPI  (separate dispensed dose forms)</w:t>
      </w:r>
    </w:p>
    <w:p w:rsidR="008D0FDD" w:rsidRPr="004D4AD8" w:rsidRDefault="008D0FDD" w:rsidP="008D0FDD">
      <w:pPr>
        <w:pStyle w:val="ListParagraph"/>
        <w:ind w:left="1800"/>
        <w:rPr>
          <w:i/>
          <w:szCs w:val="24"/>
        </w:rPr>
      </w:pPr>
    </w:p>
    <w:p w:rsidR="008D0FDD" w:rsidRDefault="008D0FDD" w:rsidP="008D0FDD">
      <w:pPr>
        <w:pStyle w:val="ListParagraph"/>
        <w:numPr>
          <w:ilvl w:val="0"/>
          <w:numId w:val="14"/>
        </w:numPr>
        <w:spacing w:after="200"/>
        <w:rPr>
          <w:szCs w:val="24"/>
        </w:rPr>
      </w:pPr>
      <w:r>
        <w:rPr>
          <w:szCs w:val="24"/>
        </w:rPr>
        <w:t>Growth of the market required to create a net positive cost to the PBS*</w:t>
      </w:r>
    </w:p>
    <w:p w:rsidR="008D0FDD" w:rsidRPr="00A71D03" w:rsidRDefault="008D0FDD" w:rsidP="008D0FDD">
      <w:pPr>
        <w:pStyle w:val="ListParagraph"/>
        <w:numPr>
          <w:ilvl w:val="0"/>
          <w:numId w:val="14"/>
        </w:numPr>
        <w:spacing w:after="200"/>
        <w:ind w:left="1800" w:hanging="180"/>
        <w:rPr>
          <w:i/>
          <w:szCs w:val="24"/>
        </w:rPr>
      </w:pPr>
      <w:r w:rsidRPr="00A71D03">
        <w:rPr>
          <w:i/>
          <w:szCs w:val="24"/>
        </w:rPr>
        <w:t>estimated 9.4% annual growth in the NSAID market; OR</w:t>
      </w:r>
    </w:p>
    <w:p w:rsidR="008D0FDD" w:rsidRPr="00A71D03" w:rsidRDefault="008D0FDD" w:rsidP="008D0FDD">
      <w:pPr>
        <w:pStyle w:val="ListParagraph"/>
        <w:numPr>
          <w:ilvl w:val="0"/>
          <w:numId w:val="14"/>
        </w:numPr>
        <w:spacing w:after="200"/>
        <w:ind w:left="1800" w:hanging="180"/>
        <w:rPr>
          <w:i/>
          <w:szCs w:val="24"/>
        </w:rPr>
      </w:pPr>
      <w:r w:rsidRPr="00A71D03">
        <w:rPr>
          <w:i/>
          <w:szCs w:val="24"/>
        </w:rPr>
        <w:t>estimated 23.9% annual growth in the celecoxib market</w:t>
      </w:r>
    </w:p>
    <w:p w:rsidR="008D0FDD" w:rsidRDefault="008D0FDD" w:rsidP="008D0FDD">
      <w:pPr>
        <w:pStyle w:val="ListParagraph"/>
        <w:numPr>
          <w:ilvl w:val="0"/>
          <w:numId w:val="14"/>
        </w:numPr>
        <w:spacing w:after="200"/>
        <w:rPr>
          <w:szCs w:val="24"/>
        </w:rPr>
      </w:pPr>
      <w:r>
        <w:rPr>
          <w:szCs w:val="24"/>
        </w:rPr>
        <w:t>Growth in price required to create a cost to the PBS*:</w:t>
      </w:r>
    </w:p>
    <w:p w:rsidR="008D0FDD" w:rsidRPr="00A71D03" w:rsidRDefault="008D0FDD" w:rsidP="008D0FDD">
      <w:pPr>
        <w:pStyle w:val="ListParagraph"/>
        <w:numPr>
          <w:ilvl w:val="0"/>
          <w:numId w:val="14"/>
        </w:numPr>
        <w:spacing w:after="200"/>
        <w:ind w:left="1800" w:hanging="180"/>
        <w:rPr>
          <w:i/>
          <w:szCs w:val="24"/>
        </w:rPr>
      </w:pPr>
      <w:r w:rsidRPr="00A71D03">
        <w:rPr>
          <w:i/>
          <w:szCs w:val="24"/>
        </w:rPr>
        <w:t>18% pa addition price reduction for celecoxib (+/-PPI) and NSAID (+/-PPI)</w:t>
      </w:r>
    </w:p>
    <w:p w:rsidR="008D0FDD" w:rsidRDefault="008D0FDD" w:rsidP="008D0FDD">
      <w:pPr>
        <w:pStyle w:val="ListParagraph"/>
        <w:rPr>
          <w:szCs w:val="24"/>
        </w:rPr>
      </w:pPr>
    </w:p>
    <w:p w:rsidR="008D0FDD" w:rsidRDefault="008D0FDD" w:rsidP="008D0FDD">
      <w:pPr>
        <w:pStyle w:val="ListParagraph"/>
        <w:ind w:left="180" w:hanging="180"/>
        <w:rPr>
          <w:szCs w:val="24"/>
        </w:rPr>
      </w:pPr>
      <w:r>
        <w:rPr>
          <w:szCs w:val="24"/>
        </w:rPr>
        <w:t xml:space="preserve">* </w:t>
      </w:r>
      <w:r w:rsidRPr="004106F5">
        <w:rPr>
          <w:i/>
          <w:sz w:val="20"/>
          <w:szCs w:val="20"/>
        </w:rPr>
        <w:t>Indicate figures only based on</w:t>
      </w:r>
      <w:r>
        <w:rPr>
          <w:i/>
          <w:sz w:val="20"/>
          <w:szCs w:val="20"/>
        </w:rPr>
        <w:t xml:space="preserve"> the Primary Reviewer’s changes to input data in the Financial Impact EXCEL spreadsheet created by the </w:t>
      </w:r>
      <w:r w:rsidR="003824EF">
        <w:rPr>
          <w:i/>
          <w:sz w:val="20"/>
          <w:szCs w:val="20"/>
        </w:rPr>
        <w:t>Sponsor</w:t>
      </w:r>
      <w:r>
        <w:rPr>
          <w:i/>
          <w:sz w:val="20"/>
          <w:szCs w:val="20"/>
        </w:rPr>
        <w:t>.</w:t>
      </w:r>
      <w:r w:rsidRPr="004106F5">
        <w:rPr>
          <w:szCs w:val="24"/>
        </w:rPr>
        <w:t xml:space="preserve"> </w:t>
      </w:r>
    </w:p>
    <w:p w:rsidR="008D0FDD" w:rsidRPr="004106F5" w:rsidRDefault="008D0FDD" w:rsidP="008D0FDD">
      <w:pPr>
        <w:pStyle w:val="ListParagraph"/>
        <w:ind w:left="0"/>
        <w:rPr>
          <w:szCs w:val="24"/>
        </w:rPr>
      </w:pPr>
      <w:r>
        <w:rPr>
          <w:szCs w:val="24"/>
        </w:rPr>
        <w:t>It is not within the scope of the Independent review to comment on the growth figures themselves.</w:t>
      </w:r>
    </w:p>
    <w:p w:rsidR="008D0FDD" w:rsidRPr="00C00FFB" w:rsidRDefault="00030534" w:rsidP="003233C6">
      <w:pPr>
        <w:pStyle w:val="Heading1"/>
      </w:pPr>
      <w:bookmarkStart w:id="93" w:name="_Toc356560801"/>
      <w:r>
        <w:t>Reviewers summary of findings on this aspect of the Review</w:t>
      </w:r>
      <w:bookmarkEnd w:id="93"/>
    </w:p>
    <w:p w:rsidR="008D0FDD" w:rsidRDefault="008D0FDD" w:rsidP="00E53949">
      <w:r>
        <w:t xml:space="preserve">The </w:t>
      </w:r>
      <w:r w:rsidR="003824EF">
        <w:t>Sponsor</w:t>
      </w:r>
      <w:r>
        <w:t xml:space="preserve"> was not presented with information that would adequately explain the conclusion reached by PBAC. Further analysis by the reviewers of the financial impact of </w:t>
      </w:r>
      <w:r w:rsidR="004B2048">
        <w:t>Vimovo®</w:t>
      </w:r>
      <w:r>
        <w:t xml:space="preserve"> shows that growth in the market is the only reason </w:t>
      </w:r>
      <w:r w:rsidR="004B2048">
        <w:t>Vimovo®</w:t>
      </w:r>
      <w:r>
        <w:t xml:space="preserve"> would generate a net cost to the PBS. The reviewers note that in such circumstances there are a variety of mechanisms that can be used to control the financial impact of a new listing on the PBS, including authority restrictions, a </w:t>
      </w:r>
      <w:r w:rsidRPr="00CF5EE1">
        <w:t xml:space="preserve">financial cap </w:t>
      </w:r>
      <w:r>
        <w:t xml:space="preserve">and risk sharing arrangements. </w:t>
      </w:r>
    </w:p>
    <w:p w:rsidR="008D0FDD" w:rsidRDefault="008D0FDD" w:rsidP="00E53949">
      <w:r>
        <w:t xml:space="preserve">It is reasonable for PBAC to request that the </w:t>
      </w:r>
      <w:r w:rsidR="003824EF">
        <w:t>Sponsor</w:t>
      </w:r>
      <w:r>
        <w:t xml:space="preserve"> include known statutory price reductions of PPIs in their estimates of the financial impact of </w:t>
      </w:r>
      <w:r w:rsidR="004B2048">
        <w:t>Vimovo®</w:t>
      </w:r>
      <w:r>
        <w:t xml:space="preserve"> listing. However this should have been accompanied by a more detailed explanation of why the request was made. </w:t>
      </w:r>
    </w:p>
    <w:p w:rsidR="00277E5B" w:rsidRDefault="00277E5B" w:rsidP="003233C6">
      <w:pPr>
        <w:pStyle w:val="Heading1"/>
        <w:rPr>
          <w:szCs w:val="24"/>
        </w:rPr>
        <w:sectPr w:rsidR="00277E5B" w:rsidSect="006F4AB3">
          <w:pgSz w:w="11907" w:h="16839" w:code="9"/>
          <w:pgMar w:top="1440" w:right="1440" w:bottom="1440" w:left="1440" w:header="720" w:footer="720" w:gutter="0"/>
          <w:cols w:space="720"/>
          <w:titlePg/>
          <w:docGrid w:linePitch="360"/>
        </w:sectPr>
      </w:pPr>
    </w:p>
    <w:p w:rsidR="00D8372A" w:rsidRDefault="00D8372A" w:rsidP="00FE0AF9">
      <w:pPr>
        <w:pStyle w:val="Heading1"/>
      </w:pPr>
      <w:bookmarkStart w:id="94" w:name="_Toc356560802"/>
      <w:r>
        <w:rPr>
          <w:szCs w:val="24"/>
        </w:rPr>
        <w:t xml:space="preserve">Annexure 1:  </w:t>
      </w:r>
      <w:r w:rsidR="00546335">
        <w:t>Material used in preparing the report</w:t>
      </w:r>
      <w:bookmarkEnd w:id="94"/>
    </w:p>
    <w:p w:rsidR="00D8372A" w:rsidRDefault="00D8372A" w:rsidP="00D8372A">
      <w:r>
        <w:t>The Primary Reviewer met with Prof</w:t>
      </w:r>
      <w:r w:rsidR="00277B82">
        <w:t>essor</w:t>
      </w:r>
      <w:r>
        <w:t xml:space="preserve"> Suzanne Hill, Chair of PBAC, to discuss the PBAC conclusion that listing </w:t>
      </w:r>
      <w:r w:rsidR="004B2048">
        <w:t>Vimovo®</w:t>
      </w:r>
      <w:r>
        <w:t xml:space="preserve"> on the PBS would increase the overall net cost to the PBS. </w:t>
      </w:r>
    </w:p>
    <w:p w:rsidR="00D8372A" w:rsidRDefault="00D8372A" w:rsidP="00D8372A">
      <w:r>
        <w:t>A request was made to the Sponsor for the financial impact spreadsheets in a format that allowed the reviewer to link the separate spreadsheets. The spreadsheets were received but the reviewer was unable to link the files for the purpose of updating results.</w:t>
      </w:r>
    </w:p>
    <w:p w:rsidR="008D0FDD" w:rsidRDefault="008D0FDD" w:rsidP="008D0FDD">
      <w:pPr>
        <w:rPr>
          <w:szCs w:val="24"/>
        </w:rPr>
      </w:pPr>
    </w:p>
    <w:p w:rsidR="00AB3F49" w:rsidRDefault="00AB3F49">
      <w:pPr>
        <w:spacing w:after="200"/>
        <w:rPr>
          <w:szCs w:val="24"/>
        </w:rPr>
      </w:pPr>
      <w:r>
        <w:rPr>
          <w:szCs w:val="24"/>
        </w:rPr>
        <w:br w:type="page"/>
      </w:r>
    </w:p>
    <w:p w:rsidR="00AB3F49" w:rsidRDefault="00AB3F49" w:rsidP="00AB3F49">
      <w:pPr>
        <w:rPr>
          <w:szCs w:val="24"/>
        </w:rPr>
        <w:sectPr w:rsidR="00AB3F49" w:rsidSect="006F4AB3">
          <w:pgSz w:w="11907" w:h="16839" w:code="9"/>
          <w:pgMar w:top="1440" w:right="1440" w:bottom="1440" w:left="1440" w:header="720" w:footer="720" w:gutter="0"/>
          <w:cols w:space="720"/>
          <w:titlePg/>
          <w:docGrid w:linePitch="360"/>
        </w:sectPr>
      </w:pPr>
    </w:p>
    <w:p w:rsidR="00A82440" w:rsidRPr="005656B0" w:rsidRDefault="00A82440" w:rsidP="00FE0AF9">
      <w:pPr>
        <w:pStyle w:val="Heading1"/>
        <w:jc w:val="right"/>
        <w:rPr>
          <w:szCs w:val="24"/>
        </w:rPr>
      </w:pPr>
      <w:bookmarkStart w:id="95" w:name="_Toc356560803"/>
      <w:r w:rsidRPr="00FE0AF9">
        <w:rPr>
          <w:sz w:val="24"/>
          <w:szCs w:val="24"/>
        </w:rPr>
        <w:t>Attachment 4</w:t>
      </w:r>
      <w:bookmarkEnd w:id="95"/>
      <w:r w:rsidRPr="00FE0AF9">
        <w:rPr>
          <w:sz w:val="24"/>
          <w:szCs w:val="24"/>
        </w:rPr>
        <w:t xml:space="preserve">  </w:t>
      </w:r>
    </w:p>
    <w:p w:rsidR="00A82440" w:rsidRDefault="00A82440" w:rsidP="00FE0AF9">
      <w:pPr>
        <w:pStyle w:val="Heading1"/>
        <w:jc w:val="center"/>
      </w:pPr>
      <w:bookmarkStart w:id="96" w:name="_Toc356560804"/>
      <w:r>
        <w:t>DOCUMENTS USED IN THE REVIEW</w:t>
      </w:r>
      <w:bookmarkEnd w:id="96"/>
    </w:p>
    <w:p w:rsidR="00A82440" w:rsidRDefault="00A82440" w:rsidP="00A82440">
      <w:r>
        <w:t>All reviewers used the following documents:</w:t>
      </w:r>
    </w:p>
    <w:p w:rsidR="00A82440" w:rsidRDefault="00A82440" w:rsidP="00A82440">
      <w:r>
        <w:t>TGA</w:t>
      </w:r>
    </w:p>
    <w:p w:rsidR="00A82440" w:rsidRDefault="00A82440" w:rsidP="00A82440">
      <w:pPr>
        <w:pStyle w:val="ListParagraph"/>
        <w:numPr>
          <w:ilvl w:val="0"/>
          <w:numId w:val="43"/>
        </w:numPr>
      </w:pPr>
      <w:r>
        <w:t>2011-04-13 TGA Clinical Evaluation Report</w:t>
      </w:r>
    </w:p>
    <w:p w:rsidR="00A82440" w:rsidRDefault="00A82440" w:rsidP="00A82440">
      <w:pPr>
        <w:pStyle w:val="ListParagraph"/>
        <w:numPr>
          <w:ilvl w:val="0"/>
          <w:numId w:val="43"/>
        </w:numPr>
      </w:pPr>
      <w:r>
        <w:t>2011-04-21 Sponsor request for advice from Advisory Committee on Prescription Medicines (ACPM)</w:t>
      </w:r>
    </w:p>
    <w:p w:rsidR="00A82440" w:rsidRDefault="00A82440" w:rsidP="00A82440">
      <w:pPr>
        <w:pStyle w:val="ListParagraph"/>
        <w:numPr>
          <w:ilvl w:val="0"/>
          <w:numId w:val="43"/>
        </w:numPr>
      </w:pPr>
      <w:r>
        <w:t>2011-06-10 ACPM recommendation (meeting of 2011-06-03)</w:t>
      </w:r>
    </w:p>
    <w:p w:rsidR="00A82440" w:rsidRDefault="00A82440" w:rsidP="00A82440">
      <w:pPr>
        <w:pStyle w:val="ListParagraph"/>
        <w:numPr>
          <w:ilvl w:val="0"/>
          <w:numId w:val="43"/>
        </w:numPr>
      </w:pPr>
      <w:r>
        <w:t>2011-08-15 Ratified minutes of ACPM June 2011 meeting</w:t>
      </w:r>
    </w:p>
    <w:p w:rsidR="00A82440" w:rsidRDefault="00A82440" w:rsidP="00A82440">
      <w:pPr>
        <w:pStyle w:val="ListParagraph"/>
        <w:numPr>
          <w:ilvl w:val="0"/>
          <w:numId w:val="43"/>
        </w:numPr>
      </w:pPr>
      <w:r>
        <w:t>2011-07-07 Letter to Sponsor, re-consideration by ACPM</w:t>
      </w:r>
    </w:p>
    <w:p w:rsidR="00A82440" w:rsidRDefault="00A82440" w:rsidP="00A82440">
      <w:pPr>
        <w:pStyle w:val="ListParagraph"/>
        <w:numPr>
          <w:ilvl w:val="0"/>
          <w:numId w:val="43"/>
        </w:numPr>
      </w:pPr>
      <w:r>
        <w:t>2011-07-26 Sponsor request for advice from ACPM</w:t>
      </w:r>
    </w:p>
    <w:p w:rsidR="00A82440" w:rsidRDefault="00A82440" w:rsidP="00A82440">
      <w:pPr>
        <w:pStyle w:val="ListParagraph"/>
        <w:numPr>
          <w:ilvl w:val="0"/>
          <w:numId w:val="43"/>
        </w:numPr>
      </w:pPr>
      <w:r>
        <w:t>2011-09-09 Ratified minutes of ACPM meeting 2011-09-02</w:t>
      </w:r>
    </w:p>
    <w:p w:rsidR="00A82440" w:rsidRDefault="00A82440" w:rsidP="00A82440">
      <w:pPr>
        <w:pStyle w:val="ListParagraph"/>
        <w:numPr>
          <w:ilvl w:val="0"/>
          <w:numId w:val="43"/>
        </w:numPr>
      </w:pPr>
      <w:r>
        <w:t xml:space="preserve">2011-10-25 Registration of </w:t>
      </w:r>
      <w:r w:rsidR="004B2048">
        <w:t>Vimovo®</w:t>
      </w:r>
    </w:p>
    <w:p w:rsidR="00A82440" w:rsidRDefault="00A82440" w:rsidP="00A82440">
      <w:r>
        <w:t>First submission (considered at PBAC August 2011 meeting)</w:t>
      </w:r>
    </w:p>
    <w:p w:rsidR="00A82440" w:rsidRDefault="00A82440" w:rsidP="00A82440">
      <w:pPr>
        <w:pStyle w:val="ListParagraph"/>
        <w:numPr>
          <w:ilvl w:val="0"/>
          <w:numId w:val="44"/>
        </w:numPr>
      </w:pPr>
      <w:r>
        <w:t>Major submission and attachments</w:t>
      </w:r>
    </w:p>
    <w:p w:rsidR="00A82440" w:rsidRDefault="00A82440" w:rsidP="00A82440">
      <w:pPr>
        <w:pStyle w:val="ListParagraph"/>
        <w:numPr>
          <w:ilvl w:val="0"/>
          <w:numId w:val="44"/>
        </w:numPr>
      </w:pPr>
      <w:r>
        <w:t>PES Commentary</w:t>
      </w:r>
    </w:p>
    <w:p w:rsidR="00A82440" w:rsidRDefault="00A82440" w:rsidP="00A82440">
      <w:pPr>
        <w:pStyle w:val="ListParagraph"/>
        <w:numPr>
          <w:ilvl w:val="0"/>
          <w:numId w:val="44"/>
        </w:numPr>
      </w:pPr>
      <w:r>
        <w:t>DUSC, ESC and RWG commentary</w:t>
      </w:r>
    </w:p>
    <w:p w:rsidR="00A82440" w:rsidRDefault="00A82440" w:rsidP="00A82440">
      <w:pPr>
        <w:pStyle w:val="ListParagraph"/>
        <w:numPr>
          <w:ilvl w:val="0"/>
          <w:numId w:val="44"/>
        </w:numPr>
      </w:pPr>
      <w:r>
        <w:t>Sponsor response</w:t>
      </w:r>
    </w:p>
    <w:p w:rsidR="00A82440" w:rsidRDefault="00A82440" w:rsidP="00A82440">
      <w:pPr>
        <w:pStyle w:val="ListParagraph"/>
        <w:numPr>
          <w:ilvl w:val="0"/>
          <w:numId w:val="44"/>
        </w:numPr>
      </w:pPr>
      <w:r>
        <w:t>PBAC ratified minutes of August meeting</w:t>
      </w:r>
    </w:p>
    <w:p w:rsidR="00A82440" w:rsidRDefault="00A82440" w:rsidP="00A82440">
      <w:r>
        <w:t>Second submission (considered at PBAC March 2012 meeting)</w:t>
      </w:r>
    </w:p>
    <w:p w:rsidR="00A82440" w:rsidRDefault="00A82440" w:rsidP="00A82440">
      <w:pPr>
        <w:pStyle w:val="ListParagraph"/>
        <w:numPr>
          <w:ilvl w:val="0"/>
          <w:numId w:val="46"/>
        </w:numPr>
      </w:pPr>
      <w:r>
        <w:t>Major submission and attachments</w:t>
      </w:r>
    </w:p>
    <w:p w:rsidR="00A82440" w:rsidRDefault="00A82440" w:rsidP="00A82440">
      <w:pPr>
        <w:pStyle w:val="ListParagraph"/>
        <w:numPr>
          <w:ilvl w:val="0"/>
          <w:numId w:val="45"/>
        </w:numPr>
      </w:pPr>
      <w:r>
        <w:t>PES commentary</w:t>
      </w:r>
    </w:p>
    <w:p w:rsidR="00A82440" w:rsidRDefault="00A82440" w:rsidP="00A82440">
      <w:pPr>
        <w:pStyle w:val="ListParagraph"/>
        <w:numPr>
          <w:ilvl w:val="0"/>
          <w:numId w:val="45"/>
        </w:numPr>
      </w:pPr>
      <w:r>
        <w:t>Sponsor response</w:t>
      </w:r>
    </w:p>
    <w:p w:rsidR="00A82440" w:rsidRDefault="00A82440" w:rsidP="00A82440">
      <w:pPr>
        <w:pStyle w:val="ListParagraph"/>
        <w:numPr>
          <w:ilvl w:val="0"/>
          <w:numId w:val="45"/>
        </w:numPr>
      </w:pPr>
      <w:r>
        <w:t>ESC commentary</w:t>
      </w:r>
    </w:p>
    <w:p w:rsidR="00A82440" w:rsidRDefault="00A82440" w:rsidP="00A82440">
      <w:pPr>
        <w:pStyle w:val="ListParagraph"/>
        <w:numPr>
          <w:ilvl w:val="0"/>
          <w:numId w:val="45"/>
        </w:numPr>
      </w:pPr>
      <w:r>
        <w:t>Sponsor response</w:t>
      </w:r>
    </w:p>
    <w:p w:rsidR="00A82440" w:rsidRDefault="00A82440" w:rsidP="00A82440">
      <w:pPr>
        <w:pStyle w:val="ListParagraph"/>
        <w:numPr>
          <w:ilvl w:val="0"/>
          <w:numId w:val="45"/>
        </w:numPr>
      </w:pPr>
      <w:r>
        <w:t>PBAC ratified minutes of March 2012 meeting</w:t>
      </w:r>
    </w:p>
    <w:p w:rsidR="00A82440" w:rsidRDefault="00A82440" w:rsidP="00A82440">
      <w:r>
        <w:t>Third submission (considered at PBAC November 2012 meeting)</w:t>
      </w:r>
    </w:p>
    <w:p w:rsidR="00A82440" w:rsidRDefault="00A82440" w:rsidP="00A82440">
      <w:pPr>
        <w:pStyle w:val="ListParagraph"/>
        <w:numPr>
          <w:ilvl w:val="0"/>
          <w:numId w:val="47"/>
        </w:numPr>
      </w:pPr>
      <w:r>
        <w:t>Minor submission and attachments</w:t>
      </w:r>
    </w:p>
    <w:p w:rsidR="00A82440" w:rsidRDefault="00A82440" w:rsidP="00A82440">
      <w:pPr>
        <w:pStyle w:val="ListParagraph"/>
        <w:numPr>
          <w:ilvl w:val="0"/>
          <w:numId w:val="47"/>
        </w:numPr>
      </w:pPr>
      <w:r>
        <w:t>Secretariat overview</w:t>
      </w:r>
    </w:p>
    <w:p w:rsidR="00A82440" w:rsidRDefault="00A82440" w:rsidP="00A82440">
      <w:pPr>
        <w:pStyle w:val="ListParagraph"/>
        <w:numPr>
          <w:ilvl w:val="0"/>
          <w:numId w:val="47"/>
        </w:numPr>
      </w:pPr>
      <w:r>
        <w:t>Sponsor response</w:t>
      </w:r>
    </w:p>
    <w:p w:rsidR="00A82440" w:rsidRDefault="00A82440" w:rsidP="00A82440">
      <w:pPr>
        <w:pStyle w:val="ListParagraph"/>
        <w:numPr>
          <w:ilvl w:val="0"/>
          <w:numId w:val="47"/>
        </w:numPr>
      </w:pPr>
      <w:r>
        <w:t xml:space="preserve">PBAC ratified </w:t>
      </w:r>
      <w:r w:rsidR="00EA5A38">
        <w:t>minutes</w:t>
      </w:r>
      <w:r>
        <w:t xml:space="preserve"> of November 2012 meeting</w:t>
      </w:r>
    </w:p>
    <w:p w:rsidR="00A82440" w:rsidRDefault="00A82440" w:rsidP="00A82440">
      <w:r>
        <w:t>Sponsor request for Independent Review</w:t>
      </w:r>
    </w:p>
    <w:p w:rsidR="00A82440" w:rsidRDefault="00A82440" w:rsidP="00A82440">
      <w:pPr>
        <w:pStyle w:val="ListParagraph"/>
        <w:numPr>
          <w:ilvl w:val="0"/>
          <w:numId w:val="48"/>
        </w:numPr>
      </w:pPr>
      <w:r>
        <w:t>All the above material was attached, as well as material referenced in the submissions but not attached in full to them, viz</w:t>
      </w:r>
    </w:p>
    <w:p w:rsidR="00A82440" w:rsidRDefault="00A82440" w:rsidP="00A82440">
      <w:pPr>
        <w:pStyle w:val="ListParagraph"/>
        <w:numPr>
          <w:ilvl w:val="0"/>
          <w:numId w:val="48"/>
        </w:numPr>
      </w:pPr>
      <w:r>
        <w:t>2010-11-04 Sponsor briefing to FDA Gastrointestinal Drugs Advisory Committee (GIDAC)</w:t>
      </w:r>
    </w:p>
    <w:p w:rsidR="00A82440" w:rsidRDefault="00A82440" w:rsidP="00A82440">
      <w:pPr>
        <w:pStyle w:val="ListParagraph"/>
        <w:numPr>
          <w:ilvl w:val="0"/>
          <w:numId w:val="48"/>
        </w:numPr>
      </w:pPr>
      <w:r>
        <w:t>2010-11-04 Minutes of the FDA GIDAC meeting</w:t>
      </w:r>
    </w:p>
    <w:p w:rsidR="00A82440" w:rsidRDefault="00A82440" w:rsidP="00A82440">
      <w:pPr>
        <w:pStyle w:val="ListParagraph"/>
        <w:numPr>
          <w:ilvl w:val="0"/>
          <w:numId w:val="48"/>
        </w:numPr>
      </w:pPr>
      <w:r>
        <w:t xml:space="preserve">FDA document for November 2010 meeting ‘Outcome Measures for Claims to Reduce NSAID-Associated Upper Gastrointestinal (UGI) Toxicity' </w:t>
      </w:r>
    </w:p>
    <w:p w:rsidR="00A82440" w:rsidRDefault="00A82440" w:rsidP="00A82440">
      <w:pPr>
        <w:pStyle w:val="ListParagraph"/>
        <w:numPr>
          <w:ilvl w:val="0"/>
          <w:numId w:val="48"/>
        </w:numPr>
      </w:pPr>
      <w:r>
        <w:t>The full text of Moore, Tramer and Rostom references</w:t>
      </w:r>
    </w:p>
    <w:p w:rsidR="00A82440" w:rsidRDefault="00A82440" w:rsidP="00A82440"/>
    <w:p w:rsidR="00A82440" w:rsidRDefault="00A82440" w:rsidP="00A82440">
      <w:r>
        <w:t xml:space="preserve">One reviewer subsequently sought clarification about Table 31 in the second submission: </w:t>
      </w:r>
    </w:p>
    <w:p w:rsidR="00A82440" w:rsidRDefault="00A82440" w:rsidP="00A82440">
      <w:r>
        <w:rPr>
          <w:noProof/>
          <w:lang w:eastAsia="en-AU"/>
        </w:rPr>
        <w:drawing>
          <wp:anchor distT="0" distB="0" distL="114300" distR="114300" simplePos="0" relativeHeight="251663360" behindDoc="1" locked="0" layoutInCell="1" allowOverlap="1" wp14:anchorId="4A83A227" wp14:editId="36F08843">
            <wp:simplePos x="0" y="0"/>
            <wp:positionH relativeFrom="column">
              <wp:posOffset>-2540</wp:posOffset>
            </wp:positionH>
            <wp:positionV relativeFrom="paragraph">
              <wp:posOffset>53340</wp:posOffset>
            </wp:positionV>
            <wp:extent cx="4778375" cy="6831330"/>
            <wp:effectExtent l="0" t="0" r="3175" b="7620"/>
            <wp:wrapSquare wrapText="bothSides"/>
            <wp:docPr id="13" name="Picture 13" descr="Query about data for table 31 in the 2nd major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78375" cy="6831330"/>
                    </a:xfrm>
                    <a:prstGeom prst="rect">
                      <a:avLst/>
                    </a:prstGeom>
                    <a:noFill/>
                    <a:ln>
                      <a:noFill/>
                    </a:ln>
                  </pic:spPr>
                </pic:pic>
              </a:graphicData>
            </a:graphic>
          </wp:anchor>
        </w:drawing>
      </w:r>
    </w:p>
    <w:p w:rsidR="00A82440" w:rsidRDefault="00A82440" w:rsidP="00A82440"/>
    <w:p w:rsidR="00A82440" w:rsidRDefault="00A82440" w:rsidP="00A82440"/>
    <w:p w:rsidR="00A82440" w:rsidRDefault="00A82440" w:rsidP="00A82440"/>
    <w:p w:rsidR="00A82440" w:rsidRDefault="00A82440" w:rsidP="00A82440">
      <w:r>
        <w:rPr>
          <w:noProof/>
          <w:lang w:eastAsia="en-AU"/>
        </w:rPr>
        <w:drawing>
          <wp:inline distT="0" distB="0" distL="0" distR="0" wp14:anchorId="44A840DD" wp14:editId="05CD45EA">
            <wp:extent cx="5760085" cy="5810970"/>
            <wp:effectExtent l="0" t="0" r="0" b="0"/>
            <wp:docPr id="14" name="Picture 14" descr="Table 5.4: Endoscopically diagnosed GUs and/or DUs in NSAID-treated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5810970"/>
                    </a:xfrm>
                    <a:prstGeom prst="rect">
                      <a:avLst/>
                    </a:prstGeom>
                    <a:noFill/>
                    <a:ln>
                      <a:noFill/>
                    </a:ln>
                  </pic:spPr>
                </pic:pic>
              </a:graphicData>
            </a:graphic>
          </wp:inline>
        </w:drawing>
      </w:r>
    </w:p>
    <w:p w:rsidR="00A82440" w:rsidRDefault="00A82440" w:rsidP="00A82440"/>
    <w:p w:rsidR="00A82440" w:rsidRDefault="00A82440" w:rsidP="00A82440">
      <w:r>
        <w:t>The Sponsor provided the following information.</w:t>
      </w:r>
    </w:p>
    <w:p w:rsidR="00A82440" w:rsidRPr="00A954E2" w:rsidRDefault="00A82440" w:rsidP="00A82440">
      <w:pPr>
        <w:rPr>
          <w:b/>
          <w:u w:val="single"/>
        </w:rPr>
      </w:pPr>
      <w:r>
        <w:rPr>
          <w:b/>
          <w:u w:val="single"/>
        </w:rPr>
        <w:t>‘</w:t>
      </w:r>
      <w:r w:rsidRPr="00A954E2">
        <w:rPr>
          <w:b/>
          <w:u w:val="single"/>
        </w:rPr>
        <w:t>Introduction:</w:t>
      </w:r>
    </w:p>
    <w:p w:rsidR="00A82440" w:rsidRDefault="00A82440" w:rsidP="00A82440">
      <w:r>
        <w:t xml:space="preserve">On 6 May 2013 the Convenor had forwarded to AstraZeneca a query from one of the Reviewers of the </w:t>
      </w:r>
      <w:r w:rsidR="004B2048">
        <w:t>Vimovo®</w:t>
      </w:r>
      <w:r>
        <w:t xml:space="preserve"> (esomeprazole/naproxen) Independent Review. An extract is below…. </w:t>
      </w:r>
    </w:p>
    <w:p w:rsidR="00A82440" w:rsidRPr="00A954E2" w:rsidRDefault="00A82440" w:rsidP="00A82440">
      <w:pPr>
        <w:pBdr>
          <w:top w:val="single" w:sz="4" w:space="1" w:color="auto"/>
          <w:left w:val="single" w:sz="4" w:space="4" w:color="auto"/>
          <w:bottom w:val="single" w:sz="4" w:space="1" w:color="auto"/>
          <w:right w:val="single" w:sz="4" w:space="4" w:color="auto"/>
        </w:pBdr>
        <w:rPr>
          <w:b/>
          <w:i/>
          <w:sz w:val="18"/>
        </w:rPr>
      </w:pPr>
      <w:r w:rsidRPr="00A954E2">
        <w:rPr>
          <w:b/>
          <w:i/>
          <w:sz w:val="18"/>
        </w:rPr>
        <w:t>Query about data for table 31 in the 2</w:t>
      </w:r>
      <w:r w:rsidRPr="00A954E2">
        <w:rPr>
          <w:b/>
          <w:i/>
          <w:sz w:val="18"/>
          <w:vertAlign w:val="superscript"/>
        </w:rPr>
        <w:t>nd</w:t>
      </w:r>
      <w:r w:rsidRPr="00A954E2">
        <w:rPr>
          <w:b/>
          <w:i/>
          <w:sz w:val="18"/>
        </w:rPr>
        <w:t xml:space="preserve"> major submission</w:t>
      </w:r>
    </w:p>
    <w:p w:rsidR="00A82440" w:rsidRPr="00A954E2" w:rsidRDefault="00A82440" w:rsidP="00A82440">
      <w:pPr>
        <w:pBdr>
          <w:top w:val="single" w:sz="4" w:space="1" w:color="auto"/>
          <w:left w:val="single" w:sz="4" w:space="4" w:color="auto"/>
          <w:bottom w:val="single" w:sz="4" w:space="1" w:color="auto"/>
          <w:right w:val="single" w:sz="4" w:space="4" w:color="auto"/>
        </w:pBdr>
        <w:rPr>
          <w:i/>
          <w:sz w:val="18"/>
        </w:rPr>
      </w:pPr>
      <w:r w:rsidRPr="00A954E2">
        <w:rPr>
          <w:i/>
          <w:sz w:val="18"/>
        </w:rPr>
        <w:t>Table 31 from the 2</w:t>
      </w:r>
      <w:r w:rsidRPr="00A954E2">
        <w:rPr>
          <w:i/>
          <w:sz w:val="18"/>
          <w:vertAlign w:val="superscript"/>
        </w:rPr>
        <w:t>nd</w:t>
      </w:r>
      <w:r w:rsidRPr="00A954E2">
        <w:rPr>
          <w:i/>
          <w:sz w:val="18"/>
        </w:rPr>
        <w:t xml:space="preserve"> major submission is reproduced below. The important grey-shaded area for endoscopy studies shows results from a meta-analysis on 2 unpublished studies from an FDA GIDAC report, table 5</w:t>
      </w:r>
      <w:r>
        <w:rPr>
          <w:i/>
          <w:sz w:val="18"/>
        </w:rPr>
        <w:t>.</w:t>
      </w:r>
      <w:r w:rsidRPr="00A954E2">
        <w:rPr>
          <w:i/>
          <w:sz w:val="18"/>
        </w:rPr>
        <w:t xml:space="preserve">4, which is also reproduced below. The relevant bottom 2 panels show study 1 and study 2. Study 1 shows 1 endoscopic ulcer in the esomeprazole/naproxen group, out of 218 patients, but gives the incidence as 5%. One of those figures appears incorrect. </w:t>
      </w:r>
    </w:p>
    <w:p w:rsidR="00A82440" w:rsidRPr="00A954E2" w:rsidRDefault="00A82440" w:rsidP="00A82440">
      <w:pPr>
        <w:pBdr>
          <w:top w:val="single" w:sz="4" w:space="1" w:color="auto"/>
          <w:left w:val="single" w:sz="4" w:space="4" w:color="auto"/>
          <w:bottom w:val="single" w:sz="4" w:space="1" w:color="auto"/>
          <w:right w:val="single" w:sz="4" w:space="4" w:color="auto"/>
        </w:pBdr>
        <w:rPr>
          <w:b/>
          <w:i/>
          <w:sz w:val="18"/>
        </w:rPr>
      </w:pPr>
      <w:r w:rsidRPr="00A954E2">
        <w:rPr>
          <w:b/>
          <w:i/>
          <w:sz w:val="18"/>
        </w:rPr>
        <w:t>What data did the Sponsor use for their meta-analysis in table 31? Please also let me have the meta-analysis result to 2 decimal places.</w:t>
      </w:r>
    </w:p>
    <w:p w:rsidR="00A82440" w:rsidRDefault="00A82440" w:rsidP="00A82440">
      <w:r>
        <w:t>The response to the Reviewer’s query is provided below.</w:t>
      </w:r>
    </w:p>
    <w:p w:rsidR="00A82440" w:rsidRPr="00D35FE5" w:rsidRDefault="00A82440" w:rsidP="00A82440">
      <w:pPr>
        <w:rPr>
          <w:b/>
          <w:u w:val="single"/>
        </w:rPr>
      </w:pPr>
      <w:r w:rsidRPr="00D35FE5">
        <w:rPr>
          <w:b/>
          <w:u w:val="single"/>
        </w:rPr>
        <w:t xml:space="preserve">Background: </w:t>
      </w:r>
    </w:p>
    <w:p w:rsidR="00A82440" w:rsidRDefault="00A82440" w:rsidP="00A82440">
      <w:pPr>
        <w:rPr>
          <w:rFonts w:ascii="Arial" w:hAnsi="Arial" w:cs="Arial"/>
        </w:rPr>
      </w:pPr>
      <w:r w:rsidRPr="00A954E2">
        <w:t>In late 2011, a health economics consultancy undertook a project</w:t>
      </w:r>
      <w:r>
        <w:t>,</w:t>
      </w:r>
      <w:r w:rsidRPr="00A954E2">
        <w:t xml:space="preserve"> </w:t>
      </w:r>
      <w:r>
        <w:t xml:space="preserve">on behalf of AstraZeneca, </w:t>
      </w:r>
      <w:r w:rsidRPr="00A954E2">
        <w:t xml:space="preserve">which would inform AstraZeneca’s submission to the PBAC for </w:t>
      </w:r>
      <w:r w:rsidR="004B2048">
        <w:t>Vimovo®</w:t>
      </w:r>
      <w:r w:rsidRPr="00A954E2">
        <w:t>. A report titled “</w:t>
      </w:r>
      <w:r w:rsidRPr="00A954E2">
        <w:rPr>
          <w:i/>
        </w:rPr>
        <w:t>Assessment of endoscopic ulcers as a surrogate outcome for serious gastrointestinal events an</w:t>
      </w:r>
      <w:r w:rsidR="00C92F48">
        <w:rPr>
          <w:i/>
        </w:rPr>
        <w:t>d for use as the basis of a non-</w:t>
      </w:r>
      <w:r w:rsidRPr="00A954E2">
        <w:rPr>
          <w:i/>
        </w:rPr>
        <w:t>inferiority claim in the PBAC re-submission for naproxen/esomeprazole (</w:t>
      </w:r>
      <w:r w:rsidR="004B2048">
        <w:rPr>
          <w:i/>
        </w:rPr>
        <w:t>Vimovo®</w:t>
      </w:r>
      <w:r w:rsidRPr="00A954E2">
        <w:rPr>
          <w:i/>
        </w:rPr>
        <w:t>)</w:t>
      </w:r>
      <w:r w:rsidRPr="00A954E2">
        <w:t xml:space="preserve">” was produced. This report is attached to the </w:t>
      </w:r>
      <w:r>
        <w:t xml:space="preserve">email </w:t>
      </w:r>
      <w:r w:rsidRPr="00A954E2">
        <w:t xml:space="preserve">accompanying </w:t>
      </w:r>
      <w:r>
        <w:t xml:space="preserve">this response </w:t>
      </w:r>
      <w:r w:rsidRPr="00A954E2">
        <w:t>(”a Endoscopic endpoints 311011 FINAL”).</w:t>
      </w:r>
    </w:p>
    <w:p w:rsidR="00A82440" w:rsidRPr="00690B4F" w:rsidRDefault="00A82440" w:rsidP="00A82440">
      <w:r w:rsidRPr="00690B4F">
        <w:t>The consultant’s report made use of data contained in a public FDA briefing document which is attached to the email accompanying this response (attached: “d FDA NSAID-PPI Nov 4 AC briefing background.pdf”). The report was used in the PBAC submission and was the source for Table 31 in the submission dossier.  </w:t>
      </w:r>
    </w:p>
    <w:p w:rsidR="00A82440" w:rsidRPr="00690B4F" w:rsidRDefault="00A82440" w:rsidP="00A82440">
      <w:r w:rsidRPr="00690B4F">
        <w:t>The Reviewer has identified an inconsistency in the data used in the submission as described in the query.</w:t>
      </w:r>
      <w:r>
        <w:t xml:space="preserve"> An extract from Table 5.4 of the FDA briefing document is reproduced below, with the relevant data highlighted. As the Reviewer states, it is clear that one of the numbers is incorrect.</w:t>
      </w:r>
    </w:p>
    <w:p w:rsidR="00A82440" w:rsidRDefault="0004075F" w:rsidP="00A82440">
      <w:pPr>
        <w:rPr>
          <w:rFonts w:ascii="Arial" w:hAnsi="Arial" w:cs="Arial"/>
        </w:rPr>
      </w:pPr>
      <w:r>
        <w:rPr>
          <w:rFonts w:ascii="Arial" w:hAnsi="Arial" w:cs="Arial"/>
          <w:noProof/>
          <w:lang w:eastAsia="en-AU"/>
        </w:rPr>
        <mc:AlternateContent>
          <mc:Choice Requires="wps">
            <w:drawing>
              <wp:anchor distT="0" distB="0" distL="114300" distR="114300" simplePos="0" relativeHeight="251662336" behindDoc="0" locked="0" layoutInCell="1" allowOverlap="1" wp14:anchorId="302492C6" wp14:editId="061F917F">
                <wp:simplePos x="0" y="0"/>
                <wp:positionH relativeFrom="column">
                  <wp:posOffset>-60960</wp:posOffset>
                </wp:positionH>
                <wp:positionV relativeFrom="paragraph">
                  <wp:posOffset>1337310</wp:posOffset>
                </wp:positionV>
                <wp:extent cx="2497455" cy="287020"/>
                <wp:effectExtent l="0" t="0" r="17145" b="17780"/>
                <wp:wrapNone/>
                <wp:docPr id="15" name="Oval 9" descr="Esomeprazole Naproxen highlighted in extrac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7455" cy="28702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alt="Description: Esomeprazole Naproxen highlighted in extract" style="position:absolute;margin-left:-4.8pt;margin-top:105.3pt;width:196.65pt;height:2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" filled="f" strokeweight="2pt"/>
            </w:pict>
          </mc:Fallback>
        </mc:AlternateContent>
      </w:r>
      <w:r w:rsidR="00A82440">
        <w:rPr>
          <w:rFonts w:ascii="Arial" w:hAnsi="Arial" w:cs="Arial"/>
          <w:noProof/>
          <w:lang w:eastAsia="en-AU"/>
        </w:rPr>
        <w:drawing>
          <wp:inline distT="0" distB="0" distL="0" distR="0" wp14:anchorId="041D6745" wp14:editId="770F6308">
            <wp:extent cx="4314114" cy="2216975"/>
            <wp:effectExtent l="0" t="0" r="0" b="0"/>
            <wp:docPr id="7" name="Picture 6" descr="Extract from Table 5.4 of the FDA briefing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l="15268" t="36275" r="24713" b="21405"/>
                    <a:stretch>
                      <a:fillRect/>
                    </a:stretch>
                  </pic:blipFill>
                  <pic:spPr bwMode="auto">
                    <a:xfrm>
                      <a:off x="0" y="0"/>
                      <a:ext cx="4314127" cy="2216981"/>
                    </a:xfrm>
                    <a:prstGeom prst="rect">
                      <a:avLst/>
                    </a:prstGeom>
                    <a:noFill/>
                    <a:ln w="9525">
                      <a:noFill/>
                      <a:miter lim="800000"/>
                      <a:headEnd/>
                      <a:tailEnd/>
                    </a:ln>
                  </pic:spPr>
                </pic:pic>
              </a:graphicData>
            </a:graphic>
          </wp:inline>
        </w:drawing>
      </w:r>
    </w:p>
    <w:p w:rsidR="00A82440" w:rsidRPr="00D35FE5" w:rsidRDefault="00A82440" w:rsidP="00A82440">
      <w:pPr>
        <w:rPr>
          <w:b/>
          <w:u w:val="single"/>
        </w:rPr>
      </w:pPr>
      <w:r w:rsidRPr="00D35FE5">
        <w:rPr>
          <w:b/>
          <w:u w:val="single"/>
        </w:rPr>
        <w:t>Response</w:t>
      </w:r>
    </w:p>
    <w:p w:rsidR="00A82440" w:rsidRPr="00D35FE5" w:rsidRDefault="00A82440" w:rsidP="00A82440">
      <w:pPr>
        <w:rPr>
          <w:sz w:val="20"/>
          <w:u w:val="single"/>
        </w:rPr>
      </w:pPr>
      <w:r w:rsidRPr="00D35FE5">
        <w:rPr>
          <w:sz w:val="20"/>
          <w:u w:val="single"/>
        </w:rPr>
        <w:t xml:space="preserve">Data: </w:t>
      </w:r>
    </w:p>
    <w:p w:rsidR="00A82440" w:rsidRPr="00BC6115" w:rsidRDefault="00A82440" w:rsidP="00A82440">
      <w:r w:rsidRPr="00BC6115">
        <w:t>AstraZeneca global personnel have been alerted and, after examination of the FDA document, confirm that that there is a typographical error in that the number of endoscopic ulcers reported in the table should be 1</w:t>
      </w:r>
      <w:r>
        <w:t>0</w:t>
      </w:r>
      <w:r w:rsidRPr="00BC6115">
        <w:t>. The incidence, relative risk and confidence intervals were calculated on the correct data, and are therefore correct.</w:t>
      </w:r>
    </w:p>
    <w:p w:rsidR="00A82440" w:rsidRPr="00D35FE5" w:rsidRDefault="00A82440" w:rsidP="00A82440">
      <w:pPr>
        <w:rPr>
          <w:sz w:val="20"/>
          <w:u w:val="single"/>
        </w:rPr>
      </w:pPr>
      <w:r w:rsidRPr="00D35FE5">
        <w:rPr>
          <w:sz w:val="20"/>
          <w:u w:val="single"/>
        </w:rPr>
        <w:t>Methodology:</w:t>
      </w:r>
    </w:p>
    <w:p w:rsidR="00A82440" w:rsidRDefault="00A82440" w:rsidP="00A82440">
      <w:r w:rsidRPr="00BC6115">
        <w:t xml:space="preserve">The methodology use to produce the information in the consultant’s report is as follows. </w:t>
      </w:r>
    </w:p>
    <w:p w:rsidR="00A82440" w:rsidRDefault="00A82440" w:rsidP="00A82440">
      <w:r>
        <w:t>The consultant perceived the inconsistency in the FDA document and chose to treat it conservatively. That is, the analysis assumed that the error in the FDA report related to the number of patients experiencing endoscopic ulcers in Study 1 (n=1), as opposed to the percentage (5%). Given that 5% of the study population (N=218) is 11 events, it is likely that the error was due to a missing “1” in the table cell. The analysis presented in the resubmission is reproduced in the Forest plot presented below (to 2 decimal places).</w:t>
      </w:r>
    </w:p>
    <w:p w:rsidR="00A82440" w:rsidRDefault="00A82440" w:rsidP="00A82440">
      <w:r w:rsidRPr="00A268B1">
        <w:rPr>
          <w:noProof/>
          <w:bdr w:val="single" w:sz="4" w:space="0" w:color="auto"/>
          <w:lang w:eastAsia="en-AU"/>
        </w:rPr>
        <w:drawing>
          <wp:inline distT="0" distB="0" distL="0" distR="0" wp14:anchorId="2457271D" wp14:editId="3E844B18">
            <wp:extent cx="5731510" cy="1154875"/>
            <wp:effectExtent l="0" t="0" r="2540" b="7620"/>
            <wp:docPr id="8" name="Picture 7" descr="Analysis presented in the resubmission is reproduced in the Forest 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731510" cy="1154875"/>
                    </a:xfrm>
                    <a:prstGeom prst="rect">
                      <a:avLst/>
                    </a:prstGeom>
                  </pic:spPr>
                </pic:pic>
              </a:graphicData>
            </a:graphic>
          </wp:inline>
        </w:drawing>
      </w:r>
    </w:p>
    <w:p w:rsidR="00A82440" w:rsidRPr="00D35FE5" w:rsidRDefault="00A82440" w:rsidP="00A82440">
      <w:pPr>
        <w:rPr>
          <w:b/>
          <w:u w:val="single"/>
        </w:rPr>
      </w:pPr>
      <w:r w:rsidRPr="00D35FE5">
        <w:rPr>
          <w:b/>
          <w:u w:val="single"/>
        </w:rPr>
        <w:t xml:space="preserve"> Final note:</w:t>
      </w:r>
    </w:p>
    <w:p w:rsidR="00A82440" w:rsidRDefault="00A82440" w:rsidP="00A82440">
      <w:r>
        <w:t xml:space="preserve">As can be seen in the information above, AstraZeneca global has confirmed that the correct number is 10, while the consultant assumed 11 in the original report. The consultant has reproduced the results, to 2 decimal places, using 11 events to examine the impact of this difference. </w:t>
      </w:r>
    </w:p>
    <w:p w:rsidR="00A82440" w:rsidRDefault="00A82440" w:rsidP="00A82440"/>
    <w:p w:rsidR="00A82440" w:rsidRDefault="00A82440" w:rsidP="00A82440">
      <w:r w:rsidRPr="00303A20">
        <w:rPr>
          <w:noProof/>
          <w:lang w:eastAsia="en-AU"/>
        </w:rPr>
        <w:drawing>
          <wp:inline distT="0" distB="0" distL="0" distR="0" wp14:anchorId="74419D19" wp14:editId="1434CFEE">
            <wp:extent cx="5731510" cy="1179981"/>
            <wp:effectExtent l="0" t="0" r="2540" b="1270"/>
            <wp:docPr id="9" name="Picture 1" descr="Naproxen and esomeprazole two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731510" cy="1179981"/>
                    </a:xfrm>
                    <a:prstGeom prst="rect">
                      <a:avLst/>
                    </a:prstGeom>
                  </pic:spPr>
                </pic:pic>
              </a:graphicData>
            </a:graphic>
          </wp:inline>
        </w:drawing>
      </w:r>
    </w:p>
    <w:p w:rsidR="00A82440" w:rsidRDefault="00A82440" w:rsidP="00A82440">
      <w:r>
        <w:t xml:space="preserve"> </w:t>
      </w:r>
    </w:p>
    <w:p w:rsidR="00A82440" w:rsidRPr="00303A20" w:rsidRDefault="00A82440" w:rsidP="00A82440">
      <w:pPr>
        <w:rPr>
          <w:b/>
          <w:u w:val="single"/>
        </w:rPr>
      </w:pPr>
      <w:r>
        <w:rPr>
          <w:b/>
          <w:u w:val="single"/>
        </w:rPr>
        <w:t>Con</w:t>
      </w:r>
      <w:r w:rsidRPr="00303A20">
        <w:rPr>
          <w:b/>
          <w:u w:val="single"/>
        </w:rPr>
        <w:t>clusion</w:t>
      </w:r>
    </w:p>
    <w:p w:rsidR="00A82440" w:rsidRDefault="00A82440" w:rsidP="00A82440">
      <w:r>
        <w:t>The typographical error identified by the Reviewer, within the source data imparts no important alteration to the results of the pooled analysis.</w:t>
      </w:r>
    </w:p>
    <w:p w:rsidR="00A82440" w:rsidRDefault="00A82440" w:rsidP="00A82440">
      <w:r>
        <w:t xml:space="preserve">We trust this addresses the query satisfactorily.’ </w:t>
      </w:r>
    </w:p>
    <w:p w:rsidR="00A82440" w:rsidRDefault="00A82440" w:rsidP="00A82440"/>
    <w:p w:rsidR="00A82440" w:rsidRDefault="00A82440" w:rsidP="00A82440"/>
    <w:p w:rsidR="00A82440" w:rsidRDefault="00A82440" w:rsidP="00A82440"/>
    <w:p w:rsidR="00A82440" w:rsidRDefault="00A82440" w:rsidP="00A82440"/>
    <w:p w:rsidR="00AB3F49" w:rsidRDefault="00AB3F49"/>
    <w:p w:rsidR="00AB3F49" w:rsidRDefault="00AB3F49">
      <w:pPr>
        <w:sectPr w:rsidR="00AB3F49" w:rsidSect="0097747A">
          <w:footerReference w:type="default" r:id="rId36"/>
          <w:footerReference w:type="first" r:id="rId37"/>
          <w:pgSz w:w="11907" w:h="16840" w:code="9"/>
          <w:pgMar w:top="1418" w:right="1418" w:bottom="1418" w:left="1418" w:header="709" w:footer="709" w:gutter="0"/>
          <w:cols w:space="708"/>
          <w:titlePg/>
          <w:docGrid w:linePitch="360"/>
        </w:sectPr>
      </w:pPr>
    </w:p>
    <w:p w:rsidR="007F4E20" w:rsidRPr="00B66466" w:rsidRDefault="000F4663" w:rsidP="00FE0AF9">
      <w:pPr>
        <w:pStyle w:val="Heading1"/>
        <w:jc w:val="right"/>
        <w:rPr>
          <w:szCs w:val="24"/>
        </w:rPr>
      </w:pPr>
      <w:bookmarkStart w:id="97" w:name="_Toc229650989"/>
      <w:bookmarkStart w:id="98" w:name="_Toc356560805"/>
      <w:r w:rsidRPr="00B66466">
        <w:rPr>
          <w:sz w:val="24"/>
          <w:szCs w:val="24"/>
        </w:rPr>
        <w:t xml:space="preserve">Attachment </w:t>
      </w:r>
      <w:r w:rsidR="00751EE5" w:rsidRPr="00B66466">
        <w:rPr>
          <w:sz w:val="24"/>
          <w:szCs w:val="24"/>
        </w:rPr>
        <w:t>5</w:t>
      </w:r>
      <w:bookmarkEnd w:id="97"/>
      <w:bookmarkEnd w:id="98"/>
    </w:p>
    <w:p w:rsidR="000F4663" w:rsidRDefault="00B220D4" w:rsidP="005F5F80">
      <w:pPr>
        <w:pStyle w:val="Heading1"/>
        <w:jc w:val="center"/>
      </w:pPr>
      <w:bookmarkStart w:id="99" w:name="_Toc229650990"/>
      <w:bookmarkStart w:id="100" w:name="_Toc356560806"/>
      <w:r>
        <w:t>INDEPENDENT REVIEW REQUEST FROM ASTRAZENECA PTY LTD</w:t>
      </w:r>
      <w:bookmarkEnd w:id="99"/>
      <w:bookmarkEnd w:id="100"/>
    </w:p>
    <w:p w:rsidR="000F4663" w:rsidRDefault="000F4663" w:rsidP="000F4663">
      <w:pPr>
        <w:autoSpaceDE w:val="0"/>
        <w:autoSpaceDN w:val="0"/>
        <w:adjustRightInd w:val="0"/>
        <w:spacing w:after="0" w:line="240" w:lineRule="auto"/>
      </w:pPr>
    </w:p>
    <w:p w:rsidR="005F5F80" w:rsidRDefault="005F5F80" w:rsidP="000F4663">
      <w:pPr>
        <w:autoSpaceDE w:val="0"/>
        <w:autoSpaceDN w:val="0"/>
        <w:adjustRightInd w:val="0"/>
        <w:spacing w:after="0" w:line="240" w:lineRule="auto"/>
      </w:pPr>
      <w:r>
        <w:t>Consistent with previous Independent Reviews, the submission by AstraZeneca Pty Ltd id re-produced here in full.</w:t>
      </w:r>
    </w:p>
    <w:p w:rsidR="005F5F80" w:rsidRDefault="005F5F80" w:rsidP="000F4663">
      <w:pPr>
        <w:autoSpaceDE w:val="0"/>
        <w:autoSpaceDN w:val="0"/>
        <w:adjustRightInd w:val="0"/>
        <w:spacing w:after="0" w:line="240" w:lineRule="auto"/>
      </w:pPr>
    </w:p>
    <w:p w:rsidR="000F4663" w:rsidRPr="0097747A" w:rsidRDefault="0097747A" w:rsidP="0097747A">
      <w:pPr>
        <w:spacing w:after="0"/>
        <w:rPr>
          <w:b/>
          <w:lang w:val="en-GB"/>
        </w:rPr>
      </w:pPr>
      <w:r>
        <w:rPr>
          <w:b/>
          <w:lang w:val="en-GB"/>
        </w:rPr>
        <w:t>“</w:t>
      </w:r>
      <w:r w:rsidR="000F4663" w:rsidRPr="0097747A">
        <w:rPr>
          <w:b/>
          <w:lang w:val="en-GB"/>
        </w:rPr>
        <w:t>Introduction</w:t>
      </w:r>
    </w:p>
    <w:p w:rsidR="000F4663" w:rsidRDefault="004B2048" w:rsidP="0097747A">
      <w:pPr>
        <w:spacing w:after="0"/>
        <w:rPr>
          <w:lang w:val="en-GB"/>
        </w:rPr>
      </w:pPr>
      <w:r>
        <w:rPr>
          <w:lang w:val="en-GB"/>
        </w:rPr>
        <w:t>Vimovo®</w:t>
      </w:r>
      <w:r w:rsidR="000F4663" w:rsidRPr="009A00FD">
        <w:rPr>
          <w:lang w:val="en-GB"/>
        </w:rPr>
        <w:t xml:space="preserve"> is a fixed dose combination</w:t>
      </w:r>
      <w:r w:rsidR="000F4663">
        <w:rPr>
          <w:lang w:val="en-GB"/>
        </w:rPr>
        <w:t xml:space="preserve"> </w:t>
      </w:r>
      <w:r w:rsidR="000F4663" w:rsidRPr="009A00FD">
        <w:rPr>
          <w:lang w:val="en-GB"/>
        </w:rPr>
        <w:t>of enteric-coated naproxen 500mg</w:t>
      </w:r>
      <w:r w:rsidR="000F4663">
        <w:rPr>
          <w:lang w:val="en-GB"/>
        </w:rPr>
        <w:t xml:space="preserve">, a non-steroidal anti-inflammatory drug </w:t>
      </w:r>
      <w:r w:rsidR="000F4663" w:rsidRPr="009A00FD">
        <w:rPr>
          <w:lang w:val="en-GB"/>
        </w:rPr>
        <w:t>and immediate-release esomeprazole 20mg</w:t>
      </w:r>
      <w:r w:rsidR="000F4663">
        <w:rPr>
          <w:lang w:val="en-GB"/>
        </w:rPr>
        <w:t>, a proton pump inhibitor</w:t>
      </w:r>
      <w:r w:rsidR="000F4663" w:rsidRPr="009A00FD">
        <w:rPr>
          <w:lang w:val="en-GB"/>
        </w:rPr>
        <w:t>.</w:t>
      </w:r>
      <w:r w:rsidR="000F4663">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 xml:space="preserve">In August 2011, March 2012, and November 2012, the PBAC recommended rejection of the applications seeking PBS listing for </w:t>
      </w:r>
      <w:r w:rsidR="004B2048">
        <w:rPr>
          <w:lang w:val="en-GB"/>
        </w:rPr>
        <w:t>Vimovo®</w:t>
      </w:r>
      <w:r>
        <w:rPr>
          <w:lang w:val="en-GB"/>
        </w:rPr>
        <w:t>.  On each occasion AstraZeneca has sought to understand the reasons for rejection and has discussed ways to address these issues</w:t>
      </w:r>
      <w:r w:rsidRPr="00A16698">
        <w:rPr>
          <w:lang w:val="en-GB"/>
        </w:rPr>
        <w:t xml:space="preserve"> </w:t>
      </w:r>
      <w:r>
        <w:rPr>
          <w:lang w:val="en-GB"/>
        </w:rPr>
        <w:t xml:space="preserve">with representatives from the Pharmaceutical Benefits Branch as well as the PBAC Chair.  On each occasion AstraZeneca has sought to address these issues in the next submission.  However, on each occasion, the PBAC has cited additional reasons for recommending rejection of the listing.  As such, AstraZeneca has reluctantly reached the conclusion that an Independent Review is the only avenue remaining to seek clarification on the issues of contention.  </w:t>
      </w:r>
    </w:p>
    <w:p w:rsidR="000F4663" w:rsidRDefault="000F4663" w:rsidP="0097747A">
      <w:pPr>
        <w:spacing w:after="0"/>
        <w:rPr>
          <w:lang w:val="en-GB"/>
        </w:rPr>
      </w:pPr>
    </w:p>
    <w:p w:rsidR="000F4663" w:rsidRPr="001B27F1" w:rsidRDefault="000F4663" w:rsidP="0097747A">
      <w:pPr>
        <w:spacing w:after="0"/>
        <w:rPr>
          <w:b/>
          <w:lang w:val="en-GB"/>
        </w:rPr>
      </w:pPr>
      <w:r>
        <w:rPr>
          <w:b/>
          <w:lang w:val="en-GB"/>
        </w:rPr>
        <w:t>Grounds of Review</w:t>
      </w:r>
    </w:p>
    <w:p w:rsidR="000F4663" w:rsidRDefault="000F4663" w:rsidP="0097747A">
      <w:pPr>
        <w:spacing w:after="0"/>
        <w:rPr>
          <w:lang w:val="en-GB"/>
        </w:rPr>
      </w:pPr>
    </w:p>
    <w:p w:rsidR="000F4663" w:rsidRDefault="000F4663" w:rsidP="0097747A">
      <w:pPr>
        <w:spacing w:after="0"/>
        <w:rPr>
          <w:lang w:val="en-GB"/>
        </w:rPr>
      </w:pPr>
      <w:r>
        <w:rPr>
          <w:lang w:val="en-GB"/>
        </w:rPr>
        <w:t xml:space="preserve">Following its most recent consideration, the reasons provided by the PBAC for rejection were “that not all PBAC criteria for combination products are met; continuing uncertainty regarding the validity of the surrogate outcome for the purposes of demonstrating non-inferiority of more patient-relevant outcomes, and the resultant impact on the cost-minimisation analysis; and continuing concern that the listing could result in increased costs to the PBS”. </w:t>
      </w:r>
      <w:r w:rsidRPr="00651AFB">
        <w:rPr>
          <w:lang w:val="en-GB"/>
        </w:rPr>
        <w:t>(Ratified minutes of the November 2012 PBAC meeting, p2</w:t>
      </w:r>
      <w:r>
        <w:rPr>
          <w:lang w:val="en-GB"/>
        </w:rPr>
        <w:t>, paragraph 4</w:t>
      </w:r>
      <w:r w:rsidRPr="00651AFB">
        <w:rPr>
          <w:lang w:val="en-GB"/>
        </w:rPr>
        <w:t>)</w:t>
      </w:r>
    </w:p>
    <w:p w:rsidR="000F4663" w:rsidRDefault="000F4663" w:rsidP="0097747A">
      <w:pPr>
        <w:spacing w:after="0"/>
        <w:rPr>
          <w:lang w:val="en-GB"/>
        </w:rPr>
      </w:pPr>
    </w:p>
    <w:p w:rsidR="000F4663" w:rsidRDefault="000F4663" w:rsidP="0097747A">
      <w:pPr>
        <w:spacing w:after="0"/>
        <w:rPr>
          <w:lang w:val="en-GB"/>
        </w:rPr>
      </w:pPr>
      <w:r>
        <w:rPr>
          <w:lang w:val="en-GB"/>
        </w:rPr>
        <w:t xml:space="preserve">AstraZeneca seeks a review of the PBAC's recommendation to reject the application seeking PBS listing for </w:t>
      </w:r>
      <w:r w:rsidR="004B2048">
        <w:rPr>
          <w:lang w:val="en-GB"/>
        </w:rPr>
        <w:t>Vimovo®</w:t>
      </w:r>
      <w:r>
        <w:rPr>
          <w:lang w:val="en-GB"/>
        </w:rPr>
        <w:t xml:space="preserve"> which was considered at the November 2012 meeting. The grounds of review and the issues relating to those grounds are as follows:</w:t>
      </w:r>
    </w:p>
    <w:p w:rsidR="000F4663" w:rsidRDefault="000F4663" w:rsidP="0097747A">
      <w:pPr>
        <w:spacing w:after="0"/>
        <w:rPr>
          <w:lang w:val="en-GB"/>
        </w:rPr>
      </w:pPr>
    </w:p>
    <w:p w:rsidR="000F4663" w:rsidRDefault="000F4663" w:rsidP="0097747A">
      <w:pPr>
        <w:spacing w:after="0"/>
        <w:rPr>
          <w:lang w:val="en-GB"/>
        </w:rPr>
      </w:pPr>
      <w:r w:rsidRPr="0084068A">
        <w:rPr>
          <w:lang w:val="en-GB"/>
        </w:rPr>
        <w:t>PBAC's conclusion "that not all PBAC criteria for combination products are met" (Ratified minutes of the November 2012 PBAC meeting, p2</w:t>
      </w:r>
      <w:r>
        <w:rPr>
          <w:lang w:val="en-GB"/>
        </w:rPr>
        <w:t>, paragraph 4</w:t>
      </w:r>
      <w:r w:rsidRPr="0084068A">
        <w:rPr>
          <w:lang w:val="en-GB"/>
        </w:rPr>
        <w:t>) inappropriately applie</w:t>
      </w:r>
      <w:r>
        <w:rPr>
          <w:lang w:val="en-GB"/>
        </w:rPr>
        <w:t>s</w:t>
      </w:r>
      <w:r w:rsidRPr="0084068A">
        <w:rPr>
          <w:lang w:val="en-GB"/>
        </w:rPr>
        <w:t xml:space="preserve"> the information requests as outlined </w:t>
      </w:r>
      <w:r>
        <w:rPr>
          <w:lang w:val="en-GB"/>
        </w:rPr>
        <w:t xml:space="preserve">on p211-212 of </w:t>
      </w:r>
      <w:r w:rsidRPr="0084068A">
        <w:rPr>
          <w:lang w:val="en-GB"/>
        </w:rPr>
        <w:t xml:space="preserve">Part IV of the Guidelines for preparing submissions to the Pharmaceutical Benefits Advisory Committee (PBAC) (Version 4.3) </w:t>
      </w:r>
      <w:r w:rsidRPr="00966433">
        <w:rPr>
          <w:lang w:val="en-GB"/>
        </w:rPr>
        <w:t>as</w:t>
      </w:r>
      <w:r w:rsidRPr="0084068A">
        <w:rPr>
          <w:lang w:val="en-GB"/>
        </w:rPr>
        <w:t xml:space="preserve"> minimum mandatory requirements for combination products to be eligible for consideration </w:t>
      </w:r>
      <w:r>
        <w:rPr>
          <w:lang w:val="en-GB"/>
        </w:rPr>
        <w:t xml:space="preserve">by the PBAC </w:t>
      </w:r>
      <w:r w:rsidRPr="0084068A">
        <w:rPr>
          <w:lang w:val="en-GB"/>
        </w:rPr>
        <w:t>for PBS listing</w:t>
      </w:r>
      <w:r w:rsidRPr="00966433">
        <w:rPr>
          <w:lang w:val="en-GB"/>
        </w:rPr>
        <w:t xml:space="preserve">. </w:t>
      </w:r>
    </w:p>
    <w:p w:rsidR="000F4663" w:rsidRDefault="000F4663" w:rsidP="0097747A">
      <w:pPr>
        <w:spacing w:after="0"/>
        <w:rPr>
          <w:lang w:val="en-GB"/>
        </w:rPr>
      </w:pPr>
    </w:p>
    <w:p w:rsidR="000F4663" w:rsidRDefault="000F4663" w:rsidP="0097747A">
      <w:pPr>
        <w:spacing w:after="0"/>
        <w:rPr>
          <w:lang w:val="en-GB"/>
        </w:rPr>
      </w:pPr>
      <w:r w:rsidRPr="0084068A">
        <w:rPr>
          <w:lang w:val="en-GB"/>
        </w:rPr>
        <w:t>This ground of review requires consideration of the</w:t>
      </w:r>
      <w:r w:rsidRPr="00966433">
        <w:rPr>
          <w:lang w:val="en-GB"/>
        </w:rPr>
        <w:t xml:space="preserve"> appropriateness of the manner in which the combination product criteria have been applied</w:t>
      </w:r>
      <w:r>
        <w:rPr>
          <w:lang w:val="en-GB"/>
        </w:rPr>
        <w:t xml:space="preserve">.  </w:t>
      </w:r>
    </w:p>
    <w:p w:rsidR="000F4663" w:rsidRDefault="000F4663" w:rsidP="0097747A">
      <w:pPr>
        <w:spacing w:after="0"/>
        <w:rPr>
          <w:lang w:val="en-GB"/>
        </w:rPr>
      </w:pPr>
    </w:p>
    <w:p w:rsidR="000F4663" w:rsidRDefault="000F4663" w:rsidP="0097747A">
      <w:pPr>
        <w:spacing w:after="0"/>
        <w:rPr>
          <w:lang w:val="en-GB"/>
        </w:rPr>
      </w:pPr>
      <w:r w:rsidRPr="0084068A">
        <w:rPr>
          <w:lang w:val="en-GB"/>
        </w:rPr>
        <w:t>PBAC's conclusion that there is "continuing uncertainty regarding the validity of the surrogate outcome for the purposes of demonstrating non-inferiority of more patient-relevant outcomes" (Ratified minutes of the November 2012 PBAC meeting, p2</w:t>
      </w:r>
      <w:r>
        <w:rPr>
          <w:lang w:val="en-GB"/>
        </w:rPr>
        <w:t>, paragraph 4</w:t>
      </w:r>
      <w:r w:rsidRPr="0084068A">
        <w:rPr>
          <w:lang w:val="en-GB"/>
        </w:rPr>
        <w:t xml:space="preserve">) is based on </w:t>
      </w:r>
      <w:r>
        <w:rPr>
          <w:lang w:val="en-GB"/>
        </w:rPr>
        <w:t xml:space="preserve">insufficiently robust </w:t>
      </w:r>
      <w:r w:rsidRPr="0084068A">
        <w:rPr>
          <w:lang w:val="en-GB"/>
        </w:rPr>
        <w:t xml:space="preserve">data </w:t>
      </w:r>
      <w:r>
        <w:rPr>
          <w:lang w:val="en-GB"/>
        </w:rPr>
        <w:t xml:space="preserve">which has been </w:t>
      </w:r>
      <w:r w:rsidRPr="0084068A">
        <w:rPr>
          <w:lang w:val="en-GB"/>
        </w:rPr>
        <w:t xml:space="preserve">taken out of context.  </w:t>
      </w:r>
    </w:p>
    <w:p w:rsidR="000F4663" w:rsidRDefault="000F4663" w:rsidP="0097747A">
      <w:pPr>
        <w:spacing w:after="0"/>
        <w:rPr>
          <w:lang w:val="en-GB"/>
        </w:rPr>
      </w:pPr>
    </w:p>
    <w:p w:rsidR="000F4663" w:rsidRPr="006C5C90" w:rsidRDefault="000F4663" w:rsidP="0097747A">
      <w:pPr>
        <w:spacing w:after="0"/>
        <w:rPr>
          <w:lang w:val="en-GB"/>
        </w:rPr>
      </w:pPr>
      <w:r w:rsidRPr="006C5C90">
        <w:rPr>
          <w:lang w:val="en-GB"/>
        </w:rPr>
        <w:t xml:space="preserve">This ground of review requires consideration of the rigour of the evidence provided by the Pharmaceutical Evaluation Section (PES) and </w:t>
      </w:r>
      <w:r>
        <w:rPr>
          <w:lang w:val="en-GB"/>
        </w:rPr>
        <w:t xml:space="preserve">accepted by </w:t>
      </w:r>
      <w:r w:rsidRPr="006C5C90">
        <w:rPr>
          <w:lang w:val="en-GB"/>
        </w:rPr>
        <w:t xml:space="preserve">the PBAC to refute the validity of the surrogate outcome and whether the evidence cited has been appropriately interpreted.  </w:t>
      </w:r>
    </w:p>
    <w:p w:rsidR="000F4663" w:rsidRPr="006C5C90" w:rsidRDefault="000F4663" w:rsidP="0097747A">
      <w:pPr>
        <w:spacing w:after="0"/>
        <w:rPr>
          <w:lang w:val="en-GB"/>
        </w:rPr>
      </w:pPr>
    </w:p>
    <w:p w:rsidR="000F4663" w:rsidRDefault="000F4663" w:rsidP="0097747A">
      <w:pPr>
        <w:spacing w:after="0"/>
        <w:rPr>
          <w:lang w:val="en-GB"/>
        </w:rPr>
      </w:pPr>
      <w:r w:rsidRPr="006C5C90">
        <w:rPr>
          <w:lang w:val="en-GB"/>
        </w:rPr>
        <w:t>PBAC's conclusion that there is "continuing concern that the listing could</w:t>
      </w:r>
      <w:r w:rsidRPr="0084068A">
        <w:rPr>
          <w:lang w:val="en-GB"/>
        </w:rPr>
        <w:t xml:space="preserve"> result in increased costs to the PBS" (Ratified minutes of the November 2012 PBAC meeting, p2</w:t>
      </w:r>
      <w:r>
        <w:rPr>
          <w:lang w:val="en-GB"/>
        </w:rPr>
        <w:t>, paragraph 4</w:t>
      </w:r>
      <w:r w:rsidRPr="0084068A">
        <w:rPr>
          <w:lang w:val="en-GB"/>
        </w:rPr>
        <w:t xml:space="preserve">) is unable to be reconciled with any costing analysis available. </w:t>
      </w:r>
    </w:p>
    <w:p w:rsidR="000F4663" w:rsidRDefault="000F4663" w:rsidP="0097747A">
      <w:pPr>
        <w:spacing w:after="0"/>
        <w:rPr>
          <w:lang w:val="en-GB"/>
        </w:rPr>
      </w:pPr>
    </w:p>
    <w:p w:rsidR="000F4663" w:rsidRDefault="000F4663" w:rsidP="0097747A">
      <w:pPr>
        <w:spacing w:after="0"/>
        <w:rPr>
          <w:lang w:val="en-GB"/>
        </w:rPr>
      </w:pPr>
      <w:r w:rsidRPr="0084068A">
        <w:rPr>
          <w:lang w:val="en-GB"/>
        </w:rPr>
        <w:t xml:space="preserve">This ground of review requires an </w:t>
      </w:r>
      <w:r>
        <w:rPr>
          <w:lang w:val="en-GB"/>
        </w:rPr>
        <w:t xml:space="preserve">assessment of whether any justification has been provided to support </w:t>
      </w:r>
      <w:r w:rsidRPr="00966433">
        <w:rPr>
          <w:lang w:val="en-GB"/>
        </w:rPr>
        <w:t xml:space="preserve">the </w:t>
      </w:r>
      <w:r>
        <w:rPr>
          <w:lang w:val="en-GB"/>
        </w:rPr>
        <w:t xml:space="preserve">claim that the PBS listing requested for </w:t>
      </w:r>
      <w:r w:rsidR="004B2048">
        <w:rPr>
          <w:lang w:val="en-GB"/>
        </w:rPr>
        <w:t>Vimovo®</w:t>
      </w:r>
      <w:r>
        <w:rPr>
          <w:lang w:val="en-GB"/>
        </w:rPr>
        <w:t xml:space="preserve"> could result in increased cost to the PBS.  </w:t>
      </w:r>
    </w:p>
    <w:p w:rsidR="000F4663" w:rsidRDefault="000F4663" w:rsidP="0097747A">
      <w:pPr>
        <w:spacing w:after="0"/>
        <w:rPr>
          <w:lang w:val="en-GB"/>
        </w:rPr>
      </w:pPr>
    </w:p>
    <w:p w:rsidR="000F4663" w:rsidRDefault="000F4663" w:rsidP="0097747A">
      <w:pPr>
        <w:spacing w:after="0"/>
        <w:rPr>
          <w:lang w:val="en-GB"/>
        </w:rPr>
      </w:pPr>
      <w:r>
        <w:rPr>
          <w:lang w:val="en-GB"/>
        </w:rPr>
        <w:t>This statement is structured as follows.</w:t>
      </w:r>
    </w:p>
    <w:p w:rsidR="000F4663" w:rsidRDefault="000F4663" w:rsidP="0097747A">
      <w:pPr>
        <w:spacing w:after="0"/>
        <w:rPr>
          <w:lang w:val="en-GB"/>
        </w:rPr>
      </w:pPr>
    </w:p>
    <w:p w:rsidR="000F4663" w:rsidRDefault="000F4663" w:rsidP="0097747A">
      <w:pPr>
        <w:spacing w:after="0"/>
        <w:rPr>
          <w:lang w:val="en-GB"/>
        </w:rPr>
      </w:pPr>
      <w:r>
        <w:rPr>
          <w:lang w:val="en-GB"/>
        </w:rPr>
        <w:t xml:space="preserve">First, it provides a brief history of each submission provided for </w:t>
      </w:r>
      <w:r w:rsidR="004B2048">
        <w:rPr>
          <w:lang w:val="en-GB"/>
        </w:rPr>
        <w:t>Vimovo®</w:t>
      </w:r>
      <w:r>
        <w:rPr>
          <w:lang w:val="en-GB"/>
        </w:rPr>
        <w:t xml:space="preserve"> and the reasons provided by the PBAC for rejection of each application.  </w:t>
      </w:r>
    </w:p>
    <w:p w:rsidR="000F4663" w:rsidRDefault="000F4663" w:rsidP="0097747A">
      <w:pPr>
        <w:spacing w:after="0"/>
        <w:rPr>
          <w:lang w:val="en-GB"/>
        </w:rPr>
      </w:pPr>
    </w:p>
    <w:p w:rsidR="000F4663" w:rsidRDefault="000F4663" w:rsidP="0097747A">
      <w:pPr>
        <w:spacing w:after="0"/>
        <w:rPr>
          <w:lang w:val="en-GB"/>
        </w:rPr>
      </w:pPr>
      <w:r>
        <w:rPr>
          <w:lang w:val="en-GB"/>
        </w:rPr>
        <w:t xml:space="preserve">Second, it discusses the three grounds of review and associated issues outlined above and in doing so refers </w:t>
      </w:r>
      <w:r w:rsidRPr="00C873B8">
        <w:rPr>
          <w:lang w:val="en-GB"/>
        </w:rPr>
        <w:t xml:space="preserve">to each of PBAC's reasons for not recommending listing of </w:t>
      </w:r>
      <w:r w:rsidR="004B2048">
        <w:rPr>
          <w:lang w:val="en-GB"/>
        </w:rPr>
        <w:t>Vimovo®</w:t>
      </w:r>
      <w:r w:rsidRPr="00C873B8">
        <w:rPr>
          <w:lang w:val="en-GB"/>
        </w:rPr>
        <w:t xml:space="preserve"> </w:t>
      </w:r>
      <w:r>
        <w:rPr>
          <w:lang w:val="en-GB"/>
        </w:rPr>
        <w:t xml:space="preserve">following consideration at the </w:t>
      </w:r>
      <w:r w:rsidRPr="00C873B8">
        <w:rPr>
          <w:lang w:val="en-GB"/>
        </w:rPr>
        <w:t>November 2012 meeting.</w:t>
      </w:r>
      <w:r>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Finally, the statement concludes that the r</w:t>
      </w:r>
      <w:r w:rsidRPr="00651AFB">
        <w:rPr>
          <w:lang w:val="en-GB"/>
        </w:rPr>
        <w:t xml:space="preserve">easons cited for rejection </w:t>
      </w:r>
      <w:r>
        <w:rPr>
          <w:lang w:val="en-GB"/>
        </w:rPr>
        <w:t xml:space="preserve">by the PBAC </w:t>
      </w:r>
      <w:r w:rsidRPr="00651AFB">
        <w:rPr>
          <w:lang w:val="en-GB"/>
        </w:rPr>
        <w:t xml:space="preserve">are insufficiently supported, inconsistent with </w:t>
      </w:r>
      <w:r w:rsidRPr="00C873B8">
        <w:rPr>
          <w:lang w:val="en-GB"/>
        </w:rPr>
        <w:t>previous decisions made by Committee</w:t>
      </w:r>
      <w:r w:rsidRPr="00651AFB">
        <w:rPr>
          <w:lang w:val="en-GB"/>
        </w:rPr>
        <w:t xml:space="preserve"> and inconsistent with the advice provided to </w:t>
      </w:r>
      <w:r w:rsidR="00EA5A38">
        <w:rPr>
          <w:lang w:val="en-GB"/>
        </w:rPr>
        <w:t>Sponsor</w:t>
      </w:r>
      <w:r w:rsidRPr="00651AFB">
        <w:rPr>
          <w:lang w:val="en-GB"/>
        </w:rPr>
        <w:t xml:space="preserve">s in the </w:t>
      </w:r>
      <w:r>
        <w:rPr>
          <w:lang w:val="en-GB"/>
        </w:rPr>
        <w:t>Guidelines for preparing submissions to the Pharmaceutical Benefits Advisory Committee (PBAC) (Version 4.3, December 2008</w:t>
      </w:r>
      <w:r w:rsidRPr="00651AFB">
        <w:rPr>
          <w:lang w:val="en-GB"/>
        </w:rPr>
        <w:t>).</w:t>
      </w:r>
      <w:r>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 xml:space="preserve">History of submissions to the PBAC for </w:t>
      </w:r>
      <w:r w:rsidR="004B2048">
        <w:rPr>
          <w:lang w:val="en-GB"/>
        </w:rPr>
        <w:t>Vimovo®</w:t>
      </w:r>
    </w:p>
    <w:p w:rsidR="000F4663" w:rsidRDefault="000F4663" w:rsidP="0097747A">
      <w:pPr>
        <w:spacing w:after="0"/>
        <w:rPr>
          <w:lang w:val="en-GB"/>
        </w:rPr>
      </w:pPr>
      <w:r>
        <w:rPr>
          <w:lang w:val="en-GB"/>
        </w:rPr>
        <w:t xml:space="preserve">The first major submission seeking PBS listing for </w:t>
      </w:r>
      <w:r w:rsidR="004B2048">
        <w:rPr>
          <w:lang w:val="en-GB"/>
        </w:rPr>
        <w:t>Vimovo®</w:t>
      </w:r>
      <w:r>
        <w:rPr>
          <w:lang w:val="en-GB"/>
        </w:rPr>
        <w:t xml:space="preserve"> was considered at the August 2011 Special meeting of the PBAC, with the Committee recommending rejection because the nominated main comparator (Celecoxib) was inappropriate and </w:t>
      </w:r>
      <w:r w:rsidRPr="007C6F56">
        <w:rPr>
          <w:lang w:val="en-GB"/>
        </w:rPr>
        <w:t>there were no data presented</w:t>
      </w:r>
      <w:r>
        <w:rPr>
          <w:lang w:val="en-GB"/>
        </w:rPr>
        <w:t xml:space="preserve"> versus the comparator which the PBAC deemed to be appropriate (Meloxicam) to make a recommendation. </w:t>
      </w:r>
      <w:r w:rsidRPr="00D456C9">
        <w:rPr>
          <w:lang w:val="en-GB"/>
        </w:rPr>
        <w:t>(Ratified minutes of the August 2011 Special PBAC meeting, p 8</w:t>
      </w:r>
      <w:r>
        <w:rPr>
          <w:lang w:val="en-GB"/>
        </w:rPr>
        <w:t>, final paragraph</w:t>
      </w:r>
      <w:r w:rsidRPr="00D456C9">
        <w:rPr>
          <w:lang w:val="en-GB"/>
        </w:rPr>
        <w:t>)</w:t>
      </w:r>
      <w:r>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 xml:space="preserve">The second major submission for </w:t>
      </w:r>
      <w:r w:rsidR="004B2048">
        <w:rPr>
          <w:lang w:val="en-GB"/>
        </w:rPr>
        <w:t>Vimovo®</w:t>
      </w:r>
      <w:r>
        <w:rPr>
          <w:lang w:val="en-GB"/>
        </w:rPr>
        <w:t xml:space="preserve"> was considered at the March 2012 meeting of the PBAC.  The resubmission included additional data to address the previously cited reason for rejection as well as other main areas of uncertainty raised with respect to the original submission.   The Committee again recommended rejection, this time on the basis of an inappropriate comparator, uncertainty regarding the validity of the surrogate outcome, for the purposes of demonstrating non-inferiority of more patient-relevant outcomes, and resultant uncertainty in the proposed cost-minimisation analysis and an expectation that the listing as requested could result in increased costs both overall and also to the PBS. </w:t>
      </w:r>
      <w:r w:rsidRPr="00D456C9">
        <w:rPr>
          <w:lang w:val="en-GB"/>
        </w:rPr>
        <w:t>(Ratified minutes of the March 2012 PBAC meeting, p297</w:t>
      </w:r>
      <w:r>
        <w:rPr>
          <w:lang w:val="en-GB"/>
        </w:rPr>
        <w:t>, paragraph 7.4.22</w:t>
      </w:r>
      <w:r w:rsidRPr="00D456C9">
        <w:rPr>
          <w:lang w:val="en-GB"/>
        </w:rPr>
        <w:t>)</w:t>
      </w:r>
      <w:r>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AstraZeneca met with the PBAC Chair and representatives from the PBB for a post-rejection meeting on the 17</w:t>
      </w:r>
      <w:r w:rsidRPr="000E2458">
        <w:rPr>
          <w:vertAlign w:val="superscript"/>
          <w:lang w:val="en-GB"/>
        </w:rPr>
        <w:t>th</w:t>
      </w:r>
      <w:r>
        <w:rPr>
          <w:lang w:val="en-GB"/>
        </w:rPr>
        <w:t xml:space="preserve"> of April 2012, where we were advised that </w:t>
      </w:r>
      <w:r w:rsidRPr="002C33DD">
        <w:rPr>
          <w:lang w:val="en-GB"/>
        </w:rPr>
        <w:t xml:space="preserve">the main issues leading to rejection </w:t>
      </w:r>
      <w:r>
        <w:rPr>
          <w:lang w:val="en-GB"/>
        </w:rPr>
        <w:t xml:space="preserve">of the second submission </w:t>
      </w:r>
      <w:r w:rsidRPr="002C33DD">
        <w:rPr>
          <w:lang w:val="en-GB"/>
        </w:rPr>
        <w:t>related to the comparator, endpoints and price</w:t>
      </w:r>
      <w:r>
        <w:rPr>
          <w:lang w:val="en-GB"/>
        </w:rPr>
        <w:t xml:space="preserve"> and that </w:t>
      </w:r>
      <w:r w:rsidRPr="002C33DD">
        <w:rPr>
          <w:lang w:val="en-GB"/>
        </w:rPr>
        <w:t>a minor resubmission with a revised pricing proposal would be an appropriate way to address these issues</w:t>
      </w:r>
      <w:r>
        <w:rPr>
          <w:lang w:val="en-GB"/>
        </w:rPr>
        <w:t xml:space="preserve">.  The third minor submission was considered at the November 2012 meeting of the PBAC.  The Committee again recommended rejection, for the first time citing failure to meet all PBAC criteria for combination products as a reason for rejection, in addition to two of the three previously cited reasons, namely, continuing uncertainty regarding the validity of the surrogate outcome for the purposes of demonstrating non-inferiority of more patient-relevant outcomes, and the resultant impact on the cost-minimisation analysis; and continuing concern that the listing could result in increased costs to the PBS. </w:t>
      </w:r>
      <w:r w:rsidRPr="00D456C9">
        <w:rPr>
          <w:lang w:val="en-GB"/>
        </w:rPr>
        <w:t>(Ratified minutes of the November 2012 PBAC meeting, p2</w:t>
      </w:r>
      <w:r>
        <w:rPr>
          <w:lang w:val="en-GB"/>
        </w:rPr>
        <w:t>, paragraph 4</w:t>
      </w:r>
      <w:r w:rsidRPr="00D456C9">
        <w:rPr>
          <w:lang w:val="en-GB"/>
        </w:rPr>
        <w:t>)</w:t>
      </w:r>
    </w:p>
    <w:p w:rsidR="000F4663" w:rsidRDefault="000F4663" w:rsidP="0097747A">
      <w:pPr>
        <w:spacing w:after="0"/>
        <w:rPr>
          <w:lang w:val="en-GB"/>
        </w:rPr>
      </w:pPr>
      <w:r>
        <w:rPr>
          <w:lang w:val="en-GB"/>
        </w:rPr>
        <w:t>Issues relating to the Grounds of Review</w:t>
      </w:r>
    </w:p>
    <w:p w:rsidR="000F4663" w:rsidRDefault="000F4663" w:rsidP="0097747A">
      <w:pPr>
        <w:spacing w:after="0"/>
        <w:rPr>
          <w:lang w:val="en-GB"/>
        </w:rPr>
      </w:pPr>
    </w:p>
    <w:p w:rsidR="000F4663" w:rsidRDefault="000F4663" w:rsidP="0097747A">
      <w:pPr>
        <w:spacing w:after="0"/>
        <w:rPr>
          <w:lang w:val="en-GB"/>
        </w:rPr>
      </w:pPr>
      <w:r w:rsidRPr="00D456C9">
        <w:rPr>
          <w:lang w:val="en-GB"/>
        </w:rPr>
        <w:t>The appropriateness of the manner in which the combination product criteria have been applied</w:t>
      </w:r>
    </w:p>
    <w:p w:rsidR="000F4663" w:rsidRDefault="000F4663" w:rsidP="0097747A">
      <w:pPr>
        <w:spacing w:after="0"/>
        <w:rPr>
          <w:b/>
          <w:i/>
          <w:lang w:val="en-GB"/>
        </w:rPr>
      </w:pPr>
    </w:p>
    <w:p w:rsidR="000F4663" w:rsidRDefault="000F4663" w:rsidP="0097747A">
      <w:pPr>
        <w:spacing w:after="0"/>
        <w:rPr>
          <w:lang w:val="en-GB"/>
        </w:rPr>
      </w:pPr>
      <w:r w:rsidRPr="003C3BF3">
        <w:rPr>
          <w:b/>
          <w:i/>
          <w:lang w:val="en-GB"/>
        </w:rPr>
        <w:t>GROUND OF REVIEW:</w:t>
      </w:r>
      <w:r w:rsidRPr="0084068A">
        <w:rPr>
          <w:i/>
          <w:lang w:val="en-GB"/>
        </w:rPr>
        <w:t xml:space="preserve"> PBAC's conclusion "that not all PBAC criteria for combination products are met" (Ratified minutes of the November 2012 PBAC meeting, p2) inappropriately applie</w:t>
      </w:r>
      <w:r>
        <w:rPr>
          <w:i/>
          <w:lang w:val="en-GB"/>
        </w:rPr>
        <w:t>d</w:t>
      </w:r>
      <w:r w:rsidRPr="0084068A">
        <w:rPr>
          <w:i/>
          <w:lang w:val="en-GB"/>
        </w:rPr>
        <w:t xml:space="preserve"> the information requests as outlined in Part IV of the Guidelines for preparing submissions to the Pharmaceutical Benefits Advisory Committee (PBAC) (Version 4.3) as minimum mandatory requirements for combination products to be eligible for consideration for PBS listing.</w:t>
      </w:r>
    </w:p>
    <w:p w:rsidR="000F4663" w:rsidRDefault="000F4663" w:rsidP="0097747A">
      <w:pPr>
        <w:spacing w:after="0"/>
        <w:rPr>
          <w:lang w:val="en-GB"/>
        </w:rPr>
      </w:pPr>
    </w:p>
    <w:p w:rsidR="000F4663" w:rsidRPr="009472AF" w:rsidRDefault="000F4663" w:rsidP="0097747A">
      <w:pPr>
        <w:spacing w:after="0"/>
        <w:rPr>
          <w:i/>
          <w:lang w:val="en-GB"/>
        </w:rPr>
      </w:pPr>
      <w:r w:rsidRPr="003C3BF3">
        <w:rPr>
          <w:b/>
          <w:i/>
          <w:lang w:val="en-GB"/>
        </w:rPr>
        <w:t>Points for consideration:</w:t>
      </w:r>
      <w:r w:rsidRPr="009472AF">
        <w:rPr>
          <w:i/>
          <w:lang w:val="en-GB"/>
        </w:rPr>
        <w:t xml:space="preserve">  Are the information requests as outlined on p211-212 of Part IV of the Guidelines for preparing submissions to the Pharmaceutical Benefits Advisory Committee (PBAC) (version 4.3)  “minimum requirements that combination products need to satisfy in order to be eligible for consideration by the PBAC” i.e. do the </w:t>
      </w:r>
      <w:r w:rsidR="00EA5A38">
        <w:rPr>
          <w:i/>
          <w:lang w:val="en-GB"/>
        </w:rPr>
        <w:t>Guidelines</w:t>
      </w:r>
      <w:r w:rsidRPr="009472AF">
        <w:rPr>
          <w:i/>
          <w:lang w:val="en-GB"/>
        </w:rPr>
        <w:t xml:space="preserve"> require that </w:t>
      </w:r>
      <w:r w:rsidRPr="009472AF">
        <w:rPr>
          <w:i/>
          <w:u w:val="single"/>
          <w:lang w:val="en-GB"/>
        </w:rPr>
        <w:t>all</w:t>
      </w:r>
      <w:r w:rsidRPr="009472AF">
        <w:rPr>
          <w:i/>
          <w:lang w:val="en-GB"/>
        </w:rPr>
        <w:t xml:space="preserve"> these criteria must be met in order for a combination product to be considered by the PBAC and listed on the PBS</w:t>
      </w:r>
      <w:r>
        <w:rPr>
          <w:i/>
          <w:lang w:val="en-GB"/>
        </w:rPr>
        <w:t xml:space="preserve"> and is this interpretation consistent with previous PBAC decisions</w:t>
      </w:r>
      <w:r w:rsidRPr="009472AF">
        <w:rPr>
          <w:i/>
          <w:lang w:val="en-GB"/>
        </w:rPr>
        <w:t>?</w:t>
      </w:r>
    </w:p>
    <w:p w:rsidR="000F4663" w:rsidRDefault="000F4663" w:rsidP="0097747A">
      <w:pPr>
        <w:spacing w:after="0"/>
        <w:rPr>
          <w:lang w:val="en-GB"/>
        </w:rPr>
      </w:pPr>
    </w:p>
    <w:p w:rsidR="000F4663" w:rsidRDefault="000F4663" w:rsidP="0097747A">
      <w:pPr>
        <w:spacing w:after="0"/>
        <w:rPr>
          <w:lang w:val="en-GB"/>
        </w:rPr>
      </w:pPr>
      <w:r>
        <w:rPr>
          <w:lang w:val="en-GB"/>
        </w:rPr>
        <w:t xml:space="preserve">One of the grounds cited for rejection of the most recent application for </w:t>
      </w:r>
      <w:r w:rsidR="004B2048">
        <w:rPr>
          <w:lang w:val="en-GB"/>
        </w:rPr>
        <w:t>Vimovo®</w:t>
      </w:r>
      <w:r>
        <w:rPr>
          <w:lang w:val="en-GB"/>
        </w:rPr>
        <w:t xml:space="preserve"> (but notably not the first two applications) was that “not all PBAC criteria for combination products are met.”  (Ratified minutes of the November 2012 PBAC meeting, pg 2, paragraph 4).  The ratified minutes (p2, paragraph 3) describe the information requests outlined in Part IV of the Guidelines for preparing submissions to the Pharmaceutical Benefits Advisory Committee (PBAC) (Version 4.3, December 2008) as </w:t>
      </w:r>
      <w:r w:rsidRPr="00971F02">
        <w:rPr>
          <w:lang w:val="en-GB"/>
        </w:rPr>
        <w:t>“minimum requirements that combination products need to satisfy in order to be eligible for consideration by the PBAC”</w:t>
      </w:r>
      <w:r>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However, the description of these information requests as "minimum requirements"</w:t>
      </w:r>
      <w:r w:rsidRPr="00971F02">
        <w:rPr>
          <w:lang w:val="en-GB"/>
        </w:rPr>
        <w:t xml:space="preserve"> is inappropriate and overstates the standing of these criteria.</w:t>
      </w:r>
      <w:r>
        <w:rPr>
          <w:lang w:val="en-GB"/>
        </w:rPr>
        <w:t xml:space="preserve">  The</w:t>
      </w:r>
      <w:r w:rsidRPr="00971F02">
        <w:rPr>
          <w:lang w:val="en-GB"/>
        </w:rPr>
        <w:t xml:space="preserve"> PBAC Guidelines (v.4.3, December 2008), </w:t>
      </w:r>
      <w:r>
        <w:rPr>
          <w:lang w:val="en-GB"/>
        </w:rPr>
        <w:t xml:space="preserve">Part IV, </w:t>
      </w:r>
      <w:r w:rsidRPr="00971F02">
        <w:rPr>
          <w:lang w:val="en-GB"/>
        </w:rPr>
        <w:t>p211</w:t>
      </w:r>
      <w:r>
        <w:rPr>
          <w:lang w:val="en-GB"/>
        </w:rPr>
        <w:t>-212</w:t>
      </w:r>
      <w:r w:rsidRPr="00971F02">
        <w:rPr>
          <w:lang w:val="en-GB"/>
        </w:rPr>
        <w:t>, list these criteria as “information requests”.</w:t>
      </w:r>
      <w:r>
        <w:rPr>
          <w:lang w:val="en-GB"/>
        </w:rPr>
        <w:t xml:space="preserve"> </w:t>
      </w:r>
      <w:r w:rsidRPr="00971F02">
        <w:rPr>
          <w:lang w:val="en-GB"/>
        </w:rPr>
        <w:t xml:space="preserve"> There is no indication in the </w:t>
      </w:r>
      <w:r>
        <w:rPr>
          <w:lang w:val="en-GB"/>
        </w:rPr>
        <w:t xml:space="preserve">current </w:t>
      </w:r>
      <w:r w:rsidRPr="00971F02">
        <w:rPr>
          <w:lang w:val="en-GB"/>
        </w:rPr>
        <w:t xml:space="preserve">PBAC Guidelines that </w:t>
      </w:r>
      <w:r w:rsidRPr="00A80456">
        <w:rPr>
          <w:u w:val="single"/>
          <w:lang w:val="en-GB"/>
        </w:rPr>
        <w:t>all</w:t>
      </w:r>
      <w:r>
        <w:rPr>
          <w:lang w:val="en-GB"/>
        </w:rPr>
        <w:t xml:space="preserve"> </w:t>
      </w:r>
      <w:r w:rsidRPr="00971F02">
        <w:rPr>
          <w:lang w:val="en-GB"/>
        </w:rPr>
        <w:t>these requirements must be satisfied for a combination product to be eligible for consideration by</w:t>
      </w:r>
      <w:r>
        <w:rPr>
          <w:lang w:val="en-GB"/>
        </w:rPr>
        <w:t xml:space="preserve"> the PBAC.</w:t>
      </w:r>
    </w:p>
    <w:p w:rsidR="000F4663" w:rsidRDefault="000F4663" w:rsidP="0097747A">
      <w:pPr>
        <w:spacing w:after="0"/>
        <w:rPr>
          <w:lang w:val="en-GB"/>
        </w:rPr>
      </w:pPr>
    </w:p>
    <w:p w:rsidR="000F4663" w:rsidRDefault="000F4663" w:rsidP="0097747A">
      <w:pPr>
        <w:spacing w:after="0"/>
        <w:rPr>
          <w:color w:val="000000"/>
        </w:rPr>
      </w:pPr>
      <w:r>
        <w:rPr>
          <w:lang w:val="en-GB"/>
        </w:rPr>
        <w:t xml:space="preserve">Furthermore, these information requests cannot constitute the minimum requirements that a combination product must satisfy to be eligible for consideration by the PBAC because there are combination products currently listed on the PBS which do not meet </w:t>
      </w:r>
      <w:r w:rsidRPr="008642DC">
        <w:rPr>
          <w:u w:val="single"/>
          <w:lang w:val="en-GB"/>
        </w:rPr>
        <w:t>all</w:t>
      </w:r>
      <w:r>
        <w:rPr>
          <w:lang w:val="en-GB"/>
        </w:rPr>
        <w:t xml:space="preserve"> these criteria. AstraZeneca cited two such examples (Seretide</w:t>
      </w:r>
      <w:r w:rsidRPr="006A5D3F">
        <w:rPr>
          <w:vertAlign w:val="superscript"/>
          <w:lang w:val="en-GB"/>
        </w:rPr>
        <w:t>®</w:t>
      </w:r>
      <w:r>
        <w:rPr>
          <w:lang w:val="en-GB"/>
        </w:rPr>
        <w:t xml:space="preserve"> and Duodart</w:t>
      </w:r>
      <w:r w:rsidRPr="006A5D3F">
        <w:rPr>
          <w:vertAlign w:val="superscript"/>
          <w:lang w:val="en-GB"/>
        </w:rPr>
        <w:t>®</w:t>
      </w:r>
      <w:r>
        <w:rPr>
          <w:lang w:val="en-GB"/>
        </w:rPr>
        <w:t xml:space="preserve">) in our </w:t>
      </w:r>
      <w:r w:rsidRPr="00A80456">
        <w:rPr>
          <w:lang w:val="en-GB"/>
        </w:rPr>
        <w:t>response</w:t>
      </w:r>
      <w:r>
        <w:rPr>
          <w:lang w:val="en-GB"/>
        </w:rPr>
        <w:t>s</w:t>
      </w:r>
      <w:r w:rsidRPr="00A80456">
        <w:rPr>
          <w:lang w:val="en-GB"/>
        </w:rPr>
        <w:t xml:space="preserve"> to </w:t>
      </w:r>
      <w:r>
        <w:rPr>
          <w:lang w:val="en-GB"/>
        </w:rPr>
        <w:t xml:space="preserve">the </w:t>
      </w:r>
      <w:r w:rsidRPr="00A80456">
        <w:rPr>
          <w:lang w:val="en-GB"/>
        </w:rPr>
        <w:t>PES Commentary</w:t>
      </w:r>
      <w:r>
        <w:rPr>
          <w:lang w:val="en-GB"/>
        </w:rPr>
        <w:t xml:space="preserve"> (p3) and ESC advice (p2) from the August 2</w:t>
      </w:r>
      <w:r w:rsidRPr="00A80456">
        <w:rPr>
          <w:lang w:val="en-GB"/>
        </w:rPr>
        <w:t xml:space="preserve">011 </w:t>
      </w:r>
      <w:r>
        <w:rPr>
          <w:lang w:val="en-GB"/>
        </w:rPr>
        <w:t xml:space="preserve">consideration which have been reproduced in </w:t>
      </w:r>
      <w:r w:rsidR="00CF4668">
        <w:rPr>
          <w:lang w:val="en-GB"/>
        </w:rPr>
        <w:t>Table 1</w:t>
      </w:r>
      <w:r>
        <w:rPr>
          <w:lang w:val="en-GB"/>
        </w:rPr>
        <w:t xml:space="preserve"> below.  </w:t>
      </w:r>
      <w:r w:rsidRPr="00C873B8">
        <w:rPr>
          <w:lang w:val="en-GB"/>
        </w:rPr>
        <w:t xml:space="preserve">AstraZeneca has included </w:t>
      </w:r>
      <w:r>
        <w:rPr>
          <w:lang w:val="en-GB"/>
        </w:rPr>
        <w:t xml:space="preserve">further examples identified for the reference of the reviewer.  It is not our intention that this table provide an exhaustive assessment of PBS listed combination products against the combination criteria.  However these examples serve to highlight the fact that there combinations products which do not meet </w:t>
      </w:r>
      <w:r w:rsidRPr="000C0B38">
        <w:rPr>
          <w:u w:val="single"/>
          <w:lang w:val="en-GB"/>
        </w:rPr>
        <w:t>all</w:t>
      </w:r>
      <w:r>
        <w:rPr>
          <w:lang w:val="en-GB"/>
        </w:rPr>
        <w:t xml:space="preserve"> of the combination product criteria yet were recommended by the PBAC and subsequently PBS listed.  It is also interesting to note that these examples include products which do not meet the specific criteria which the PBAC raised with respect to </w:t>
      </w:r>
      <w:r w:rsidR="004B2048">
        <w:rPr>
          <w:lang w:val="en-GB"/>
        </w:rPr>
        <w:t>Vimovo®</w:t>
      </w:r>
      <w:r>
        <w:rPr>
          <w:lang w:val="en-GB"/>
        </w:rPr>
        <w:t xml:space="preserve">.  Further consideration should be given to the fact that </w:t>
      </w:r>
      <w:r>
        <w:rPr>
          <w:color w:val="000000"/>
        </w:rPr>
        <w:t xml:space="preserve">the criteria which </w:t>
      </w:r>
      <w:r w:rsidR="004B2048">
        <w:rPr>
          <w:color w:val="000000"/>
        </w:rPr>
        <w:t>Vimovo®</w:t>
      </w:r>
      <w:r>
        <w:rPr>
          <w:color w:val="000000"/>
        </w:rPr>
        <w:t xml:space="preserve"> was deemed not to have satisfied has not been consistently stated during the evaluation.  (Secretariat Overview from the November 2012 consideration, PBAC SEC OVR 7.10.3 and 7.10.6 and Ratified minutes from the November 2012 PBAC meeting p 2, paragraphs 4 and 5). </w:t>
      </w:r>
    </w:p>
    <w:p w:rsidR="000F4663" w:rsidRDefault="000F4663" w:rsidP="0097747A">
      <w:pPr>
        <w:spacing w:after="0"/>
        <w:rPr>
          <w:lang w:val="en-GB"/>
        </w:rPr>
        <w:sectPr w:rsidR="000F4663" w:rsidSect="00796CD9">
          <w:footerReference w:type="first" r:id="rId38"/>
          <w:pgSz w:w="11907" w:h="16840" w:code="9"/>
          <w:pgMar w:top="1418" w:right="1418" w:bottom="1418" w:left="1418" w:header="709" w:footer="709" w:gutter="0"/>
          <w:cols w:space="708"/>
          <w:docGrid w:linePitch="360"/>
        </w:sectPr>
      </w:pPr>
      <w:r>
        <w:rPr>
          <w:color w:val="000000"/>
        </w:rPr>
        <w:t xml:space="preserve"> </w:t>
      </w:r>
    </w:p>
    <w:p w:rsidR="000F4663" w:rsidRPr="00A75662" w:rsidRDefault="000F4663" w:rsidP="0097747A">
      <w:pPr>
        <w:spacing w:after="0"/>
        <w:rPr>
          <w:lang w:val="en-GB"/>
        </w:rPr>
      </w:pPr>
      <w:bookmarkStart w:id="101" w:name="_Ref344724535"/>
      <w:r w:rsidRPr="00A75662">
        <w:t xml:space="preserve">Table </w:t>
      </w:r>
      <w:bookmarkEnd w:id="101"/>
      <w:r w:rsidR="00CF4668">
        <w:t>1</w:t>
      </w:r>
      <w:r w:rsidRPr="00A75662">
        <w:t xml:space="preserve"> Combination products </w:t>
      </w:r>
      <w:r>
        <w:t xml:space="preserve">recommended by the PBAC </w:t>
      </w:r>
      <w:r w:rsidRPr="00A75662">
        <w:t>which do not meet all of the information requests for combination products</w:t>
      </w:r>
    </w:p>
    <w:tbl>
      <w:tblPr>
        <w:tblStyle w:val="TableGrid"/>
        <w:tblW w:w="0" w:type="auto"/>
        <w:tblLook w:val="04A0" w:firstRow="1" w:lastRow="0" w:firstColumn="1" w:lastColumn="0" w:noHBand="0" w:noVBand="1"/>
        <w:tblDescription w:val="Table 1 Combination products recommended by the PBAC which do not meet all of the information requests for combination products"/>
      </w:tblPr>
      <w:tblGrid>
        <w:gridCol w:w="2636"/>
        <w:gridCol w:w="3568"/>
        <w:gridCol w:w="8016"/>
      </w:tblGrid>
      <w:tr w:rsidR="000F4663" w:rsidTr="003F3694">
        <w:trPr>
          <w:tblHeader/>
        </w:trPr>
        <w:tc>
          <w:tcPr>
            <w:tcW w:w="2636" w:type="dxa"/>
          </w:tcPr>
          <w:p w:rsidR="000F4663" w:rsidRPr="00597637" w:rsidRDefault="000F4663" w:rsidP="0097747A">
            <w:pPr>
              <w:rPr>
                <w:b/>
                <w:lang w:val="en-GB"/>
              </w:rPr>
            </w:pPr>
            <w:r w:rsidRPr="00597637">
              <w:rPr>
                <w:b/>
                <w:lang w:val="en-GB"/>
              </w:rPr>
              <w:t>Combination Product</w:t>
            </w:r>
          </w:p>
        </w:tc>
        <w:tc>
          <w:tcPr>
            <w:tcW w:w="3568" w:type="dxa"/>
          </w:tcPr>
          <w:p w:rsidR="000F4663" w:rsidRPr="00597637" w:rsidRDefault="000F4663" w:rsidP="0097747A">
            <w:pPr>
              <w:rPr>
                <w:b/>
                <w:lang w:val="en-GB"/>
              </w:rPr>
            </w:pPr>
            <w:r w:rsidRPr="00597637">
              <w:rPr>
                <w:b/>
                <w:lang w:val="en-GB"/>
              </w:rPr>
              <w:t>PBS listing of relevance</w:t>
            </w:r>
          </w:p>
        </w:tc>
        <w:tc>
          <w:tcPr>
            <w:tcW w:w="8016" w:type="dxa"/>
          </w:tcPr>
          <w:p w:rsidR="000F4663" w:rsidRPr="00597637" w:rsidRDefault="000F4663" w:rsidP="0097747A">
            <w:pPr>
              <w:rPr>
                <w:b/>
                <w:lang w:val="en-GB"/>
              </w:rPr>
            </w:pPr>
            <w:r>
              <w:rPr>
                <w:b/>
                <w:lang w:val="en-GB"/>
              </w:rPr>
              <w:t>Information requests not satisfied</w:t>
            </w:r>
          </w:p>
        </w:tc>
      </w:tr>
      <w:tr w:rsidR="000F4663" w:rsidTr="000F4663">
        <w:tc>
          <w:tcPr>
            <w:tcW w:w="2636" w:type="dxa"/>
          </w:tcPr>
          <w:p w:rsidR="000F4663" w:rsidRDefault="000F4663" w:rsidP="0097747A">
            <w:pPr>
              <w:rPr>
                <w:lang w:val="en-GB"/>
              </w:rPr>
            </w:pPr>
            <w:r>
              <w:rPr>
                <w:lang w:val="en-GB"/>
              </w:rPr>
              <w:t>Abacavir 300mg with lamivudine 150mg and zidovudine 300mg</w:t>
            </w:r>
          </w:p>
        </w:tc>
        <w:tc>
          <w:tcPr>
            <w:tcW w:w="3568" w:type="dxa"/>
          </w:tcPr>
          <w:p w:rsidR="000F4663" w:rsidRDefault="000F4663" w:rsidP="0097747A">
            <w:pPr>
              <w:rPr>
                <w:lang w:val="en-GB"/>
              </w:rPr>
            </w:pPr>
            <w:r>
              <w:rPr>
                <w:lang w:val="en-GB"/>
              </w:rPr>
              <w:t>HIV</w:t>
            </w:r>
          </w:p>
        </w:tc>
        <w:tc>
          <w:tcPr>
            <w:tcW w:w="8016" w:type="dxa"/>
          </w:tcPr>
          <w:p w:rsidR="000F4663" w:rsidRPr="004514C2" w:rsidRDefault="000F4663" w:rsidP="0097747A">
            <w:pPr>
              <w:rPr>
                <w:b/>
                <w:lang w:val="en-GB"/>
              </w:rPr>
            </w:pPr>
            <w:r>
              <w:rPr>
                <w:b/>
                <w:lang w:val="en-GB"/>
              </w:rPr>
              <w:t xml:space="preserve">Criterion g:  </w:t>
            </w:r>
            <w:r w:rsidRPr="000C0B38">
              <w:rPr>
                <w:lang w:val="en-GB"/>
              </w:rPr>
              <w:t>The components products require individual titration.  The product information states that “If dosage adjustment of individual components is required, do not use this combination formulation.”</w:t>
            </w:r>
            <w:r>
              <w:rPr>
                <w:b/>
                <w:lang w:val="en-GB"/>
              </w:rPr>
              <w:t xml:space="preserve"> </w:t>
            </w:r>
          </w:p>
        </w:tc>
      </w:tr>
      <w:tr w:rsidR="000F4663" w:rsidTr="000F4663">
        <w:tc>
          <w:tcPr>
            <w:tcW w:w="2636" w:type="dxa"/>
          </w:tcPr>
          <w:p w:rsidR="000F4663" w:rsidRDefault="000F4663" w:rsidP="0097747A">
            <w:pPr>
              <w:rPr>
                <w:lang w:val="en-GB"/>
              </w:rPr>
            </w:pPr>
            <w:r>
              <w:rPr>
                <w:lang w:val="en-GB"/>
              </w:rPr>
              <w:t>Alendronate, colecalciferol ± calcium carbonate</w:t>
            </w:r>
          </w:p>
        </w:tc>
        <w:tc>
          <w:tcPr>
            <w:tcW w:w="3568" w:type="dxa"/>
          </w:tcPr>
          <w:p w:rsidR="000F4663" w:rsidRDefault="000F4663" w:rsidP="0097747A">
            <w:pPr>
              <w:rPr>
                <w:lang w:val="en-GB"/>
              </w:rPr>
            </w:pPr>
            <w:r>
              <w:rPr>
                <w:lang w:val="en-GB"/>
              </w:rPr>
              <w:t>Osteoporosis</w:t>
            </w:r>
          </w:p>
        </w:tc>
        <w:tc>
          <w:tcPr>
            <w:tcW w:w="8016" w:type="dxa"/>
          </w:tcPr>
          <w:p w:rsidR="000F4663" w:rsidRDefault="000F4663" w:rsidP="0097747A">
            <w:pPr>
              <w:rPr>
                <w:lang w:val="en-GB"/>
              </w:rPr>
            </w:pPr>
            <w:r w:rsidRPr="004514C2">
              <w:rPr>
                <w:b/>
                <w:lang w:val="en-GB"/>
              </w:rPr>
              <w:t xml:space="preserve">Criteria b: </w:t>
            </w:r>
            <w:r w:rsidRPr="004514C2">
              <w:rPr>
                <w:lang w:val="en-GB"/>
              </w:rPr>
              <w:t>Coleciferol is not listed on the PBS</w:t>
            </w:r>
          </w:p>
        </w:tc>
      </w:tr>
      <w:tr w:rsidR="000F4663" w:rsidTr="000F4663">
        <w:tc>
          <w:tcPr>
            <w:tcW w:w="2636" w:type="dxa"/>
          </w:tcPr>
          <w:p w:rsidR="000F4663" w:rsidRDefault="000F4663" w:rsidP="0097747A">
            <w:pPr>
              <w:rPr>
                <w:lang w:val="en-GB"/>
              </w:rPr>
            </w:pPr>
            <w:r>
              <w:rPr>
                <w:lang w:val="en-GB"/>
              </w:rPr>
              <w:t>Dutasteride and tamsulosin)</w:t>
            </w:r>
          </w:p>
        </w:tc>
        <w:tc>
          <w:tcPr>
            <w:tcW w:w="3568" w:type="dxa"/>
          </w:tcPr>
          <w:p w:rsidR="000F4663" w:rsidRDefault="000F4663" w:rsidP="0097747A">
            <w:pPr>
              <w:rPr>
                <w:lang w:val="en-GB"/>
              </w:rPr>
            </w:pPr>
            <w:r>
              <w:rPr>
                <w:lang w:val="en-GB"/>
              </w:rPr>
              <w:t>Lower urinary tract symptoms due to benign prostatic hyperplasia</w:t>
            </w:r>
          </w:p>
        </w:tc>
        <w:tc>
          <w:tcPr>
            <w:tcW w:w="8016" w:type="dxa"/>
          </w:tcPr>
          <w:p w:rsidR="000F4663" w:rsidRDefault="000F4663" w:rsidP="0097747A">
            <w:pPr>
              <w:rPr>
                <w:lang w:val="en-GB"/>
              </w:rPr>
            </w:pPr>
            <w:r w:rsidRPr="00DC55BA">
              <w:rPr>
                <w:b/>
                <w:lang w:val="en-GB"/>
              </w:rPr>
              <w:t>Criterion b:</w:t>
            </w:r>
            <w:r>
              <w:rPr>
                <w:lang w:val="en-GB"/>
              </w:rPr>
              <w:t xml:space="preserve"> Tamsulosin is not listed on the PBS.  It is only listed on the repatriation schedule</w:t>
            </w:r>
          </w:p>
        </w:tc>
      </w:tr>
      <w:tr w:rsidR="000F4663" w:rsidTr="000F4663">
        <w:tc>
          <w:tcPr>
            <w:tcW w:w="2636" w:type="dxa"/>
          </w:tcPr>
          <w:p w:rsidR="000F4663" w:rsidRPr="00054095" w:rsidRDefault="000F4663" w:rsidP="0097747A">
            <w:pPr>
              <w:rPr>
                <w:lang w:val="en-GB"/>
              </w:rPr>
            </w:pPr>
            <w:r w:rsidRPr="00054095">
              <w:rPr>
                <w:lang w:val="en-GB"/>
              </w:rPr>
              <w:t>Enalapril10/20mg  and lercanidipine 10mg</w:t>
            </w:r>
          </w:p>
        </w:tc>
        <w:tc>
          <w:tcPr>
            <w:tcW w:w="3568" w:type="dxa"/>
          </w:tcPr>
          <w:p w:rsidR="000F4663" w:rsidRDefault="000F4663" w:rsidP="0097747A">
            <w:pPr>
              <w:rPr>
                <w:lang w:val="en-GB"/>
              </w:rPr>
            </w:pPr>
            <w:r>
              <w:rPr>
                <w:lang w:val="en-GB"/>
              </w:rPr>
              <w:t>Hypertension</w:t>
            </w:r>
          </w:p>
        </w:tc>
        <w:tc>
          <w:tcPr>
            <w:tcW w:w="8016" w:type="dxa"/>
          </w:tcPr>
          <w:p w:rsidR="000F4663" w:rsidRPr="00DC55BA" w:rsidRDefault="000F4663" w:rsidP="0097747A">
            <w:pPr>
              <w:rPr>
                <w:b/>
                <w:lang w:val="en-GB"/>
              </w:rPr>
            </w:pPr>
            <w:r>
              <w:rPr>
                <w:b/>
                <w:lang w:val="en-GB"/>
              </w:rPr>
              <w:t xml:space="preserve">Criterion g: </w:t>
            </w:r>
            <w:r w:rsidRPr="000C0B38">
              <w:rPr>
                <w:lang w:val="en-GB"/>
              </w:rPr>
              <w:t>Both enalapril and lercanidipine require individual dose titration</w:t>
            </w:r>
            <w:r>
              <w:rPr>
                <w:b/>
                <w:lang w:val="en-GB"/>
              </w:rPr>
              <w:t xml:space="preserve"> </w:t>
            </w:r>
          </w:p>
        </w:tc>
      </w:tr>
      <w:tr w:rsidR="000F4663" w:rsidTr="000F4663">
        <w:tc>
          <w:tcPr>
            <w:tcW w:w="2636" w:type="dxa"/>
          </w:tcPr>
          <w:p w:rsidR="000F4663" w:rsidRDefault="000F4663" w:rsidP="0097747A">
            <w:pPr>
              <w:rPr>
                <w:lang w:val="en-GB"/>
              </w:rPr>
            </w:pPr>
            <w:r w:rsidRPr="00054095">
              <w:rPr>
                <w:lang w:val="en-GB"/>
              </w:rPr>
              <w:t>Fluticasone/salmeterol)</w:t>
            </w:r>
          </w:p>
        </w:tc>
        <w:tc>
          <w:tcPr>
            <w:tcW w:w="3568" w:type="dxa"/>
          </w:tcPr>
          <w:p w:rsidR="000F4663" w:rsidRDefault="000F4663" w:rsidP="0097747A">
            <w:pPr>
              <w:rPr>
                <w:lang w:val="en-GB"/>
              </w:rPr>
            </w:pPr>
            <w:r>
              <w:rPr>
                <w:lang w:val="en-GB"/>
              </w:rPr>
              <w:t>Chronic obstructive pulmonary disease (COPD)</w:t>
            </w:r>
          </w:p>
        </w:tc>
        <w:tc>
          <w:tcPr>
            <w:tcW w:w="8016" w:type="dxa"/>
          </w:tcPr>
          <w:p w:rsidR="000F4663" w:rsidRPr="00DC55BA" w:rsidRDefault="000F4663" w:rsidP="0097747A">
            <w:pPr>
              <w:rPr>
                <w:lang w:val="en-GB"/>
              </w:rPr>
            </w:pPr>
            <w:r w:rsidRPr="00DC55BA">
              <w:rPr>
                <w:b/>
                <w:lang w:val="en-GB"/>
              </w:rPr>
              <w:t>Criterion b:</w:t>
            </w:r>
            <w:r>
              <w:rPr>
                <w:lang w:val="en-GB"/>
              </w:rPr>
              <w:t xml:space="preserve"> </w:t>
            </w:r>
            <w:r w:rsidRPr="00DC55BA">
              <w:rPr>
                <w:lang w:val="en-GB"/>
              </w:rPr>
              <w:t xml:space="preserve">If one applies to logic used in the recent consideration of </w:t>
            </w:r>
            <w:r w:rsidR="004B2048">
              <w:rPr>
                <w:lang w:val="en-GB"/>
              </w:rPr>
              <w:t>Vimovo®</w:t>
            </w:r>
            <w:r w:rsidRPr="00DC55BA">
              <w:rPr>
                <w:lang w:val="en-GB"/>
              </w:rPr>
              <w:t>, this criterion is “partially met” (refer to ratified minutes from the November 2012 consideration, p1, paragraph 5) because although both components are PBS-li</w:t>
            </w:r>
            <w:r>
              <w:rPr>
                <w:lang w:val="en-GB"/>
              </w:rPr>
              <w:t>sted, neither fluticasone nor salmeterol are PBS-subsidised for CO</w:t>
            </w:r>
            <w:r w:rsidRPr="00DC55BA">
              <w:rPr>
                <w:lang w:val="en-GB"/>
              </w:rPr>
              <w:t xml:space="preserve">PD.  AstraZeneca however, does not concur with PBAC’s interpretation of this criterion because it confounds criterion b and c.  Criterion b considers whether the components are listed on the PBS.  Criterion c considers </w:t>
            </w:r>
            <w:r>
              <w:rPr>
                <w:lang w:val="en-GB"/>
              </w:rPr>
              <w:t>whether the PBS restrictions of the components and the combination product are consistent.</w:t>
            </w:r>
          </w:p>
          <w:p w:rsidR="000F4663" w:rsidRPr="00DC55BA" w:rsidRDefault="000F4663" w:rsidP="0097747A">
            <w:pPr>
              <w:rPr>
                <w:lang w:val="en-GB"/>
              </w:rPr>
            </w:pPr>
            <w:r w:rsidRPr="00DC55BA">
              <w:rPr>
                <w:b/>
                <w:lang w:val="en-GB"/>
              </w:rPr>
              <w:t>Criterion c:</w:t>
            </w:r>
            <w:r w:rsidRPr="00DC55BA">
              <w:rPr>
                <w:lang w:val="en-GB"/>
              </w:rPr>
              <w:t xml:space="preserve"> Fluticasone is listed as a general benefit and as such, is reimbursed for all TGA approved indications; however </w:t>
            </w:r>
            <w:r>
              <w:rPr>
                <w:lang w:val="en-GB"/>
              </w:rPr>
              <w:t xml:space="preserve">COPD is not amongst the TGA-approved indications for </w:t>
            </w:r>
            <w:r w:rsidRPr="00DC55BA">
              <w:rPr>
                <w:lang w:val="en-GB"/>
              </w:rPr>
              <w:t>fluticasone.  Salmeterol is not PBS listed for COPD</w:t>
            </w:r>
          </w:p>
        </w:tc>
      </w:tr>
    </w:tbl>
    <w:p w:rsidR="000F4663" w:rsidRDefault="000F4663" w:rsidP="0097747A">
      <w:pPr>
        <w:spacing w:after="0"/>
        <w:rPr>
          <w:b/>
          <w:u w:val="single"/>
          <w:lang w:val="en-GB"/>
        </w:rPr>
      </w:pPr>
    </w:p>
    <w:p w:rsidR="000F4663" w:rsidRPr="007B02AA" w:rsidRDefault="000F4663" w:rsidP="0097747A">
      <w:pPr>
        <w:spacing w:after="0"/>
        <w:rPr>
          <w:sz w:val="20"/>
          <w:u w:val="single"/>
          <w:lang w:val="en-GB"/>
        </w:rPr>
      </w:pPr>
      <w:r w:rsidRPr="000E2458">
        <w:rPr>
          <w:b/>
          <w:sz w:val="20"/>
          <w:u w:val="single"/>
          <w:lang w:val="en-GB"/>
        </w:rPr>
        <w:t>NOTE:</w:t>
      </w:r>
      <w:r w:rsidRPr="000E2458">
        <w:rPr>
          <w:sz w:val="20"/>
          <w:u w:val="single"/>
          <w:lang w:val="en-GB"/>
        </w:rPr>
        <w:t xml:space="preserve"> </w:t>
      </w:r>
      <w:r w:rsidRPr="000E2458">
        <w:rPr>
          <w:sz w:val="20"/>
          <w:lang w:val="en-GB"/>
        </w:rPr>
        <w:t xml:space="preserve">The information requests are presented in this table as they are represented in the Secretariat Overview (PBAC SEC OVR 7.10.3) and ratified minutes from November 2012 consideration of </w:t>
      </w:r>
      <w:r w:rsidR="004B2048">
        <w:rPr>
          <w:sz w:val="20"/>
          <w:lang w:val="en-GB"/>
        </w:rPr>
        <w:t>Vimovo®</w:t>
      </w:r>
      <w:r w:rsidRPr="000E2458">
        <w:rPr>
          <w:sz w:val="20"/>
          <w:lang w:val="en-GB"/>
        </w:rPr>
        <w:t xml:space="preserve"> i.e. listed as criterion (a) though (g).   This is not consistent with how they are presented in the current PBAC </w:t>
      </w:r>
      <w:r w:rsidR="00EA5A38">
        <w:rPr>
          <w:sz w:val="20"/>
          <w:lang w:val="en-GB"/>
        </w:rPr>
        <w:t>Guidelines</w:t>
      </w:r>
      <w:r w:rsidRPr="000E2458">
        <w:rPr>
          <w:sz w:val="20"/>
          <w:lang w:val="en-GB"/>
        </w:rPr>
        <w:t>; however this nomenclature has been retained in this table for ease of reference between documents</w:t>
      </w:r>
    </w:p>
    <w:p w:rsidR="000F4663" w:rsidRDefault="000F4663" w:rsidP="0097747A">
      <w:pPr>
        <w:spacing w:after="0"/>
        <w:rPr>
          <w:b/>
          <w:u w:val="single"/>
          <w:lang w:val="en-GB"/>
        </w:rPr>
      </w:pPr>
    </w:p>
    <w:p w:rsidR="000F4663" w:rsidRPr="007B02AA" w:rsidRDefault="000F4663" w:rsidP="0097747A">
      <w:pPr>
        <w:spacing w:after="0"/>
        <w:rPr>
          <w:sz w:val="20"/>
          <w:lang w:val="en-GB"/>
        </w:rPr>
      </w:pPr>
      <w:r w:rsidRPr="007B02AA">
        <w:rPr>
          <w:b/>
          <w:sz w:val="20"/>
          <w:u w:val="single"/>
          <w:lang w:val="en-GB"/>
        </w:rPr>
        <w:t>Key:</w:t>
      </w:r>
      <w:r w:rsidRPr="007B02AA">
        <w:rPr>
          <w:sz w:val="20"/>
          <w:lang w:val="en-GB"/>
        </w:rPr>
        <w:t xml:space="preserve"> (</w:t>
      </w:r>
      <w:r w:rsidRPr="007B02AA">
        <w:rPr>
          <w:b/>
          <w:sz w:val="20"/>
          <w:lang w:val="en-GB"/>
        </w:rPr>
        <w:t>a)</w:t>
      </w:r>
      <w:r w:rsidRPr="007B02AA">
        <w:rPr>
          <w:sz w:val="20"/>
          <w:lang w:val="en-GB"/>
        </w:rPr>
        <w:t xml:space="preserve"> The product should be approved or is recommended for approval by the TGA and meets all the clinical criteria required by the TGA; </w:t>
      </w:r>
      <w:r w:rsidRPr="007B02AA">
        <w:rPr>
          <w:b/>
          <w:sz w:val="20"/>
          <w:lang w:val="en-GB"/>
        </w:rPr>
        <w:t xml:space="preserve">b) </w:t>
      </w:r>
      <w:r w:rsidRPr="007B02AA">
        <w:rPr>
          <w:sz w:val="20"/>
          <w:lang w:val="en-GB"/>
        </w:rPr>
        <w:t xml:space="preserve">The component products should preferably be listed on the PBS; </w:t>
      </w:r>
      <w:r w:rsidRPr="007B02AA">
        <w:rPr>
          <w:b/>
          <w:sz w:val="20"/>
          <w:lang w:val="en-GB"/>
        </w:rPr>
        <w:t>c)</w:t>
      </w:r>
      <w:r w:rsidRPr="007B02AA">
        <w:rPr>
          <w:sz w:val="20"/>
          <w:lang w:val="en-GB"/>
        </w:rPr>
        <w:t xml:space="preserve"> Restrictions for the component products should be consistent with those proposed for the combination; </w:t>
      </w:r>
      <w:r w:rsidRPr="007B02AA">
        <w:rPr>
          <w:b/>
          <w:sz w:val="20"/>
          <w:lang w:val="en-GB"/>
        </w:rPr>
        <w:t>d)</w:t>
      </w:r>
      <w:r w:rsidRPr="007B02AA">
        <w:rPr>
          <w:sz w:val="20"/>
          <w:lang w:val="en-GB"/>
        </w:rPr>
        <w:t xml:space="preserve"> The doses of the listed component products and the proposed combination should be consistent; </w:t>
      </w:r>
      <w:r w:rsidRPr="007B02AA">
        <w:rPr>
          <w:b/>
          <w:sz w:val="20"/>
          <w:lang w:val="en-GB"/>
        </w:rPr>
        <w:t xml:space="preserve">e) </w:t>
      </w:r>
      <w:r w:rsidRPr="007B02AA">
        <w:rPr>
          <w:sz w:val="20"/>
          <w:lang w:val="en-GB"/>
        </w:rPr>
        <w:t xml:space="preserve">There should be additive (not necessarily synergistic) beneficial effectiveness of the components; </w:t>
      </w:r>
      <w:r w:rsidRPr="007B02AA">
        <w:rPr>
          <w:b/>
          <w:sz w:val="20"/>
          <w:lang w:val="en-GB"/>
        </w:rPr>
        <w:t>f)</w:t>
      </w:r>
      <w:r>
        <w:rPr>
          <w:b/>
          <w:sz w:val="20"/>
          <w:lang w:val="en-GB"/>
        </w:rPr>
        <w:t xml:space="preserve"> </w:t>
      </w:r>
      <w:r w:rsidRPr="007B02AA">
        <w:rPr>
          <w:sz w:val="20"/>
          <w:lang w:val="en-GB"/>
        </w:rPr>
        <w:t xml:space="preserve">The combination should not encourage or result in an inappropriate increase in overall utilisation of the components, nor inappropriate use of one or both components in specific patient groups; </w:t>
      </w:r>
      <w:r w:rsidRPr="007B02AA">
        <w:rPr>
          <w:b/>
          <w:sz w:val="20"/>
          <w:lang w:val="en-GB"/>
        </w:rPr>
        <w:t>g)</w:t>
      </w:r>
      <w:r w:rsidRPr="007B02AA">
        <w:rPr>
          <w:sz w:val="20"/>
          <w:lang w:val="en-GB"/>
        </w:rPr>
        <w:tab/>
        <w:t>The combination product should not result in inappropriate dosing of either component, nor contain components which require individual dose titration</w:t>
      </w:r>
    </w:p>
    <w:p w:rsidR="000F4663" w:rsidRDefault="000F4663" w:rsidP="0097747A">
      <w:pPr>
        <w:spacing w:after="0"/>
        <w:rPr>
          <w:lang w:val="en-GB"/>
        </w:rPr>
        <w:sectPr w:rsidR="000F4663" w:rsidSect="000F4663">
          <w:pgSz w:w="16840" w:h="11907" w:orient="landscape" w:code="9"/>
          <w:pgMar w:top="1418" w:right="1418" w:bottom="1418" w:left="1418" w:header="709" w:footer="709" w:gutter="0"/>
          <w:cols w:space="708"/>
          <w:docGrid w:linePitch="360"/>
        </w:sectPr>
      </w:pPr>
    </w:p>
    <w:p w:rsidR="000F4663" w:rsidRDefault="000F4663" w:rsidP="0097747A">
      <w:pPr>
        <w:spacing w:after="0"/>
        <w:rPr>
          <w:lang w:val="en-GB"/>
        </w:rPr>
      </w:pPr>
      <w:r>
        <w:rPr>
          <w:lang w:val="en-GB"/>
        </w:rPr>
        <w:t xml:space="preserve">The reviewer may also wish to consider whether AstraZeneca has been afforded procedural fairness by the PBAC in citing failure to satisfy all the combination product criteria as grounds for rejection of the third submission.  </w:t>
      </w:r>
    </w:p>
    <w:p w:rsidR="000F4663" w:rsidRDefault="000F4663" w:rsidP="0097747A">
      <w:pPr>
        <w:spacing w:after="0"/>
        <w:rPr>
          <w:lang w:val="en-GB"/>
        </w:rPr>
      </w:pPr>
    </w:p>
    <w:p w:rsidR="000F4663" w:rsidRDefault="000F4663" w:rsidP="0097747A">
      <w:pPr>
        <w:spacing w:after="0"/>
        <w:rPr>
          <w:lang w:val="en-GB"/>
        </w:rPr>
      </w:pPr>
      <w:r>
        <w:rPr>
          <w:lang w:val="en-GB"/>
        </w:rPr>
        <w:t xml:space="preserve">The PBAC was specifically asked by both the PES (PES Commentary 5.7.COM.15 and 5.7.COM.19 from the August 2011 PBAC consideration and PES Commentary 7.4.COM.20 from the March 2012 consideration) and the ESC (ESC advice 5.7.ESC ADV.9 from the August 2011 consideration) whether the combination product criteria applied to the proposed listing for </w:t>
      </w:r>
      <w:r w:rsidR="004B2048">
        <w:rPr>
          <w:lang w:val="en-GB"/>
        </w:rPr>
        <w:t>Vimovo®</w:t>
      </w:r>
      <w:r>
        <w:rPr>
          <w:lang w:val="en-GB"/>
        </w:rPr>
        <w:t xml:space="preserve">.  However the ratified minutes from both the August 2011 and the March 2012 PBAC consideration of </w:t>
      </w:r>
      <w:r w:rsidR="004B2048">
        <w:rPr>
          <w:lang w:val="en-GB"/>
        </w:rPr>
        <w:t>Vimovo®</w:t>
      </w:r>
      <w:r>
        <w:rPr>
          <w:lang w:val="en-GB"/>
        </w:rPr>
        <w:t xml:space="preserve"> contain no reference to the combination product criteria, nor do they cite failure to satisfy all the criteria as grounds for rejection.  If the criteria really are to be applied as minimum mandatory requirements for listing, it is not clear why it has taken three applications for the PBAC to cite failure to satisfy all these criteria as grounds for rejection nor why AstraZeneca was not advised of the PBAC’s concerns regarding these criteria at the post-rejection meeting.  AstraZeneca is cognisant that these meetings are held without prejudice; however, they have a significant impact on the </w:t>
      </w:r>
      <w:r w:rsidR="00EA5A38">
        <w:rPr>
          <w:lang w:val="en-GB"/>
        </w:rPr>
        <w:t>Sponsor</w:t>
      </w:r>
      <w:r>
        <w:rPr>
          <w:lang w:val="en-GB"/>
        </w:rPr>
        <w:t xml:space="preserve">’s understanding of the main </w:t>
      </w:r>
      <w:r w:rsidRPr="002D701D">
        <w:rPr>
          <w:lang w:val="en-GB"/>
        </w:rPr>
        <w:t>issue</w:t>
      </w:r>
      <w:r>
        <w:rPr>
          <w:lang w:val="en-GB"/>
        </w:rPr>
        <w:t xml:space="preserve">s with an application </w:t>
      </w:r>
      <w:r w:rsidRPr="002D701D">
        <w:rPr>
          <w:lang w:val="en-GB"/>
        </w:rPr>
        <w:t>from the PBAC’s perspective</w:t>
      </w:r>
      <w:r>
        <w:rPr>
          <w:lang w:val="en-GB"/>
        </w:rPr>
        <w:t>, specifically in the absence of any information in the ratified minutes, as well as providing an opportunity to discuss how best to add</w:t>
      </w:r>
      <w:r w:rsidRPr="002D701D">
        <w:rPr>
          <w:lang w:val="en-GB"/>
        </w:rPr>
        <w:t>ress the issues raised to the satisfaction of PBAC and work towards PBS listing</w:t>
      </w:r>
      <w:r>
        <w:rPr>
          <w:lang w:val="en-GB"/>
        </w:rPr>
        <w:t>.</w:t>
      </w:r>
    </w:p>
    <w:p w:rsidR="000F4663" w:rsidRDefault="000F4663" w:rsidP="0097747A">
      <w:pPr>
        <w:spacing w:after="0"/>
        <w:rPr>
          <w:lang w:val="en-GB"/>
        </w:rPr>
      </w:pPr>
    </w:p>
    <w:p w:rsidR="000F4663" w:rsidRDefault="000F4663" w:rsidP="0097747A">
      <w:pPr>
        <w:spacing w:after="0"/>
        <w:rPr>
          <w:lang w:val="en-GB"/>
        </w:rPr>
      </w:pPr>
      <w:r w:rsidRPr="00157BDB">
        <w:rPr>
          <w:lang w:val="en-GB"/>
        </w:rPr>
        <w:t xml:space="preserve">In conclusion, the description and application of the information requests outlined in Part IV of the of the Guidelines for preparing submissions to the Pharmaceutical Benefits Advisory Committee (PBAC) (Version 4.3, December 2008) as “minimum requirements that combination products need to satisfy in order to be eligible for consideration by the PBAC” overstates the standing of these criteria, is inconsistent with the way in which these criteria are represented in the current PBAC </w:t>
      </w:r>
      <w:r w:rsidR="00EA5A38">
        <w:rPr>
          <w:lang w:val="en-GB"/>
        </w:rPr>
        <w:t>Guidelines</w:t>
      </w:r>
      <w:r w:rsidRPr="00157BDB">
        <w:rPr>
          <w:lang w:val="en-GB"/>
        </w:rPr>
        <w:t xml:space="preserve"> and inconsistent with previous PBAC decisions</w:t>
      </w:r>
      <w:r>
        <w:rPr>
          <w:lang w:val="en-GB"/>
        </w:rPr>
        <w:t xml:space="preserve">, whereby combination products which do not meet </w:t>
      </w:r>
      <w:r w:rsidRPr="00542199">
        <w:rPr>
          <w:u w:val="single"/>
          <w:lang w:val="en-GB"/>
        </w:rPr>
        <w:t>all</w:t>
      </w:r>
      <w:r>
        <w:rPr>
          <w:lang w:val="en-GB"/>
        </w:rPr>
        <w:t xml:space="preserve"> the criteria have been not only not only considered by the PBAC but also listed on the PBS.  As such, failure to meet </w:t>
      </w:r>
      <w:r w:rsidRPr="003C3BF3">
        <w:rPr>
          <w:lang w:val="en-GB"/>
        </w:rPr>
        <w:t xml:space="preserve">all </w:t>
      </w:r>
      <w:r w:rsidRPr="004938CB">
        <w:rPr>
          <w:lang w:val="en-GB"/>
        </w:rPr>
        <w:t>information requests for combination products clearly does not provide an adequate basis for rejection of an application for PBS listing.</w:t>
      </w:r>
    </w:p>
    <w:p w:rsidR="000F4663" w:rsidRDefault="000F4663" w:rsidP="0097747A">
      <w:pPr>
        <w:spacing w:after="0"/>
        <w:rPr>
          <w:rFonts w:eastAsiaTheme="majorEastAsia" w:cstheme="majorBidi"/>
          <w:b/>
          <w:bCs/>
          <w:lang w:val="en-GB"/>
        </w:rPr>
      </w:pPr>
      <w:r>
        <w:rPr>
          <w:rFonts w:eastAsiaTheme="majorEastAsia" w:cstheme="majorBidi"/>
          <w:b/>
          <w:bCs/>
          <w:lang w:val="en-GB"/>
        </w:rPr>
        <w:t xml:space="preserve">2. </w:t>
      </w:r>
      <w:r w:rsidRPr="003B0117">
        <w:rPr>
          <w:rFonts w:eastAsiaTheme="majorEastAsia" w:cstheme="majorBidi"/>
          <w:b/>
          <w:bCs/>
          <w:lang w:val="en-GB"/>
        </w:rPr>
        <w:t>The rigour of the evidence provided by the Pharmaceutical Evaluation Section (PES) and the PBAC to refute the validity of the surrogate outcome and whether the evidence cited has been appropriately interpreted</w:t>
      </w:r>
    </w:p>
    <w:p w:rsidR="000F4663" w:rsidRDefault="000F4663" w:rsidP="0097747A">
      <w:pPr>
        <w:spacing w:after="0"/>
        <w:rPr>
          <w:rFonts w:eastAsiaTheme="majorEastAsia" w:cstheme="majorBidi"/>
          <w:b/>
          <w:bCs/>
          <w:lang w:val="en-GB"/>
        </w:rPr>
      </w:pPr>
    </w:p>
    <w:p w:rsidR="000F4663" w:rsidRDefault="000F4663" w:rsidP="0097747A">
      <w:pPr>
        <w:spacing w:after="0"/>
        <w:rPr>
          <w:i/>
          <w:lang w:val="en-GB"/>
        </w:rPr>
      </w:pPr>
      <w:r w:rsidRPr="0084068A">
        <w:rPr>
          <w:rFonts w:eastAsiaTheme="majorEastAsia" w:cstheme="majorBidi"/>
          <w:b/>
          <w:bCs/>
          <w:i/>
          <w:lang w:val="en-GB"/>
        </w:rPr>
        <w:t xml:space="preserve">GROUND OF REVIEW: </w:t>
      </w:r>
      <w:r w:rsidRPr="0084068A">
        <w:rPr>
          <w:i/>
          <w:lang w:val="en-GB"/>
        </w:rPr>
        <w:t xml:space="preserve">PBAC's conclusion that there is "continuing uncertainty regarding the validity of the surrogate outcome for the purposes of demonstrating non-inferiority of more patient-relevant outcomes " (Ratified minutes of the November 2012 PBAC meeting, p2) is based on </w:t>
      </w:r>
      <w:r>
        <w:rPr>
          <w:i/>
          <w:lang w:val="en-GB"/>
        </w:rPr>
        <w:t>insufficiently robust</w:t>
      </w:r>
      <w:r w:rsidRPr="0084068A">
        <w:rPr>
          <w:i/>
          <w:lang w:val="en-GB"/>
        </w:rPr>
        <w:t xml:space="preserve"> data taken out of context.  </w:t>
      </w:r>
    </w:p>
    <w:p w:rsidR="000F4663" w:rsidRDefault="000F4663" w:rsidP="0097747A">
      <w:pPr>
        <w:spacing w:after="0"/>
        <w:rPr>
          <w:rFonts w:eastAsiaTheme="majorEastAsia" w:cstheme="majorBidi"/>
          <w:b/>
          <w:bCs/>
          <w:lang w:val="en-GB"/>
        </w:rPr>
      </w:pPr>
    </w:p>
    <w:p w:rsidR="000F4663" w:rsidRDefault="000F4663" w:rsidP="0097747A">
      <w:pPr>
        <w:spacing w:after="0"/>
        <w:rPr>
          <w:rFonts w:eastAsiaTheme="majorEastAsia" w:cstheme="majorBidi"/>
          <w:bCs/>
          <w:i/>
          <w:lang w:val="en-GB"/>
        </w:rPr>
      </w:pPr>
      <w:r w:rsidRPr="003C3BF3">
        <w:rPr>
          <w:rFonts w:eastAsiaTheme="majorEastAsia" w:cstheme="majorBidi"/>
          <w:b/>
          <w:bCs/>
          <w:i/>
          <w:lang w:val="en-GB"/>
        </w:rPr>
        <w:t>Points for consideration:</w:t>
      </w:r>
      <w:r w:rsidRPr="000E2458">
        <w:rPr>
          <w:rFonts w:eastAsiaTheme="majorEastAsia" w:cstheme="majorBidi"/>
          <w:bCs/>
          <w:i/>
          <w:lang w:val="en-GB"/>
        </w:rPr>
        <w:t xml:space="preserve">  Is the evidence cited by the </w:t>
      </w:r>
      <w:r>
        <w:rPr>
          <w:rFonts w:eastAsiaTheme="majorEastAsia" w:cstheme="majorBidi"/>
          <w:bCs/>
          <w:i/>
          <w:lang w:val="en-GB"/>
        </w:rPr>
        <w:t xml:space="preserve">PES and accepted by the </w:t>
      </w:r>
      <w:r w:rsidRPr="000E2458">
        <w:rPr>
          <w:rFonts w:eastAsiaTheme="majorEastAsia" w:cstheme="majorBidi"/>
          <w:bCs/>
          <w:i/>
          <w:lang w:val="en-GB"/>
        </w:rPr>
        <w:t xml:space="preserve">PBAC to repudiate the validity of </w:t>
      </w:r>
      <w:r w:rsidR="006931A9" w:rsidRPr="000E2458">
        <w:rPr>
          <w:rFonts w:eastAsiaTheme="majorEastAsia" w:cstheme="majorBidi"/>
          <w:bCs/>
          <w:i/>
          <w:lang w:val="en-GB"/>
        </w:rPr>
        <w:t>endoscopic</w:t>
      </w:r>
      <w:r w:rsidRPr="000E2458">
        <w:rPr>
          <w:rFonts w:eastAsiaTheme="majorEastAsia" w:cstheme="majorBidi"/>
          <w:bCs/>
          <w:i/>
          <w:lang w:val="en-GB"/>
        </w:rPr>
        <w:t xml:space="preserve"> ulcers as a valid surrogate endpoint of sufficient rigour </w:t>
      </w:r>
      <w:r>
        <w:rPr>
          <w:rFonts w:eastAsiaTheme="majorEastAsia" w:cstheme="majorBidi"/>
          <w:bCs/>
          <w:i/>
          <w:lang w:val="en-GB"/>
        </w:rPr>
        <w:t xml:space="preserve">and did the PES and therefore the Committee interpret this evidence appropriately?  </w:t>
      </w:r>
    </w:p>
    <w:p w:rsidR="000F4663" w:rsidRDefault="000F4663" w:rsidP="0097747A">
      <w:pPr>
        <w:spacing w:after="0"/>
        <w:rPr>
          <w:rFonts w:eastAsiaTheme="majorEastAsia" w:cstheme="majorBidi"/>
          <w:b/>
          <w:bCs/>
          <w:lang w:val="en-GB"/>
        </w:rPr>
      </w:pPr>
    </w:p>
    <w:p w:rsidR="000F4663" w:rsidRDefault="000F4663" w:rsidP="0097747A">
      <w:pPr>
        <w:spacing w:after="0"/>
        <w:rPr>
          <w:lang w:val="en-GB"/>
        </w:rPr>
      </w:pPr>
      <w:r>
        <w:rPr>
          <w:lang w:val="en-GB"/>
        </w:rPr>
        <w:t xml:space="preserve">“Continued uncertainty regarding the validity of the surrogate outcome for the purposes of demonstrating non-inferiority or more patient-relevant outcomes” was cited as the second reason for rejection following the November 2012 consideration of </w:t>
      </w:r>
      <w:r w:rsidR="004B2048">
        <w:rPr>
          <w:lang w:val="en-GB"/>
        </w:rPr>
        <w:t>Vimovo®</w:t>
      </w:r>
      <w:r>
        <w:rPr>
          <w:lang w:val="en-GB"/>
        </w:rPr>
        <w:t>. (Ratified minutes from the November 2012 PBAC meeting, p 2, paragraph 4).  “The PBAC recalled its March 2012 advice, that overall, there is insufficient evidence to establish that observed differences in the surrogate outcome, endoscopically-detected ulcers, accurately predicts the extent of differences in the risk of clinically relevant changes in symptomatic gastrointestinal events.” (Ratified minutes from the November 2012 PBAC meeting, p 2).  The ratified minutes from the March 2012 consideration provide the following rationale for this conclusion:</w:t>
      </w:r>
    </w:p>
    <w:p w:rsidR="000F4663" w:rsidRDefault="000F4663" w:rsidP="0097747A">
      <w:pPr>
        <w:spacing w:after="0"/>
        <w:rPr>
          <w:lang w:val="en-GB"/>
        </w:rPr>
      </w:pPr>
    </w:p>
    <w:p w:rsidR="000F4663" w:rsidRDefault="000F4663" w:rsidP="0097747A">
      <w:pPr>
        <w:spacing w:after="0"/>
        <w:rPr>
          <w:lang w:val="en-GB"/>
        </w:rPr>
      </w:pPr>
      <w:r>
        <w:rPr>
          <w:lang w:val="en-GB"/>
        </w:rPr>
        <w:t>“The PBAC noted that there is evidence that 85% of all endoscopically detected ulcers do not progress to clinically significant GI events, and there is also some suggestion that the definition and identification of a case of an endoscopically-detected ulcer may be uncertain.” (Ratified minutes from the March 2012 consideration, paragraph 7.4.19, p 296)</w:t>
      </w:r>
    </w:p>
    <w:p w:rsidR="000F4663" w:rsidRDefault="000F4663" w:rsidP="0097747A">
      <w:pPr>
        <w:spacing w:after="0"/>
        <w:rPr>
          <w:lang w:val="en-GB"/>
        </w:rPr>
      </w:pPr>
    </w:p>
    <w:p w:rsidR="000F4663" w:rsidRDefault="007B5049" w:rsidP="0097747A">
      <w:pPr>
        <w:spacing w:after="0"/>
        <w:rPr>
          <w:lang w:val="en-GB"/>
        </w:rPr>
      </w:pPr>
      <w:r>
        <w:rPr>
          <w:lang w:val="en-GB"/>
        </w:rPr>
        <w:t xml:space="preserve">This statement provides insight into the two issues which the Committee considers important with respect to determining the validity of endoscopic ulcers as a surrogate for clinically significant GI events (i) The nature of the relationship between endoscopic ulcers and clinically significant GI events (ii) Uncertainty associated with the definition and detection of endoscopic ulcers; both of which were raised by the PES in the PES commentary provided for the March 2012 consideration. </w:t>
      </w:r>
    </w:p>
    <w:p w:rsidR="000F4663" w:rsidRDefault="000F4663" w:rsidP="0097747A">
      <w:pPr>
        <w:spacing w:after="0"/>
        <w:rPr>
          <w:lang w:val="en-GB"/>
        </w:rPr>
      </w:pPr>
    </w:p>
    <w:p w:rsidR="000F4663" w:rsidRDefault="000F4663" w:rsidP="0097747A">
      <w:pPr>
        <w:spacing w:after="0"/>
        <w:rPr>
          <w:lang w:val="en-GB"/>
        </w:rPr>
      </w:pPr>
      <w:r>
        <w:rPr>
          <w:lang w:val="en-GB"/>
        </w:rPr>
        <w:t>With respect to the first issue regarding the relationship between endoscopic ulcers and clinically significant GI events, the PES commentary states the following:</w:t>
      </w:r>
    </w:p>
    <w:p w:rsidR="000F4663" w:rsidRDefault="000F4663" w:rsidP="0097747A">
      <w:pPr>
        <w:spacing w:after="0"/>
        <w:rPr>
          <w:lang w:val="en-GB"/>
        </w:rPr>
      </w:pPr>
    </w:p>
    <w:p w:rsidR="000F4663" w:rsidRDefault="000F4663" w:rsidP="0097747A">
      <w:pPr>
        <w:spacing w:after="0"/>
        <w:rPr>
          <w:lang w:val="en-GB"/>
        </w:rPr>
      </w:pPr>
      <w:r>
        <w:rPr>
          <w:lang w:val="en-GB"/>
        </w:rPr>
        <w:t xml:space="preserve">“MacDonald et al (2004) states that endoscopically detected ulcers are not ideal surrogate outcomes because it is estimated that up to 85% of endoscopic ulcers never become clinically symptomatic.  Therefore, it is theoretically possible that treatments that prevent endoscopic ulcers will not prevent clinical ulcers.”  (PES Commentary March 2012 consideration, 7.4.COM.60)  </w:t>
      </w:r>
    </w:p>
    <w:p w:rsidR="000F4663" w:rsidRDefault="000F4663" w:rsidP="0097747A">
      <w:pPr>
        <w:spacing w:after="0"/>
        <w:rPr>
          <w:lang w:val="en-GB"/>
        </w:rPr>
      </w:pPr>
    </w:p>
    <w:p w:rsidR="000F4663" w:rsidRDefault="000F4663" w:rsidP="0097747A">
      <w:pPr>
        <w:spacing w:after="0"/>
        <w:rPr>
          <w:lang w:val="en-GB"/>
        </w:rPr>
      </w:pPr>
      <w:r w:rsidRPr="00CD19D2">
        <w:rPr>
          <w:lang w:val="en-GB"/>
        </w:rPr>
        <w:t xml:space="preserve">The evidentiary source </w:t>
      </w:r>
      <w:r>
        <w:rPr>
          <w:lang w:val="en-GB"/>
        </w:rPr>
        <w:t xml:space="preserve">cited is an old edition of </w:t>
      </w:r>
      <w:r w:rsidRPr="00CD19D2">
        <w:rPr>
          <w:lang w:val="en-GB"/>
        </w:rPr>
        <w:t>t</w:t>
      </w:r>
      <w:r>
        <w:rPr>
          <w:lang w:val="en-GB"/>
        </w:rPr>
        <w:t>he textbook entitled “Evidence-b</w:t>
      </w:r>
      <w:r w:rsidRPr="00CD19D2">
        <w:rPr>
          <w:lang w:val="en-GB"/>
        </w:rPr>
        <w:t xml:space="preserve">ased Gastroenterology and Hepatology”. </w:t>
      </w:r>
      <w:r>
        <w:rPr>
          <w:lang w:val="en-GB"/>
        </w:rPr>
        <w:t xml:space="preserve">Notwithstanding the issues associated with citing an out of date, tertiary source of evidence, of more concern is that the statement as presented in the PES commentary has been taken out of context and the hypothesis formed by the PES that “it is theoretically possible that treatments that prevent endoscopic ulcers will not prevent clinical ulcers” is inconsistent with the conclusions reached by the authors.  </w:t>
      </w:r>
    </w:p>
    <w:p w:rsidR="000F4663" w:rsidRDefault="000F4663" w:rsidP="0097747A">
      <w:pPr>
        <w:spacing w:after="0"/>
        <w:rPr>
          <w:lang w:val="en-GB"/>
        </w:rPr>
      </w:pPr>
    </w:p>
    <w:p w:rsidR="000F4663" w:rsidRDefault="000F4663" w:rsidP="0097747A">
      <w:pPr>
        <w:spacing w:after="0"/>
        <w:rPr>
          <w:lang w:val="en-GB"/>
        </w:rPr>
      </w:pPr>
      <w:r>
        <w:rPr>
          <w:lang w:val="en-GB"/>
        </w:rPr>
        <w:t xml:space="preserve">In addition to the statement quoted by the PES above, the authors go on to say the following: </w:t>
      </w:r>
    </w:p>
    <w:p w:rsidR="000F4663" w:rsidRDefault="000F4663" w:rsidP="0097747A">
      <w:pPr>
        <w:spacing w:after="0"/>
        <w:rPr>
          <w:lang w:val="en-GB"/>
        </w:rPr>
      </w:pPr>
    </w:p>
    <w:p w:rsidR="000F4663" w:rsidRDefault="000F4663" w:rsidP="0097747A">
      <w:pPr>
        <w:spacing w:after="0"/>
        <w:rPr>
          <w:lang w:val="en-GB"/>
        </w:rPr>
      </w:pPr>
      <w:r>
        <w:rPr>
          <w:lang w:val="en-GB"/>
        </w:rPr>
        <w:t>“With the publication of several large randomized controlled trials (RCTs) that used actual clinical endpoints to measure the safety of COX-2 inhibitors and of misoprostol prophylaxis, it became possible to compare the reduction in clinical events with that of the reduction in endoscopic ulcers from the endoscopic studies…</w:t>
      </w:r>
      <w:r w:rsidRPr="00CD19D2">
        <w:rPr>
          <w:lang w:val="en-GB"/>
        </w:rPr>
        <w:t>The relative risk reduction in endoscopic gastric ulcers with misoprostol prophylaxis and with COX-2 inhibitors is about 80%. In the clinical endpoint studies, the</w:t>
      </w:r>
      <w:r>
        <w:rPr>
          <w:lang w:val="en-GB"/>
        </w:rPr>
        <w:t xml:space="preserve"> </w:t>
      </w:r>
      <w:r w:rsidRPr="00CD19D2">
        <w:rPr>
          <w:lang w:val="en-GB"/>
        </w:rPr>
        <w:t>relative risk reductions in NSAID ulcer related perforations,</w:t>
      </w:r>
      <w:r w:rsidRPr="00B35AFF">
        <w:t xml:space="preserve"> </w:t>
      </w:r>
      <w:r w:rsidRPr="00B35AFF">
        <w:rPr>
          <w:lang w:val="en-GB"/>
        </w:rPr>
        <w:t>In the clinical endpoint studies, the relative risk reductions in NSAID ulcer related perforations,</w:t>
      </w:r>
      <w:r>
        <w:rPr>
          <w:lang w:val="en-GB"/>
        </w:rPr>
        <w:t xml:space="preserve"> </w:t>
      </w:r>
      <w:r w:rsidRPr="00B35AFF">
        <w:rPr>
          <w:lang w:val="en-GB"/>
        </w:rPr>
        <w:t xml:space="preserve">obstructions and bleeding is about 50% with both these strategies. </w:t>
      </w:r>
      <w:r w:rsidRPr="007A57A1">
        <w:rPr>
          <w:lang w:val="en-GB"/>
        </w:rPr>
        <w:t>The consistency suggests that there is a relationship between the endoscopic and clinical endpoints. The relationship does not have to be 1:1.</w:t>
      </w:r>
      <w:r w:rsidRPr="00B35AFF">
        <w:rPr>
          <w:lang w:val="en-GB"/>
        </w:rPr>
        <w:t xml:space="preserve"> In fact based on our results, prophylactic agents and COX-2 inhibitors are 1.5 – 2.0 times more effective at reducing the risk of endoscopic ulcers than they are at reducing the risk of clinical endpoints. Unfortunately the studies using clinical gastrointestinal events as the primary outcome measure were not designed to look at the relationship of clinical events to endoscopic ulcers, and we used indirect comparisons to arrive at this result. However, with the cautions described above, the reader can estimate what the expected reduction in clinical events would be based on the results of an endoscopic endpoint study, assuming the control groups are average risk arthritic patients requiring long-term NSAID use.” </w:t>
      </w:r>
    </w:p>
    <w:p w:rsidR="000F4663" w:rsidRDefault="000F4663" w:rsidP="0097747A">
      <w:pPr>
        <w:spacing w:after="0"/>
        <w:rPr>
          <w:lang w:val="en-GB"/>
        </w:rPr>
      </w:pPr>
    </w:p>
    <w:p w:rsidR="000F4663" w:rsidRDefault="000F4663" w:rsidP="0097747A">
      <w:pPr>
        <w:spacing w:after="0"/>
        <w:rPr>
          <w:lang w:val="en-GB"/>
        </w:rPr>
      </w:pPr>
      <w:r w:rsidRPr="00B35AFF">
        <w:rPr>
          <w:lang w:val="en-GB"/>
        </w:rPr>
        <w:t>Thus, the reference</w:t>
      </w:r>
      <w:r>
        <w:rPr>
          <w:lang w:val="en-GB"/>
        </w:rPr>
        <w:t xml:space="preserve"> cited by the PES</w:t>
      </w:r>
      <w:r w:rsidRPr="00B35AFF">
        <w:rPr>
          <w:lang w:val="en-GB"/>
        </w:rPr>
        <w:t>, on balance</w:t>
      </w:r>
      <w:r>
        <w:rPr>
          <w:lang w:val="en-GB"/>
        </w:rPr>
        <w:t xml:space="preserve">, </w:t>
      </w:r>
      <w:r w:rsidRPr="00B35AFF">
        <w:rPr>
          <w:lang w:val="en-GB"/>
        </w:rPr>
        <w:t>supports</w:t>
      </w:r>
      <w:r>
        <w:rPr>
          <w:lang w:val="en-GB"/>
        </w:rPr>
        <w:t xml:space="preserve"> a conclusion that there</w:t>
      </w:r>
      <w:r w:rsidRPr="00B35AFF">
        <w:rPr>
          <w:lang w:val="en-GB"/>
        </w:rPr>
        <w:t xml:space="preserve"> </w:t>
      </w:r>
      <w:r>
        <w:rPr>
          <w:lang w:val="en-GB"/>
        </w:rPr>
        <w:t xml:space="preserve">is a consistent relationship between </w:t>
      </w:r>
      <w:r w:rsidRPr="00B35AFF">
        <w:rPr>
          <w:lang w:val="en-GB"/>
        </w:rPr>
        <w:t>endoscopically-detected ulcers</w:t>
      </w:r>
      <w:r>
        <w:rPr>
          <w:lang w:val="en-GB"/>
        </w:rPr>
        <w:t xml:space="preserve"> and </w:t>
      </w:r>
      <w:r w:rsidRPr="00CD19D2">
        <w:rPr>
          <w:lang w:val="en-GB"/>
        </w:rPr>
        <w:t>incidence of c</w:t>
      </w:r>
      <w:r>
        <w:rPr>
          <w:lang w:val="en-GB"/>
        </w:rPr>
        <w:t xml:space="preserve">linically significant GI events and the fact that this relationship is not 1:1, does not diminish the validity of endoscopically-detected ulcers as a surrogate for more patient-relevant outcomes.  The consistency of the relationship means </w:t>
      </w:r>
      <w:r w:rsidRPr="00CD19D2">
        <w:rPr>
          <w:lang w:val="en-GB"/>
        </w:rPr>
        <w:t>that it is possible to estimate the incidence of clinically significant GI events from the incidence of endoscopically-detected ulcers</w:t>
      </w:r>
      <w:r>
        <w:rPr>
          <w:lang w:val="en-GB"/>
        </w:rPr>
        <w:t xml:space="preserve">.  Furthermore, the reference, by virtue of the cross-study comparison, contradicts the hypothesis formed by the PES, by demonstrating that treatments that prevent endoscopic ulcers also prevent clinical ulcers. </w:t>
      </w:r>
      <w:r w:rsidRPr="00B35AFF">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 xml:space="preserve">The PBAC, by relying on the advice provided by the PES has been selective in their </w:t>
      </w:r>
      <w:r w:rsidRPr="00CD19D2">
        <w:rPr>
          <w:lang w:val="en-GB"/>
        </w:rPr>
        <w:t xml:space="preserve">use of evidence to refute </w:t>
      </w:r>
      <w:r>
        <w:rPr>
          <w:lang w:val="en-GB"/>
        </w:rPr>
        <w:t xml:space="preserve">the claim made in the submission that </w:t>
      </w:r>
      <w:r w:rsidRPr="00CD19D2">
        <w:rPr>
          <w:lang w:val="en-GB"/>
        </w:rPr>
        <w:t>a surrogate relationship exists between the incidence of endoscopically-detected ulcers and the incidence of POBs/CSUGIEs (and that, therefore, the incidence of endoscopically-detected ulcers can be used to pr</w:t>
      </w:r>
      <w:r>
        <w:rPr>
          <w:lang w:val="en-GB"/>
        </w:rPr>
        <w:t xml:space="preserve">edict the rate of perforations, ulcerations and bleeds (POBs)/clinically significant upper GI events (CSUGIEs).  Furthermore, it is clear that by taking the evidence out of context, both the PES and PBAC have interpreted the evidence in a manner which is inconsistent with the ultimate conclusion reached by the authors. </w:t>
      </w:r>
      <w:r w:rsidRPr="00CD19D2">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 xml:space="preserve">With respect to the second issue regarding the </w:t>
      </w:r>
      <w:r w:rsidRPr="00CD19D2">
        <w:rPr>
          <w:lang w:val="en-GB"/>
        </w:rPr>
        <w:t>suggestion that the definition and identification of a case of an endoscopically detected ulcer may be uncertain</w:t>
      </w:r>
      <w:r>
        <w:rPr>
          <w:lang w:val="en-GB"/>
        </w:rPr>
        <w:t xml:space="preserve">, the PES commentary cites Sung et al (2001) as “evidence that only one third of most common endoscopic ulcers found in clinical trials have been assessed to be actual ulcers” (PES Commentary from the March 2012 consideration, 7.4.COM.60).  </w:t>
      </w:r>
      <w:r w:rsidR="00EA5A38">
        <w:rPr>
          <w:lang w:val="en-GB"/>
        </w:rPr>
        <w:t>The evidence cited by the PES refers to an abstract relating to a study which attempted to answer the question of “</w:t>
      </w:r>
      <w:r w:rsidR="00EA5A38" w:rsidRPr="0061016A">
        <w:rPr>
          <w:lang w:val="en-GB"/>
        </w:rPr>
        <w:t>How Often Are Endoscopic Ulcers in NSAID Trials Diagnosed as Actual Ulcers by</w:t>
      </w:r>
      <w:r w:rsidR="00EA5A38">
        <w:rPr>
          <w:lang w:val="en-GB"/>
        </w:rPr>
        <w:t xml:space="preserve"> </w:t>
      </w:r>
      <w:r w:rsidR="00EA5A38" w:rsidRPr="0061016A">
        <w:rPr>
          <w:lang w:val="en-GB"/>
        </w:rPr>
        <w:t>Experienced Endoscopists</w:t>
      </w:r>
      <w:r w:rsidR="00EA5A38">
        <w:rPr>
          <w:lang w:val="en-GB"/>
        </w:rPr>
        <w:t xml:space="preserve">”  </w:t>
      </w:r>
      <w:r>
        <w:rPr>
          <w:lang w:val="en-GB"/>
        </w:rPr>
        <w:t>The method, results and conclusion are reproduced below:</w:t>
      </w:r>
    </w:p>
    <w:p w:rsidR="000F4663" w:rsidRDefault="000F4663" w:rsidP="0097747A">
      <w:pPr>
        <w:spacing w:after="0"/>
        <w:rPr>
          <w:lang w:val="en-GB"/>
        </w:rPr>
      </w:pPr>
    </w:p>
    <w:p w:rsidR="000F4663" w:rsidRDefault="000F4663" w:rsidP="0097747A">
      <w:pPr>
        <w:spacing w:after="0"/>
        <w:rPr>
          <w:lang w:val="en-GB"/>
        </w:rPr>
      </w:pPr>
      <w:r>
        <w:rPr>
          <w:lang w:val="en-GB"/>
        </w:rPr>
        <w:t>“Method: A pharmaceutical company prepared a training tape to demonstrate the different lesions and standardise the reporting.  The tape included typical ulcers, endoscopic ulcers defined as 3 mm or greater in greatest dimension with depth, erosions, and more trivial lesions.  The tape was reviewed without the sound (i.e. blinded) by 3 experienced endoscopists.”</w:t>
      </w:r>
    </w:p>
    <w:p w:rsidR="000F4663" w:rsidRDefault="000F4663" w:rsidP="0097747A">
      <w:pPr>
        <w:spacing w:after="0"/>
        <w:rPr>
          <w:lang w:val="en-GB"/>
        </w:rPr>
      </w:pPr>
    </w:p>
    <w:p w:rsidR="000F4663" w:rsidRDefault="000F4663" w:rsidP="0097747A">
      <w:pPr>
        <w:spacing w:after="0"/>
        <w:rPr>
          <w:lang w:val="en-GB"/>
        </w:rPr>
      </w:pPr>
      <w:r>
        <w:rPr>
          <w:lang w:val="en-GB"/>
        </w:rPr>
        <w:t>“Results:  The experienced endoscopists agreed 100% with the obvious ulcers and the trivial lesions.  Importantly, only one third of the endoscopic ulcers which are by far the most common in clinical trials were considered to be actual ulcers.”</w:t>
      </w:r>
    </w:p>
    <w:p w:rsidR="000F4663" w:rsidRDefault="000F4663" w:rsidP="0097747A">
      <w:pPr>
        <w:spacing w:after="0"/>
        <w:rPr>
          <w:lang w:val="en-GB"/>
        </w:rPr>
      </w:pPr>
    </w:p>
    <w:p w:rsidR="000F4663" w:rsidRDefault="000F4663" w:rsidP="0097747A">
      <w:pPr>
        <w:spacing w:after="0"/>
        <w:rPr>
          <w:lang w:val="en-GB"/>
        </w:rPr>
      </w:pPr>
      <w:r>
        <w:rPr>
          <w:lang w:val="en-GB"/>
        </w:rPr>
        <w:t xml:space="preserve">“Conclusion: </w:t>
      </w:r>
      <w:r w:rsidRPr="00B840BF">
        <w:rPr>
          <w:lang w:val="en-GB"/>
        </w:rPr>
        <w:t>Prospective studies of NSAID induced gastric mucosal damage scores many</w:t>
      </w:r>
      <w:r>
        <w:rPr>
          <w:lang w:val="en-GB"/>
        </w:rPr>
        <w:t xml:space="preserve"> </w:t>
      </w:r>
      <w:r w:rsidRPr="00B840BF">
        <w:rPr>
          <w:lang w:val="en-GB"/>
        </w:rPr>
        <w:t>lesions as ulcers that would not be diagnosed as ulcers in a clinical setting. It is unlikely that</w:t>
      </w:r>
      <w:r>
        <w:rPr>
          <w:lang w:val="en-GB"/>
        </w:rPr>
        <w:t xml:space="preserve"> </w:t>
      </w:r>
      <w:r w:rsidRPr="00B840BF">
        <w:rPr>
          <w:lang w:val="en-GB"/>
        </w:rPr>
        <w:t>the results of such studies are reliable surrogates for actual clinical trials studying healing</w:t>
      </w:r>
      <w:r>
        <w:rPr>
          <w:lang w:val="en-GB"/>
        </w:rPr>
        <w:t xml:space="preserve"> </w:t>
      </w:r>
      <w:r w:rsidRPr="00B840BF">
        <w:rPr>
          <w:lang w:val="en-GB"/>
        </w:rPr>
        <w:t>or prevention of clinical ulcers or ulcer complication. More studies evaluating actual clinical</w:t>
      </w:r>
      <w:r>
        <w:rPr>
          <w:lang w:val="en-GB"/>
        </w:rPr>
        <w:t xml:space="preserve"> </w:t>
      </w:r>
      <w:r w:rsidRPr="00B840BF">
        <w:rPr>
          <w:lang w:val="en-GB"/>
        </w:rPr>
        <w:t>outcomes are needed to answer the question about whether the prospective endoscopic ulcer</w:t>
      </w:r>
      <w:r>
        <w:rPr>
          <w:lang w:val="en-GB"/>
        </w:rPr>
        <w:t xml:space="preserve"> </w:t>
      </w:r>
      <w:r w:rsidRPr="00B840BF">
        <w:rPr>
          <w:lang w:val="en-GB"/>
        </w:rPr>
        <w:t>based trials have clinical relevance.</w:t>
      </w:r>
      <w:r>
        <w:rPr>
          <w:lang w:val="en-GB"/>
        </w:rPr>
        <w:t>”</w:t>
      </w:r>
    </w:p>
    <w:p w:rsidR="000F4663" w:rsidRDefault="000F4663" w:rsidP="0097747A">
      <w:pPr>
        <w:spacing w:after="0"/>
        <w:rPr>
          <w:lang w:val="en-GB"/>
        </w:rPr>
      </w:pPr>
    </w:p>
    <w:p w:rsidR="000F4663" w:rsidRPr="00B35AFF" w:rsidRDefault="000F4663" w:rsidP="0097747A">
      <w:pPr>
        <w:spacing w:after="0"/>
        <w:rPr>
          <w:lang w:val="en-GB"/>
        </w:rPr>
      </w:pPr>
      <w:r>
        <w:rPr>
          <w:lang w:val="en-GB"/>
        </w:rPr>
        <w:t>It is unclear to AstraZeneca exactly what this poorly designed study serves to demonstrate, particularly given the lack of clarity regarding the distinction between what the authors refer to as “endoscopic ulcers” and “actual ulcers”.  However what is most concerning is that the PES and the PBAC have cited a study with a sample size of 3, conducted using insufficiently robust methodology, as evidence to support the contention that there is “</w:t>
      </w:r>
      <w:r w:rsidRPr="00CD19D2">
        <w:rPr>
          <w:lang w:val="en-GB"/>
        </w:rPr>
        <w:t>some suggestion that the definition and identification of a case of an endoscopically d</w:t>
      </w:r>
      <w:r>
        <w:rPr>
          <w:lang w:val="en-GB"/>
        </w:rPr>
        <w:t xml:space="preserve">etected ulcer may be uncertain” and therefore support the position taken by the Committee that endoscopic ulcers lack validity.  Clinical trials which employ endoscopic ulcers as clinical endpoints ensure that Investigators are appropriately trained as to the definition and detection of endoscopic ulcers and as such, this study bears no resemblance to the conduct of the endoscopic studies for </w:t>
      </w:r>
      <w:r w:rsidR="004B2048">
        <w:rPr>
          <w:lang w:val="en-GB"/>
        </w:rPr>
        <w:t>Vimovo®</w:t>
      </w:r>
      <w:r>
        <w:rPr>
          <w:lang w:val="en-GB"/>
        </w:rPr>
        <w:t xml:space="preserve">. </w:t>
      </w:r>
    </w:p>
    <w:p w:rsidR="000F4663" w:rsidRDefault="000F4663" w:rsidP="0097747A">
      <w:pPr>
        <w:spacing w:after="0"/>
        <w:rPr>
          <w:lang w:val="en-GB"/>
        </w:rPr>
      </w:pPr>
    </w:p>
    <w:p w:rsidR="000F4663" w:rsidRDefault="007B5049" w:rsidP="0097747A">
      <w:pPr>
        <w:spacing w:after="0"/>
        <w:rPr>
          <w:lang w:val="en-GB"/>
        </w:rPr>
      </w:pPr>
      <w:r>
        <w:rPr>
          <w:lang w:val="en-GB"/>
        </w:rPr>
        <w:t xml:space="preserve">It is instructive to examine the strength of the evidence relied upon by PES (and therefore PBAC) to repudiate the validity of endoscopic ulcers as a surrogate for clinical significant GI events compared with the level of evidence that Sponsors are required to submit to support such a claim. </w:t>
      </w:r>
      <w:r w:rsidR="000F4663">
        <w:rPr>
          <w:lang w:val="en-GB"/>
        </w:rPr>
        <w:t>In contrast to the evidence cited by the PES and accepted by the PBAC, AstraZeneca</w:t>
      </w:r>
      <w:r w:rsidR="000F4663" w:rsidRPr="00B35AFF">
        <w:rPr>
          <w:lang w:val="en-GB"/>
        </w:rPr>
        <w:t xml:space="preserve"> provided a detailed systematic review of evidence to support its claim that a surrogate relationship exists between endoscopically-confirmed ulcer and clinically significant GI events</w:t>
      </w:r>
      <w:r w:rsidR="000F4663">
        <w:rPr>
          <w:lang w:val="en-GB"/>
        </w:rPr>
        <w:t xml:space="preserve">.  The </w:t>
      </w:r>
      <w:r w:rsidR="006931A9">
        <w:rPr>
          <w:lang w:val="en-GB"/>
        </w:rPr>
        <w:t>review included</w:t>
      </w:r>
      <w:r w:rsidR="000F4663">
        <w:rPr>
          <w:lang w:val="en-GB"/>
        </w:rPr>
        <w:t xml:space="preserve"> a cross-study comparison [analogous to the type of comparison undertaken by McDonald et al (2004) as cited by the PES], which was the primary source of evidence which informed the US Food and Drug Administration’s decision to accept endoscopic ulcers as a valid surrogate. (Refer to the Section B.5 of major resubmission for </w:t>
      </w:r>
      <w:r w:rsidR="004B2048">
        <w:rPr>
          <w:lang w:val="en-GB"/>
        </w:rPr>
        <w:t>Vimovo®</w:t>
      </w:r>
      <w:r w:rsidR="000F4663">
        <w:rPr>
          <w:lang w:val="en-GB"/>
        </w:rPr>
        <w:t xml:space="preserve"> considered at the March 2012 meeting of the PBAC)</w:t>
      </w:r>
      <w:r w:rsidR="000F4663" w:rsidRPr="00B35AFF">
        <w:rPr>
          <w:lang w:val="en-GB"/>
        </w:rPr>
        <w:t xml:space="preserve">. </w:t>
      </w:r>
    </w:p>
    <w:p w:rsidR="000F4663" w:rsidRDefault="000F4663" w:rsidP="0097747A">
      <w:pPr>
        <w:spacing w:after="0"/>
        <w:rPr>
          <w:lang w:val="en-GB"/>
        </w:rPr>
      </w:pPr>
    </w:p>
    <w:p w:rsidR="000F4663" w:rsidRDefault="000F4663" w:rsidP="0097747A">
      <w:pPr>
        <w:spacing w:after="0"/>
        <w:rPr>
          <w:lang w:val="en-GB"/>
        </w:rPr>
      </w:pPr>
      <w:r>
        <w:rPr>
          <w:lang w:val="en-GB"/>
        </w:rPr>
        <w:t xml:space="preserve">AstraZeneca acknowledges that the burden of proof resides with the </w:t>
      </w:r>
      <w:r w:rsidR="00EA5A38">
        <w:rPr>
          <w:lang w:val="en-GB"/>
        </w:rPr>
        <w:t>Sponsor</w:t>
      </w:r>
      <w:r>
        <w:rPr>
          <w:lang w:val="en-GB"/>
        </w:rPr>
        <w:t>; however, t</w:t>
      </w:r>
      <w:r w:rsidRPr="00B35AFF">
        <w:rPr>
          <w:lang w:val="en-GB"/>
        </w:rPr>
        <w:t xml:space="preserve">he imbalance between the rigour of evidence that a submission is required to provide to substantiate a claim and the rigour of evidence that can be used by the PBAC to repudiate a claim is </w:t>
      </w:r>
      <w:r>
        <w:rPr>
          <w:lang w:val="en-GB"/>
        </w:rPr>
        <w:t>inappropriate and not reflective of properly informed decision-making</w:t>
      </w:r>
      <w:r w:rsidRPr="00B35AFF">
        <w:rPr>
          <w:lang w:val="en-GB"/>
        </w:rPr>
        <w:t>.</w:t>
      </w:r>
      <w:r w:rsidRPr="00415987">
        <w:rPr>
          <w:lang w:val="en-GB"/>
        </w:rPr>
        <w:t xml:space="preserve"> </w:t>
      </w:r>
    </w:p>
    <w:p w:rsidR="000F4663" w:rsidRDefault="000F4663" w:rsidP="0097747A">
      <w:pPr>
        <w:spacing w:after="0"/>
        <w:rPr>
          <w:lang w:val="en-GB"/>
        </w:rPr>
      </w:pPr>
    </w:p>
    <w:p w:rsidR="000F4663" w:rsidRDefault="000F4663" w:rsidP="0097747A">
      <w:pPr>
        <w:spacing w:after="0"/>
        <w:rPr>
          <w:lang w:val="en-GB"/>
        </w:rPr>
      </w:pPr>
    </w:p>
    <w:p w:rsidR="000F4663" w:rsidRDefault="000F4663" w:rsidP="0097747A">
      <w:pPr>
        <w:spacing w:after="0"/>
        <w:rPr>
          <w:rFonts w:eastAsiaTheme="majorEastAsia" w:cstheme="majorBidi"/>
          <w:b/>
          <w:bCs/>
          <w:lang w:val="en-GB"/>
        </w:rPr>
      </w:pPr>
      <w:r w:rsidRPr="002E4017">
        <w:rPr>
          <w:rFonts w:eastAsiaTheme="majorEastAsia" w:cstheme="majorBidi"/>
          <w:b/>
          <w:bCs/>
          <w:lang w:val="en-GB"/>
        </w:rPr>
        <w:t>3.</w:t>
      </w:r>
      <w:r w:rsidRPr="002E4017">
        <w:rPr>
          <w:rFonts w:eastAsiaTheme="majorEastAsia" w:cstheme="majorBidi"/>
          <w:b/>
          <w:bCs/>
          <w:lang w:val="en-GB"/>
        </w:rPr>
        <w:tab/>
        <w:t xml:space="preserve">Justification for the claim that the PBS listing requested for </w:t>
      </w:r>
      <w:r w:rsidR="004B2048">
        <w:rPr>
          <w:rFonts w:eastAsiaTheme="majorEastAsia" w:cstheme="majorBidi"/>
          <w:b/>
          <w:bCs/>
          <w:lang w:val="en-GB"/>
        </w:rPr>
        <w:t>Vimovo®</w:t>
      </w:r>
      <w:r w:rsidRPr="002E4017">
        <w:rPr>
          <w:rFonts w:eastAsiaTheme="majorEastAsia" w:cstheme="majorBidi"/>
          <w:b/>
          <w:bCs/>
          <w:lang w:val="en-GB"/>
        </w:rPr>
        <w:t xml:space="preserve"> could result in increased cost to the PBS</w:t>
      </w:r>
    </w:p>
    <w:p w:rsidR="000F4663" w:rsidRDefault="000F4663" w:rsidP="0097747A">
      <w:pPr>
        <w:spacing w:after="0"/>
        <w:rPr>
          <w:lang w:val="en-GB"/>
        </w:rPr>
      </w:pPr>
    </w:p>
    <w:p w:rsidR="000F4663" w:rsidRPr="00B21BBA" w:rsidRDefault="000F4663" w:rsidP="0097747A">
      <w:pPr>
        <w:spacing w:after="0"/>
        <w:rPr>
          <w:i/>
          <w:lang w:val="en-GB"/>
        </w:rPr>
      </w:pPr>
      <w:r w:rsidRPr="00B21BBA">
        <w:rPr>
          <w:b/>
          <w:i/>
          <w:lang w:val="en-GB"/>
        </w:rPr>
        <w:t>GROUND OF REVIEW:</w:t>
      </w:r>
      <w:r w:rsidRPr="00B21BBA">
        <w:rPr>
          <w:i/>
          <w:lang w:val="en-GB"/>
        </w:rPr>
        <w:t xml:space="preserve"> PBAC's conclusion that there is "continuing concern that the listing could result in increased costs to the PBS" (Ratified minutes of the November 2012 PBAC meeting, p2) is unable to be reconciled with any costing analysis available. </w:t>
      </w:r>
    </w:p>
    <w:p w:rsidR="000F4663" w:rsidRDefault="000F4663" w:rsidP="0097747A">
      <w:pPr>
        <w:spacing w:after="0"/>
        <w:rPr>
          <w:lang w:val="en-GB"/>
        </w:rPr>
      </w:pPr>
    </w:p>
    <w:p w:rsidR="000F4663" w:rsidRPr="00B21BBA" w:rsidRDefault="000F4663" w:rsidP="0097747A">
      <w:pPr>
        <w:spacing w:after="0"/>
        <w:rPr>
          <w:i/>
          <w:lang w:val="en-GB"/>
        </w:rPr>
      </w:pPr>
      <w:r w:rsidRPr="00B21BBA">
        <w:rPr>
          <w:b/>
          <w:i/>
          <w:lang w:val="en-GB"/>
        </w:rPr>
        <w:t>Points for consideration:</w:t>
      </w:r>
      <w:r w:rsidRPr="00B21BBA">
        <w:rPr>
          <w:i/>
          <w:lang w:val="en-GB"/>
        </w:rPr>
        <w:t xml:space="preserve">  What justification has the PBAC provided to support the claim that the listing for </w:t>
      </w:r>
      <w:r w:rsidR="004B2048">
        <w:rPr>
          <w:i/>
          <w:lang w:val="en-GB"/>
        </w:rPr>
        <w:t>Vimovo®</w:t>
      </w:r>
      <w:r w:rsidRPr="00B21BBA">
        <w:rPr>
          <w:i/>
          <w:lang w:val="en-GB"/>
        </w:rPr>
        <w:t xml:space="preserve"> could result in increased cost to the PBS?  Is the treatment of the cost to Government estimates for </w:t>
      </w:r>
      <w:r w:rsidR="004B2048">
        <w:rPr>
          <w:i/>
          <w:lang w:val="en-GB"/>
        </w:rPr>
        <w:t>Vimovo®</w:t>
      </w:r>
      <w:r w:rsidRPr="00B21BBA">
        <w:rPr>
          <w:i/>
          <w:lang w:val="en-GB"/>
        </w:rPr>
        <w:t xml:space="preserve"> consistent with the advice provided in the PBAC </w:t>
      </w:r>
      <w:r w:rsidR="00EA5A38">
        <w:rPr>
          <w:i/>
          <w:lang w:val="en-GB"/>
        </w:rPr>
        <w:t>Guidelines</w:t>
      </w:r>
      <w:r w:rsidRPr="00B21BBA">
        <w:rPr>
          <w:i/>
          <w:lang w:val="en-GB"/>
        </w:rPr>
        <w:t>?</w:t>
      </w:r>
    </w:p>
    <w:p w:rsidR="000F4663" w:rsidRDefault="000F4663" w:rsidP="0097747A">
      <w:pPr>
        <w:spacing w:after="0"/>
        <w:rPr>
          <w:lang w:val="en-GB"/>
        </w:rPr>
      </w:pPr>
    </w:p>
    <w:p w:rsidR="000F4663" w:rsidRDefault="000F4663" w:rsidP="0097747A">
      <w:pPr>
        <w:spacing w:after="0"/>
        <w:rPr>
          <w:lang w:val="en-GB"/>
        </w:rPr>
      </w:pPr>
      <w:r>
        <w:rPr>
          <w:lang w:val="en-GB"/>
        </w:rPr>
        <w:t xml:space="preserve">The final reason cited for rejection of the most recent application for </w:t>
      </w:r>
      <w:r w:rsidR="004B2048">
        <w:rPr>
          <w:lang w:val="en-GB"/>
        </w:rPr>
        <w:t>Vimovo®</w:t>
      </w:r>
      <w:r>
        <w:rPr>
          <w:lang w:val="en-GB"/>
        </w:rPr>
        <w:t xml:space="preserve"> was the “continuing concern that the listing could result in increased costs to the PBS” (Ratified minutes of the November 2012 PBAC meeting, pg 2).  However, to-date, no analysis has been </w:t>
      </w:r>
      <w:r w:rsidRPr="0056176A">
        <w:rPr>
          <w:lang w:val="en-GB"/>
        </w:rPr>
        <w:t xml:space="preserve">presented </w:t>
      </w:r>
      <w:r>
        <w:rPr>
          <w:lang w:val="en-GB"/>
        </w:rPr>
        <w:t>which demonstrates a</w:t>
      </w:r>
      <w:r w:rsidRPr="0056176A">
        <w:rPr>
          <w:lang w:val="en-GB"/>
        </w:rPr>
        <w:t xml:space="preserve"> scenario under which additional costs accrue to the Government. </w:t>
      </w:r>
    </w:p>
    <w:p w:rsidR="000F4663" w:rsidRDefault="000F4663" w:rsidP="0097747A">
      <w:pPr>
        <w:spacing w:after="0"/>
        <w:rPr>
          <w:lang w:val="en-GB"/>
        </w:rPr>
      </w:pPr>
    </w:p>
    <w:p w:rsidR="000F4663" w:rsidRDefault="000F4663" w:rsidP="0097747A">
      <w:pPr>
        <w:spacing w:after="0"/>
        <w:rPr>
          <w:lang w:val="en-GB"/>
        </w:rPr>
      </w:pPr>
      <w:r>
        <w:rPr>
          <w:lang w:val="en-GB"/>
        </w:rPr>
        <w:t xml:space="preserve">Over the course of the three submissions, only one analysis has been presented by the Drug Utilisation Sub-Committee (DUSC) for the consideration of the PBAC.  The DUSC presented a revised analysis which </w:t>
      </w:r>
      <w:r w:rsidRPr="00617F4D">
        <w:rPr>
          <w:lang w:val="en-GB"/>
        </w:rPr>
        <w:t>address</w:t>
      </w:r>
      <w:r>
        <w:rPr>
          <w:lang w:val="en-GB"/>
        </w:rPr>
        <w:t>ed</w:t>
      </w:r>
      <w:r w:rsidRPr="00617F4D">
        <w:rPr>
          <w:lang w:val="en-GB"/>
        </w:rPr>
        <w:t xml:space="preserve"> the main areas of uncertainty </w:t>
      </w:r>
      <w:r>
        <w:rPr>
          <w:lang w:val="en-GB"/>
        </w:rPr>
        <w:t>with respect to the cost to Government estimates during the evaluation of the first submission, which was considered at the August 2011 Special PBAC meeting.  (Pre-PBAC advice from the August 2011 consideration, DUSC ADV 5.7.5)  Specifically, the revised analysis included the following assumptions:</w:t>
      </w:r>
    </w:p>
    <w:p w:rsidR="000F4663" w:rsidRDefault="000F4663" w:rsidP="0097747A">
      <w:pPr>
        <w:spacing w:after="0"/>
        <w:rPr>
          <w:lang w:val="en-GB"/>
        </w:rPr>
      </w:pPr>
    </w:p>
    <w:p w:rsidR="000F4663" w:rsidRPr="005B4B00" w:rsidRDefault="000F4663" w:rsidP="0097747A">
      <w:pPr>
        <w:spacing w:after="0"/>
        <w:rPr>
          <w:lang w:val="en-GB"/>
        </w:rPr>
      </w:pPr>
      <w:r w:rsidRPr="005B4B00">
        <w:rPr>
          <w:lang w:val="en-GB"/>
        </w:rPr>
        <w:t>Constant growth of the NSAID market (despite current evidence of decline</w:t>
      </w:r>
      <w:r>
        <w:rPr>
          <w:lang w:val="en-GB"/>
        </w:rPr>
        <w:t>)</w:t>
      </w:r>
    </w:p>
    <w:p w:rsidR="000F4663" w:rsidRPr="005B4B00" w:rsidRDefault="000F4663" w:rsidP="0097747A">
      <w:pPr>
        <w:spacing w:after="0"/>
        <w:rPr>
          <w:lang w:val="en-GB"/>
        </w:rPr>
      </w:pPr>
      <w:r w:rsidRPr="005B4B00">
        <w:rPr>
          <w:lang w:val="en-GB"/>
        </w:rPr>
        <w:t xml:space="preserve">Significant uptake </w:t>
      </w:r>
      <w:r>
        <w:rPr>
          <w:lang w:val="en-GB"/>
        </w:rPr>
        <w:t xml:space="preserve">by </w:t>
      </w:r>
      <w:r w:rsidR="004B2048">
        <w:rPr>
          <w:lang w:val="en-GB"/>
        </w:rPr>
        <w:t>Vimovo®</w:t>
      </w:r>
      <w:r>
        <w:rPr>
          <w:lang w:val="en-GB"/>
        </w:rPr>
        <w:t xml:space="preserve"> </w:t>
      </w:r>
      <w:r w:rsidRPr="005B4B00">
        <w:rPr>
          <w:lang w:val="en-GB"/>
        </w:rPr>
        <w:t>from the NSAID + PPI</w:t>
      </w:r>
      <w:r>
        <w:rPr>
          <w:lang w:val="en-GB"/>
        </w:rPr>
        <w:t xml:space="preserve"> market</w:t>
      </w:r>
      <w:r w:rsidRPr="005B4B00">
        <w:rPr>
          <w:lang w:val="en-GB"/>
        </w:rPr>
        <w:t>, starting at 50% in year 1 and increasing to 90% in year 5</w:t>
      </w:r>
    </w:p>
    <w:p w:rsidR="000F4663" w:rsidRPr="005B4B00" w:rsidRDefault="000F4663" w:rsidP="0097747A">
      <w:pPr>
        <w:spacing w:after="0"/>
        <w:rPr>
          <w:lang w:val="en-GB"/>
        </w:rPr>
      </w:pPr>
      <w:r w:rsidRPr="005B4B00">
        <w:rPr>
          <w:lang w:val="en-GB"/>
        </w:rPr>
        <w:t xml:space="preserve">Significant uptake </w:t>
      </w:r>
      <w:r>
        <w:rPr>
          <w:lang w:val="en-GB"/>
        </w:rPr>
        <w:t xml:space="preserve">by </w:t>
      </w:r>
      <w:r w:rsidR="004B2048">
        <w:rPr>
          <w:lang w:val="en-GB"/>
        </w:rPr>
        <w:t>Vimovo®</w:t>
      </w:r>
      <w:r>
        <w:rPr>
          <w:lang w:val="en-GB"/>
        </w:rPr>
        <w:t xml:space="preserve"> </w:t>
      </w:r>
      <w:r w:rsidRPr="005B4B00">
        <w:rPr>
          <w:lang w:val="en-GB"/>
        </w:rPr>
        <w:t xml:space="preserve">from </w:t>
      </w:r>
      <w:r>
        <w:rPr>
          <w:lang w:val="en-GB"/>
        </w:rPr>
        <w:t xml:space="preserve">the </w:t>
      </w:r>
      <w:r w:rsidRPr="005B4B00">
        <w:rPr>
          <w:lang w:val="en-GB"/>
        </w:rPr>
        <w:t>NSAID monotherapy</w:t>
      </w:r>
      <w:r>
        <w:rPr>
          <w:lang w:val="en-GB"/>
        </w:rPr>
        <w:t xml:space="preserve"> market </w:t>
      </w:r>
      <w:r w:rsidRPr="005B4B00">
        <w:rPr>
          <w:lang w:val="en-GB"/>
        </w:rPr>
        <w:t>(which</w:t>
      </w:r>
      <w:r>
        <w:rPr>
          <w:lang w:val="en-GB"/>
        </w:rPr>
        <w:t xml:space="preserve"> due to significant price erosion due to generic competition and disclosure-related price reductions are</w:t>
      </w:r>
      <w:r w:rsidRPr="005B4B00">
        <w:rPr>
          <w:lang w:val="en-GB"/>
        </w:rPr>
        <w:t xml:space="preserve"> </w:t>
      </w:r>
      <w:r>
        <w:rPr>
          <w:lang w:val="en-GB"/>
        </w:rPr>
        <w:t xml:space="preserve">lower priced </w:t>
      </w:r>
      <w:r w:rsidRPr="005B4B00">
        <w:rPr>
          <w:lang w:val="en-GB"/>
        </w:rPr>
        <w:t xml:space="preserve">than </w:t>
      </w:r>
      <w:r w:rsidR="004B2048">
        <w:rPr>
          <w:lang w:val="en-GB"/>
        </w:rPr>
        <w:t>Vimovo®</w:t>
      </w:r>
      <w:r w:rsidRPr="005B4B00">
        <w:rPr>
          <w:lang w:val="en-GB"/>
        </w:rPr>
        <w:t xml:space="preserve">), starting at 20% in Year 1 and increasing to 40% in year 5  </w:t>
      </w:r>
    </w:p>
    <w:p w:rsidR="000F4663" w:rsidRDefault="000F4663" w:rsidP="0097747A">
      <w:pPr>
        <w:spacing w:after="0"/>
        <w:rPr>
          <w:lang w:val="en-GB"/>
        </w:rPr>
      </w:pPr>
    </w:p>
    <w:p w:rsidR="000F4663" w:rsidRDefault="000F4663" w:rsidP="0097747A">
      <w:pPr>
        <w:spacing w:after="0"/>
        <w:rPr>
          <w:lang w:val="en-GB"/>
        </w:rPr>
      </w:pPr>
      <w:r>
        <w:rPr>
          <w:lang w:val="en-GB"/>
        </w:rPr>
        <w:t xml:space="preserve">Despite the application of these assumptions, the DUSC analysis still predicted savings to Government (a conclusion which is consistent with the claim made by AstraZeneca in the submission).  (Pre-PBAC advice from the August 2011 consideration, DUSC ADV 5.7.5)  </w:t>
      </w:r>
    </w:p>
    <w:p w:rsidR="000F4663" w:rsidRDefault="000F4663" w:rsidP="0097747A">
      <w:pPr>
        <w:spacing w:after="0"/>
        <w:rPr>
          <w:lang w:val="en-GB"/>
        </w:rPr>
      </w:pPr>
    </w:p>
    <w:p w:rsidR="000F4663" w:rsidRDefault="000F4663" w:rsidP="0097747A">
      <w:pPr>
        <w:spacing w:after="0"/>
        <w:rPr>
          <w:lang w:val="en-GB"/>
        </w:rPr>
      </w:pPr>
      <w:r>
        <w:rPr>
          <w:lang w:val="en-GB"/>
        </w:rPr>
        <w:t xml:space="preserve">Over the course of the three submissions, a number of scenarios have been presented by AstraZeneca which extended the assumptions included in the DUSC analysis to assess the impact of the significant price erosion of the PPIs and meloxicam due to price disclosure, as well as the application of future phased statutory price reductions for the single-branded PPIs (see </w:t>
      </w:r>
      <w:r w:rsidR="00EA5A38">
        <w:fldChar w:fldCharType="begin"/>
      </w:r>
      <w:r w:rsidR="00EA5A38">
        <w:instrText xml:space="preserve"> REF _Ref344724546 \h  \* MERGEFORMAT </w:instrText>
      </w:r>
      <w:r w:rsidR="00EA5A38">
        <w:fldChar w:fldCharType="separate"/>
      </w:r>
      <w:r w:rsidR="00A172DC">
        <w:t>Table 2</w:t>
      </w:r>
      <w:r w:rsidR="00EA5A38">
        <w:fldChar w:fldCharType="end"/>
      </w:r>
      <w:r w:rsidR="00CF4668">
        <w:t>2</w:t>
      </w:r>
      <w:r>
        <w:rPr>
          <w:lang w:val="en-GB"/>
        </w:rPr>
        <w:t xml:space="preserve"> below).  </w:t>
      </w:r>
      <w:r>
        <w:t xml:space="preserve">Even these extreme scenarios, in which the price of substituted therapies is reduced by more than 50%, support the conclusion that PBS listing of </w:t>
      </w:r>
      <w:r w:rsidR="004B2048">
        <w:t>Vimovo®</w:t>
      </w:r>
      <w:r>
        <w:t xml:space="preserve"> is likely to result in incremental savings to Government.  Despite this, the PBAC cited </w:t>
      </w:r>
      <w:r>
        <w:rPr>
          <w:lang w:val="en-GB"/>
        </w:rPr>
        <w:t>“continuing concern that the listing could result in increased costs to the PBS” as one of the reasons for rejection. (Ratified minutes of the November 2012 PBAC meeting, pg 2).</w:t>
      </w:r>
    </w:p>
    <w:p w:rsidR="000F4663" w:rsidRDefault="000F4663" w:rsidP="0097747A">
      <w:pPr>
        <w:spacing w:after="0"/>
        <w:rPr>
          <w:lang w:val="en-GB"/>
        </w:rPr>
      </w:pPr>
    </w:p>
    <w:p w:rsidR="000F4663" w:rsidRDefault="000F4663" w:rsidP="0097747A">
      <w:pPr>
        <w:spacing w:after="0"/>
        <w:rPr>
          <w:lang w:val="en-GB"/>
        </w:rPr>
      </w:pPr>
      <w:r>
        <w:rPr>
          <w:lang w:val="en-GB"/>
        </w:rPr>
        <w:t>AstraZeneca contends that n</w:t>
      </w:r>
      <w:r w:rsidRPr="0056176A">
        <w:rPr>
          <w:lang w:val="en-GB"/>
        </w:rPr>
        <w:t>o basis is presented for the PBAC’s claim of potential increased costs to the PBS</w:t>
      </w:r>
      <w:r>
        <w:rPr>
          <w:lang w:val="en-GB"/>
        </w:rPr>
        <w:t xml:space="preserve"> and as such, it is inappropriate and unreasonable to cite this unsubstantiated expectation as grounds for rejection. </w:t>
      </w:r>
    </w:p>
    <w:p w:rsidR="000F4663" w:rsidRDefault="000F4663" w:rsidP="0097747A">
      <w:pPr>
        <w:spacing w:after="0"/>
        <w:rPr>
          <w:lang w:val="en-GB"/>
        </w:rPr>
      </w:pPr>
    </w:p>
    <w:p w:rsidR="000F4663" w:rsidRDefault="000F4663" w:rsidP="0097747A">
      <w:pPr>
        <w:spacing w:after="0"/>
        <w:rPr>
          <w:lang w:val="en-GB"/>
        </w:rPr>
      </w:pPr>
      <w:r>
        <w:rPr>
          <w:lang w:val="en-GB"/>
        </w:rPr>
        <w:t>The ratified minutes go on to state that “the Committee was concerned that the financial impact of the proposed listing requires further analysis and evaluation, which was not possible in the context of a minor resubmission.  The analysis and evaluation should take into account the issues raised in previous evaluations and the ongoing reductions in the PBS prices of some PPIs and NSAID medicines.” (Ratified minutes of the November 2012 PBAC meeting, pg 2).</w:t>
      </w:r>
    </w:p>
    <w:p w:rsidR="000F4663" w:rsidRDefault="000F4663" w:rsidP="0097747A">
      <w:pPr>
        <w:spacing w:after="0"/>
      </w:pPr>
      <w:r>
        <w:tab/>
      </w:r>
    </w:p>
    <w:p w:rsidR="000F4663" w:rsidRDefault="000F4663" w:rsidP="0097747A">
      <w:pPr>
        <w:spacing w:after="0"/>
      </w:pPr>
      <w:r>
        <w:t xml:space="preserve">AstraZeneca takes issue with this statement because the financial impact of the proposed listing has already been subject to extensive analysis and evaluation, which included a re-analysis by the DUSC and which has included a number of scenarios that assessed the impact of potential future price reductions for the PPIs and </w:t>
      </w:r>
      <w:r w:rsidR="001F6C5E">
        <w:t>NSAIDs</w:t>
      </w:r>
      <w:r>
        <w:t>, none of which have demonstrated incremental costs to Government.  It should be noted however that recommendation made by the Committee that the evaluation should take into account “</w:t>
      </w:r>
      <w:r>
        <w:rPr>
          <w:lang w:val="en-GB"/>
        </w:rPr>
        <w:t xml:space="preserve">ongoing reductions in the PBS prices of some PPIs and NSAID medicines” </w:t>
      </w:r>
      <w:r>
        <w:t xml:space="preserve">is inconsistent with the PBAC </w:t>
      </w:r>
      <w:r w:rsidR="00EA5A38">
        <w:t>Guidelines</w:t>
      </w:r>
      <w:r>
        <w:t xml:space="preserve"> which provide the following advice to </w:t>
      </w:r>
      <w:r w:rsidR="00EA5A38">
        <w:t>Sponsor</w:t>
      </w:r>
      <w:r>
        <w:t xml:space="preserve">s: </w:t>
      </w:r>
    </w:p>
    <w:p w:rsidR="000F4663" w:rsidRDefault="000F4663" w:rsidP="0097747A">
      <w:pPr>
        <w:spacing w:after="0"/>
      </w:pPr>
    </w:p>
    <w:p w:rsidR="000F4663" w:rsidRDefault="000F4663" w:rsidP="0097747A">
      <w:pPr>
        <w:spacing w:after="0"/>
      </w:pPr>
      <w:r>
        <w:t>“Estimate the costs in each year over five years of each of the forms and strengths of each of these drugs substituted, decreased and increased on the basis of each of the estimated utilisation changes.  For these calculations use constant prices, make no allowance for inflation and use a zero discount rate.” (</w:t>
      </w:r>
      <w:r>
        <w:rPr>
          <w:lang w:val="en-GB"/>
        </w:rPr>
        <w:t xml:space="preserve">Pharmaceutical Benefits Advisory Committee (PBAC), Version 4.3, December 2008, Part II, Section E.3, p153) </w:t>
      </w:r>
      <w:r>
        <w:t xml:space="preserve">  </w:t>
      </w:r>
    </w:p>
    <w:p w:rsidR="000F4663" w:rsidRDefault="000F4663" w:rsidP="0097747A">
      <w:pPr>
        <w:spacing w:after="0"/>
      </w:pPr>
    </w:p>
    <w:p w:rsidR="000F4663" w:rsidRDefault="000F4663" w:rsidP="0097747A">
      <w:pPr>
        <w:spacing w:after="0"/>
      </w:pPr>
      <w:r>
        <w:t xml:space="preserve">This advice is provided because assumptions regarding future price reductions are inherently uncertain given that they rely on making predictions about the timing of the entry of second brands to the market as well as attempting to estimate market dynamics and discounting behaviour to inform predictions about disclosure-related reductions.  As such, both the timing and magnitude of such reductions is extremely uncertain.  The Committee has, in the past, disagreed with the inclusion of even relatively certain future price reductions in cost to Government estimates.  It is inappropriate for the Committee to be making decisions based on highly uncertain predictions regarding future price reductions, particularly given that the inclusion of these assumptions is contrary to the advice provided by the PBAC </w:t>
      </w:r>
      <w:r w:rsidR="00EA5A38">
        <w:t>Guidelines</w:t>
      </w:r>
      <w:r>
        <w:t>.</w:t>
      </w:r>
    </w:p>
    <w:p w:rsidR="0097747A" w:rsidRPr="0097747A" w:rsidRDefault="0097747A" w:rsidP="0097747A">
      <w:pPr>
        <w:spacing w:after="0"/>
        <w:rPr>
          <w:b/>
        </w:rPr>
      </w:pPr>
      <w:r w:rsidRPr="0097747A">
        <w:rPr>
          <w:b/>
        </w:rPr>
        <w:t>Conclusion</w:t>
      </w:r>
    </w:p>
    <w:p w:rsidR="0097747A" w:rsidRDefault="0097747A" w:rsidP="0097747A">
      <w:pPr>
        <w:spacing w:after="0"/>
        <w:rPr>
          <w:lang w:val="en-GB"/>
        </w:rPr>
      </w:pPr>
      <w:r>
        <w:rPr>
          <w:lang w:val="en-GB"/>
        </w:rPr>
        <w:t>Following consideration at the November 2012 meeting, the PBAC recommended rejection the third time</w:t>
      </w:r>
      <w:r w:rsidRPr="009A00FD">
        <w:rPr>
          <w:lang w:val="en-GB"/>
        </w:rPr>
        <w:t xml:space="preserve"> </w:t>
      </w:r>
      <w:r>
        <w:rPr>
          <w:lang w:val="en-GB"/>
        </w:rPr>
        <w:t xml:space="preserve">of </w:t>
      </w:r>
      <w:r w:rsidR="004B2048">
        <w:rPr>
          <w:lang w:val="en-GB"/>
        </w:rPr>
        <w:t>Vimovo®</w:t>
      </w:r>
      <w:r>
        <w:rPr>
          <w:lang w:val="en-GB"/>
        </w:rPr>
        <w:t xml:space="preserve">, </w:t>
      </w:r>
      <w:r w:rsidRPr="009A00FD">
        <w:rPr>
          <w:lang w:val="en-GB"/>
        </w:rPr>
        <w:t>a fixed dose combination</w:t>
      </w:r>
      <w:r>
        <w:rPr>
          <w:lang w:val="en-GB"/>
        </w:rPr>
        <w:t xml:space="preserve"> </w:t>
      </w:r>
      <w:r w:rsidRPr="009A00FD">
        <w:rPr>
          <w:lang w:val="en-GB"/>
        </w:rPr>
        <w:t>of enteric-coated naproxen 500mg</w:t>
      </w:r>
      <w:r>
        <w:rPr>
          <w:lang w:val="en-GB"/>
        </w:rPr>
        <w:t xml:space="preserve">, a non-steroidal anti-inflammatory drug </w:t>
      </w:r>
      <w:r w:rsidRPr="009A00FD">
        <w:rPr>
          <w:lang w:val="en-GB"/>
        </w:rPr>
        <w:t>and immediate-release esomeprazole 20mg</w:t>
      </w:r>
      <w:r>
        <w:rPr>
          <w:lang w:val="en-GB"/>
        </w:rPr>
        <w:t>, a proton pump inhibitor</w:t>
      </w:r>
      <w:r w:rsidRPr="009A00FD">
        <w:rPr>
          <w:lang w:val="en-GB"/>
        </w:rPr>
        <w:t>.</w:t>
      </w:r>
      <w:r>
        <w:rPr>
          <w:lang w:val="en-GB"/>
        </w:rPr>
        <w:t xml:space="preserve">  The basis provided for the rejection was “that not all PBAC criteria for combination products are met; continuing uncertainty regarding the validity of the surrogate outcome for the purposes of demonstrating non-inferiority of more patient-relevant outcomes, and the resultant impact on the cost-minimisation analysis; and continuing concern that the listing could result in increased costs to the PBS”. </w:t>
      </w:r>
      <w:r w:rsidRPr="00651AFB">
        <w:rPr>
          <w:lang w:val="en-GB"/>
        </w:rPr>
        <w:t>(Ratified minutes of the November 2012 PBAC meeting, p2)</w:t>
      </w:r>
    </w:p>
    <w:p w:rsidR="0097747A" w:rsidRDefault="0097747A" w:rsidP="0097747A">
      <w:pPr>
        <w:spacing w:after="0"/>
        <w:rPr>
          <w:lang w:val="en-GB"/>
        </w:rPr>
      </w:pPr>
    </w:p>
    <w:p w:rsidR="0097747A" w:rsidRDefault="0097747A" w:rsidP="0097747A">
      <w:pPr>
        <w:spacing w:after="0"/>
        <w:rPr>
          <w:highlight w:val="yellow"/>
          <w:lang w:val="en-GB"/>
        </w:rPr>
      </w:pPr>
      <w:r>
        <w:rPr>
          <w:lang w:val="en-GB"/>
        </w:rPr>
        <w:t>AstraZeneca’s contends that the information provided in this request for review supports the conclusion that t</w:t>
      </w:r>
      <w:r w:rsidRPr="00651AFB">
        <w:rPr>
          <w:lang w:val="en-GB"/>
        </w:rPr>
        <w:t xml:space="preserve">he reasons cited for rejection are insufficiently supported, inconsistent with previous decisions made by Committee and inconsistent with the advice provided to </w:t>
      </w:r>
      <w:r w:rsidR="00EA5A38">
        <w:rPr>
          <w:lang w:val="en-GB"/>
        </w:rPr>
        <w:t>Sponsor</w:t>
      </w:r>
      <w:r w:rsidRPr="00651AFB">
        <w:rPr>
          <w:lang w:val="en-GB"/>
        </w:rPr>
        <w:t xml:space="preserve">s in the </w:t>
      </w:r>
      <w:r>
        <w:rPr>
          <w:lang w:val="en-GB"/>
        </w:rPr>
        <w:t>Guidelines for preparing submissions to the Pharmaceutical Benefits Advisory Committee (PBAC) (Version 4.3, December 2008</w:t>
      </w:r>
      <w:r w:rsidRPr="00651AFB">
        <w:rPr>
          <w:lang w:val="en-GB"/>
        </w:rPr>
        <w:t>).</w:t>
      </w:r>
      <w:r w:rsidRPr="00651AFB">
        <w:rPr>
          <w:highlight w:val="yellow"/>
          <w:lang w:val="en-GB"/>
        </w:rPr>
        <w:t xml:space="preserve"> </w:t>
      </w:r>
      <w:r>
        <w:rPr>
          <w:highlight w:val="yellow"/>
          <w:lang w:val="en-GB"/>
        </w:rPr>
        <w:t xml:space="preserve"> </w:t>
      </w:r>
    </w:p>
    <w:p w:rsidR="000F4663" w:rsidRDefault="000F4663" w:rsidP="0097747A">
      <w:pPr>
        <w:spacing w:after="0"/>
      </w:pPr>
    </w:p>
    <w:p w:rsidR="000F4663" w:rsidRDefault="000F4663" w:rsidP="0097747A">
      <w:pPr>
        <w:spacing w:after="0"/>
      </w:pPr>
    </w:p>
    <w:p w:rsidR="000F4663" w:rsidRDefault="000F4663" w:rsidP="0097747A">
      <w:pPr>
        <w:spacing w:after="0"/>
        <w:sectPr w:rsidR="000F4663" w:rsidSect="000F4663">
          <w:pgSz w:w="11907" w:h="16840" w:code="9"/>
          <w:pgMar w:top="1418" w:right="1418" w:bottom="1418" w:left="1418" w:header="709" w:footer="709" w:gutter="0"/>
          <w:cols w:space="708"/>
          <w:docGrid w:linePitch="360"/>
        </w:sectPr>
      </w:pPr>
    </w:p>
    <w:p w:rsidR="000F4663" w:rsidRDefault="000F4663" w:rsidP="0097747A">
      <w:pPr>
        <w:spacing w:after="0"/>
      </w:pPr>
      <w:bookmarkStart w:id="102" w:name="_Ref344724546"/>
      <w:r>
        <w:t xml:space="preserve">Table </w:t>
      </w:r>
      <w:r w:rsidR="00CF4668">
        <w:t>2</w:t>
      </w:r>
      <w:bookmarkEnd w:id="102"/>
      <w:r>
        <w:rPr>
          <w:noProof/>
        </w:rPr>
        <w:t xml:space="preserve"> Cost to Government estimates presented for </w:t>
      </w:r>
      <w:r w:rsidR="004B2048">
        <w:rPr>
          <w:noProof/>
        </w:rPr>
        <w:t>Vimovo®</w:t>
      </w:r>
      <w:r>
        <w:rPr>
          <w:noProof/>
        </w:rPr>
        <w:t xml:space="preserve"> over the course of the three submissions</w:t>
      </w:r>
    </w:p>
    <w:tbl>
      <w:tblPr>
        <w:tblStyle w:val="TableGrid"/>
        <w:tblW w:w="0" w:type="auto"/>
        <w:tblLook w:val="04A0" w:firstRow="1" w:lastRow="0" w:firstColumn="1" w:lastColumn="0" w:noHBand="0" w:noVBand="1"/>
        <w:tblDescription w:val="Table 2 Cost to Government estimates presented for Vimovo® over the course of the three submissions"/>
      </w:tblPr>
      <w:tblGrid>
        <w:gridCol w:w="5353"/>
        <w:gridCol w:w="1757"/>
        <w:gridCol w:w="1758"/>
        <w:gridCol w:w="1758"/>
        <w:gridCol w:w="1758"/>
        <w:gridCol w:w="1758"/>
      </w:tblGrid>
      <w:tr w:rsidR="000F4663" w:rsidTr="003F3694">
        <w:trPr>
          <w:tblHeader/>
        </w:trPr>
        <w:tc>
          <w:tcPr>
            <w:tcW w:w="5353" w:type="dxa"/>
            <w:vMerge w:val="restart"/>
            <w:vAlign w:val="center"/>
          </w:tcPr>
          <w:p w:rsidR="000F4663" w:rsidRPr="00E32539" w:rsidRDefault="000F4663" w:rsidP="0097747A">
            <w:pPr>
              <w:rPr>
                <w:b/>
              </w:rPr>
            </w:pPr>
            <w:r w:rsidRPr="00E32539">
              <w:rPr>
                <w:b/>
              </w:rPr>
              <w:t>Scenario</w:t>
            </w:r>
          </w:p>
        </w:tc>
        <w:tc>
          <w:tcPr>
            <w:tcW w:w="8789" w:type="dxa"/>
            <w:gridSpan w:val="5"/>
            <w:vAlign w:val="center"/>
          </w:tcPr>
          <w:p w:rsidR="000F4663" w:rsidRPr="00E32539" w:rsidRDefault="000F4663" w:rsidP="0097747A">
            <w:pPr>
              <w:rPr>
                <w:b/>
              </w:rPr>
            </w:pPr>
            <w:r w:rsidRPr="00E32539">
              <w:rPr>
                <w:b/>
              </w:rPr>
              <w:t>Estimated net cost to Government</w:t>
            </w:r>
          </w:p>
        </w:tc>
      </w:tr>
      <w:tr w:rsidR="000F4663" w:rsidTr="003F3694">
        <w:trPr>
          <w:tblHeader/>
        </w:trPr>
        <w:tc>
          <w:tcPr>
            <w:tcW w:w="5353" w:type="dxa"/>
            <w:vMerge/>
          </w:tcPr>
          <w:p w:rsidR="000F4663" w:rsidRDefault="000F4663" w:rsidP="0097747A"/>
        </w:tc>
        <w:tc>
          <w:tcPr>
            <w:tcW w:w="1757" w:type="dxa"/>
            <w:vAlign w:val="center"/>
          </w:tcPr>
          <w:p w:rsidR="000F4663" w:rsidRPr="00AE7F05" w:rsidRDefault="000F4663" w:rsidP="0097747A">
            <w:pPr>
              <w:rPr>
                <w:b/>
              </w:rPr>
            </w:pPr>
            <w:r w:rsidRPr="00AE7F05">
              <w:rPr>
                <w:b/>
              </w:rPr>
              <w:t>Year 1</w:t>
            </w:r>
          </w:p>
        </w:tc>
        <w:tc>
          <w:tcPr>
            <w:tcW w:w="1758" w:type="dxa"/>
            <w:vAlign w:val="center"/>
          </w:tcPr>
          <w:p w:rsidR="000F4663" w:rsidRPr="00AE7F05" w:rsidRDefault="000F4663" w:rsidP="0097747A">
            <w:pPr>
              <w:rPr>
                <w:b/>
              </w:rPr>
            </w:pPr>
            <w:r w:rsidRPr="00AE7F05">
              <w:rPr>
                <w:b/>
              </w:rPr>
              <w:t>Year 2</w:t>
            </w:r>
          </w:p>
        </w:tc>
        <w:tc>
          <w:tcPr>
            <w:tcW w:w="1758" w:type="dxa"/>
            <w:vAlign w:val="center"/>
          </w:tcPr>
          <w:p w:rsidR="000F4663" w:rsidRPr="00AE7F05" w:rsidRDefault="000F4663" w:rsidP="0097747A">
            <w:pPr>
              <w:rPr>
                <w:b/>
              </w:rPr>
            </w:pPr>
            <w:r w:rsidRPr="00AE7F05">
              <w:rPr>
                <w:b/>
              </w:rPr>
              <w:t>Year 3</w:t>
            </w:r>
          </w:p>
        </w:tc>
        <w:tc>
          <w:tcPr>
            <w:tcW w:w="1758" w:type="dxa"/>
            <w:vAlign w:val="center"/>
          </w:tcPr>
          <w:p w:rsidR="000F4663" w:rsidRPr="00AE7F05" w:rsidRDefault="000F4663" w:rsidP="0097747A">
            <w:pPr>
              <w:rPr>
                <w:b/>
              </w:rPr>
            </w:pPr>
            <w:r w:rsidRPr="00AE7F05">
              <w:rPr>
                <w:b/>
              </w:rPr>
              <w:t>Year 4</w:t>
            </w:r>
          </w:p>
        </w:tc>
        <w:tc>
          <w:tcPr>
            <w:tcW w:w="1758" w:type="dxa"/>
            <w:vAlign w:val="center"/>
          </w:tcPr>
          <w:p w:rsidR="000F4663" w:rsidRPr="00AE7F05" w:rsidRDefault="000F4663" w:rsidP="0097747A">
            <w:pPr>
              <w:rPr>
                <w:b/>
              </w:rPr>
            </w:pPr>
            <w:r w:rsidRPr="00AE7F05">
              <w:rPr>
                <w:b/>
              </w:rPr>
              <w:t>Year 5</w:t>
            </w:r>
          </w:p>
        </w:tc>
      </w:tr>
      <w:tr w:rsidR="000F4663" w:rsidTr="000F4663">
        <w:tc>
          <w:tcPr>
            <w:tcW w:w="5353" w:type="dxa"/>
            <w:vAlign w:val="center"/>
          </w:tcPr>
          <w:p w:rsidR="000F4663" w:rsidRDefault="000F4663" w:rsidP="0097747A">
            <w:r>
              <w:t>1</w:t>
            </w:r>
            <w:r w:rsidRPr="00D415FE">
              <w:rPr>
                <w:vertAlign w:val="superscript"/>
              </w:rPr>
              <w:t>st</w:t>
            </w:r>
            <w:r>
              <w:t xml:space="preserve"> submission (Table 86, p202)</w:t>
            </w:r>
          </w:p>
        </w:tc>
        <w:tc>
          <w:tcPr>
            <w:tcW w:w="1757" w:type="dxa"/>
            <w:vAlign w:val="center"/>
          </w:tcPr>
          <w:p w:rsidR="000F4663" w:rsidRPr="00E32539" w:rsidRDefault="000F4663" w:rsidP="0097747A">
            <w:pPr>
              <w:rPr>
                <w:color w:val="FF0000"/>
                <w:sz w:val="22"/>
                <w:szCs w:val="20"/>
              </w:rPr>
            </w:pPr>
            <w:r w:rsidRPr="00E32539">
              <w:rPr>
                <w:bCs/>
                <w:color w:val="FF0000"/>
                <w:sz w:val="22"/>
                <w:szCs w:val="20"/>
              </w:rPr>
              <w:t>-$1,956,852</w:t>
            </w:r>
          </w:p>
        </w:tc>
        <w:tc>
          <w:tcPr>
            <w:tcW w:w="1758" w:type="dxa"/>
            <w:vAlign w:val="center"/>
          </w:tcPr>
          <w:p w:rsidR="000F4663" w:rsidRPr="00E32539" w:rsidRDefault="000F4663" w:rsidP="0097747A">
            <w:pPr>
              <w:rPr>
                <w:color w:val="FF0000"/>
                <w:sz w:val="22"/>
                <w:szCs w:val="20"/>
              </w:rPr>
            </w:pPr>
            <w:r w:rsidRPr="00E32539">
              <w:rPr>
                <w:bCs/>
                <w:color w:val="FF0000"/>
                <w:sz w:val="22"/>
                <w:szCs w:val="20"/>
              </w:rPr>
              <w:t>-$3,291,676</w:t>
            </w:r>
          </w:p>
        </w:tc>
        <w:tc>
          <w:tcPr>
            <w:tcW w:w="1758" w:type="dxa"/>
            <w:vAlign w:val="center"/>
          </w:tcPr>
          <w:p w:rsidR="000F4663" w:rsidRPr="00E32539" w:rsidRDefault="000F4663" w:rsidP="0097747A">
            <w:pPr>
              <w:rPr>
                <w:color w:val="FF0000"/>
                <w:sz w:val="22"/>
                <w:szCs w:val="20"/>
              </w:rPr>
            </w:pPr>
            <w:r w:rsidRPr="00E32539">
              <w:rPr>
                <w:bCs/>
                <w:color w:val="FF0000"/>
                <w:sz w:val="22"/>
                <w:szCs w:val="20"/>
              </w:rPr>
              <w:t>-$4,353,784</w:t>
            </w:r>
          </w:p>
        </w:tc>
        <w:tc>
          <w:tcPr>
            <w:tcW w:w="1758" w:type="dxa"/>
            <w:vAlign w:val="center"/>
          </w:tcPr>
          <w:p w:rsidR="000F4663" w:rsidRPr="00E32539" w:rsidRDefault="000F4663" w:rsidP="0097747A">
            <w:pPr>
              <w:rPr>
                <w:color w:val="FF0000"/>
                <w:sz w:val="22"/>
                <w:szCs w:val="20"/>
              </w:rPr>
            </w:pPr>
            <w:r w:rsidRPr="00E32539">
              <w:rPr>
                <w:bCs/>
                <w:color w:val="FF0000"/>
                <w:sz w:val="22"/>
                <w:szCs w:val="20"/>
              </w:rPr>
              <w:t>-$4,940,528</w:t>
            </w:r>
          </w:p>
        </w:tc>
        <w:tc>
          <w:tcPr>
            <w:tcW w:w="1758" w:type="dxa"/>
            <w:vAlign w:val="center"/>
          </w:tcPr>
          <w:p w:rsidR="000F4663" w:rsidRPr="00E32539" w:rsidRDefault="000F4663" w:rsidP="0097747A">
            <w:pPr>
              <w:rPr>
                <w:color w:val="FF0000"/>
                <w:sz w:val="22"/>
                <w:szCs w:val="20"/>
              </w:rPr>
            </w:pPr>
            <w:r w:rsidRPr="00E32539">
              <w:rPr>
                <w:bCs/>
                <w:color w:val="FF0000"/>
                <w:sz w:val="22"/>
                <w:szCs w:val="20"/>
              </w:rPr>
              <w:t>-$5,051,818</w:t>
            </w:r>
          </w:p>
        </w:tc>
      </w:tr>
      <w:tr w:rsidR="000F4663" w:rsidTr="000F4663">
        <w:tc>
          <w:tcPr>
            <w:tcW w:w="5353" w:type="dxa"/>
            <w:vAlign w:val="center"/>
          </w:tcPr>
          <w:p w:rsidR="000F4663" w:rsidRDefault="000F4663" w:rsidP="0097747A">
            <w:r>
              <w:t>1</w:t>
            </w:r>
            <w:r w:rsidRPr="006363B8">
              <w:rPr>
                <w:vertAlign w:val="superscript"/>
              </w:rPr>
              <w:t>st</w:t>
            </w:r>
            <w:r>
              <w:t xml:space="preserve"> submission, PES response, exclude low dose </w:t>
            </w:r>
            <w:r w:rsidR="001F6C5E">
              <w:t>NSAIDs</w:t>
            </w:r>
            <w:r>
              <w:t xml:space="preserve"> due to revised TGA indication for </w:t>
            </w:r>
            <w:r w:rsidR="004B2048">
              <w:t>Vimovo®</w:t>
            </w:r>
            <w:r>
              <w:t xml:space="preserve"> (revised Section E spreadsheet provided with response)</w:t>
            </w:r>
          </w:p>
        </w:tc>
        <w:tc>
          <w:tcPr>
            <w:tcW w:w="1757" w:type="dxa"/>
            <w:vAlign w:val="center"/>
          </w:tcPr>
          <w:p w:rsidR="000F4663" w:rsidRPr="00E32539" w:rsidRDefault="000F4663" w:rsidP="0097747A">
            <w:pPr>
              <w:rPr>
                <w:bCs/>
                <w:color w:val="FF0000"/>
                <w:sz w:val="22"/>
                <w:szCs w:val="20"/>
              </w:rPr>
            </w:pPr>
            <w:r w:rsidRPr="00E32539">
              <w:rPr>
                <w:bCs/>
                <w:color w:val="FF0000"/>
                <w:sz w:val="22"/>
                <w:szCs w:val="20"/>
              </w:rPr>
              <w:t>-$3,500,420</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-$6,297,998</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-$8,742,045</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-$10,155,798</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-$10,592,565</w:t>
            </w:r>
          </w:p>
        </w:tc>
      </w:tr>
      <w:tr w:rsidR="000F4663" w:rsidTr="000F4663">
        <w:tc>
          <w:tcPr>
            <w:tcW w:w="5353" w:type="dxa"/>
            <w:vAlign w:val="center"/>
          </w:tcPr>
          <w:p w:rsidR="000F4663" w:rsidRDefault="000F4663" w:rsidP="0097747A">
            <w:r>
              <w:t>1</w:t>
            </w:r>
            <w:r w:rsidRPr="006363B8">
              <w:rPr>
                <w:vertAlign w:val="superscript"/>
              </w:rPr>
              <w:t>st</w:t>
            </w:r>
            <w:r>
              <w:t xml:space="preserve"> submission DUSC evaluation (DUSC ADV5.7.5)</w:t>
            </w:r>
          </w:p>
        </w:tc>
        <w:tc>
          <w:tcPr>
            <w:tcW w:w="1757" w:type="dxa"/>
            <w:vAlign w:val="center"/>
          </w:tcPr>
          <w:p w:rsidR="000F4663" w:rsidRPr="00E32539" w:rsidRDefault="000F4663" w:rsidP="0097747A">
            <w:pPr>
              <w:rPr>
                <w:bCs/>
                <w:color w:val="FF0000"/>
                <w:sz w:val="22"/>
                <w:szCs w:val="20"/>
              </w:rPr>
            </w:pPr>
            <w:r w:rsidRPr="00E32539">
              <w:rPr>
                <w:bCs/>
                <w:color w:val="FF0000"/>
                <w:sz w:val="22"/>
                <w:szCs w:val="20"/>
              </w:rPr>
              <w:t>-$2,681,691</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-$2,965,272</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-$3,025,498</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-$2,971,834</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$2,768,669</w:t>
            </w:r>
          </w:p>
        </w:tc>
      </w:tr>
      <w:tr w:rsidR="000F4663" w:rsidTr="000F4663">
        <w:tc>
          <w:tcPr>
            <w:tcW w:w="5353" w:type="dxa"/>
            <w:vAlign w:val="center"/>
          </w:tcPr>
          <w:p w:rsidR="000F4663" w:rsidRDefault="000F4663" w:rsidP="0097747A">
            <w:r>
              <w:t>2</w:t>
            </w:r>
            <w:r w:rsidRPr="00D415FE">
              <w:rPr>
                <w:vertAlign w:val="superscript"/>
              </w:rPr>
              <w:t>nd</w:t>
            </w:r>
            <w:r>
              <w:t xml:space="preserve"> submission (Table 104, p193)</w:t>
            </w:r>
          </w:p>
        </w:tc>
        <w:tc>
          <w:tcPr>
            <w:tcW w:w="1757" w:type="dxa"/>
            <w:vAlign w:val="center"/>
          </w:tcPr>
          <w:p w:rsidR="000F4663" w:rsidRPr="00E32539" w:rsidRDefault="000F4663" w:rsidP="0097747A">
            <w:pPr>
              <w:rPr>
                <w:bCs/>
                <w:color w:val="FF0000"/>
                <w:sz w:val="22"/>
                <w:szCs w:val="20"/>
              </w:rPr>
            </w:pPr>
            <w:r w:rsidRPr="00E32539">
              <w:rPr>
                <w:bCs/>
                <w:color w:val="FF0000"/>
                <w:sz w:val="22"/>
                <w:szCs w:val="20"/>
              </w:rPr>
              <w:t>-$ 2,747,263</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  4,782,408</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  6,527,663</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  7,613,402</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  7,805,072</w:t>
            </w:r>
          </w:p>
        </w:tc>
      </w:tr>
      <w:tr w:rsidR="000F4663" w:rsidTr="000F4663">
        <w:tc>
          <w:tcPr>
            <w:tcW w:w="5353" w:type="dxa"/>
          </w:tcPr>
          <w:p w:rsidR="000F4663" w:rsidRDefault="000F4663" w:rsidP="0097747A">
            <w:r>
              <w:t>3</w:t>
            </w:r>
            <w:r w:rsidRPr="00B90D3B">
              <w:rPr>
                <w:vertAlign w:val="superscript"/>
              </w:rPr>
              <w:t>rd</w:t>
            </w:r>
            <w:r>
              <w:t xml:space="preserve"> submission (Table 19, p 34)</w:t>
            </w:r>
          </w:p>
        </w:tc>
        <w:tc>
          <w:tcPr>
            <w:tcW w:w="1757" w:type="dxa"/>
            <w:vAlign w:val="center"/>
          </w:tcPr>
          <w:p w:rsidR="000F4663" w:rsidRPr="00E32539" w:rsidRDefault="000F4663" w:rsidP="0097747A">
            <w:pPr>
              <w:rPr>
                <w:bCs/>
                <w:color w:val="FF0000"/>
                <w:sz w:val="22"/>
                <w:szCs w:val="20"/>
              </w:rPr>
            </w:pPr>
            <w:r w:rsidRPr="00E32539">
              <w:rPr>
                <w:bCs/>
                <w:color w:val="FF0000"/>
                <w:sz w:val="22"/>
                <w:szCs w:val="20"/>
              </w:rPr>
              <w:t>-$3,958,059</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-$6,559,654</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-$9,161,248</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-$10,462,045</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-$11,762,843</w:t>
            </w:r>
          </w:p>
        </w:tc>
      </w:tr>
      <w:tr w:rsidR="000F4663" w:rsidTr="000F4663">
        <w:tc>
          <w:tcPr>
            <w:tcW w:w="5353" w:type="dxa"/>
          </w:tcPr>
          <w:p w:rsidR="000F4663" w:rsidRDefault="000F4663" w:rsidP="0097747A">
            <w:r>
              <w:t>3</w:t>
            </w:r>
            <w:r w:rsidRPr="00772110">
              <w:rPr>
                <w:vertAlign w:val="superscript"/>
              </w:rPr>
              <w:t>rd</w:t>
            </w:r>
            <w:r>
              <w:t xml:space="preserve"> submission, sensitivity analysis, bringing forward remaining statutory price reductions for single-branded PPIs (Table 20, p36)</w:t>
            </w:r>
          </w:p>
        </w:tc>
        <w:tc>
          <w:tcPr>
            <w:tcW w:w="1757" w:type="dxa"/>
            <w:vAlign w:val="center"/>
          </w:tcPr>
          <w:p w:rsidR="000F4663" w:rsidRPr="00E32539" w:rsidRDefault="000F4663" w:rsidP="0097747A">
            <w:pPr>
              <w:rPr>
                <w:bCs/>
                <w:color w:val="FF0000"/>
                <w:sz w:val="22"/>
                <w:szCs w:val="20"/>
              </w:rPr>
            </w:pPr>
            <w:r w:rsidRPr="00E32539">
              <w:rPr>
                <w:bCs/>
                <w:color w:val="FF0000"/>
                <w:sz w:val="22"/>
                <w:szCs w:val="20"/>
              </w:rPr>
              <w:t>-$3,840,654</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-$5,940,798</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-$8,030,391</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-$9,165,801</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-$10,301,211</w:t>
            </w:r>
          </w:p>
        </w:tc>
      </w:tr>
      <w:tr w:rsidR="000F4663" w:rsidTr="000F4663">
        <w:tc>
          <w:tcPr>
            <w:tcW w:w="5353" w:type="dxa"/>
          </w:tcPr>
          <w:p w:rsidR="000F4663" w:rsidRDefault="000F4663" w:rsidP="0097747A">
            <w:r>
              <w:t>3</w:t>
            </w:r>
            <w:r w:rsidRPr="00772110">
              <w:rPr>
                <w:vertAlign w:val="superscript"/>
              </w:rPr>
              <w:t>rd</w:t>
            </w:r>
            <w:r>
              <w:t xml:space="preserve"> submission, pre-PBAC response, bringing forward remaining statutory price reductions and bringing forward estimated price disclosure reduction of almost 40% for single-branded PPIs (Table 1, p3)</w:t>
            </w:r>
          </w:p>
        </w:tc>
        <w:tc>
          <w:tcPr>
            <w:tcW w:w="1757" w:type="dxa"/>
            <w:vAlign w:val="center"/>
          </w:tcPr>
          <w:p w:rsidR="000F4663" w:rsidRPr="00E32539" w:rsidRDefault="000F4663" w:rsidP="0097747A">
            <w:pPr>
              <w:rPr>
                <w:bCs/>
                <w:color w:val="FF0000"/>
                <w:sz w:val="22"/>
                <w:szCs w:val="20"/>
              </w:rPr>
            </w:pPr>
            <w:r w:rsidRPr="00E32539">
              <w:rPr>
                <w:bCs/>
                <w:color w:val="FF0000"/>
                <w:sz w:val="22"/>
                <w:szCs w:val="20"/>
              </w:rPr>
              <w:t>-$1,486,437</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-$2,340,756</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-$3,195,075</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-$3,622,235</w:t>
            </w:r>
          </w:p>
        </w:tc>
        <w:tc>
          <w:tcPr>
            <w:tcW w:w="1758" w:type="dxa"/>
            <w:vAlign w:val="center"/>
          </w:tcPr>
          <w:p w:rsidR="000F4663" w:rsidRPr="00E32539" w:rsidRDefault="000F4663" w:rsidP="0097747A">
            <w:pPr>
              <w:rPr>
                <w:bCs/>
                <w:color w:val="FF0000"/>
                <w:sz w:val="22"/>
                <w:szCs w:val="20"/>
              </w:rPr>
            </w:pPr>
            <w:r w:rsidRPr="00E32539">
              <w:rPr>
                <w:bCs/>
                <w:color w:val="FF0000"/>
                <w:sz w:val="22"/>
                <w:szCs w:val="20"/>
              </w:rPr>
              <w:t>-$4,049,394</w:t>
            </w:r>
          </w:p>
        </w:tc>
      </w:tr>
    </w:tbl>
    <w:p w:rsidR="000F4663" w:rsidRDefault="000F4663" w:rsidP="0097747A">
      <w:pPr>
        <w:spacing w:after="0"/>
        <w:sectPr w:rsidR="000F4663" w:rsidSect="000F4663">
          <w:pgSz w:w="16840" w:h="11907" w:orient="landscape" w:code="9"/>
          <w:pgMar w:top="1418" w:right="1418" w:bottom="1418" w:left="1418" w:header="709" w:footer="709" w:gutter="0"/>
          <w:cols w:space="708"/>
          <w:docGrid w:linePitch="360"/>
        </w:sectPr>
      </w:pPr>
      <w:r>
        <w:t>Note that negative net costs to Governme</w:t>
      </w:r>
      <w:r w:rsidR="0097747A">
        <w:t>nt indicate incremental savings</w:t>
      </w:r>
    </w:p>
    <w:p w:rsidR="000F4663" w:rsidRDefault="000F4663" w:rsidP="0097747A">
      <w:pPr>
        <w:spacing w:after="0"/>
        <w:rPr>
          <w:highlight w:val="yellow"/>
          <w:lang w:val="en-GB"/>
        </w:rPr>
      </w:pPr>
    </w:p>
    <w:sectPr w:rsidR="000F4663" w:rsidSect="000F4663">
      <w:footerReference w:type="default" r:id="rId3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FA4" w:rsidRDefault="00335FA4" w:rsidP="00C943A1">
      <w:pPr>
        <w:spacing w:after="0" w:line="240" w:lineRule="auto"/>
      </w:pPr>
      <w:r>
        <w:separator/>
      </w:r>
    </w:p>
  </w:endnote>
  <w:endnote w:type="continuationSeparator" w:id="0">
    <w:p w:rsidR="00335FA4" w:rsidRDefault="00335FA4" w:rsidP="00C94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Default="00335FA4" w:rsidP="00D742A8">
    <w:pPr>
      <w:pStyle w:val="Footer"/>
      <w:ind w:right="360"/>
    </w:pPr>
    <w:r>
      <w:t>Independent Review: Vimovo</w:t>
    </w:r>
  </w:p>
  <w:p w:rsidR="00335FA4" w:rsidRDefault="00335FA4" w:rsidP="00D742A8">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Pr="00AE1C37" w:rsidRDefault="00335FA4" w:rsidP="00E81231">
    <w:pPr>
      <w:pStyle w:val="Footer"/>
      <w:rPr>
        <w:sz w:val="20"/>
        <w:szCs w:val="20"/>
      </w:rPr>
    </w:pPr>
    <w:r w:rsidRPr="00AE1C37">
      <w:rPr>
        <w:sz w:val="20"/>
        <w:szCs w:val="20"/>
      </w:rPr>
      <w:t xml:space="preserve">NAPROXEN with ESOMEPRAZOLE                                                                            Page </w:t>
    </w:r>
    <w:sdt>
      <w:sdtPr>
        <w:rPr>
          <w:sz w:val="20"/>
          <w:szCs w:val="20"/>
        </w:rPr>
        <w:id w:val="-240407878"/>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sidR="00CD7B03">
          <w:rPr>
            <w:noProof/>
            <w:sz w:val="20"/>
            <w:szCs w:val="20"/>
          </w:rPr>
          <w:t>84</w:t>
        </w:r>
        <w:r w:rsidRPr="00AE1C37">
          <w:rPr>
            <w:noProof/>
            <w:sz w:val="20"/>
            <w:szCs w:val="20"/>
          </w:rPr>
          <w:fldChar w:fldCharType="end"/>
        </w:r>
      </w:sdtContent>
    </w:sdt>
  </w:p>
  <w:p w:rsidR="00335FA4" w:rsidRDefault="00335FA4" w:rsidP="00E81231">
    <w:pPr>
      <w:pStyle w:val="Footer"/>
      <w:rPr>
        <w:i/>
        <w:sz w:val="20"/>
        <w:szCs w:val="20"/>
      </w:rPr>
    </w:pPr>
    <w:r w:rsidRPr="00AE1C37">
      <w:rPr>
        <w:i/>
        <w:sz w:val="20"/>
        <w:szCs w:val="20"/>
      </w:rPr>
      <w:t>May 2013 Independent Review Report on Vimovo, requested by AstraZeneca Pty Ltd</w:t>
    </w:r>
  </w:p>
  <w:p w:rsidR="00335FA4" w:rsidRPr="00AB3F49" w:rsidRDefault="00335FA4">
    <w:pPr>
      <w:pStyle w:val="Footer"/>
      <w:rPr>
        <w:i/>
        <w:sz w:val="20"/>
        <w:szCs w:val="20"/>
      </w:rPr>
    </w:pPr>
    <w:r>
      <w:rPr>
        <w:i/>
        <w:sz w:val="20"/>
        <w:szCs w:val="20"/>
      </w:rPr>
      <w:t>Attachment 5:  AstraZeneca request for Independent Review</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Default="00335FA4">
    <w:pPr>
      <w:pStyle w:val="Footer"/>
    </w:pPr>
    <w:r>
      <w:t xml:space="preserve">May 2013 Independent Review                                                                                         Page </w:t>
    </w:r>
    <w:sdt>
      <w:sdtPr>
        <w:id w:val="-6458145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13</w:t>
        </w:r>
        <w:r>
          <w:rPr>
            <w:noProof/>
          </w:rPr>
          <w:fldChar w:fldCharType="end"/>
        </w:r>
      </w:sdtContent>
    </w:sdt>
  </w:p>
  <w:p w:rsidR="00335FA4" w:rsidRDefault="00335FA4">
    <w:pPr>
      <w:pStyle w:val="Footer"/>
    </w:pPr>
    <w:r>
      <w:t>NAPROXEN with ESOMEPRAZOLE      Vimovo       AstraZeneca Pty Ltd</w:t>
    </w:r>
  </w:p>
  <w:p w:rsidR="00335FA4" w:rsidRDefault="00335F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Default="00335FA4">
    <w:pPr>
      <w:pStyle w:val="Footer"/>
      <w:jc w:val="right"/>
    </w:pPr>
  </w:p>
  <w:p w:rsidR="00335FA4" w:rsidRPr="00AE1C37" w:rsidRDefault="00335FA4" w:rsidP="006F4AB3">
    <w:pPr>
      <w:pStyle w:val="Footer"/>
      <w:rPr>
        <w:sz w:val="20"/>
        <w:szCs w:val="20"/>
      </w:rPr>
    </w:pPr>
    <w:r w:rsidRPr="00AE1C37">
      <w:rPr>
        <w:sz w:val="20"/>
        <w:szCs w:val="20"/>
      </w:rPr>
      <w:t xml:space="preserve">NAPROXEN with ESOMEPRAZOLE                              </w:t>
    </w:r>
    <w:r>
      <w:rPr>
        <w:sz w:val="20"/>
        <w:szCs w:val="20"/>
      </w:rPr>
      <w:t xml:space="preserve">                                                  </w:t>
    </w:r>
    <w:r w:rsidRPr="00AE1C37">
      <w:rPr>
        <w:sz w:val="20"/>
        <w:szCs w:val="20"/>
      </w:rPr>
      <w:t xml:space="preserve">                                        Page </w:t>
    </w:r>
    <w:sdt>
      <w:sdtPr>
        <w:rPr>
          <w:sz w:val="20"/>
          <w:szCs w:val="20"/>
        </w:rPr>
        <w:id w:val="25844971"/>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sidR="00CD7B03">
          <w:rPr>
            <w:noProof/>
            <w:sz w:val="20"/>
            <w:szCs w:val="20"/>
          </w:rPr>
          <w:t>1</w:t>
        </w:r>
        <w:r w:rsidRPr="00AE1C37">
          <w:rPr>
            <w:noProof/>
            <w:sz w:val="20"/>
            <w:szCs w:val="20"/>
          </w:rPr>
          <w:fldChar w:fldCharType="end"/>
        </w:r>
      </w:sdtContent>
    </w:sdt>
  </w:p>
  <w:p w:rsidR="00335FA4" w:rsidRDefault="00335FA4" w:rsidP="006F4AB3">
    <w:pPr>
      <w:pStyle w:val="Footer"/>
      <w:rPr>
        <w:i/>
        <w:sz w:val="20"/>
        <w:szCs w:val="20"/>
      </w:rPr>
    </w:pPr>
    <w:r w:rsidRPr="00AE1C37">
      <w:rPr>
        <w:i/>
        <w:sz w:val="20"/>
        <w:szCs w:val="20"/>
      </w:rPr>
      <w:t>May 2013 Independent Review Report on Vimovo, requested by AstraZeneca Pty Ltd</w:t>
    </w:r>
  </w:p>
  <w:p w:rsidR="00335FA4" w:rsidRDefault="00335FA4" w:rsidP="00D742A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Pr="00AE1C37" w:rsidRDefault="00335FA4" w:rsidP="00E82E9A">
    <w:pPr>
      <w:pStyle w:val="Footer"/>
      <w:rPr>
        <w:sz w:val="20"/>
        <w:szCs w:val="20"/>
      </w:rPr>
    </w:pPr>
    <w:r w:rsidRPr="00AE1C37">
      <w:rPr>
        <w:sz w:val="20"/>
        <w:szCs w:val="20"/>
      </w:rPr>
      <w:t xml:space="preserve">NAPROXEN with ESOMEPRAZOLE                                       </w:t>
    </w:r>
    <w:r>
      <w:rPr>
        <w:sz w:val="20"/>
        <w:szCs w:val="20"/>
      </w:rPr>
      <w:t xml:space="preserve">                                                 </w:t>
    </w:r>
    <w:r w:rsidRPr="00AE1C37">
      <w:rPr>
        <w:sz w:val="20"/>
        <w:szCs w:val="20"/>
      </w:rPr>
      <w:t xml:space="preserve">                                     Page </w:t>
    </w:r>
    <w:sdt>
      <w:sdtPr>
        <w:rPr>
          <w:sz w:val="20"/>
          <w:szCs w:val="20"/>
        </w:rPr>
        <w:id w:val="25844972"/>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sidR="00CD7B03">
          <w:rPr>
            <w:noProof/>
            <w:sz w:val="20"/>
            <w:szCs w:val="20"/>
          </w:rPr>
          <w:t>19</w:t>
        </w:r>
        <w:r w:rsidRPr="00AE1C37">
          <w:rPr>
            <w:noProof/>
            <w:sz w:val="20"/>
            <w:szCs w:val="20"/>
          </w:rPr>
          <w:fldChar w:fldCharType="end"/>
        </w:r>
      </w:sdtContent>
    </w:sdt>
  </w:p>
  <w:p w:rsidR="00335FA4" w:rsidRDefault="00335FA4" w:rsidP="00E82E9A">
    <w:pPr>
      <w:pStyle w:val="Footer"/>
      <w:rPr>
        <w:i/>
        <w:sz w:val="20"/>
        <w:szCs w:val="20"/>
      </w:rPr>
    </w:pPr>
    <w:r w:rsidRPr="00AE1C37">
      <w:rPr>
        <w:i/>
        <w:sz w:val="20"/>
        <w:szCs w:val="20"/>
      </w:rPr>
      <w:t>May 2013 Independent Review Report on Vimovo, requested by AstraZeneca Pty Ltd</w:t>
    </w:r>
  </w:p>
  <w:p w:rsidR="00335FA4" w:rsidRDefault="00335F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Default="00335FA4">
    <w:pPr>
      <w:pStyle w:val="Footer"/>
      <w:jc w:val="right"/>
    </w:pPr>
  </w:p>
  <w:p w:rsidR="00335FA4" w:rsidRPr="00AE1C37" w:rsidRDefault="00335FA4" w:rsidP="004E64F6">
    <w:pPr>
      <w:pStyle w:val="Footer"/>
      <w:rPr>
        <w:sz w:val="20"/>
        <w:szCs w:val="20"/>
      </w:rPr>
    </w:pPr>
    <w:r w:rsidRPr="00AE1C37">
      <w:rPr>
        <w:sz w:val="20"/>
        <w:szCs w:val="20"/>
      </w:rPr>
      <w:t xml:space="preserve">NAPROXEN with ESOMEPRAZOLE                                       </w:t>
    </w:r>
    <w:r>
      <w:rPr>
        <w:sz w:val="20"/>
        <w:szCs w:val="20"/>
      </w:rPr>
      <w:t xml:space="preserve">                                                 </w:t>
    </w:r>
    <w:r w:rsidRPr="00AE1C37">
      <w:rPr>
        <w:sz w:val="20"/>
        <w:szCs w:val="20"/>
      </w:rPr>
      <w:t xml:space="preserve">                                     Page </w:t>
    </w:r>
    <w:sdt>
      <w:sdtPr>
        <w:rPr>
          <w:sz w:val="20"/>
          <w:szCs w:val="20"/>
        </w:rPr>
        <w:id w:val="25844967"/>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sidR="00CD7B03">
          <w:rPr>
            <w:noProof/>
            <w:sz w:val="20"/>
            <w:szCs w:val="20"/>
          </w:rPr>
          <w:t>31</w:t>
        </w:r>
        <w:r w:rsidRPr="00AE1C37">
          <w:rPr>
            <w:noProof/>
            <w:sz w:val="20"/>
            <w:szCs w:val="20"/>
          </w:rPr>
          <w:fldChar w:fldCharType="end"/>
        </w:r>
      </w:sdtContent>
    </w:sdt>
  </w:p>
  <w:p w:rsidR="00335FA4" w:rsidRDefault="00335FA4" w:rsidP="004E64F6">
    <w:pPr>
      <w:pStyle w:val="Footer"/>
      <w:rPr>
        <w:i/>
        <w:sz w:val="20"/>
        <w:szCs w:val="20"/>
      </w:rPr>
    </w:pPr>
    <w:r w:rsidRPr="00AE1C37">
      <w:rPr>
        <w:i/>
        <w:sz w:val="20"/>
        <w:szCs w:val="20"/>
      </w:rPr>
      <w:t>May 2013 Independent Review Report on Vimovo, requested by AstraZeneca Pty Ltd</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Pr="00AE1C37" w:rsidRDefault="00335FA4" w:rsidP="00E81231">
    <w:pPr>
      <w:pStyle w:val="Footer"/>
      <w:rPr>
        <w:sz w:val="20"/>
        <w:szCs w:val="20"/>
      </w:rPr>
    </w:pPr>
    <w:r w:rsidRPr="00AE1C37">
      <w:rPr>
        <w:sz w:val="20"/>
        <w:szCs w:val="20"/>
      </w:rPr>
      <w:t xml:space="preserve">NAPROXEN with ESOMEPRAZOLE                                 </w:t>
    </w:r>
    <w:r>
      <w:rPr>
        <w:sz w:val="20"/>
        <w:szCs w:val="20"/>
      </w:rPr>
      <w:t xml:space="preserve">                                                </w:t>
    </w:r>
    <w:r w:rsidRPr="00AE1C37">
      <w:rPr>
        <w:sz w:val="20"/>
        <w:szCs w:val="20"/>
      </w:rPr>
      <w:t xml:space="preserve">                                           Page </w:t>
    </w:r>
    <w:sdt>
      <w:sdtPr>
        <w:rPr>
          <w:sz w:val="20"/>
          <w:szCs w:val="20"/>
        </w:rPr>
        <w:id w:val="675995333"/>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Pr>
            <w:noProof/>
            <w:sz w:val="20"/>
            <w:szCs w:val="20"/>
          </w:rPr>
          <w:t>33</w:t>
        </w:r>
        <w:r w:rsidRPr="00AE1C37">
          <w:rPr>
            <w:noProof/>
            <w:sz w:val="20"/>
            <w:szCs w:val="20"/>
          </w:rPr>
          <w:fldChar w:fldCharType="end"/>
        </w:r>
      </w:sdtContent>
    </w:sdt>
  </w:p>
  <w:p w:rsidR="00335FA4" w:rsidRDefault="00335FA4" w:rsidP="00E81231">
    <w:pPr>
      <w:pStyle w:val="Footer"/>
      <w:rPr>
        <w:i/>
        <w:sz w:val="20"/>
        <w:szCs w:val="20"/>
      </w:rPr>
    </w:pPr>
    <w:r w:rsidRPr="00AE1C37">
      <w:rPr>
        <w:i/>
        <w:sz w:val="20"/>
        <w:szCs w:val="20"/>
      </w:rPr>
      <w:t>May 2013 Independent Review Report on Vimovo, requested by AstraZeneca Pty Ltd</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Default="00335FA4">
    <w:pPr>
      <w:pStyle w:val="Footer"/>
      <w:jc w:val="right"/>
    </w:pPr>
  </w:p>
  <w:p w:rsidR="00335FA4" w:rsidRPr="00AE1C37" w:rsidRDefault="00335FA4" w:rsidP="004E64F6">
    <w:pPr>
      <w:pStyle w:val="Footer"/>
      <w:rPr>
        <w:sz w:val="20"/>
        <w:szCs w:val="20"/>
      </w:rPr>
    </w:pPr>
    <w:r w:rsidRPr="00AE1C37">
      <w:rPr>
        <w:sz w:val="20"/>
        <w:szCs w:val="20"/>
      </w:rPr>
      <w:t xml:space="preserve">NAPROXEN with ESOMEPRAZOLE          </w:t>
    </w:r>
    <w:r>
      <w:rPr>
        <w:sz w:val="20"/>
        <w:szCs w:val="20"/>
      </w:rPr>
      <w:t xml:space="preserve">                                                 </w:t>
    </w:r>
    <w:r w:rsidRPr="00AE1C37">
      <w:rPr>
        <w:sz w:val="20"/>
        <w:szCs w:val="20"/>
      </w:rPr>
      <w:t xml:space="preserve">                                                                  Page </w:t>
    </w:r>
    <w:sdt>
      <w:sdtPr>
        <w:rPr>
          <w:sz w:val="20"/>
          <w:szCs w:val="20"/>
        </w:rPr>
        <w:id w:val="25844920"/>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sidR="00CD7B03">
          <w:rPr>
            <w:noProof/>
            <w:sz w:val="20"/>
            <w:szCs w:val="20"/>
          </w:rPr>
          <w:t>62</w:t>
        </w:r>
        <w:r w:rsidRPr="00AE1C37">
          <w:rPr>
            <w:noProof/>
            <w:sz w:val="20"/>
            <w:szCs w:val="20"/>
          </w:rPr>
          <w:fldChar w:fldCharType="end"/>
        </w:r>
      </w:sdtContent>
    </w:sdt>
  </w:p>
  <w:p w:rsidR="00335FA4" w:rsidRDefault="00335FA4" w:rsidP="004E64F6">
    <w:pPr>
      <w:pStyle w:val="Footer"/>
      <w:rPr>
        <w:i/>
        <w:sz w:val="20"/>
        <w:szCs w:val="20"/>
      </w:rPr>
    </w:pPr>
    <w:r w:rsidRPr="00AE1C37">
      <w:rPr>
        <w:i/>
        <w:sz w:val="20"/>
        <w:szCs w:val="20"/>
      </w:rPr>
      <w:t>May 2013 Independent Review Report on Vimovo, requested by AstraZeneca Pty Ltd</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Pr="00AE1C37" w:rsidRDefault="00335FA4" w:rsidP="00E81231">
    <w:pPr>
      <w:pStyle w:val="Footer"/>
      <w:rPr>
        <w:sz w:val="20"/>
        <w:szCs w:val="20"/>
      </w:rPr>
    </w:pPr>
    <w:r w:rsidRPr="00AE1C37">
      <w:rPr>
        <w:sz w:val="20"/>
        <w:szCs w:val="20"/>
      </w:rPr>
      <w:t xml:space="preserve">NAPROXEN with ESOMEPRAZOLE                                                                            Page </w:t>
    </w:r>
    <w:sdt>
      <w:sdtPr>
        <w:rPr>
          <w:sz w:val="20"/>
          <w:szCs w:val="20"/>
        </w:rPr>
        <w:id w:val="1465929117"/>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sidR="00CD7B03">
          <w:rPr>
            <w:noProof/>
            <w:sz w:val="20"/>
            <w:szCs w:val="20"/>
          </w:rPr>
          <w:t>63</w:t>
        </w:r>
        <w:r w:rsidRPr="00AE1C37">
          <w:rPr>
            <w:noProof/>
            <w:sz w:val="20"/>
            <w:szCs w:val="20"/>
          </w:rPr>
          <w:fldChar w:fldCharType="end"/>
        </w:r>
      </w:sdtContent>
    </w:sdt>
  </w:p>
  <w:p w:rsidR="00335FA4" w:rsidRDefault="00335FA4" w:rsidP="00E81231">
    <w:pPr>
      <w:pStyle w:val="Footer"/>
      <w:rPr>
        <w:i/>
        <w:sz w:val="20"/>
        <w:szCs w:val="20"/>
      </w:rPr>
    </w:pPr>
    <w:r w:rsidRPr="00AE1C37">
      <w:rPr>
        <w:i/>
        <w:sz w:val="20"/>
        <w:szCs w:val="20"/>
      </w:rPr>
      <w:t>May 2013 Independent Review Report on Vimovo, requested by AstraZeneca Pty Ltd</w:t>
    </w:r>
  </w:p>
  <w:p w:rsidR="00335FA4" w:rsidRPr="00AB3F49" w:rsidRDefault="00335FA4" w:rsidP="00796CD9">
    <w:pPr>
      <w:pStyle w:val="Footer"/>
      <w:rPr>
        <w:i/>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Default="00335FA4">
    <w:pPr>
      <w:pStyle w:val="Footer"/>
      <w:rPr>
        <w:sz w:val="20"/>
        <w:szCs w:val="20"/>
      </w:rPr>
    </w:pPr>
    <w:r>
      <w:rPr>
        <w:sz w:val="20"/>
        <w:szCs w:val="20"/>
      </w:rPr>
      <w:t>_______________________________________________________________________</w:t>
    </w:r>
  </w:p>
  <w:p w:rsidR="00335FA4" w:rsidRPr="00AE1C37" w:rsidRDefault="00335FA4">
    <w:pPr>
      <w:pStyle w:val="Footer"/>
      <w:rPr>
        <w:sz w:val="20"/>
        <w:szCs w:val="20"/>
      </w:rPr>
    </w:pPr>
    <w:r w:rsidRPr="00AE1C37">
      <w:rPr>
        <w:sz w:val="20"/>
        <w:szCs w:val="20"/>
      </w:rPr>
      <w:t xml:space="preserve">NAPROXEN with ESOMEPRAZOLE                                                                            Page </w:t>
    </w:r>
    <w:sdt>
      <w:sdtPr>
        <w:rPr>
          <w:sz w:val="20"/>
          <w:szCs w:val="20"/>
        </w:rPr>
        <w:id w:val="1922290455"/>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sidR="00CD7B03">
          <w:rPr>
            <w:noProof/>
            <w:sz w:val="20"/>
            <w:szCs w:val="20"/>
          </w:rPr>
          <w:t>83</w:t>
        </w:r>
        <w:r w:rsidRPr="00AE1C37">
          <w:rPr>
            <w:noProof/>
            <w:sz w:val="20"/>
            <w:szCs w:val="20"/>
          </w:rPr>
          <w:fldChar w:fldCharType="end"/>
        </w:r>
      </w:sdtContent>
    </w:sdt>
  </w:p>
  <w:p w:rsidR="00335FA4" w:rsidRDefault="00335FA4">
    <w:pPr>
      <w:pStyle w:val="Footer"/>
      <w:rPr>
        <w:i/>
        <w:sz w:val="20"/>
        <w:szCs w:val="20"/>
      </w:rPr>
    </w:pPr>
    <w:r w:rsidRPr="00AE1C37">
      <w:rPr>
        <w:i/>
        <w:sz w:val="20"/>
        <w:szCs w:val="20"/>
      </w:rPr>
      <w:t>May 2013 Independent Review Report on Vimovo, requested by AstraZeneca Pty Ltd</w:t>
    </w:r>
  </w:p>
  <w:p w:rsidR="00335FA4" w:rsidRPr="00AE1C37" w:rsidRDefault="00335FA4">
    <w:pPr>
      <w:pStyle w:val="Footer"/>
      <w:rPr>
        <w:i/>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FA4" w:rsidRPr="00AE1C37" w:rsidRDefault="00335FA4" w:rsidP="00E81231">
    <w:pPr>
      <w:pStyle w:val="Footer"/>
      <w:rPr>
        <w:sz w:val="20"/>
        <w:szCs w:val="20"/>
      </w:rPr>
    </w:pPr>
    <w:r w:rsidRPr="00AE1C37">
      <w:rPr>
        <w:sz w:val="20"/>
        <w:szCs w:val="20"/>
      </w:rPr>
      <w:t xml:space="preserve">NAPROXEN with ESOMEPRAZOLE                                                                            Page </w:t>
    </w:r>
    <w:sdt>
      <w:sdtPr>
        <w:rPr>
          <w:sz w:val="20"/>
          <w:szCs w:val="20"/>
        </w:rPr>
        <w:id w:val="-1111423396"/>
        <w:docPartObj>
          <w:docPartGallery w:val="Page Numbers (Bottom of Page)"/>
          <w:docPartUnique/>
        </w:docPartObj>
      </w:sdtPr>
      <w:sdtEndPr>
        <w:rPr>
          <w:noProof/>
        </w:rPr>
      </w:sdtEndPr>
      <w:sdtContent>
        <w:r w:rsidRPr="00AE1C37">
          <w:rPr>
            <w:sz w:val="20"/>
            <w:szCs w:val="20"/>
          </w:rPr>
          <w:fldChar w:fldCharType="begin"/>
        </w:r>
        <w:r w:rsidRPr="00AE1C37">
          <w:rPr>
            <w:sz w:val="20"/>
            <w:szCs w:val="20"/>
          </w:rPr>
          <w:instrText xml:space="preserve"> PAGE   \* MERGEFORMAT </w:instrText>
        </w:r>
        <w:r w:rsidRPr="00AE1C37">
          <w:rPr>
            <w:sz w:val="20"/>
            <w:szCs w:val="20"/>
          </w:rPr>
          <w:fldChar w:fldCharType="separate"/>
        </w:r>
        <w:r w:rsidR="00CD7B03">
          <w:rPr>
            <w:noProof/>
            <w:sz w:val="20"/>
            <w:szCs w:val="20"/>
          </w:rPr>
          <w:t>64</w:t>
        </w:r>
        <w:r w:rsidRPr="00AE1C37">
          <w:rPr>
            <w:noProof/>
            <w:sz w:val="20"/>
            <w:szCs w:val="20"/>
          </w:rPr>
          <w:fldChar w:fldCharType="end"/>
        </w:r>
      </w:sdtContent>
    </w:sdt>
  </w:p>
  <w:p w:rsidR="00335FA4" w:rsidRDefault="00335FA4" w:rsidP="00E81231">
    <w:pPr>
      <w:pStyle w:val="Footer"/>
      <w:rPr>
        <w:i/>
        <w:sz w:val="20"/>
        <w:szCs w:val="20"/>
      </w:rPr>
    </w:pPr>
    <w:r w:rsidRPr="00AE1C37">
      <w:rPr>
        <w:i/>
        <w:sz w:val="20"/>
        <w:szCs w:val="20"/>
      </w:rPr>
      <w:t>May 2013 Independent Review Report on Vimovo, requested by AstraZeneca Pty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FA4" w:rsidRDefault="00335FA4" w:rsidP="00C943A1">
      <w:pPr>
        <w:spacing w:after="0" w:line="240" w:lineRule="auto"/>
      </w:pPr>
      <w:r>
        <w:separator/>
      </w:r>
    </w:p>
  </w:footnote>
  <w:footnote w:type="continuationSeparator" w:id="0">
    <w:p w:rsidR="00335FA4" w:rsidRDefault="00335FA4" w:rsidP="00C943A1">
      <w:pPr>
        <w:spacing w:after="0" w:line="240" w:lineRule="auto"/>
      </w:pPr>
      <w:r>
        <w:continuationSeparator/>
      </w:r>
    </w:p>
  </w:footnote>
  <w:footnote w:id="1">
    <w:p w:rsidR="00335FA4" w:rsidRDefault="00335FA4">
      <w:pPr>
        <w:pStyle w:val="FootnoteText"/>
      </w:pPr>
      <w:r>
        <w:rPr>
          <w:rStyle w:val="FootnoteReference"/>
        </w:rPr>
        <w:footnoteRef/>
      </w:r>
      <w:r>
        <w:t xml:space="preserve"> This is the text in column 1 of Table 1</w:t>
      </w:r>
    </w:p>
  </w:footnote>
  <w:footnote w:id="2">
    <w:p w:rsidR="00335FA4" w:rsidRDefault="00335FA4">
      <w:pPr>
        <w:pStyle w:val="FootnoteText"/>
      </w:pPr>
      <w:r>
        <w:rPr>
          <w:rStyle w:val="FootnoteReference"/>
        </w:rPr>
        <w:footnoteRef/>
      </w:r>
      <w:r>
        <w:t xml:space="preserve"> This is Table 2</w:t>
      </w:r>
    </w:p>
  </w:footnote>
  <w:footnote w:id="3">
    <w:p w:rsidR="00335FA4" w:rsidRDefault="00335FA4" w:rsidP="00202915">
      <w:pPr>
        <w:pStyle w:val="FootnoteText"/>
      </w:pPr>
      <w:r>
        <w:rPr>
          <w:rStyle w:val="FootnoteReference"/>
        </w:rPr>
        <w:footnoteRef/>
      </w:r>
      <w:r>
        <w:t xml:space="preserve"> </w:t>
      </w:r>
      <w:r w:rsidRPr="0011794A">
        <w:t>1.A.6 is</w:t>
      </w:r>
      <w:r w:rsidRPr="0011794A">
        <w:rPr>
          <w:rFonts w:ascii="Arial" w:hAnsi="Arial"/>
          <w:sz w:val="23"/>
          <w:szCs w:val="23"/>
        </w:rPr>
        <w:t xml:space="preserve"> </w:t>
      </w:r>
      <w:r w:rsidRPr="0011794A">
        <w:t>“ An assessment of the validity, reliability and responsiveness of the method for measuring the PSM</w:t>
      </w:r>
      <w:r>
        <w:t>.”</w:t>
      </w:r>
    </w:p>
  </w:footnote>
  <w:footnote w:id="4">
    <w:p w:rsidR="00335FA4" w:rsidRDefault="00335FA4">
      <w:pPr>
        <w:pStyle w:val="FootnoteText"/>
      </w:pPr>
      <w:r>
        <w:rPr>
          <w:rStyle w:val="FootnoteReference"/>
        </w:rPr>
        <w:footnoteRef/>
      </w:r>
      <w:r>
        <w:t xml:space="preserve"> Quoted from agreed minutes of meeting between the Primary Reviewer and the Chair, PBAC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392"/>
      <w:gridCol w:w="8865"/>
    </w:tblGrid>
    <w:tr w:rsidR="00335FA4" w:rsidRPr="0025191F" w:rsidTr="00D742A8">
      <w:tc>
        <w:tcPr>
          <w:tcW w:w="212" w:type="pct"/>
          <w:tcBorders>
            <w:bottom w:val="nil"/>
            <w:right w:val="single" w:sz="4" w:space="0" w:color="BFBFBF"/>
          </w:tcBorders>
        </w:tcPr>
        <w:p w:rsidR="00335FA4" w:rsidRPr="007B7F10" w:rsidRDefault="00335FA4" w:rsidP="00D742A8">
          <w:pPr>
            <w:spacing w:after="0" w:line="240" w:lineRule="auto"/>
            <w:rPr>
              <w:rFonts w:ascii="Calibri" w:eastAsia="Cambria" w:hAnsi="Calibri"/>
              <w:b/>
              <w:color w:val="595959" w:themeColor="text1" w:themeTint="A6"/>
              <w:szCs w:val="24"/>
            </w:rPr>
          </w:pPr>
          <w:r w:rsidRPr="007B7F10">
            <w:rPr>
              <w:rFonts w:ascii="Calibri" w:hAnsi="Calibri"/>
              <w:b/>
              <w:color w:val="595959" w:themeColor="text1" w:themeTint="A6"/>
              <w:szCs w:val="24"/>
            </w:rPr>
            <w:fldChar w:fldCharType="begin"/>
          </w:r>
          <w:r w:rsidRPr="007B7F10">
            <w:rPr>
              <w:rFonts w:ascii="Calibri" w:hAnsi="Calibri"/>
              <w:b/>
              <w:color w:val="595959" w:themeColor="text1" w:themeTint="A6"/>
              <w:szCs w:val="24"/>
            </w:rPr>
            <w:instrText xml:space="preserve"> PAGE   \* MERGEFORMAT </w:instrText>
          </w:r>
          <w:r w:rsidRPr="007B7F10">
            <w:rPr>
              <w:rFonts w:ascii="Calibri" w:hAnsi="Calibri"/>
              <w:b/>
              <w:color w:val="595959" w:themeColor="text1" w:themeTint="A6"/>
              <w:szCs w:val="24"/>
            </w:rPr>
            <w:fldChar w:fldCharType="separate"/>
          </w:r>
          <w:r>
            <w:rPr>
              <w:rFonts w:ascii="Calibri" w:hAnsi="Calibri"/>
              <w:b/>
              <w:noProof/>
              <w:color w:val="595959" w:themeColor="text1" w:themeTint="A6"/>
              <w:szCs w:val="24"/>
            </w:rPr>
            <w:t>2</w:t>
          </w:r>
          <w:r w:rsidRPr="007B7F10">
            <w:rPr>
              <w:rFonts w:ascii="Calibri" w:hAnsi="Calibri"/>
              <w:b/>
              <w:color w:val="595959" w:themeColor="text1" w:themeTint="A6"/>
              <w:szCs w:val="24"/>
            </w:rPr>
            <w:fldChar w:fldCharType="end"/>
          </w:r>
        </w:p>
      </w:tc>
      <w:tc>
        <w:tcPr>
          <w:tcW w:w="4788" w:type="pct"/>
          <w:tcBorders>
            <w:left w:val="single" w:sz="4" w:space="0" w:color="BFBFBF"/>
            <w:bottom w:val="nil"/>
          </w:tcBorders>
        </w:tcPr>
        <w:p w:rsidR="00335FA4" w:rsidRPr="0025191F" w:rsidRDefault="00335FA4" w:rsidP="00D742A8">
          <w:pPr>
            <w:spacing w:after="0" w:line="240" w:lineRule="auto"/>
            <w:rPr>
              <w:rFonts w:ascii="Calibri" w:eastAsia="Cambria" w:hAnsi="Calibri"/>
              <w:color w:val="595959" w:themeColor="text1" w:themeTint="A6"/>
              <w:szCs w:val="24"/>
            </w:rPr>
          </w:pPr>
        </w:p>
      </w:tc>
    </w:tr>
  </w:tbl>
  <w:p w:rsidR="00335FA4" w:rsidRDefault="00335F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10" w:type="pct"/>
      <w:tblBorders>
        <w:bottom w:val="single" w:sz="4" w:space="0" w:color="BFBFBF"/>
      </w:tblBorders>
      <w:tblCellMar>
        <w:left w:w="115" w:type="dxa"/>
        <w:right w:w="115" w:type="dxa"/>
      </w:tblCellMar>
      <w:tblLook w:val="04A0" w:firstRow="1" w:lastRow="0" w:firstColumn="1" w:lastColumn="0" w:noHBand="0" w:noVBand="1"/>
    </w:tblPr>
    <w:tblGrid>
      <w:gridCol w:w="8905"/>
    </w:tblGrid>
    <w:tr w:rsidR="00335FA4" w:rsidRPr="0025191F" w:rsidTr="00D742A8">
      <w:tc>
        <w:tcPr>
          <w:tcW w:w="5000" w:type="pct"/>
          <w:tcBorders>
            <w:bottom w:val="nil"/>
            <w:right w:val="single" w:sz="4" w:space="0" w:color="BFBFBF"/>
          </w:tcBorders>
        </w:tcPr>
        <w:p w:rsidR="00335FA4" w:rsidRPr="007B7F10" w:rsidRDefault="00335FA4" w:rsidP="00D742A8">
          <w:pPr>
            <w:spacing w:after="0" w:line="240" w:lineRule="auto"/>
            <w:jc w:val="right"/>
            <w:rPr>
              <w:rFonts w:ascii="Calibri" w:eastAsia="Cambria" w:hAnsi="Calibri"/>
              <w:b/>
              <w:color w:val="595959" w:themeColor="text1" w:themeTint="A6"/>
              <w:szCs w:val="24"/>
            </w:rPr>
          </w:pPr>
        </w:p>
      </w:tc>
    </w:tr>
  </w:tbl>
  <w:p w:rsidR="00335FA4" w:rsidRDefault="00335F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7ED" w:rsidRDefault="00DE47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239F4"/>
    <w:multiLevelType w:val="hybridMultilevel"/>
    <w:tmpl w:val="F3883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D176075"/>
    <w:multiLevelType w:val="hybridMultilevel"/>
    <w:tmpl w:val="79701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267E56"/>
    <w:multiLevelType w:val="hybridMultilevel"/>
    <w:tmpl w:val="078A7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F9507E2"/>
    <w:multiLevelType w:val="hybridMultilevel"/>
    <w:tmpl w:val="96A0E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E74C8"/>
    <w:multiLevelType w:val="hybridMultilevel"/>
    <w:tmpl w:val="01928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F719E6"/>
    <w:multiLevelType w:val="hybridMultilevel"/>
    <w:tmpl w:val="A5705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01A7920"/>
    <w:multiLevelType w:val="hybridMultilevel"/>
    <w:tmpl w:val="655E5E5E"/>
    <w:lvl w:ilvl="0" w:tplc="C41C1CAA">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3D45415"/>
    <w:multiLevelType w:val="hybridMultilevel"/>
    <w:tmpl w:val="DB76C0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5370685"/>
    <w:multiLevelType w:val="hybridMultilevel"/>
    <w:tmpl w:val="1606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8B2984"/>
    <w:multiLevelType w:val="hybridMultilevel"/>
    <w:tmpl w:val="A9165922"/>
    <w:lvl w:ilvl="0" w:tplc="0C090011">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15C31E50"/>
    <w:multiLevelType w:val="hybridMultilevel"/>
    <w:tmpl w:val="34DEB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405CA1"/>
    <w:multiLevelType w:val="hybridMultilevel"/>
    <w:tmpl w:val="C074A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FC2167C"/>
    <w:multiLevelType w:val="hybridMultilevel"/>
    <w:tmpl w:val="9C9EE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2A3B73"/>
    <w:multiLevelType w:val="hybridMultilevel"/>
    <w:tmpl w:val="C2BE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AC685A"/>
    <w:multiLevelType w:val="hybridMultilevel"/>
    <w:tmpl w:val="1B5AB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9655302"/>
    <w:multiLevelType w:val="hybridMultilevel"/>
    <w:tmpl w:val="B9825938"/>
    <w:lvl w:ilvl="0" w:tplc="C80CF3C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9FE1E90"/>
    <w:multiLevelType w:val="hybridMultilevel"/>
    <w:tmpl w:val="475E7534"/>
    <w:lvl w:ilvl="0" w:tplc="BAB4436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C1A2A98"/>
    <w:multiLevelType w:val="hybridMultilevel"/>
    <w:tmpl w:val="93D4B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C2952CA"/>
    <w:multiLevelType w:val="hybridMultilevel"/>
    <w:tmpl w:val="9012A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E6A46CF"/>
    <w:multiLevelType w:val="hybridMultilevel"/>
    <w:tmpl w:val="C478E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EB5237E"/>
    <w:multiLevelType w:val="hybridMultilevel"/>
    <w:tmpl w:val="8F94C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97C1C20"/>
    <w:multiLevelType w:val="hybridMultilevel"/>
    <w:tmpl w:val="7708FE7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2">
    <w:nsid w:val="3ABF6D5F"/>
    <w:multiLevelType w:val="hybridMultilevel"/>
    <w:tmpl w:val="238861E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nsid w:val="3B1E3EF6"/>
    <w:multiLevelType w:val="hybridMultilevel"/>
    <w:tmpl w:val="5FAEF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EE17496"/>
    <w:multiLevelType w:val="hybridMultilevel"/>
    <w:tmpl w:val="7BB67782"/>
    <w:lvl w:ilvl="0" w:tplc="AF606AE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05370CD"/>
    <w:multiLevelType w:val="hybridMultilevel"/>
    <w:tmpl w:val="C250F9D6"/>
    <w:lvl w:ilvl="0" w:tplc="478C39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A46DB9"/>
    <w:multiLevelType w:val="hybridMultilevel"/>
    <w:tmpl w:val="1EC03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7E5634"/>
    <w:multiLevelType w:val="hybridMultilevel"/>
    <w:tmpl w:val="9472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AD3237"/>
    <w:multiLevelType w:val="hybridMultilevel"/>
    <w:tmpl w:val="34C25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9E92D45"/>
    <w:multiLevelType w:val="hybridMultilevel"/>
    <w:tmpl w:val="F8E05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A112F5B"/>
    <w:multiLevelType w:val="hybridMultilevel"/>
    <w:tmpl w:val="ECD40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ECB170C"/>
    <w:multiLevelType w:val="hybridMultilevel"/>
    <w:tmpl w:val="A836A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1964121"/>
    <w:multiLevelType w:val="hybridMultilevel"/>
    <w:tmpl w:val="475E7534"/>
    <w:lvl w:ilvl="0" w:tplc="BAB4436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66647AF"/>
    <w:multiLevelType w:val="hybridMultilevel"/>
    <w:tmpl w:val="AFF6F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6B10724"/>
    <w:multiLevelType w:val="hybridMultilevel"/>
    <w:tmpl w:val="475E7534"/>
    <w:lvl w:ilvl="0" w:tplc="BAB4436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57EA754D"/>
    <w:multiLevelType w:val="hybridMultilevel"/>
    <w:tmpl w:val="97AA0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DA12897"/>
    <w:multiLevelType w:val="hybridMultilevel"/>
    <w:tmpl w:val="E38AC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FE51B0D"/>
    <w:multiLevelType w:val="hybridMultilevel"/>
    <w:tmpl w:val="FEF22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0556321"/>
    <w:multiLevelType w:val="hybridMultilevel"/>
    <w:tmpl w:val="72209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11522E6"/>
    <w:multiLevelType w:val="hybridMultilevel"/>
    <w:tmpl w:val="2B64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18A277D"/>
    <w:multiLevelType w:val="hybridMultilevel"/>
    <w:tmpl w:val="364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F836B3"/>
    <w:multiLevelType w:val="hybridMultilevel"/>
    <w:tmpl w:val="3EDCD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4FF5AC5"/>
    <w:multiLevelType w:val="hybridMultilevel"/>
    <w:tmpl w:val="259C1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A11529C"/>
    <w:multiLevelType w:val="hybridMultilevel"/>
    <w:tmpl w:val="E8F46D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nsid w:val="6A766F40"/>
    <w:multiLevelType w:val="hybridMultilevel"/>
    <w:tmpl w:val="5478E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81418D"/>
    <w:multiLevelType w:val="hybridMultilevel"/>
    <w:tmpl w:val="DCC6201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6">
    <w:nsid w:val="71B86568"/>
    <w:multiLevelType w:val="hybridMultilevel"/>
    <w:tmpl w:val="3FFCF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597754B"/>
    <w:multiLevelType w:val="hybridMultilevel"/>
    <w:tmpl w:val="513CFD1A"/>
    <w:lvl w:ilvl="0" w:tplc="CEBA61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7F151E11"/>
    <w:multiLevelType w:val="hybridMultilevel"/>
    <w:tmpl w:val="75D4D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F506AF6"/>
    <w:multiLevelType w:val="hybridMultilevel"/>
    <w:tmpl w:val="6F4AD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F6C20EC"/>
    <w:multiLevelType w:val="hybridMultilevel"/>
    <w:tmpl w:val="12A257FE"/>
    <w:lvl w:ilvl="0" w:tplc="6FBC015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36"/>
  </w:num>
  <w:num w:numId="3">
    <w:abstractNumId w:val="45"/>
  </w:num>
  <w:num w:numId="4">
    <w:abstractNumId w:val="32"/>
  </w:num>
  <w:num w:numId="5">
    <w:abstractNumId w:val="30"/>
  </w:num>
  <w:num w:numId="6">
    <w:abstractNumId w:val="48"/>
  </w:num>
  <w:num w:numId="7">
    <w:abstractNumId w:val="42"/>
  </w:num>
  <w:num w:numId="8">
    <w:abstractNumId w:val="49"/>
  </w:num>
  <w:num w:numId="9">
    <w:abstractNumId w:val="13"/>
  </w:num>
  <w:num w:numId="10">
    <w:abstractNumId w:val="1"/>
  </w:num>
  <w:num w:numId="11">
    <w:abstractNumId w:val="21"/>
  </w:num>
  <w:num w:numId="12">
    <w:abstractNumId w:val="40"/>
  </w:num>
  <w:num w:numId="13">
    <w:abstractNumId w:val="39"/>
  </w:num>
  <w:num w:numId="14">
    <w:abstractNumId w:val="8"/>
  </w:num>
  <w:num w:numId="15">
    <w:abstractNumId w:val="26"/>
  </w:num>
  <w:num w:numId="16">
    <w:abstractNumId w:val="25"/>
  </w:num>
  <w:num w:numId="17">
    <w:abstractNumId w:val="46"/>
  </w:num>
  <w:num w:numId="18">
    <w:abstractNumId w:val="27"/>
  </w:num>
  <w:num w:numId="19">
    <w:abstractNumId w:val="3"/>
  </w:num>
  <w:num w:numId="20">
    <w:abstractNumId w:val="44"/>
  </w:num>
  <w:num w:numId="21">
    <w:abstractNumId w:val="10"/>
  </w:num>
  <w:num w:numId="22">
    <w:abstractNumId w:val="35"/>
  </w:num>
  <w:num w:numId="23">
    <w:abstractNumId w:val="6"/>
  </w:num>
  <w:num w:numId="24">
    <w:abstractNumId w:val="38"/>
  </w:num>
  <w:num w:numId="25">
    <w:abstractNumId w:val="24"/>
  </w:num>
  <w:num w:numId="26">
    <w:abstractNumId w:val="9"/>
  </w:num>
  <w:num w:numId="27">
    <w:abstractNumId w:val="37"/>
  </w:num>
  <w:num w:numId="28">
    <w:abstractNumId w:val="2"/>
  </w:num>
  <w:num w:numId="29">
    <w:abstractNumId w:val="20"/>
  </w:num>
  <w:num w:numId="30">
    <w:abstractNumId w:val="41"/>
  </w:num>
  <w:num w:numId="31">
    <w:abstractNumId w:val="5"/>
  </w:num>
  <w:num w:numId="32">
    <w:abstractNumId w:val="16"/>
  </w:num>
  <w:num w:numId="33">
    <w:abstractNumId w:val="43"/>
  </w:num>
  <w:num w:numId="34">
    <w:abstractNumId w:val="34"/>
  </w:num>
  <w:num w:numId="35">
    <w:abstractNumId w:val="17"/>
  </w:num>
  <w:num w:numId="36">
    <w:abstractNumId w:val="29"/>
  </w:num>
  <w:num w:numId="37">
    <w:abstractNumId w:val="0"/>
  </w:num>
  <w:num w:numId="38">
    <w:abstractNumId w:val="31"/>
  </w:num>
  <w:num w:numId="39">
    <w:abstractNumId w:val="15"/>
  </w:num>
  <w:num w:numId="40">
    <w:abstractNumId w:val="4"/>
  </w:num>
  <w:num w:numId="41">
    <w:abstractNumId w:val="14"/>
  </w:num>
  <w:num w:numId="42">
    <w:abstractNumId w:val="50"/>
  </w:num>
  <w:num w:numId="43">
    <w:abstractNumId w:val="18"/>
  </w:num>
  <w:num w:numId="44">
    <w:abstractNumId w:val="23"/>
  </w:num>
  <w:num w:numId="45">
    <w:abstractNumId w:val="28"/>
  </w:num>
  <w:num w:numId="46">
    <w:abstractNumId w:val="33"/>
  </w:num>
  <w:num w:numId="47">
    <w:abstractNumId w:val="12"/>
  </w:num>
  <w:num w:numId="48">
    <w:abstractNumId w:val="19"/>
  </w:num>
  <w:num w:numId="49">
    <w:abstractNumId w:val="22"/>
  </w:num>
  <w:num w:numId="50">
    <w:abstractNumId w:val="7"/>
  </w:num>
  <w:num w:numId="5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68"/>
    <w:rsid w:val="00013AD2"/>
    <w:rsid w:val="000262C2"/>
    <w:rsid w:val="00030534"/>
    <w:rsid w:val="00032AEE"/>
    <w:rsid w:val="00034AA5"/>
    <w:rsid w:val="000360B3"/>
    <w:rsid w:val="0003727E"/>
    <w:rsid w:val="0004075F"/>
    <w:rsid w:val="00041F5C"/>
    <w:rsid w:val="000438EA"/>
    <w:rsid w:val="000547EF"/>
    <w:rsid w:val="000703AA"/>
    <w:rsid w:val="0007307A"/>
    <w:rsid w:val="00077330"/>
    <w:rsid w:val="00081E81"/>
    <w:rsid w:val="000A12A2"/>
    <w:rsid w:val="000C1073"/>
    <w:rsid w:val="000C5703"/>
    <w:rsid w:val="000E03B7"/>
    <w:rsid w:val="000F2CCA"/>
    <w:rsid w:val="000F4663"/>
    <w:rsid w:val="00136151"/>
    <w:rsid w:val="0015211B"/>
    <w:rsid w:val="00170191"/>
    <w:rsid w:val="001812E8"/>
    <w:rsid w:val="00183B6E"/>
    <w:rsid w:val="00185843"/>
    <w:rsid w:val="00192346"/>
    <w:rsid w:val="00193F69"/>
    <w:rsid w:val="001C2BF4"/>
    <w:rsid w:val="001D087B"/>
    <w:rsid w:val="001F6C5E"/>
    <w:rsid w:val="00202915"/>
    <w:rsid w:val="00205DAE"/>
    <w:rsid w:val="00217512"/>
    <w:rsid w:val="0023575A"/>
    <w:rsid w:val="00236B3D"/>
    <w:rsid w:val="00240122"/>
    <w:rsid w:val="00254180"/>
    <w:rsid w:val="00265623"/>
    <w:rsid w:val="00277B82"/>
    <w:rsid w:val="00277E5B"/>
    <w:rsid w:val="002909E6"/>
    <w:rsid w:val="002A5C7C"/>
    <w:rsid w:val="002B0BFA"/>
    <w:rsid w:val="002C1FEF"/>
    <w:rsid w:val="002C5CFE"/>
    <w:rsid w:val="002C7660"/>
    <w:rsid w:val="002D47BD"/>
    <w:rsid w:val="002E0A95"/>
    <w:rsid w:val="002E2E68"/>
    <w:rsid w:val="002E3E21"/>
    <w:rsid w:val="002F790E"/>
    <w:rsid w:val="00303025"/>
    <w:rsid w:val="003046B2"/>
    <w:rsid w:val="003072B4"/>
    <w:rsid w:val="003130B0"/>
    <w:rsid w:val="003233C6"/>
    <w:rsid w:val="00335FA4"/>
    <w:rsid w:val="00336520"/>
    <w:rsid w:val="0034362A"/>
    <w:rsid w:val="00361630"/>
    <w:rsid w:val="00372262"/>
    <w:rsid w:val="00373465"/>
    <w:rsid w:val="003824EF"/>
    <w:rsid w:val="0038571E"/>
    <w:rsid w:val="003A4FE6"/>
    <w:rsid w:val="003A6C11"/>
    <w:rsid w:val="003B5F81"/>
    <w:rsid w:val="003C097C"/>
    <w:rsid w:val="003C23D3"/>
    <w:rsid w:val="003D7032"/>
    <w:rsid w:val="003E7E52"/>
    <w:rsid w:val="003F3694"/>
    <w:rsid w:val="00403347"/>
    <w:rsid w:val="004117DD"/>
    <w:rsid w:val="0045598B"/>
    <w:rsid w:val="0045691D"/>
    <w:rsid w:val="00487DBE"/>
    <w:rsid w:val="004931A9"/>
    <w:rsid w:val="004A6C8C"/>
    <w:rsid w:val="004A704A"/>
    <w:rsid w:val="004A7E53"/>
    <w:rsid w:val="004B2048"/>
    <w:rsid w:val="004D4269"/>
    <w:rsid w:val="004E2A82"/>
    <w:rsid w:val="004E64F6"/>
    <w:rsid w:val="00502656"/>
    <w:rsid w:val="0050421D"/>
    <w:rsid w:val="00505318"/>
    <w:rsid w:val="00511937"/>
    <w:rsid w:val="005150C8"/>
    <w:rsid w:val="00522C5E"/>
    <w:rsid w:val="00530431"/>
    <w:rsid w:val="00530828"/>
    <w:rsid w:val="00546335"/>
    <w:rsid w:val="00552566"/>
    <w:rsid w:val="00561F14"/>
    <w:rsid w:val="005656B0"/>
    <w:rsid w:val="005756E7"/>
    <w:rsid w:val="0058580E"/>
    <w:rsid w:val="0059755F"/>
    <w:rsid w:val="005A2761"/>
    <w:rsid w:val="005B0353"/>
    <w:rsid w:val="005B708E"/>
    <w:rsid w:val="005C74C9"/>
    <w:rsid w:val="005D1594"/>
    <w:rsid w:val="005F5F80"/>
    <w:rsid w:val="006002F9"/>
    <w:rsid w:val="00615957"/>
    <w:rsid w:val="00641247"/>
    <w:rsid w:val="00650609"/>
    <w:rsid w:val="00665EE2"/>
    <w:rsid w:val="006931A9"/>
    <w:rsid w:val="006A2058"/>
    <w:rsid w:val="006C235F"/>
    <w:rsid w:val="006C4B7D"/>
    <w:rsid w:val="006D6974"/>
    <w:rsid w:val="006F0622"/>
    <w:rsid w:val="006F4AB3"/>
    <w:rsid w:val="006F5189"/>
    <w:rsid w:val="006F68E3"/>
    <w:rsid w:val="0070160A"/>
    <w:rsid w:val="007310BD"/>
    <w:rsid w:val="007436F4"/>
    <w:rsid w:val="007455AC"/>
    <w:rsid w:val="00751E70"/>
    <w:rsid w:val="00751EE5"/>
    <w:rsid w:val="00761AFC"/>
    <w:rsid w:val="007658E8"/>
    <w:rsid w:val="0077513A"/>
    <w:rsid w:val="00780888"/>
    <w:rsid w:val="00783CB2"/>
    <w:rsid w:val="00796CD9"/>
    <w:rsid w:val="007A128E"/>
    <w:rsid w:val="007B5049"/>
    <w:rsid w:val="007D7B91"/>
    <w:rsid w:val="007E202F"/>
    <w:rsid w:val="007E4932"/>
    <w:rsid w:val="007F4E20"/>
    <w:rsid w:val="00805CE9"/>
    <w:rsid w:val="008214CA"/>
    <w:rsid w:val="00825BE1"/>
    <w:rsid w:val="00833210"/>
    <w:rsid w:val="00853197"/>
    <w:rsid w:val="00853824"/>
    <w:rsid w:val="008607C8"/>
    <w:rsid w:val="00866532"/>
    <w:rsid w:val="00881786"/>
    <w:rsid w:val="008832CE"/>
    <w:rsid w:val="00883775"/>
    <w:rsid w:val="00896BB8"/>
    <w:rsid w:val="008A2EF5"/>
    <w:rsid w:val="008B43EF"/>
    <w:rsid w:val="008B5C10"/>
    <w:rsid w:val="008C515F"/>
    <w:rsid w:val="008D0FDD"/>
    <w:rsid w:val="008F14E2"/>
    <w:rsid w:val="008F368F"/>
    <w:rsid w:val="008F64E7"/>
    <w:rsid w:val="0090148E"/>
    <w:rsid w:val="00902F79"/>
    <w:rsid w:val="009036FD"/>
    <w:rsid w:val="0093211C"/>
    <w:rsid w:val="0095222B"/>
    <w:rsid w:val="00954559"/>
    <w:rsid w:val="0095668C"/>
    <w:rsid w:val="0097289C"/>
    <w:rsid w:val="0097747A"/>
    <w:rsid w:val="0098187D"/>
    <w:rsid w:val="009838E9"/>
    <w:rsid w:val="009879E1"/>
    <w:rsid w:val="009C5F0F"/>
    <w:rsid w:val="009E3163"/>
    <w:rsid w:val="009E75BA"/>
    <w:rsid w:val="009F31FF"/>
    <w:rsid w:val="00A00023"/>
    <w:rsid w:val="00A0328B"/>
    <w:rsid w:val="00A172DC"/>
    <w:rsid w:val="00A27297"/>
    <w:rsid w:val="00A312FB"/>
    <w:rsid w:val="00A34545"/>
    <w:rsid w:val="00A43160"/>
    <w:rsid w:val="00A60513"/>
    <w:rsid w:val="00A6657B"/>
    <w:rsid w:val="00A82440"/>
    <w:rsid w:val="00A824AD"/>
    <w:rsid w:val="00A96EFC"/>
    <w:rsid w:val="00AB3F49"/>
    <w:rsid w:val="00AD08F2"/>
    <w:rsid w:val="00AD0EDA"/>
    <w:rsid w:val="00AD4DC1"/>
    <w:rsid w:val="00AE1C37"/>
    <w:rsid w:val="00AF04B7"/>
    <w:rsid w:val="00B02946"/>
    <w:rsid w:val="00B1000F"/>
    <w:rsid w:val="00B220D4"/>
    <w:rsid w:val="00B4230C"/>
    <w:rsid w:val="00B546DE"/>
    <w:rsid w:val="00B65DCB"/>
    <w:rsid w:val="00B66466"/>
    <w:rsid w:val="00B776E2"/>
    <w:rsid w:val="00B803FF"/>
    <w:rsid w:val="00B83E56"/>
    <w:rsid w:val="00B84C34"/>
    <w:rsid w:val="00BC459B"/>
    <w:rsid w:val="00BC7AA0"/>
    <w:rsid w:val="00BF320E"/>
    <w:rsid w:val="00C10D5A"/>
    <w:rsid w:val="00C1275E"/>
    <w:rsid w:val="00C268CC"/>
    <w:rsid w:val="00C312EC"/>
    <w:rsid w:val="00C53552"/>
    <w:rsid w:val="00C55166"/>
    <w:rsid w:val="00C76B7C"/>
    <w:rsid w:val="00C92F39"/>
    <w:rsid w:val="00C92F48"/>
    <w:rsid w:val="00C943A1"/>
    <w:rsid w:val="00C95A79"/>
    <w:rsid w:val="00C96D5F"/>
    <w:rsid w:val="00CD70C8"/>
    <w:rsid w:val="00CD7B03"/>
    <w:rsid w:val="00CF3449"/>
    <w:rsid w:val="00CF4668"/>
    <w:rsid w:val="00D12C44"/>
    <w:rsid w:val="00D25D76"/>
    <w:rsid w:val="00D37379"/>
    <w:rsid w:val="00D410D1"/>
    <w:rsid w:val="00D447D9"/>
    <w:rsid w:val="00D458AC"/>
    <w:rsid w:val="00D609F8"/>
    <w:rsid w:val="00D60CC5"/>
    <w:rsid w:val="00D737FF"/>
    <w:rsid w:val="00D742A8"/>
    <w:rsid w:val="00D8372A"/>
    <w:rsid w:val="00DA0E4A"/>
    <w:rsid w:val="00DA35A1"/>
    <w:rsid w:val="00DB0AC3"/>
    <w:rsid w:val="00DD069D"/>
    <w:rsid w:val="00DD71F2"/>
    <w:rsid w:val="00DE1068"/>
    <w:rsid w:val="00DE47ED"/>
    <w:rsid w:val="00E23F24"/>
    <w:rsid w:val="00E451FA"/>
    <w:rsid w:val="00E52388"/>
    <w:rsid w:val="00E52FCB"/>
    <w:rsid w:val="00E53949"/>
    <w:rsid w:val="00E66F81"/>
    <w:rsid w:val="00E738B0"/>
    <w:rsid w:val="00E81231"/>
    <w:rsid w:val="00E82E9A"/>
    <w:rsid w:val="00EA5A38"/>
    <w:rsid w:val="00EB7246"/>
    <w:rsid w:val="00EC0163"/>
    <w:rsid w:val="00EC0209"/>
    <w:rsid w:val="00EC14E6"/>
    <w:rsid w:val="00EC556C"/>
    <w:rsid w:val="00EC576B"/>
    <w:rsid w:val="00EC5BC1"/>
    <w:rsid w:val="00ED0A60"/>
    <w:rsid w:val="00ED2D6D"/>
    <w:rsid w:val="00ED53CD"/>
    <w:rsid w:val="00EF0AFE"/>
    <w:rsid w:val="00EF4503"/>
    <w:rsid w:val="00EF48D8"/>
    <w:rsid w:val="00F01A2C"/>
    <w:rsid w:val="00F16D34"/>
    <w:rsid w:val="00F27F7D"/>
    <w:rsid w:val="00F36821"/>
    <w:rsid w:val="00F41E86"/>
    <w:rsid w:val="00F459FF"/>
    <w:rsid w:val="00F5523F"/>
    <w:rsid w:val="00F575E3"/>
    <w:rsid w:val="00F66A0C"/>
    <w:rsid w:val="00F72CAD"/>
    <w:rsid w:val="00F85CDB"/>
    <w:rsid w:val="00FD2BD6"/>
    <w:rsid w:val="00FD5B14"/>
    <w:rsid w:val="00FE0AF9"/>
    <w:rsid w:val="00FE16FB"/>
    <w:rsid w:val="00FF32CE"/>
    <w:rsid w:val="00FF7C8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353"/>
    <w:pPr>
      <w:spacing w:after="120"/>
    </w:pPr>
    <w:rPr>
      <w:rFonts w:asciiTheme="minorHAnsi" w:hAnsiTheme="minorHAnsi"/>
    </w:rPr>
  </w:style>
  <w:style w:type="paragraph" w:styleId="Heading1">
    <w:name w:val="heading 1"/>
    <w:basedOn w:val="Normal"/>
    <w:next w:val="Normal"/>
    <w:link w:val="Heading1Char"/>
    <w:uiPriority w:val="9"/>
    <w:qFormat/>
    <w:rsid w:val="00C268CC"/>
    <w:pPr>
      <w:keepNext/>
      <w:keepLines/>
      <w:spacing w:before="480" w:after="0"/>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C268CC"/>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C268CC"/>
    <w:pPr>
      <w:keepNext/>
      <w:keepLines/>
      <w:spacing w:before="200" w:after="0"/>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2C1FEF"/>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8D0FD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D0FDD"/>
    <w:pPr>
      <w:keepNext/>
      <w:keepLines/>
      <w:spacing w:before="200" w:after="0" w:line="240" w:lineRule="auto"/>
      <w:outlineLvl w:val="5"/>
    </w:pPr>
    <w:rPr>
      <w:rFonts w:asciiTheme="majorHAnsi" w:eastAsiaTheme="majorEastAsia" w:hAnsiTheme="majorHAnsi" w:cstheme="majorBidi"/>
      <w:i/>
      <w:iCs/>
      <w:color w:val="243F60" w:themeColor="accent1" w:themeShade="7F"/>
      <w:szCs w:val="24"/>
      <w:lang w:val="en-US"/>
    </w:rPr>
  </w:style>
  <w:style w:type="paragraph" w:styleId="Heading7">
    <w:name w:val="heading 7"/>
    <w:basedOn w:val="Normal"/>
    <w:next w:val="Normal"/>
    <w:link w:val="Heading7Char"/>
    <w:uiPriority w:val="9"/>
    <w:unhideWhenUsed/>
    <w:qFormat/>
    <w:rsid w:val="008D0FDD"/>
    <w:pPr>
      <w:keepNext/>
      <w:keepLines/>
      <w:spacing w:before="200" w:after="0" w:line="240" w:lineRule="auto"/>
      <w:outlineLvl w:val="6"/>
    </w:pPr>
    <w:rPr>
      <w:rFonts w:asciiTheme="majorHAnsi" w:eastAsiaTheme="majorEastAsia" w:hAnsiTheme="majorHAnsi" w:cstheme="majorBidi"/>
      <w:i/>
      <w:iCs/>
      <w:color w:val="404040" w:themeColor="text1" w:themeTint="BF"/>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43A1"/>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943A1"/>
    <w:rPr>
      <w:rFonts w:ascii="Garamond" w:eastAsiaTheme="majorEastAsia" w:hAnsi="Garamond" w:cstheme="majorBidi"/>
      <w:spacing w:val="5"/>
      <w:kern w:val="28"/>
      <w:sz w:val="52"/>
      <w:szCs w:val="52"/>
    </w:rPr>
  </w:style>
  <w:style w:type="paragraph" w:styleId="BalloonText">
    <w:name w:val="Balloon Text"/>
    <w:basedOn w:val="Normal"/>
    <w:link w:val="BalloonTextChar"/>
    <w:uiPriority w:val="99"/>
    <w:semiHidden/>
    <w:unhideWhenUsed/>
    <w:rsid w:val="00C94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3A1"/>
    <w:rPr>
      <w:rFonts w:ascii="Tahoma" w:hAnsi="Tahoma" w:cs="Tahoma"/>
      <w:sz w:val="16"/>
      <w:szCs w:val="16"/>
    </w:rPr>
  </w:style>
  <w:style w:type="table" w:styleId="TableGrid">
    <w:name w:val="Table Grid"/>
    <w:basedOn w:val="TableNormal"/>
    <w:uiPriority w:val="59"/>
    <w:rsid w:val="00C943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943A1"/>
    <w:rPr>
      <w:sz w:val="16"/>
      <w:szCs w:val="16"/>
    </w:rPr>
  </w:style>
  <w:style w:type="paragraph" w:styleId="CommentText">
    <w:name w:val="annotation text"/>
    <w:basedOn w:val="Normal"/>
    <w:link w:val="CommentTextChar"/>
    <w:uiPriority w:val="99"/>
    <w:semiHidden/>
    <w:unhideWhenUsed/>
    <w:rsid w:val="00C943A1"/>
    <w:pPr>
      <w:spacing w:line="240" w:lineRule="auto"/>
    </w:pPr>
    <w:rPr>
      <w:sz w:val="20"/>
      <w:szCs w:val="20"/>
    </w:rPr>
  </w:style>
  <w:style w:type="character" w:customStyle="1" w:styleId="CommentTextChar">
    <w:name w:val="Comment Text Char"/>
    <w:basedOn w:val="DefaultParagraphFont"/>
    <w:link w:val="CommentText"/>
    <w:uiPriority w:val="99"/>
    <w:semiHidden/>
    <w:rsid w:val="00C943A1"/>
    <w:rPr>
      <w:sz w:val="20"/>
      <w:szCs w:val="20"/>
    </w:rPr>
  </w:style>
  <w:style w:type="paragraph" w:styleId="CommentSubject">
    <w:name w:val="annotation subject"/>
    <w:basedOn w:val="CommentText"/>
    <w:next w:val="CommentText"/>
    <w:link w:val="CommentSubjectChar"/>
    <w:uiPriority w:val="99"/>
    <w:semiHidden/>
    <w:unhideWhenUsed/>
    <w:rsid w:val="00C943A1"/>
    <w:rPr>
      <w:b/>
      <w:bCs/>
    </w:rPr>
  </w:style>
  <w:style w:type="character" w:customStyle="1" w:styleId="CommentSubjectChar">
    <w:name w:val="Comment Subject Char"/>
    <w:basedOn w:val="CommentTextChar"/>
    <w:link w:val="CommentSubject"/>
    <w:uiPriority w:val="99"/>
    <w:semiHidden/>
    <w:rsid w:val="00C943A1"/>
    <w:rPr>
      <w:b/>
      <w:bCs/>
      <w:sz w:val="20"/>
      <w:szCs w:val="20"/>
    </w:rPr>
  </w:style>
  <w:style w:type="paragraph" w:styleId="Revision">
    <w:name w:val="Revision"/>
    <w:hidden/>
    <w:uiPriority w:val="99"/>
    <w:semiHidden/>
    <w:rsid w:val="00C943A1"/>
    <w:pPr>
      <w:spacing w:after="0" w:line="240" w:lineRule="auto"/>
    </w:pPr>
  </w:style>
  <w:style w:type="paragraph" w:styleId="Header">
    <w:name w:val="header"/>
    <w:basedOn w:val="Normal"/>
    <w:link w:val="HeaderChar"/>
    <w:uiPriority w:val="99"/>
    <w:unhideWhenUsed/>
    <w:rsid w:val="00C943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3A1"/>
  </w:style>
  <w:style w:type="paragraph" w:styleId="Footer">
    <w:name w:val="footer"/>
    <w:basedOn w:val="Normal"/>
    <w:link w:val="FooterChar"/>
    <w:uiPriority w:val="99"/>
    <w:unhideWhenUsed/>
    <w:rsid w:val="00C943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3A1"/>
  </w:style>
  <w:style w:type="character" w:customStyle="1" w:styleId="Heading1Char">
    <w:name w:val="Heading 1 Char"/>
    <w:basedOn w:val="DefaultParagraphFont"/>
    <w:link w:val="Heading1"/>
    <w:uiPriority w:val="9"/>
    <w:rsid w:val="00C268CC"/>
    <w:rPr>
      <w:rFonts w:asciiTheme="majorHAnsi" w:eastAsiaTheme="majorEastAsia" w:hAnsiTheme="majorHAnsi" w:cstheme="majorBidi"/>
      <w:b/>
      <w:bCs/>
      <w:sz w:val="36"/>
      <w:szCs w:val="28"/>
    </w:rPr>
  </w:style>
  <w:style w:type="paragraph" w:styleId="TOCHeading">
    <w:name w:val="TOC Heading"/>
    <w:basedOn w:val="Heading1"/>
    <w:next w:val="Normal"/>
    <w:uiPriority w:val="39"/>
    <w:unhideWhenUsed/>
    <w:qFormat/>
    <w:rsid w:val="003046B2"/>
    <w:pPr>
      <w:outlineLvl w:val="9"/>
    </w:pPr>
    <w:rPr>
      <w:lang w:val="en-US" w:eastAsia="ja-JP"/>
    </w:rPr>
  </w:style>
  <w:style w:type="paragraph" w:customStyle="1" w:styleId="Default">
    <w:name w:val="Default"/>
    <w:rsid w:val="002A5C7C"/>
    <w:pPr>
      <w:autoSpaceDE w:val="0"/>
      <w:autoSpaceDN w:val="0"/>
      <w:adjustRightInd w:val="0"/>
      <w:spacing w:after="0" w:line="240" w:lineRule="auto"/>
    </w:pPr>
    <w:rPr>
      <w:rFonts w:ascii="Arial" w:hAnsi="Arial" w:cs="Arial"/>
      <w:color w:val="000000"/>
      <w:szCs w:val="24"/>
    </w:rPr>
  </w:style>
  <w:style w:type="paragraph" w:customStyle="1" w:styleId="Tableheadings">
    <w:name w:val="Table headings"/>
    <w:basedOn w:val="Default"/>
    <w:next w:val="Default"/>
    <w:uiPriority w:val="99"/>
    <w:rsid w:val="002A5C7C"/>
    <w:rPr>
      <w:color w:val="auto"/>
    </w:rPr>
  </w:style>
  <w:style w:type="paragraph" w:customStyle="1" w:styleId="TableText">
    <w:name w:val="TableText"/>
    <w:basedOn w:val="Default"/>
    <w:next w:val="Default"/>
    <w:uiPriority w:val="99"/>
    <w:rsid w:val="002A5C7C"/>
    <w:rPr>
      <w:color w:val="auto"/>
    </w:rPr>
  </w:style>
  <w:style w:type="character" w:customStyle="1" w:styleId="Heading2Char">
    <w:name w:val="Heading 2 Char"/>
    <w:basedOn w:val="DefaultParagraphFont"/>
    <w:link w:val="Heading2"/>
    <w:uiPriority w:val="9"/>
    <w:rsid w:val="00C268CC"/>
    <w:rPr>
      <w:rFonts w:asciiTheme="majorHAnsi" w:eastAsiaTheme="majorEastAsia" w:hAnsiTheme="majorHAnsi" w:cstheme="majorBidi"/>
      <w:b/>
      <w:bCs/>
      <w:sz w:val="32"/>
      <w:szCs w:val="26"/>
    </w:rPr>
  </w:style>
  <w:style w:type="paragraph" w:styleId="ListParagraph">
    <w:name w:val="List Paragraph"/>
    <w:basedOn w:val="Normal"/>
    <w:uiPriority w:val="34"/>
    <w:qFormat/>
    <w:rsid w:val="00D458AC"/>
    <w:pPr>
      <w:ind w:left="720"/>
      <w:contextualSpacing/>
    </w:pPr>
  </w:style>
  <w:style w:type="paragraph" w:styleId="TOC1">
    <w:name w:val="toc 1"/>
    <w:basedOn w:val="Normal"/>
    <w:next w:val="Normal"/>
    <w:autoRedefine/>
    <w:uiPriority w:val="39"/>
    <w:unhideWhenUsed/>
    <w:rsid w:val="007B5049"/>
    <w:pPr>
      <w:tabs>
        <w:tab w:val="right" w:leader="dot" w:pos="9017"/>
      </w:tabs>
      <w:spacing w:after="0" w:line="240" w:lineRule="auto"/>
    </w:pPr>
    <w:rPr>
      <w:noProof/>
      <w:sz w:val="20"/>
      <w:szCs w:val="20"/>
    </w:rPr>
  </w:style>
  <w:style w:type="paragraph" w:styleId="TOC2">
    <w:name w:val="toc 2"/>
    <w:basedOn w:val="Normal"/>
    <w:next w:val="Normal"/>
    <w:autoRedefine/>
    <w:uiPriority w:val="39"/>
    <w:unhideWhenUsed/>
    <w:rsid w:val="000F4663"/>
    <w:pPr>
      <w:spacing w:after="100"/>
      <w:ind w:left="240"/>
    </w:pPr>
  </w:style>
  <w:style w:type="character" w:styleId="Hyperlink">
    <w:name w:val="Hyperlink"/>
    <w:basedOn w:val="DefaultParagraphFont"/>
    <w:uiPriority w:val="99"/>
    <w:unhideWhenUsed/>
    <w:rsid w:val="000F4663"/>
    <w:rPr>
      <w:color w:val="0000FF" w:themeColor="hyperlink"/>
      <w:u w:val="single"/>
    </w:rPr>
  </w:style>
  <w:style w:type="character" w:customStyle="1" w:styleId="Heading3Char">
    <w:name w:val="Heading 3 Char"/>
    <w:basedOn w:val="DefaultParagraphFont"/>
    <w:link w:val="Heading3"/>
    <w:uiPriority w:val="9"/>
    <w:rsid w:val="00C268CC"/>
    <w:rPr>
      <w:rFonts w:asciiTheme="majorHAnsi" w:eastAsiaTheme="majorEastAsia" w:hAnsiTheme="majorHAnsi" w:cstheme="majorBidi"/>
      <w:b/>
      <w:bCs/>
      <w:sz w:val="28"/>
    </w:rPr>
  </w:style>
  <w:style w:type="paragraph" w:styleId="Caption">
    <w:name w:val="caption"/>
    <w:basedOn w:val="Normal"/>
    <w:next w:val="Normal"/>
    <w:uiPriority w:val="35"/>
    <w:semiHidden/>
    <w:qFormat/>
    <w:rsid w:val="000F4663"/>
    <w:pPr>
      <w:spacing w:line="240" w:lineRule="auto"/>
      <w:jc w:val="both"/>
    </w:pPr>
    <w:rPr>
      <w:rFonts w:ascii="Arial" w:hAnsi="Arial" w:cs="Arial"/>
      <w:b/>
      <w:bCs/>
      <w:color w:val="4F81BD" w:themeColor="accent1"/>
      <w:sz w:val="18"/>
      <w:szCs w:val="18"/>
    </w:rPr>
  </w:style>
  <w:style w:type="paragraph" w:styleId="TOC3">
    <w:name w:val="toc 3"/>
    <w:basedOn w:val="Normal"/>
    <w:next w:val="Normal"/>
    <w:autoRedefine/>
    <w:uiPriority w:val="39"/>
    <w:unhideWhenUsed/>
    <w:rsid w:val="00B220D4"/>
    <w:pPr>
      <w:spacing w:after="100"/>
      <w:ind w:left="480"/>
    </w:pPr>
  </w:style>
  <w:style w:type="character" w:customStyle="1" w:styleId="Heading4Char">
    <w:name w:val="Heading 4 Char"/>
    <w:basedOn w:val="DefaultParagraphFont"/>
    <w:link w:val="Heading4"/>
    <w:uiPriority w:val="9"/>
    <w:rsid w:val="002C1FE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8D0FDD"/>
    <w:rPr>
      <w:rFonts w:asciiTheme="majorHAnsi" w:eastAsiaTheme="majorEastAsia" w:hAnsiTheme="majorHAnsi" w:cstheme="majorBidi"/>
      <w:color w:val="243F60" w:themeColor="accent1" w:themeShade="7F"/>
    </w:rPr>
  </w:style>
  <w:style w:type="paragraph" w:styleId="TOC4">
    <w:name w:val="toc 4"/>
    <w:basedOn w:val="Normal"/>
    <w:next w:val="Normal"/>
    <w:autoRedefine/>
    <w:uiPriority w:val="39"/>
    <w:unhideWhenUsed/>
    <w:rsid w:val="008D0FDD"/>
    <w:pPr>
      <w:spacing w:after="100"/>
      <w:ind w:left="720"/>
    </w:pPr>
  </w:style>
  <w:style w:type="paragraph" w:styleId="TOC5">
    <w:name w:val="toc 5"/>
    <w:basedOn w:val="Normal"/>
    <w:next w:val="Normal"/>
    <w:autoRedefine/>
    <w:uiPriority w:val="39"/>
    <w:unhideWhenUsed/>
    <w:rsid w:val="008D0FDD"/>
    <w:pPr>
      <w:spacing w:after="100"/>
      <w:ind w:left="960"/>
    </w:pPr>
  </w:style>
  <w:style w:type="paragraph" w:styleId="TOC6">
    <w:name w:val="toc 6"/>
    <w:basedOn w:val="Normal"/>
    <w:next w:val="Normal"/>
    <w:autoRedefine/>
    <w:uiPriority w:val="39"/>
    <w:unhideWhenUsed/>
    <w:rsid w:val="008D0FDD"/>
    <w:pPr>
      <w:spacing w:after="100"/>
      <w:ind w:left="1200"/>
    </w:pPr>
  </w:style>
  <w:style w:type="character" w:customStyle="1" w:styleId="Heading6Char">
    <w:name w:val="Heading 6 Char"/>
    <w:basedOn w:val="DefaultParagraphFont"/>
    <w:link w:val="Heading6"/>
    <w:uiPriority w:val="9"/>
    <w:rsid w:val="008D0FDD"/>
    <w:rPr>
      <w:rFonts w:asciiTheme="majorHAnsi" w:eastAsiaTheme="majorEastAsia" w:hAnsiTheme="majorHAnsi" w:cstheme="majorBidi"/>
      <w:i/>
      <w:iCs/>
      <w:color w:val="243F60" w:themeColor="accent1" w:themeShade="7F"/>
      <w:szCs w:val="24"/>
      <w:lang w:val="en-US"/>
    </w:rPr>
  </w:style>
  <w:style w:type="character" w:customStyle="1" w:styleId="Heading7Char">
    <w:name w:val="Heading 7 Char"/>
    <w:basedOn w:val="DefaultParagraphFont"/>
    <w:link w:val="Heading7"/>
    <w:uiPriority w:val="9"/>
    <w:rsid w:val="008D0FDD"/>
    <w:rPr>
      <w:rFonts w:asciiTheme="majorHAnsi" w:eastAsiaTheme="majorEastAsia" w:hAnsiTheme="majorHAnsi" w:cstheme="majorBidi"/>
      <w:i/>
      <w:iCs/>
      <w:color w:val="404040" w:themeColor="text1" w:themeTint="BF"/>
      <w:szCs w:val="24"/>
      <w:lang w:val="en-US"/>
    </w:rPr>
  </w:style>
  <w:style w:type="paragraph" w:styleId="BodyText">
    <w:name w:val="Body Text"/>
    <w:basedOn w:val="Normal"/>
    <w:link w:val="BodyTextChar"/>
    <w:uiPriority w:val="99"/>
    <w:semiHidden/>
    <w:unhideWhenUsed/>
    <w:rsid w:val="008D0FDD"/>
    <w:pPr>
      <w:spacing w:line="240" w:lineRule="auto"/>
    </w:pPr>
    <w:rPr>
      <w:rFonts w:ascii="Calibri" w:eastAsiaTheme="minorEastAsia" w:hAnsi="Calibri"/>
      <w:szCs w:val="24"/>
      <w:lang w:val="en-US"/>
    </w:rPr>
  </w:style>
  <w:style w:type="character" w:customStyle="1" w:styleId="BodyTextChar">
    <w:name w:val="Body Text Char"/>
    <w:basedOn w:val="DefaultParagraphFont"/>
    <w:link w:val="BodyText"/>
    <w:uiPriority w:val="99"/>
    <w:semiHidden/>
    <w:rsid w:val="008D0FDD"/>
    <w:rPr>
      <w:rFonts w:ascii="Calibri" w:eastAsiaTheme="minorEastAsia" w:hAnsi="Calibri"/>
      <w:szCs w:val="24"/>
      <w:lang w:val="en-US"/>
    </w:rPr>
  </w:style>
  <w:style w:type="paragraph" w:styleId="TOC7">
    <w:name w:val="toc 7"/>
    <w:basedOn w:val="Normal"/>
    <w:next w:val="Normal"/>
    <w:autoRedefine/>
    <w:uiPriority w:val="39"/>
    <w:unhideWhenUsed/>
    <w:rsid w:val="008D0FDD"/>
    <w:pPr>
      <w:spacing w:after="0" w:line="240" w:lineRule="auto"/>
      <w:ind w:left="1440"/>
    </w:pPr>
    <w:rPr>
      <w:rFonts w:ascii="Calibri" w:eastAsiaTheme="minorEastAsia" w:hAnsi="Calibri"/>
      <w:sz w:val="20"/>
      <w:szCs w:val="20"/>
      <w:lang w:val="en-US"/>
    </w:rPr>
  </w:style>
  <w:style w:type="paragraph" w:styleId="TOC8">
    <w:name w:val="toc 8"/>
    <w:basedOn w:val="Normal"/>
    <w:next w:val="Normal"/>
    <w:autoRedefine/>
    <w:uiPriority w:val="39"/>
    <w:unhideWhenUsed/>
    <w:rsid w:val="008D0FDD"/>
    <w:pPr>
      <w:spacing w:after="0" w:line="240" w:lineRule="auto"/>
      <w:ind w:left="1680"/>
    </w:pPr>
    <w:rPr>
      <w:rFonts w:ascii="Calibri" w:eastAsiaTheme="minorEastAsia" w:hAnsi="Calibri"/>
      <w:sz w:val="20"/>
      <w:szCs w:val="20"/>
      <w:lang w:val="en-US"/>
    </w:rPr>
  </w:style>
  <w:style w:type="paragraph" w:styleId="TOC9">
    <w:name w:val="toc 9"/>
    <w:basedOn w:val="Normal"/>
    <w:next w:val="Normal"/>
    <w:autoRedefine/>
    <w:uiPriority w:val="39"/>
    <w:unhideWhenUsed/>
    <w:rsid w:val="008D0FDD"/>
    <w:pPr>
      <w:spacing w:after="0" w:line="240" w:lineRule="auto"/>
      <w:ind w:left="1920"/>
    </w:pPr>
    <w:rPr>
      <w:rFonts w:ascii="Calibri" w:eastAsiaTheme="minorEastAsia" w:hAnsi="Calibri"/>
      <w:sz w:val="20"/>
      <w:szCs w:val="20"/>
      <w:lang w:val="en-US"/>
    </w:rPr>
  </w:style>
  <w:style w:type="character" w:styleId="PageNumber">
    <w:name w:val="page number"/>
    <w:basedOn w:val="DefaultParagraphFont"/>
    <w:uiPriority w:val="99"/>
    <w:semiHidden/>
    <w:unhideWhenUsed/>
    <w:rsid w:val="008D0FDD"/>
  </w:style>
  <w:style w:type="paragraph" w:styleId="NoSpacing">
    <w:name w:val="No Spacing"/>
    <w:uiPriority w:val="1"/>
    <w:qFormat/>
    <w:rsid w:val="008D0FDD"/>
    <w:pPr>
      <w:spacing w:after="0" w:line="240" w:lineRule="auto"/>
    </w:pPr>
    <w:rPr>
      <w:rFonts w:asciiTheme="minorHAnsi" w:eastAsiaTheme="minorEastAsia" w:hAnsiTheme="minorHAnsi"/>
      <w:szCs w:val="24"/>
      <w:lang w:val="en-US"/>
    </w:rPr>
  </w:style>
  <w:style w:type="paragraph" w:styleId="FootnoteText">
    <w:name w:val="footnote text"/>
    <w:basedOn w:val="Normal"/>
    <w:link w:val="FootnoteTextChar"/>
    <w:uiPriority w:val="99"/>
    <w:unhideWhenUsed/>
    <w:rsid w:val="00B84C34"/>
    <w:pPr>
      <w:spacing w:after="0" w:line="240" w:lineRule="auto"/>
    </w:pPr>
    <w:rPr>
      <w:sz w:val="20"/>
      <w:szCs w:val="20"/>
    </w:rPr>
  </w:style>
  <w:style w:type="character" w:customStyle="1" w:styleId="FootnoteTextChar">
    <w:name w:val="Footnote Text Char"/>
    <w:basedOn w:val="DefaultParagraphFont"/>
    <w:link w:val="FootnoteText"/>
    <w:uiPriority w:val="99"/>
    <w:rsid w:val="00B84C34"/>
    <w:rPr>
      <w:rFonts w:asciiTheme="minorHAnsi" w:hAnsiTheme="minorHAnsi"/>
      <w:sz w:val="20"/>
      <w:szCs w:val="20"/>
    </w:rPr>
  </w:style>
  <w:style w:type="character" w:styleId="FootnoteReference">
    <w:name w:val="footnote reference"/>
    <w:basedOn w:val="DefaultParagraphFont"/>
    <w:uiPriority w:val="99"/>
    <w:semiHidden/>
    <w:unhideWhenUsed/>
    <w:rsid w:val="00B84C34"/>
    <w:rPr>
      <w:vertAlign w:val="superscript"/>
    </w:rPr>
  </w:style>
  <w:style w:type="paragraph" w:customStyle="1" w:styleId="subsection">
    <w:name w:val="subsection"/>
    <w:basedOn w:val="Normal"/>
    <w:rsid w:val="008F64E7"/>
    <w:pPr>
      <w:spacing w:before="100" w:beforeAutospacing="1" w:after="100" w:afterAutospacing="1" w:line="240" w:lineRule="auto"/>
    </w:pPr>
    <w:rPr>
      <w:rFonts w:ascii="Times New Roman" w:eastAsia="Times New Roman" w:hAnsi="Times New Roman" w:cs="Times New Roman"/>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353"/>
    <w:pPr>
      <w:spacing w:after="120"/>
    </w:pPr>
    <w:rPr>
      <w:rFonts w:asciiTheme="minorHAnsi" w:hAnsiTheme="minorHAnsi"/>
    </w:rPr>
  </w:style>
  <w:style w:type="paragraph" w:styleId="Heading1">
    <w:name w:val="heading 1"/>
    <w:basedOn w:val="Normal"/>
    <w:next w:val="Normal"/>
    <w:link w:val="Heading1Char"/>
    <w:uiPriority w:val="9"/>
    <w:qFormat/>
    <w:rsid w:val="00C268CC"/>
    <w:pPr>
      <w:keepNext/>
      <w:keepLines/>
      <w:spacing w:before="480" w:after="0"/>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C268CC"/>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C268CC"/>
    <w:pPr>
      <w:keepNext/>
      <w:keepLines/>
      <w:spacing w:before="200" w:after="0"/>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2C1FEF"/>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8D0FD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D0FDD"/>
    <w:pPr>
      <w:keepNext/>
      <w:keepLines/>
      <w:spacing w:before="200" w:after="0" w:line="240" w:lineRule="auto"/>
      <w:outlineLvl w:val="5"/>
    </w:pPr>
    <w:rPr>
      <w:rFonts w:asciiTheme="majorHAnsi" w:eastAsiaTheme="majorEastAsia" w:hAnsiTheme="majorHAnsi" w:cstheme="majorBidi"/>
      <w:i/>
      <w:iCs/>
      <w:color w:val="243F60" w:themeColor="accent1" w:themeShade="7F"/>
      <w:szCs w:val="24"/>
      <w:lang w:val="en-US"/>
    </w:rPr>
  </w:style>
  <w:style w:type="paragraph" w:styleId="Heading7">
    <w:name w:val="heading 7"/>
    <w:basedOn w:val="Normal"/>
    <w:next w:val="Normal"/>
    <w:link w:val="Heading7Char"/>
    <w:uiPriority w:val="9"/>
    <w:unhideWhenUsed/>
    <w:qFormat/>
    <w:rsid w:val="008D0FDD"/>
    <w:pPr>
      <w:keepNext/>
      <w:keepLines/>
      <w:spacing w:before="200" w:after="0" w:line="240" w:lineRule="auto"/>
      <w:outlineLvl w:val="6"/>
    </w:pPr>
    <w:rPr>
      <w:rFonts w:asciiTheme="majorHAnsi" w:eastAsiaTheme="majorEastAsia" w:hAnsiTheme="majorHAnsi" w:cstheme="majorBidi"/>
      <w:i/>
      <w:iCs/>
      <w:color w:val="404040" w:themeColor="text1" w:themeTint="BF"/>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43A1"/>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943A1"/>
    <w:rPr>
      <w:rFonts w:ascii="Garamond" w:eastAsiaTheme="majorEastAsia" w:hAnsi="Garamond" w:cstheme="majorBidi"/>
      <w:spacing w:val="5"/>
      <w:kern w:val="28"/>
      <w:sz w:val="52"/>
      <w:szCs w:val="52"/>
    </w:rPr>
  </w:style>
  <w:style w:type="paragraph" w:styleId="BalloonText">
    <w:name w:val="Balloon Text"/>
    <w:basedOn w:val="Normal"/>
    <w:link w:val="BalloonTextChar"/>
    <w:uiPriority w:val="99"/>
    <w:semiHidden/>
    <w:unhideWhenUsed/>
    <w:rsid w:val="00C943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3A1"/>
    <w:rPr>
      <w:rFonts w:ascii="Tahoma" w:hAnsi="Tahoma" w:cs="Tahoma"/>
      <w:sz w:val="16"/>
      <w:szCs w:val="16"/>
    </w:rPr>
  </w:style>
  <w:style w:type="table" w:styleId="TableGrid">
    <w:name w:val="Table Grid"/>
    <w:basedOn w:val="TableNormal"/>
    <w:uiPriority w:val="59"/>
    <w:rsid w:val="00C943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943A1"/>
    <w:rPr>
      <w:sz w:val="16"/>
      <w:szCs w:val="16"/>
    </w:rPr>
  </w:style>
  <w:style w:type="paragraph" w:styleId="CommentText">
    <w:name w:val="annotation text"/>
    <w:basedOn w:val="Normal"/>
    <w:link w:val="CommentTextChar"/>
    <w:uiPriority w:val="99"/>
    <w:semiHidden/>
    <w:unhideWhenUsed/>
    <w:rsid w:val="00C943A1"/>
    <w:pPr>
      <w:spacing w:line="240" w:lineRule="auto"/>
    </w:pPr>
    <w:rPr>
      <w:sz w:val="20"/>
      <w:szCs w:val="20"/>
    </w:rPr>
  </w:style>
  <w:style w:type="character" w:customStyle="1" w:styleId="CommentTextChar">
    <w:name w:val="Comment Text Char"/>
    <w:basedOn w:val="DefaultParagraphFont"/>
    <w:link w:val="CommentText"/>
    <w:uiPriority w:val="99"/>
    <w:semiHidden/>
    <w:rsid w:val="00C943A1"/>
    <w:rPr>
      <w:sz w:val="20"/>
      <w:szCs w:val="20"/>
    </w:rPr>
  </w:style>
  <w:style w:type="paragraph" w:styleId="CommentSubject">
    <w:name w:val="annotation subject"/>
    <w:basedOn w:val="CommentText"/>
    <w:next w:val="CommentText"/>
    <w:link w:val="CommentSubjectChar"/>
    <w:uiPriority w:val="99"/>
    <w:semiHidden/>
    <w:unhideWhenUsed/>
    <w:rsid w:val="00C943A1"/>
    <w:rPr>
      <w:b/>
      <w:bCs/>
    </w:rPr>
  </w:style>
  <w:style w:type="character" w:customStyle="1" w:styleId="CommentSubjectChar">
    <w:name w:val="Comment Subject Char"/>
    <w:basedOn w:val="CommentTextChar"/>
    <w:link w:val="CommentSubject"/>
    <w:uiPriority w:val="99"/>
    <w:semiHidden/>
    <w:rsid w:val="00C943A1"/>
    <w:rPr>
      <w:b/>
      <w:bCs/>
      <w:sz w:val="20"/>
      <w:szCs w:val="20"/>
    </w:rPr>
  </w:style>
  <w:style w:type="paragraph" w:styleId="Revision">
    <w:name w:val="Revision"/>
    <w:hidden/>
    <w:uiPriority w:val="99"/>
    <w:semiHidden/>
    <w:rsid w:val="00C943A1"/>
    <w:pPr>
      <w:spacing w:after="0" w:line="240" w:lineRule="auto"/>
    </w:pPr>
  </w:style>
  <w:style w:type="paragraph" w:styleId="Header">
    <w:name w:val="header"/>
    <w:basedOn w:val="Normal"/>
    <w:link w:val="HeaderChar"/>
    <w:uiPriority w:val="99"/>
    <w:unhideWhenUsed/>
    <w:rsid w:val="00C943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3A1"/>
  </w:style>
  <w:style w:type="paragraph" w:styleId="Footer">
    <w:name w:val="footer"/>
    <w:basedOn w:val="Normal"/>
    <w:link w:val="FooterChar"/>
    <w:uiPriority w:val="99"/>
    <w:unhideWhenUsed/>
    <w:rsid w:val="00C943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3A1"/>
  </w:style>
  <w:style w:type="character" w:customStyle="1" w:styleId="Heading1Char">
    <w:name w:val="Heading 1 Char"/>
    <w:basedOn w:val="DefaultParagraphFont"/>
    <w:link w:val="Heading1"/>
    <w:uiPriority w:val="9"/>
    <w:rsid w:val="00C268CC"/>
    <w:rPr>
      <w:rFonts w:asciiTheme="majorHAnsi" w:eastAsiaTheme="majorEastAsia" w:hAnsiTheme="majorHAnsi" w:cstheme="majorBidi"/>
      <w:b/>
      <w:bCs/>
      <w:sz w:val="36"/>
      <w:szCs w:val="28"/>
    </w:rPr>
  </w:style>
  <w:style w:type="paragraph" w:styleId="TOCHeading">
    <w:name w:val="TOC Heading"/>
    <w:basedOn w:val="Heading1"/>
    <w:next w:val="Normal"/>
    <w:uiPriority w:val="39"/>
    <w:unhideWhenUsed/>
    <w:qFormat/>
    <w:rsid w:val="003046B2"/>
    <w:pPr>
      <w:outlineLvl w:val="9"/>
    </w:pPr>
    <w:rPr>
      <w:lang w:val="en-US" w:eastAsia="ja-JP"/>
    </w:rPr>
  </w:style>
  <w:style w:type="paragraph" w:customStyle="1" w:styleId="Default">
    <w:name w:val="Default"/>
    <w:rsid w:val="002A5C7C"/>
    <w:pPr>
      <w:autoSpaceDE w:val="0"/>
      <w:autoSpaceDN w:val="0"/>
      <w:adjustRightInd w:val="0"/>
      <w:spacing w:after="0" w:line="240" w:lineRule="auto"/>
    </w:pPr>
    <w:rPr>
      <w:rFonts w:ascii="Arial" w:hAnsi="Arial" w:cs="Arial"/>
      <w:color w:val="000000"/>
      <w:szCs w:val="24"/>
    </w:rPr>
  </w:style>
  <w:style w:type="paragraph" w:customStyle="1" w:styleId="Tableheadings">
    <w:name w:val="Table headings"/>
    <w:basedOn w:val="Default"/>
    <w:next w:val="Default"/>
    <w:uiPriority w:val="99"/>
    <w:rsid w:val="002A5C7C"/>
    <w:rPr>
      <w:color w:val="auto"/>
    </w:rPr>
  </w:style>
  <w:style w:type="paragraph" w:customStyle="1" w:styleId="TableText">
    <w:name w:val="TableText"/>
    <w:basedOn w:val="Default"/>
    <w:next w:val="Default"/>
    <w:uiPriority w:val="99"/>
    <w:rsid w:val="002A5C7C"/>
    <w:rPr>
      <w:color w:val="auto"/>
    </w:rPr>
  </w:style>
  <w:style w:type="character" w:customStyle="1" w:styleId="Heading2Char">
    <w:name w:val="Heading 2 Char"/>
    <w:basedOn w:val="DefaultParagraphFont"/>
    <w:link w:val="Heading2"/>
    <w:uiPriority w:val="9"/>
    <w:rsid w:val="00C268CC"/>
    <w:rPr>
      <w:rFonts w:asciiTheme="majorHAnsi" w:eastAsiaTheme="majorEastAsia" w:hAnsiTheme="majorHAnsi" w:cstheme="majorBidi"/>
      <w:b/>
      <w:bCs/>
      <w:sz w:val="32"/>
      <w:szCs w:val="26"/>
    </w:rPr>
  </w:style>
  <w:style w:type="paragraph" w:styleId="ListParagraph">
    <w:name w:val="List Paragraph"/>
    <w:basedOn w:val="Normal"/>
    <w:uiPriority w:val="34"/>
    <w:qFormat/>
    <w:rsid w:val="00D458AC"/>
    <w:pPr>
      <w:ind w:left="720"/>
      <w:contextualSpacing/>
    </w:pPr>
  </w:style>
  <w:style w:type="paragraph" w:styleId="TOC1">
    <w:name w:val="toc 1"/>
    <w:basedOn w:val="Normal"/>
    <w:next w:val="Normal"/>
    <w:autoRedefine/>
    <w:uiPriority w:val="39"/>
    <w:unhideWhenUsed/>
    <w:rsid w:val="007B5049"/>
    <w:pPr>
      <w:tabs>
        <w:tab w:val="right" w:leader="dot" w:pos="9017"/>
      </w:tabs>
      <w:spacing w:after="0" w:line="240" w:lineRule="auto"/>
    </w:pPr>
    <w:rPr>
      <w:noProof/>
      <w:sz w:val="20"/>
      <w:szCs w:val="20"/>
    </w:rPr>
  </w:style>
  <w:style w:type="paragraph" w:styleId="TOC2">
    <w:name w:val="toc 2"/>
    <w:basedOn w:val="Normal"/>
    <w:next w:val="Normal"/>
    <w:autoRedefine/>
    <w:uiPriority w:val="39"/>
    <w:unhideWhenUsed/>
    <w:rsid w:val="000F4663"/>
    <w:pPr>
      <w:spacing w:after="100"/>
      <w:ind w:left="240"/>
    </w:pPr>
  </w:style>
  <w:style w:type="character" w:styleId="Hyperlink">
    <w:name w:val="Hyperlink"/>
    <w:basedOn w:val="DefaultParagraphFont"/>
    <w:uiPriority w:val="99"/>
    <w:unhideWhenUsed/>
    <w:rsid w:val="000F4663"/>
    <w:rPr>
      <w:color w:val="0000FF" w:themeColor="hyperlink"/>
      <w:u w:val="single"/>
    </w:rPr>
  </w:style>
  <w:style w:type="character" w:customStyle="1" w:styleId="Heading3Char">
    <w:name w:val="Heading 3 Char"/>
    <w:basedOn w:val="DefaultParagraphFont"/>
    <w:link w:val="Heading3"/>
    <w:uiPriority w:val="9"/>
    <w:rsid w:val="00C268CC"/>
    <w:rPr>
      <w:rFonts w:asciiTheme="majorHAnsi" w:eastAsiaTheme="majorEastAsia" w:hAnsiTheme="majorHAnsi" w:cstheme="majorBidi"/>
      <w:b/>
      <w:bCs/>
      <w:sz w:val="28"/>
    </w:rPr>
  </w:style>
  <w:style w:type="paragraph" w:styleId="Caption">
    <w:name w:val="caption"/>
    <w:basedOn w:val="Normal"/>
    <w:next w:val="Normal"/>
    <w:uiPriority w:val="35"/>
    <w:semiHidden/>
    <w:qFormat/>
    <w:rsid w:val="000F4663"/>
    <w:pPr>
      <w:spacing w:line="240" w:lineRule="auto"/>
      <w:jc w:val="both"/>
    </w:pPr>
    <w:rPr>
      <w:rFonts w:ascii="Arial" w:hAnsi="Arial" w:cs="Arial"/>
      <w:b/>
      <w:bCs/>
      <w:color w:val="4F81BD" w:themeColor="accent1"/>
      <w:sz w:val="18"/>
      <w:szCs w:val="18"/>
    </w:rPr>
  </w:style>
  <w:style w:type="paragraph" w:styleId="TOC3">
    <w:name w:val="toc 3"/>
    <w:basedOn w:val="Normal"/>
    <w:next w:val="Normal"/>
    <w:autoRedefine/>
    <w:uiPriority w:val="39"/>
    <w:unhideWhenUsed/>
    <w:rsid w:val="00B220D4"/>
    <w:pPr>
      <w:spacing w:after="100"/>
      <w:ind w:left="480"/>
    </w:pPr>
  </w:style>
  <w:style w:type="character" w:customStyle="1" w:styleId="Heading4Char">
    <w:name w:val="Heading 4 Char"/>
    <w:basedOn w:val="DefaultParagraphFont"/>
    <w:link w:val="Heading4"/>
    <w:uiPriority w:val="9"/>
    <w:rsid w:val="002C1FE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8D0FDD"/>
    <w:rPr>
      <w:rFonts w:asciiTheme="majorHAnsi" w:eastAsiaTheme="majorEastAsia" w:hAnsiTheme="majorHAnsi" w:cstheme="majorBidi"/>
      <w:color w:val="243F60" w:themeColor="accent1" w:themeShade="7F"/>
    </w:rPr>
  </w:style>
  <w:style w:type="paragraph" w:styleId="TOC4">
    <w:name w:val="toc 4"/>
    <w:basedOn w:val="Normal"/>
    <w:next w:val="Normal"/>
    <w:autoRedefine/>
    <w:uiPriority w:val="39"/>
    <w:unhideWhenUsed/>
    <w:rsid w:val="008D0FDD"/>
    <w:pPr>
      <w:spacing w:after="100"/>
      <w:ind w:left="720"/>
    </w:pPr>
  </w:style>
  <w:style w:type="paragraph" w:styleId="TOC5">
    <w:name w:val="toc 5"/>
    <w:basedOn w:val="Normal"/>
    <w:next w:val="Normal"/>
    <w:autoRedefine/>
    <w:uiPriority w:val="39"/>
    <w:unhideWhenUsed/>
    <w:rsid w:val="008D0FDD"/>
    <w:pPr>
      <w:spacing w:after="100"/>
      <w:ind w:left="960"/>
    </w:pPr>
  </w:style>
  <w:style w:type="paragraph" w:styleId="TOC6">
    <w:name w:val="toc 6"/>
    <w:basedOn w:val="Normal"/>
    <w:next w:val="Normal"/>
    <w:autoRedefine/>
    <w:uiPriority w:val="39"/>
    <w:unhideWhenUsed/>
    <w:rsid w:val="008D0FDD"/>
    <w:pPr>
      <w:spacing w:after="100"/>
      <w:ind w:left="1200"/>
    </w:pPr>
  </w:style>
  <w:style w:type="character" w:customStyle="1" w:styleId="Heading6Char">
    <w:name w:val="Heading 6 Char"/>
    <w:basedOn w:val="DefaultParagraphFont"/>
    <w:link w:val="Heading6"/>
    <w:uiPriority w:val="9"/>
    <w:rsid w:val="008D0FDD"/>
    <w:rPr>
      <w:rFonts w:asciiTheme="majorHAnsi" w:eastAsiaTheme="majorEastAsia" w:hAnsiTheme="majorHAnsi" w:cstheme="majorBidi"/>
      <w:i/>
      <w:iCs/>
      <w:color w:val="243F60" w:themeColor="accent1" w:themeShade="7F"/>
      <w:szCs w:val="24"/>
      <w:lang w:val="en-US"/>
    </w:rPr>
  </w:style>
  <w:style w:type="character" w:customStyle="1" w:styleId="Heading7Char">
    <w:name w:val="Heading 7 Char"/>
    <w:basedOn w:val="DefaultParagraphFont"/>
    <w:link w:val="Heading7"/>
    <w:uiPriority w:val="9"/>
    <w:rsid w:val="008D0FDD"/>
    <w:rPr>
      <w:rFonts w:asciiTheme="majorHAnsi" w:eastAsiaTheme="majorEastAsia" w:hAnsiTheme="majorHAnsi" w:cstheme="majorBidi"/>
      <w:i/>
      <w:iCs/>
      <w:color w:val="404040" w:themeColor="text1" w:themeTint="BF"/>
      <w:szCs w:val="24"/>
      <w:lang w:val="en-US"/>
    </w:rPr>
  </w:style>
  <w:style w:type="paragraph" w:styleId="BodyText">
    <w:name w:val="Body Text"/>
    <w:basedOn w:val="Normal"/>
    <w:link w:val="BodyTextChar"/>
    <w:uiPriority w:val="99"/>
    <w:semiHidden/>
    <w:unhideWhenUsed/>
    <w:rsid w:val="008D0FDD"/>
    <w:pPr>
      <w:spacing w:line="240" w:lineRule="auto"/>
    </w:pPr>
    <w:rPr>
      <w:rFonts w:ascii="Calibri" w:eastAsiaTheme="minorEastAsia" w:hAnsi="Calibri"/>
      <w:szCs w:val="24"/>
      <w:lang w:val="en-US"/>
    </w:rPr>
  </w:style>
  <w:style w:type="character" w:customStyle="1" w:styleId="BodyTextChar">
    <w:name w:val="Body Text Char"/>
    <w:basedOn w:val="DefaultParagraphFont"/>
    <w:link w:val="BodyText"/>
    <w:uiPriority w:val="99"/>
    <w:semiHidden/>
    <w:rsid w:val="008D0FDD"/>
    <w:rPr>
      <w:rFonts w:ascii="Calibri" w:eastAsiaTheme="minorEastAsia" w:hAnsi="Calibri"/>
      <w:szCs w:val="24"/>
      <w:lang w:val="en-US"/>
    </w:rPr>
  </w:style>
  <w:style w:type="paragraph" w:styleId="TOC7">
    <w:name w:val="toc 7"/>
    <w:basedOn w:val="Normal"/>
    <w:next w:val="Normal"/>
    <w:autoRedefine/>
    <w:uiPriority w:val="39"/>
    <w:unhideWhenUsed/>
    <w:rsid w:val="008D0FDD"/>
    <w:pPr>
      <w:spacing w:after="0" w:line="240" w:lineRule="auto"/>
      <w:ind w:left="1440"/>
    </w:pPr>
    <w:rPr>
      <w:rFonts w:ascii="Calibri" w:eastAsiaTheme="minorEastAsia" w:hAnsi="Calibri"/>
      <w:sz w:val="20"/>
      <w:szCs w:val="20"/>
      <w:lang w:val="en-US"/>
    </w:rPr>
  </w:style>
  <w:style w:type="paragraph" w:styleId="TOC8">
    <w:name w:val="toc 8"/>
    <w:basedOn w:val="Normal"/>
    <w:next w:val="Normal"/>
    <w:autoRedefine/>
    <w:uiPriority w:val="39"/>
    <w:unhideWhenUsed/>
    <w:rsid w:val="008D0FDD"/>
    <w:pPr>
      <w:spacing w:after="0" w:line="240" w:lineRule="auto"/>
      <w:ind w:left="1680"/>
    </w:pPr>
    <w:rPr>
      <w:rFonts w:ascii="Calibri" w:eastAsiaTheme="minorEastAsia" w:hAnsi="Calibri"/>
      <w:sz w:val="20"/>
      <w:szCs w:val="20"/>
      <w:lang w:val="en-US"/>
    </w:rPr>
  </w:style>
  <w:style w:type="paragraph" w:styleId="TOC9">
    <w:name w:val="toc 9"/>
    <w:basedOn w:val="Normal"/>
    <w:next w:val="Normal"/>
    <w:autoRedefine/>
    <w:uiPriority w:val="39"/>
    <w:unhideWhenUsed/>
    <w:rsid w:val="008D0FDD"/>
    <w:pPr>
      <w:spacing w:after="0" w:line="240" w:lineRule="auto"/>
      <w:ind w:left="1920"/>
    </w:pPr>
    <w:rPr>
      <w:rFonts w:ascii="Calibri" w:eastAsiaTheme="minorEastAsia" w:hAnsi="Calibri"/>
      <w:sz w:val="20"/>
      <w:szCs w:val="20"/>
      <w:lang w:val="en-US"/>
    </w:rPr>
  </w:style>
  <w:style w:type="character" w:styleId="PageNumber">
    <w:name w:val="page number"/>
    <w:basedOn w:val="DefaultParagraphFont"/>
    <w:uiPriority w:val="99"/>
    <w:semiHidden/>
    <w:unhideWhenUsed/>
    <w:rsid w:val="008D0FDD"/>
  </w:style>
  <w:style w:type="paragraph" w:styleId="NoSpacing">
    <w:name w:val="No Spacing"/>
    <w:uiPriority w:val="1"/>
    <w:qFormat/>
    <w:rsid w:val="008D0FDD"/>
    <w:pPr>
      <w:spacing w:after="0" w:line="240" w:lineRule="auto"/>
    </w:pPr>
    <w:rPr>
      <w:rFonts w:asciiTheme="minorHAnsi" w:eastAsiaTheme="minorEastAsia" w:hAnsiTheme="minorHAnsi"/>
      <w:szCs w:val="24"/>
      <w:lang w:val="en-US"/>
    </w:rPr>
  </w:style>
  <w:style w:type="paragraph" w:styleId="FootnoteText">
    <w:name w:val="footnote text"/>
    <w:basedOn w:val="Normal"/>
    <w:link w:val="FootnoteTextChar"/>
    <w:uiPriority w:val="99"/>
    <w:unhideWhenUsed/>
    <w:rsid w:val="00B84C34"/>
    <w:pPr>
      <w:spacing w:after="0" w:line="240" w:lineRule="auto"/>
    </w:pPr>
    <w:rPr>
      <w:sz w:val="20"/>
      <w:szCs w:val="20"/>
    </w:rPr>
  </w:style>
  <w:style w:type="character" w:customStyle="1" w:styleId="FootnoteTextChar">
    <w:name w:val="Footnote Text Char"/>
    <w:basedOn w:val="DefaultParagraphFont"/>
    <w:link w:val="FootnoteText"/>
    <w:uiPriority w:val="99"/>
    <w:rsid w:val="00B84C34"/>
    <w:rPr>
      <w:rFonts w:asciiTheme="minorHAnsi" w:hAnsiTheme="minorHAnsi"/>
      <w:sz w:val="20"/>
      <w:szCs w:val="20"/>
    </w:rPr>
  </w:style>
  <w:style w:type="character" w:styleId="FootnoteReference">
    <w:name w:val="footnote reference"/>
    <w:basedOn w:val="DefaultParagraphFont"/>
    <w:uiPriority w:val="99"/>
    <w:semiHidden/>
    <w:unhideWhenUsed/>
    <w:rsid w:val="00B84C34"/>
    <w:rPr>
      <w:vertAlign w:val="superscript"/>
    </w:rPr>
  </w:style>
  <w:style w:type="paragraph" w:customStyle="1" w:styleId="subsection">
    <w:name w:val="subsection"/>
    <w:basedOn w:val="Normal"/>
    <w:rsid w:val="008F64E7"/>
    <w:pPr>
      <w:spacing w:before="100" w:beforeAutospacing="1" w:after="100" w:afterAutospacing="1" w:line="240" w:lineRule="auto"/>
    </w:pPr>
    <w:rPr>
      <w:rFonts w:ascii="Times New Roman" w:eastAsia="Times New Roman" w:hAnsi="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73701">
      <w:bodyDiv w:val="1"/>
      <w:marLeft w:val="0"/>
      <w:marRight w:val="0"/>
      <w:marTop w:val="0"/>
      <w:marBottom w:val="0"/>
      <w:divBdr>
        <w:top w:val="none" w:sz="0" w:space="0" w:color="auto"/>
        <w:left w:val="none" w:sz="0" w:space="0" w:color="auto"/>
        <w:bottom w:val="none" w:sz="0" w:space="0" w:color="auto"/>
        <w:right w:val="none" w:sz="0" w:space="0" w:color="auto"/>
      </w:divBdr>
    </w:div>
    <w:div w:id="1067269706">
      <w:bodyDiv w:val="1"/>
      <w:marLeft w:val="0"/>
      <w:marRight w:val="0"/>
      <w:marTop w:val="0"/>
      <w:marBottom w:val="0"/>
      <w:divBdr>
        <w:top w:val="none" w:sz="0" w:space="0" w:color="auto"/>
        <w:left w:val="none" w:sz="0" w:space="0" w:color="auto"/>
        <w:bottom w:val="none" w:sz="0" w:space="0" w:color="auto"/>
        <w:right w:val="none" w:sz="0" w:space="0" w:color="auto"/>
      </w:divBdr>
      <w:divsChild>
        <w:div w:id="1774980682">
          <w:marLeft w:val="0"/>
          <w:marRight w:val="0"/>
          <w:marTop w:val="0"/>
          <w:marBottom w:val="0"/>
          <w:divBdr>
            <w:top w:val="none" w:sz="0" w:space="0" w:color="auto"/>
            <w:left w:val="none" w:sz="0" w:space="0" w:color="auto"/>
            <w:bottom w:val="none" w:sz="0" w:space="0" w:color="auto"/>
            <w:right w:val="none" w:sz="0" w:space="0" w:color="auto"/>
          </w:divBdr>
          <w:divsChild>
            <w:div w:id="178853585">
              <w:marLeft w:val="0"/>
              <w:marRight w:val="0"/>
              <w:marTop w:val="0"/>
              <w:marBottom w:val="0"/>
              <w:divBdr>
                <w:top w:val="none" w:sz="0" w:space="0" w:color="auto"/>
                <w:left w:val="none" w:sz="0" w:space="0" w:color="auto"/>
                <w:bottom w:val="none" w:sz="0" w:space="0" w:color="auto"/>
                <w:right w:val="none" w:sz="0" w:space="0" w:color="auto"/>
              </w:divBdr>
              <w:divsChild>
                <w:div w:id="1794667405">
                  <w:marLeft w:val="0"/>
                  <w:marRight w:val="0"/>
                  <w:marTop w:val="0"/>
                  <w:marBottom w:val="0"/>
                  <w:divBdr>
                    <w:top w:val="none" w:sz="0" w:space="0" w:color="auto"/>
                    <w:left w:val="none" w:sz="0" w:space="0" w:color="auto"/>
                    <w:bottom w:val="none" w:sz="0" w:space="0" w:color="auto"/>
                    <w:right w:val="none" w:sz="0" w:space="0" w:color="auto"/>
                  </w:divBdr>
                  <w:divsChild>
                    <w:div w:id="159739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387829">
      <w:bodyDiv w:val="1"/>
      <w:marLeft w:val="0"/>
      <w:marRight w:val="0"/>
      <w:marTop w:val="0"/>
      <w:marBottom w:val="0"/>
      <w:divBdr>
        <w:top w:val="none" w:sz="0" w:space="0" w:color="auto"/>
        <w:left w:val="none" w:sz="0" w:space="0" w:color="auto"/>
        <w:bottom w:val="none" w:sz="0" w:space="0" w:color="auto"/>
        <w:right w:val="none" w:sz="0" w:space="0" w:color="auto"/>
      </w:divBdr>
      <w:divsChild>
        <w:div w:id="415905286">
          <w:marLeft w:val="0"/>
          <w:marRight w:val="0"/>
          <w:marTop w:val="0"/>
          <w:marBottom w:val="0"/>
          <w:divBdr>
            <w:top w:val="none" w:sz="0" w:space="0" w:color="auto"/>
            <w:left w:val="none" w:sz="0" w:space="0" w:color="auto"/>
            <w:bottom w:val="none" w:sz="0" w:space="0" w:color="auto"/>
            <w:right w:val="none" w:sz="0" w:space="0" w:color="auto"/>
          </w:divBdr>
        </w:div>
        <w:div w:id="489640509">
          <w:marLeft w:val="0"/>
          <w:marRight w:val="0"/>
          <w:marTop w:val="0"/>
          <w:marBottom w:val="0"/>
          <w:divBdr>
            <w:top w:val="none" w:sz="0" w:space="0" w:color="auto"/>
            <w:left w:val="none" w:sz="0" w:space="0" w:color="auto"/>
            <w:bottom w:val="none" w:sz="0" w:space="0" w:color="auto"/>
            <w:right w:val="none" w:sz="0" w:space="0" w:color="auto"/>
          </w:divBdr>
        </w:div>
        <w:div w:id="286204142">
          <w:marLeft w:val="0"/>
          <w:marRight w:val="0"/>
          <w:marTop w:val="0"/>
          <w:marBottom w:val="0"/>
          <w:divBdr>
            <w:top w:val="none" w:sz="0" w:space="0" w:color="auto"/>
            <w:left w:val="none" w:sz="0" w:space="0" w:color="auto"/>
            <w:bottom w:val="none" w:sz="0" w:space="0" w:color="auto"/>
            <w:right w:val="none" w:sz="0" w:space="0" w:color="auto"/>
          </w:divBdr>
        </w:div>
        <w:div w:id="1345328330">
          <w:marLeft w:val="0"/>
          <w:marRight w:val="0"/>
          <w:marTop w:val="0"/>
          <w:marBottom w:val="0"/>
          <w:divBdr>
            <w:top w:val="none" w:sz="0" w:space="0" w:color="auto"/>
            <w:left w:val="none" w:sz="0" w:space="0" w:color="auto"/>
            <w:bottom w:val="none" w:sz="0" w:space="0" w:color="auto"/>
            <w:right w:val="none" w:sz="0" w:space="0" w:color="auto"/>
          </w:divBdr>
        </w:div>
        <w:div w:id="314143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png"/><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pbs.gov.au/industry/useful-resources/pbac-guidelines-glossary/glossary-2010-v2%20010410.pdf" TargetMode="External"/><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29" Type="http://schemas.openxmlformats.org/officeDocument/2006/relationships/footer" Target="footer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11.emf"/><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www.health.gov.au/internet/main/publishing.nsf/Content/B11E8EF19B358E39CA25754B000A9C07/$File/STFOWG%20paper%20FINAL.pdf" TargetMode="External"/><Relationship Id="rId28" Type="http://schemas.openxmlformats.org/officeDocument/2006/relationships/image" Target="media/image9.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hyperlink" Target="http://www.pbs.gov.au/info/industry/listing/elements/pbac-meetings/psd/2012-03/naproxen-and-esomeprazole" TargetMode="External"/><Relationship Id="rId3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DF962-3076-4A97-A459-EC422ACF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24574</Words>
  <Characters>140078</Characters>
  <Application>Microsoft Office Word</Application>
  <DocSecurity>0</DocSecurity>
  <Lines>1167</Lines>
  <Paragraphs>328</Paragraphs>
  <ScaleCrop>false</ScaleCrop>
  <Company/>
  <LinksUpToDate>false</LinksUpToDate>
  <CharactersWithSpaces>164324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2013-11-01T00:40:00Z</dcterms:created>
  <dcterms:modified xsi:type="dcterms:W3CDTF">2013-11-01T00:40:00Z</dcterms:modified>
</cp:coreProperties>
</file>