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C130" w14:textId="1D66A744" w:rsidR="00832324" w:rsidRDefault="0047144F" w:rsidP="00F73113">
      <w:pPr>
        <w:pStyle w:val="Title"/>
      </w:pPr>
      <w:r>
        <w:t>Molnupiravir for SARS-COV-2-infection: utilisation analysis</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3AFDC935" w:rsidR="009053D3" w:rsidRPr="00F73113" w:rsidRDefault="008306E0" w:rsidP="00F73113">
      <w:pPr>
        <w:pStyle w:val="Meetingdate"/>
      </w:pPr>
      <w:r>
        <w:t>October 2024</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5663AD60" w14:textId="46898AD4" w:rsidR="00216787" w:rsidRPr="00216787" w:rsidRDefault="00216787" w:rsidP="00216787">
      <w:pPr>
        <w:pStyle w:val="NoSpacing"/>
      </w:pPr>
      <w:r w:rsidRPr="00216787">
        <w:t xml:space="preserve">To review molnupiravir for the treatment of </w:t>
      </w:r>
      <w:r w:rsidR="00426778" w:rsidRPr="00B249D6">
        <w:t xml:space="preserve">severe acute respiratory syndrome coronavirus 2 </w:t>
      </w:r>
      <w:r w:rsidR="00426778">
        <w:rPr>
          <w:rFonts w:ascii="Arial" w:hAnsi="Arial" w:cs="Arial"/>
          <w:color w:val="201F1B"/>
          <w:shd w:val="clear" w:color="auto" w:fill="FFFFFF"/>
        </w:rPr>
        <w:t>(</w:t>
      </w:r>
      <w:r w:rsidRPr="00216787">
        <w:t>COVID-19</w:t>
      </w:r>
      <w:r w:rsidR="00426778">
        <w:t>)</w:t>
      </w:r>
      <w:r w:rsidRPr="00216787">
        <w:t xml:space="preserve"> as requested by DUSC at its June 2024 meeting.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077A4796" w:rsidR="002D144A" w:rsidRPr="002D144A" w:rsidRDefault="008306E0" w:rsidP="002D144A">
      <w:r>
        <w:t xml:space="preserve">Molnupiravir was PBS listed on </w:t>
      </w:r>
      <w:r w:rsidR="00134EA4">
        <w:t xml:space="preserve">1 March 2022. </w:t>
      </w:r>
    </w:p>
    <w:p w14:paraId="526743BB" w14:textId="77777777" w:rsidR="005C6661" w:rsidRDefault="005C6661" w:rsidP="00CF5E22">
      <w:pPr>
        <w:pStyle w:val="Heading3"/>
      </w:pPr>
      <w:r>
        <w:t>Data Source / methodology</w:t>
      </w:r>
    </w:p>
    <w:p w14:paraId="380DCC1A" w14:textId="36F93E32" w:rsidR="003C367C" w:rsidRDefault="006804E0" w:rsidP="005C6661">
      <w:pPr>
        <w:pStyle w:val="NoSpacing"/>
      </w:pPr>
      <w:r w:rsidRPr="006804E0">
        <w:t>Data extracted from the PBS database maintained by Department of Health and Aged Care, processed by Services Australia were used for the analyses.</w:t>
      </w:r>
    </w:p>
    <w:p w14:paraId="0EDED508" w14:textId="77777777" w:rsidR="00C55604" w:rsidRDefault="00C55604" w:rsidP="005C6661">
      <w:pPr>
        <w:pStyle w:val="NoSpacing"/>
      </w:pPr>
    </w:p>
    <w:p w14:paraId="7599E7C1" w14:textId="77777777" w:rsidR="005C6661" w:rsidRDefault="005C6661" w:rsidP="00CF5E22">
      <w:pPr>
        <w:pStyle w:val="Heading3"/>
      </w:pPr>
      <w:r>
        <w:t>Key Findings</w:t>
      </w:r>
    </w:p>
    <w:p w14:paraId="770F5556" w14:textId="77777777" w:rsidR="00334A80" w:rsidRDefault="00334A80" w:rsidP="00334A80">
      <w:pPr>
        <w:pStyle w:val="NoSpacing"/>
        <w:numPr>
          <w:ilvl w:val="0"/>
          <w:numId w:val="25"/>
        </w:numPr>
      </w:pPr>
      <w:r>
        <w:t xml:space="preserve">In the first year of PBS listing, 492,941 patients were supplied 509,307 molnupiravir prescriptions. In the second year of PBS listing, 348,052 patients were supplied 361,341 molnupiravir prescriptions. </w:t>
      </w:r>
    </w:p>
    <w:p w14:paraId="2249B6BC" w14:textId="77777777" w:rsidR="00334A80" w:rsidRPr="009E7FC3" w:rsidRDefault="00334A80" w:rsidP="00334A80">
      <w:pPr>
        <w:pStyle w:val="NoSpacing"/>
        <w:numPr>
          <w:ilvl w:val="0"/>
          <w:numId w:val="25"/>
        </w:numPr>
      </w:pPr>
      <w:r w:rsidRPr="009E7FC3">
        <w:t xml:space="preserve">Most patients treated with molnupiravir were aged 70 years and older, with the most common age group being those aged between 70-74 years. </w:t>
      </w:r>
    </w:p>
    <w:p w14:paraId="00F412C2" w14:textId="77777777" w:rsidR="00334A80" w:rsidRDefault="00334A80" w:rsidP="00334A80">
      <w:pPr>
        <w:pStyle w:val="NoSpacing"/>
        <w:numPr>
          <w:ilvl w:val="0"/>
          <w:numId w:val="25"/>
        </w:numPr>
      </w:pPr>
      <w:r w:rsidRPr="009E7FC3">
        <w:t xml:space="preserve">Females accounted for a greater proportion of </w:t>
      </w:r>
      <w:r>
        <w:t>utilisation</w:t>
      </w:r>
      <w:r w:rsidRPr="009E7FC3">
        <w:t xml:space="preserve"> compared to males. </w:t>
      </w:r>
    </w:p>
    <w:p w14:paraId="2E804264" w14:textId="77777777" w:rsidR="00334A80" w:rsidRDefault="00334A80" w:rsidP="00334A80">
      <w:pPr>
        <w:pStyle w:val="NoSpacing"/>
        <w:numPr>
          <w:ilvl w:val="0"/>
          <w:numId w:val="25"/>
        </w:numPr>
      </w:pPr>
      <w:r>
        <w:t xml:space="preserve">General practitioners accounted for the majority of molnupiravir prescribing. </w:t>
      </w:r>
    </w:p>
    <w:p w14:paraId="097FCCBA" w14:textId="75379B6C" w:rsidR="00334A80" w:rsidRDefault="00334A80" w:rsidP="00334A80">
      <w:pPr>
        <w:pStyle w:val="NoSpacing"/>
        <w:numPr>
          <w:ilvl w:val="0"/>
          <w:numId w:val="25"/>
        </w:numPr>
      </w:pPr>
      <w:r>
        <w:t xml:space="preserve">Utilisation of molnupiravir in residential aged care facilities account for a small proportion of overall </w:t>
      </w:r>
      <w:r w:rsidR="001A6510">
        <w:t xml:space="preserve">PBS </w:t>
      </w:r>
      <w:r>
        <w:t xml:space="preserve">utilisation. </w:t>
      </w:r>
    </w:p>
    <w:p w14:paraId="06DDA4BF" w14:textId="63FC3C21" w:rsidR="00334A80" w:rsidRDefault="00334A80" w:rsidP="00334A80">
      <w:pPr>
        <w:pStyle w:val="NoSpacing"/>
        <w:numPr>
          <w:ilvl w:val="0"/>
          <w:numId w:val="25"/>
        </w:numPr>
      </w:pPr>
      <w:r>
        <w:t>Molnupiravir accounted for a greater proportion of the COVID-19 oral antivirals</w:t>
      </w:r>
      <w:r w:rsidRPr="002A5D17">
        <w:t xml:space="preserve"> </w:t>
      </w:r>
      <w:r>
        <w:t xml:space="preserve">market. However, its market share </w:t>
      </w:r>
      <w:r w:rsidR="00877343">
        <w:t>ha</w:t>
      </w:r>
      <w:r w:rsidR="00391C00">
        <w:t>d</w:t>
      </w:r>
      <w:r w:rsidR="00877343">
        <w:t xml:space="preserve"> decreased</w:t>
      </w:r>
      <w:r>
        <w:t xml:space="preserve"> over time.  </w:t>
      </w:r>
    </w:p>
    <w:p w14:paraId="68B26999" w14:textId="77777777" w:rsidR="002A5D17" w:rsidRPr="009E7FC3" w:rsidRDefault="002A5D17" w:rsidP="002A5D17">
      <w:pPr>
        <w:pStyle w:val="NoSpacing"/>
        <w:ind w:left="720"/>
      </w:pPr>
    </w:p>
    <w:p w14:paraId="38B57ECC" w14:textId="77777777" w:rsidR="00BB0D1A" w:rsidRDefault="00BB0D1A">
      <w:p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5FF3FF88" w14:textId="203E2750" w:rsidR="00B84942" w:rsidRPr="00216787" w:rsidRDefault="00216787" w:rsidP="00B84942">
      <w:pPr>
        <w:pStyle w:val="NoSpacing"/>
      </w:pPr>
      <w:r w:rsidRPr="00216787">
        <w:t xml:space="preserve">To review molnupiravir for the treatment of </w:t>
      </w:r>
      <w:r w:rsidR="00DA2F65" w:rsidRPr="00B249D6">
        <w:t xml:space="preserve">severe acute respiratory syndrome coronavirus 2 </w:t>
      </w:r>
      <w:r w:rsidR="00DA2F65">
        <w:t>(</w:t>
      </w:r>
      <w:r w:rsidRPr="00216787">
        <w:t>COVID-19</w:t>
      </w:r>
      <w:r w:rsidR="00DA2F65">
        <w:t>)</w:t>
      </w:r>
      <w:r w:rsidRPr="00216787">
        <w:t xml:space="preserve"> as requested by DUSC at its June 2024 meeting. </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36673901" w14:textId="56BBDCCF" w:rsidR="00B2091F" w:rsidRDefault="00D22423" w:rsidP="00EE2BBB">
      <w:r>
        <w:t xml:space="preserve">Coronavirus disease (COVID-19) is an infectious disease caused by the SARS-CoV-2 virus. </w:t>
      </w:r>
      <w:r w:rsidR="00C22D80">
        <w:t xml:space="preserve">COVID-19 is spread by respiratory droplets or small airborne particles when an infected person coughs, sneezes, or talks, and is in close contact with others. </w:t>
      </w:r>
      <w:r>
        <w:t xml:space="preserve">Most </w:t>
      </w:r>
      <w:r w:rsidR="00C22D80">
        <w:t>people</w:t>
      </w:r>
      <w:r>
        <w:t xml:space="preserve"> who </w:t>
      </w:r>
      <w:r w:rsidR="00C22D80">
        <w:t xml:space="preserve">are infected with </w:t>
      </w:r>
      <w:r>
        <w:t>COVID-19 experience mild to moderate symptoms such as fever, cough, tiredness and loss of smell.</w:t>
      </w:r>
      <w:bookmarkStart w:id="0" w:name="_Ref175821275"/>
      <w:r w:rsidR="006A537C">
        <w:rPr>
          <w:rStyle w:val="FootnoteReference"/>
        </w:rPr>
        <w:footnoteReference w:id="1"/>
      </w:r>
      <w:bookmarkEnd w:id="0"/>
      <w:r w:rsidR="005833EE">
        <w:t xml:space="preserve"> </w:t>
      </w:r>
      <w:r w:rsidR="00C22D80">
        <w:t xml:space="preserve">However, some people are at high risk </w:t>
      </w:r>
      <w:r w:rsidR="006A537C">
        <w:t xml:space="preserve">of becoming very ill from COVID-19 and requiring </w:t>
      </w:r>
      <w:r w:rsidR="00B2091F">
        <w:t>hospitalisation</w:t>
      </w:r>
      <w:r w:rsidR="006A537C">
        <w:t>.</w:t>
      </w:r>
      <w:r w:rsidR="006A537C">
        <w:rPr>
          <w:rStyle w:val="FootnoteReference"/>
        </w:rPr>
        <w:footnoteReference w:id="2"/>
      </w:r>
      <w:r w:rsidR="00B2091F">
        <w:t xml:space="preserve"> Of patients who are admitted to hospital with COVID-19, a proportion require admission to an intensive care unit (ICU) and, in some cases, require mechanical ventilation.</w:t>
      </w:r>
    </w:p>
    <w:p w14:paraId="0183A567" w14:textId="413DF87B" w:rsidR="007247B9" w:rsidRDefault="007247B9" w:rsidP="00CF5E22">
      <w:pPr>
        <w:pStyle w:val="Heading2"/>
      </w:pPr>
      <w:r>
        <w:t>Pharmacology</w:t>
      </w:r>
    </w:p>
    <w:p w14:paraId="12BDF139" w14:textId="5D47498C" w:rsidR="00216787" w:rsidRDefault="00216787" w:rsidP="00216787">
      <w:pPr>
        <w:autoSpaceDE w:val="0"/>
        <w:autoSpaceDN w:val="0"/>
        <w:adjustRightInd w:val="0"/>
        <w:spacing w:after="0"/>
      </w:pPr>
      <w:r>
        <w:t xml:space="preserve">Molnupiravir is a prodrug that is metabolised to n-hydroxycytidine (NHC) which distributes into cells where it is phosphorylated to form the pharmacologically active ribonucleoside triphosphate (NHC-TP). NHC-TP acts by a mechanism known as viral error catastrophe. NHC-TP incorporation into viral </w:t>
      </w:r>
      <w:r w:rsidR="00930743">
        <w:t>ribonucleic acid (</w:t>
      </w:r>
      <w:r>
        <w:t>RNA</w:t>
      </w:r>
      <w:r w:rsidR="00930743">
        <w:t>)</w:t>
      </w:r>
      <w:r>
        <w:t xml:space="preserve"> by the viral RNA polymerase results in an accumulation of errors in the viral genome leading to inhibition of replication</w:t>
      </w:r>
      <w:bookmarkStart w:id="1" w:name="_Ref172208133"/>
      <w:r>
        <w:t>.</w:t>
      </w:r>
      <w:r w:rsidRPr="00216787">
        <w:rPr>
          <w:rStyle w:val="FootnoteReference"/>
        </w:rPr>
        <w:footnoteReference w:id="3"/>
      </w:r>
      <w:bookmarkEnd w:id="1"/>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33C1B35F" w14:textId="14839604" w:rsidR="00670DFA" w:rsidRDefault="00670DFA" w:rsidP="00A35800">
      <w:r>
        <w:t>At the time of this review, molnupiravir ha</w:t>
      </w:r>
      <w:r w:rsidR="00391C00">
        <w:t>d</w:t>
      </w:r>
      <w:r>
        <w:t xml:space="preserve"> provisional approval for the treatment of adults with COVID</w:t>
      </w:r>
      <w:r w:rsidR="00930743">
        <w:t>-</w:t>
      </w:r>
      <w:r>
        <w:t>19 who do not require initiation of oxygen due to COVID-19 and who are at increased risk for hospitalisation or death.</w:t>
      </w:r>
      <w:r w:rsidR="006A2416" w:rsidRPr="002E26D9">
        <w:rPr>
          <w:vertAlign w:val="superscript"/>
        </w:rPr>
        <w:fldChar w:fldCharType="begin"/>
      </w:r>
      <w:r w:rsidR="006A2416" w:rsidRPr="002E26D9">
        <w:rPr>
          <w:vertAlign w:val="superscript"/>
        </w:rPr>
        <w:instrText xml:space="preserve"> NOTEREF _Ref172208133 \h </w:instrText>
      </w:r>
      <w:r w:rsidR="006A2416">
        <w:rPr>
          <w:vertAlign w:val="superscript"/>
        </w:rPr>
        <w:instrText xml:space="preserve"> \* MERGEFORMAT </w:instrText>
      </w:r>
      <w:r w:rsidR="006A2416" w:rsidRPr="002E26D9">
        <w:rPr>
          <w:vertAlign w:val="superscript"/>
        </w:rPr>
      </w:r>
      <w:r w:rsidR="006A2416" w:rsidRPr="002E26D9">
        <w:rPr>
          <w:vertAlign w:val="superscript"/>
        </w:rPr>
        <w:fldChar w:fldCharType="separate"/>
      </w:r>
      <w:r w:rsidR="0021289D">
        <w:rPr>
          <w:vertAlign w:val="superscript"/>
        </w:rPr>
        <w:t>3</w:t>
      </w:r>
      <w:r w:rsidR="006A2416" w:rsidRPr="002E26D9">
        <w:rPr>
          <w:vertAlign w:val="superscript"/>
        </w:rPr>
        <w:fldChar w:fldCharType="end"/>
      </w:r>
      <w:r>
        <w:t xml:space="preserve"> </w:t>
      </w:r>
    </w:p>
    <w:p w14:paraId="7AE76BA8" w14:textId="499C3424" w:rsidR="00670DFA" w:rsidRDefault="00670DFA" w:rsidP="00A35800">
      <w:r>
        <w:t>The decision to approve this indication was made on the basis of the analysis of efficacy and safety data from a Phase 3 trial. Continued approval of this indication depends on additional data.</w:t>
      </w:r>
      <w:r w:rsidR="006A2416" w:rsidRPr="006A2416">
        <w:rPr>
          <w:vertAlign w:val="superscript"/>
        </w:rPr>
        <w:t xml:space="preserve"> </w:t>
      </w:r>
    </w:p>
    <w:p w14:paraId="574E4EF9" w14:textId="13D85E7C" w:rsidR="00670DFA" w:rsidRDefault="00670DFA" w:rsidP="00A35800">
      <w:r>
        <w:lastRenderedPageBreak/>
        <w:t xml:space="preserve">Molnupiravir is </w:t>
      </w:r>
      <w:r w:rsidR="006A2416">
        <w:t xml:space="preserve">in </w:t>
      </w:r>
      <w:r>
        <w:t>the Black Triangle Scheme and is subject to additional monitoring in Australia</w:t>
      </w:r>
      <w:r w:rsidR="009E6EBE">
        <w:t xml:space="preserve"> to </w:t>
      </w:r>
      <w:r>
        <w:t>allow quick identification of new safety information. Healthcare professionals are asked to report any suspected adverse events</w:t>
      </w:r>
      <w:r w:rsidR="009E6EBE">
        <w:t xml:space="preserve"> to the TGA.</w:t>
      </w:r>
      <w:r w:rsidR="006A2416">
        <w:rPr>
          <w:rStyle w:val="FootnoteReference"/>
        </w:rPr>
        <w:footnoteReference w:id="4"/>
      </w:r>
    </w:p>
    <w:p w14:paraId="15E919C1" w14:textId="1B3BA560" w:rsidR="006B709B" w:rsidRDefault="006B709B" w:rsidP="00CF5E22">
      <w:pPr>
        <w:pStyle w:val="Heading2"/>
      </w:pPr>
      <w:r>
        <w:t>Dosage and administration</w:t>
      </w:r>
    </w:p>
    <w:p w14:paraId="68A3B3D8" w14:textId="1BCE4AB7" w:rsidR="002E26D9" w:rsidRDefault="002E26D9" w:rsidP="00A35800">
      <w:r>
        <w:t>The recommended dose of molnupiravir in adult patients is 800 mg (four 200 mg capsules) taken orally every 12 hours for 5 days, with or without food.</w:t>
      </w:r>
    </w:p>
    <w:p w14:paraId="149FFAB2" w14:textId="6A17A50B" w:rsidR="002E26D9" w:rsidRDefault="002E26D9" w:rsidP="00A35800">
      <w:pPr>
        <w:rPr>
          <w:highlight w:val="yellow"/>
        </w:rPr>
      </w:pPr>
      <w:r>
        <w:t>Molnupiravir should be administered as soon as possible after a diagnosis of COVID-19 has been made and within 5 days of symptom onset in adults who are at risk for progression to severe COVID-19, including hospitalisation or death.</w:t>
      </w:r>
      <w:r w:rsidRPr="002E26D9">
        <w:rPr>
          <w:vertAlign w:val="superscript"/>
        </w:rPr>
        <w:fldChar w:fldCharType="begin"/>
      </w:r>
      <w:r w:rsidRPr="002E26D9">
        <w:rPr>
          <w:vertAlign w:val="superscript"/>
        </w:rPr>
        <w:instrText xml:space="preserve"> NOTEREF _Ref172208133 \h </w:instrText>
      </w:r>
      <w:r>
        <w:rPr>
          <w:vertAlign w:val="superscript"/>
        </w:rPr>
        <w:instrText xml:space="preserve"> \* MERGEFORMAT </w:instrText>
      </w:r>
      <w:r w:rsidRPr="002E26D9">
        <w:rPr>
          <w:vertAlign w:val="superscript"/>
        </w:rPr>
      </w:r>
      <w:r w:rsidRPr="002E26D9">
        <w:rPr>
          <w:vertAlign w:val="superscript"/>
        </w:rPr>
        <w:fldChar w:fldCharType="separate"/>
      </w:r>
      <w:r w:rsidR="0021289D">
        <w:rPr>
          <w:vertAlign w:val="superscript"/>
        </w:rPr>
        <w:t>3</w:t>
      </w:r>
      <w:r w:rsidRPr="002E26D9">
        <w:rPr>
          <w:vertAlign w:val="superscript"/>
        </w:rPr>
        <w:fldChar w:fldCharType="end"/>
      </w:r>
    </w:p>
    <w:p w14:paraId="6682A05C" w14:textId="77777777" w:rsidR="00F17D4B" w:rsidRPr="002F61CA" w:rsidRDefault="00F17D4B" w:rsidP="00F17D4B">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46E2BB42" w14:textId="60897C88" w:rsidR="00DF0B13" w:rsidRDefault="00DF0B13" w:rsidP="00CF5E22">
      <w:pPr>
        <w:pStyle w:val="Heading2"/>
      </w:pPr>
      <w:r w:rsidRPr="007247B9" w:rsidDel="00EE2BBB">
        <w:t>PBS listing details</w:t>
      </w:r>
    </w:p>
    <w:p w14:paraId="30EC2DA7" w14:textId="3641A24F" w:rsidR="00930743" w:rsidRDefault="00727FE7" w:rsidP="005C0F9F">
      <w:r>
        <w:t>As at August 2024, m</w:t>
      </w:r>
      <w:r w:rsidR="005C0F9F">
        <w:t xml:space="preserve">olnupiravir </w:t>
      </w:r>
      <w:r>
        <w:t>was listed in</w:t>
      </w:r>
      <w:r w:rsidR="00930743">
        <w:t>:</w:t>
      </w:r>
    </w:p>
    <w:p w14:paraId="5409BFE9" w14:textId="0A5E4771" w:rsidR="00930743" w:rsidRDefault="00877343" w:rsidP="00930743">
      <w:pPr>
        <w:pStyle w:val="ListParagraph"/>
        <w:numPr>
          <w:ilvl w:val="0"/>
          <w:numId w:val="29"/>
        </w:numPr>
      </w:pPr>
      <w:r>
        <w:t>t</w:t>
      </w:r>
      <w:r w:rsidR="00930743">
        <w:t xml:space="preserve">he General Schedule as </w:t>
      </w:r>
      <w:r w:rsidR="00953F15">
        <w:t xml:space="preserve">an </w:t>
      </w:r>
      <w:r w:rsidR="005C0F9F">
        <w:t>Authority Required (Streamlined)</w:t>
      </w:r>
      <w:r w:rsidR="00953F15">
        <w:t xml:space="preserve"> item (12910L)</w:t>
      </w:r>
      <w:r w:rsidR="00930743">
        <w:t xml:space="preserve"> </w:t>
      </w:r>
    </w:p>
    <w:p w14:paraId="31FB70A8" w14:textId="122DE80C" w:rsidR="005C0F9F" w:rsidRPr="005C0F9F" w:rsidDel="00EE2BBB" w:rsidRDefault="00877343" w:rsidP="00930743">
      <w:pPr>
        <w:pStyle w:val="ListParagraph"/>
        <w:numPr>
          <w:ilvl w:val="0"/>
          <w:numId w:val="29"/>
        </w:numPr>
      </w:pPr>
      <w:r>
        <w:t>t</w:t>
      </w:r>
      <w:r w:rsidR="00930743">
        <w:t xml:space="preserve">he </w:t>
      </w:r>
      <w:r w:rsidR="00953F15">
        <w:t>Prescriber Bag (13144T)</w:t>
      </w:r>
      <w:r w:rsidR="005C0F9F">
        <w:t xml:space="preserve">. </w:t>
      </w:r>
    </w:p>
    <w:p w14:paraId="1D47784A" w14:textId="439AC775" w:rsidR="001420B3" w:rsidRPr="001420B3" w:rsidDel="00EE2BBB" w:rsidRDefault="001420B3" w:rsidP="00CF5E22">
      <w:pPr>
        <w:pStyle w:val="Tabletitle"/>
      </w:pPr>
      <w:r w:rsidRPr="001420B3" w:rsidDel="00EE2BBB">
        <w:t xml:space="preserve">Table </w:t>
      </w:r>
      <w:r w:rsidR="00301A96">
        <w:t>1</w:t>
      </w:r>
      <w:r w:rsidRPr="001420B3" w:rsidDel="00EE2BBB">
        <w:t xml:space="preserve">: </w:t>
      </w:r>
      <w:r w:rsidR="009663B6" w:rsidDel="00EE2BBB">
        <w:t>PB</w:t>
      </w:r>
      <w:r w:rsidR="00D151EB" w:rsidDel="00EE2BBB">
        <w:t xml:space="preserve">S listing of </w:t>
      </w:r>
      <w:r w:rsidR="00301A96">
        <w:t>molnupiravir</w:t>
      </w:r>
      <w:r w:rsidR="00D151EB" w:rsidDel="00EE2BBB">
        <w:t xml:space="preserve"> </w:t>
      </w:r>
      <w:r w:rsidR="009F484B">
        <w:t>as at August 2024</w:t>
      </w:r>
    </w:p>
    <w:tbl>
      <w:tblPr>
        <w:tblStyle w:val="TableGrid"/>
        <w:tblW w:w="9064" w:type="dxa"/>
        <w:tblLayout w:type="fixed"/>
        <w:tblLook w:val="04A0" w:firstRow="1" w:lastRow="0" w:firstColumn="1" w:lastColumn="0" w:noHBand="0" w:noVBand="1"/>
      </w:tblPr>
      <w:tblGrid>
        <w:gridCol w:w="969"/>
        <w:gridCol w:w="3279"/>
        <w:gridCol w:w="992"/>
        <w:gridCol w:w="680"/>
        <w:gridCol w:w="1040"/>
        <w:gridCol w:w="2104"/>
      </w:tblGrid>
      <w:tr w:rsidR="0093111F" w:rsidRPr="00A35800" w:rsidDel="00EE2BBB" w14:paraId="6AA19A37" w14:textId="77B518AD" w:rsidTr="00953F15">
        <w:trPr>
          <w:trHeight w:val="694"/>
          <w:tblHeader/>
        </w:trPr>
        <w:tc>
          <w:tcPr>
            <w:tcW w:w="969" w:type="dxa"/>
            <w:shd w:val="clear" w:color="auto" w:fill="BFBFBF" w:themeFill="background1" w:themeFillShade="BF"/>
          </w:tcPr>
          <w:p w14:paraId="56A3DEA0" w14:textId="4682B89F" w:rsidR="0093111F" w:rsidRPr="00A35800" w:rsidDel="00EE2BBB" w:rsidRDefault="0093111F" w:rsidP="00A35800">
            <w:pPr>
              <w:pStyle w:val="Tableheading"/>
              <w:rPr>
                <w:sz w:val="20"/>
                <w:szCs w:val="20"/>
              </w:rPr>
            </w:pPr>
            <w:r w:rsidRPr="00A35800" w:rsidDel="00EE2BBB">
              <w:rPr>
                <w:sz w:val="20"/>
                <w:szCs w:val="20"/>
              </w:rPr>
              <w:t>Item</w:t>
            </w:r>
            <w:r w:rsidR="006E533D">
              <w:rPr>
                <w:sz w:val="20"/>
                <w:szCs w:val="20"/>
              </w:rPr>
              <w:t xml:space="preserve"> code</w:t>
            </w:r>
          </w:p>
        </w:tc>
        <w:tc>
          <w:tcPr>
            <w:tcW w:w="3279" w:type="dxa"/>
            <w:shd w:val="clear" w:color="auto" w:fill="BFBFBF" w:themeFill="background1" w:themeFillShade="BF"/>
          </w:tcPr>
          <w:p w14:paraId="67A07252" w14:textId="6DE43662"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992" w:type="dxa"/>
            <w:shd w:val="clear" w:color="auto" w:fill="BFBFBF" w:themeFill="background1" w:themeFillShade="BF"/>
          </w:tcPr>
          <w:p w14:paraId="114E9799" w14:textId="6F0F187A" w:rsidR="0093111F" w:rsidRPr="00A35800" w:rsidDel="00EE2BBB" w:rsidRDefault="0093111F" w:rsidP="00866BE4">
            <w:pPr>
              <w:pStyle w:val="Tableheading"/>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q</w:t>
            </w:r>
            <w:r w:rsidR="000759BC">
              <w:rPr>
                <w:sz w:val="20"/>
                <w:szCs w:val="20"/>
              </w:rPr>
              <w:t>ty packs</w:t>
            </w:r>
          </w:p>
        </w:tc>
        <w:tc>
          <w:tcPr>
            <w:tcW w:w="680" w:type="dxa"/>
            <w:shd w:val="clear" w:color="auto" w:fill="BFBFBF" w:themeFill="background1" w:themeFillShade="BF"/>
          </w:tcPr>
          <w:p w14:paraId="0F1A79F7" w14:textId="312AF5E2" w:rsidR="0093111F" w:rsidRPr="00A35800" w:rsidDel="00EE2BBB" w:rsidRDefault="0093111F" w:rsidP="00866BE4">
            <w:pPr>
              <w:pStyle w:val="Tableheading"/>
              <w:rPr>
                <w:sz w:val="20"/>
                <w:szCs w:val="20"/>
              </w:rPr>
            </w:pPr>
            <w:r w:rsidRPr="00A35800" w:rsidDel="00EE2BBB">
              <w:rPr>
                <w:sz w:val="20"/>
                <w:szCs w:val="20"/>
              </w:rPr>
              <w:t>Rpts</w:t>
            </w:r>
          </w:p>
        </w:tc>
        <w:tc>
          <w:tcPr>
            <w:tcW w:w="1040" w:type="dxa"/>
            <w:shd w:val="clear" w:color="auto" w:fill="BFBFBF" w:themeFill="background1" w:themeFillShade="BF"/>
          </w:tcPr>
          <w:p w14:paraId="05C5A0BF" w14:textId="2CFF9AC9" w:rsidR="0093111F" w:rsidRPr="00A35800" w:rsidDel="00EE2BBB" w:rsidRDefault="0093111F" w:rsidP="00866BE4">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93111F" w:rsidRPr="00A35800" w:rsidDel="00EE2BBB" w14:paraId="2AF9D84B" w14:textId="0D323411" w:rsidTr="00953F15">
        <w:trPr>
          <w:trHeight w:val="552"/>
          <w:tblHeader/>
        </w:trPr>
        <w:tc>
          <w:tcPr>
            <w:tcW w:w="969" w:type="dxa"/>
            <w:shd w:val="clear" w:color="auto" w:fill="auto"/>
          </w:tcPr>
          <w:p w14:paraId="0A3E3442" w14:textId="7442F868" w:rsidR="0093111F" w:rsidRPr="00A35800" w:rsidDel="00EE2BBB" w:rsidRDefault="007B24AE" w:rsidP="006E533D">
            <w:pPr>
              <w:pStyle w:val="Tablewriting"/>
              <w:jc w:val="center"/>
            </w:pPr>
            <w:r>
              <w:t>12910L</w:t>
            </w:r>
          </w:p>
        </w:tc>
        <w:tc>
          <w:tcPr>
            <w:tcW w:w="3279" w:type="dxa"/>
            <w:shd w:val="clear" w:color="auto" w:fill="auto"/>
          </w:tcPr>
          <w:p w14:paraId="0F676F51" w14:textId="266D357D" w:rsidR="0093111F" w:rsidRPr="00A35800" w:rsidDel="00EE2BBB" w:rsidRDefault="00866BE4" w:rsidP="00A35800">
            <w:pPr>
              <w:pStyle w:val="Tablewriting"/>
            </w:pPr>
            <w:r>
              <w:t>m</w:t>
            </w:r>
            <w:r w:rsidR="007B24AE">
              <w:t>olnupiravir 200 mg capsule</w:t>
            </w:r>
            <w:r w:rsidR="00484C98">
              <w:t>,</w:t>
            </w:r>
            <w:r w:rsidR="007B24AE">
              <w:t xml:space="preserve"> 40 </w:t>
            </w:r>
          </w:p>
        </w:tc>
        <w:tc>
          <w:tcPr>
            <w:tcW w:w="992" w:type="dxa"/>
            <w:shd w:val="clear" w:color="auto" w:fill="auto"/>
          </w:tcPr>
          <w:p w14:paraId="0E2637C4" w14:textId="5D9E3FD5" w:rsidR="0093111F" w:rsidRPr="00A35800" w:rsidDel="00EE2BBB" w:rsidRDefault="007B24AE" w:rsidP="00866BE4">
            <w:pPr>
              <w:pStyle w:val="Tablewriting"/>
              <w:jc w:val="center"/>
            </w:pPr>
            <w:r>
              <w:t>1</w:t>
            </w:r>
          </w:p>
        </w:tc>
        <w:tc>
          <w:tcPr>
            <w:tcW w:w="680" w:type="dxa"/>
            <w:shd w:val="clear" w:color="auto" w:fill="auto"/>
          </w:tcPr>
          <w:p w14:paraId="6B361CAA" w14:textId="024E619B" w:rsidR="0093111F" w:rsidRPr="00A35800" w:rsidDel="00EE2BBB" w:rsidRDefault="000759BC" w:rsidP="00866BE4">
            <w:pPr>
              <w:pStyle w:val="Tablewriting"/>
              <w:jc w:val="center"/>
            </w:pPr>
            <w:r>
              <w:t>0</w:t>
            </w:r>
          </w:p>
        </w:tc>
        <w:tc>
          <w:tcPr>
            <w:tcW w:w="1040" w:type="dxa"/>
            <w:shd w:val="clear" w:color="auto" w:fill="auto"/>
          </w:tcPr>
          <w:p w14:paraId="15F68405" w14:textId="0C826DDD" w:rsidR="0093111F" w:rsidRPr="00A35800" w:rsidDel="00EE2BBB" w:rsidRDefault="000759BC" w:rsidP="00866BE4">
            <w:pPr>
              <w:pStyle w:val="Tablewriting"/>
              <w:jc w:val="center"/>
            </w:pPr>
            <w:r>
              <w:t>$1,102.71</w:t>
            </w:r>
          </w:p>
        </w:tc>
        <w:tc>
          <w:tcPr>
            <w:tcW w:w="2104" w:type="dxa"/>
            <w:shd w:val="clear" w:color="auto" w:fill="auto"/>
          </w:tcPr>
          <w:p w14:paraId="30220185" w14:textId="77777777" w:rsidR="0093111F" w:rsidRDefault="000759BC" w:rsidP="00A35800">
            <w:pPr>
              <w:pStyle w:val="Tablewriting"/>
            </w:pPr>
            <w:r>
              <w:t>Lagevrio®</w:t>
            </w:r>
          </w:p>
          <w:p w14:paraId="2D337AC6" w14:textId="4D1F4687" w:rsidR="000759BC" w:rsidRPr="00A35800" w:rsidDel="00EE2BBB" w:rsidRDefault="000759BC" w:rsidP="00A35800">
            <w:pPr>
              <w:pStyle w:val="Tablewriting"/>
            </w:pPr>
            <w:r>
              <w:t xml:space="preserve">Merck Sharp &amp; Dohme (Australia) Pty Ltd </w:t>
            </w:r>
          </w:p>
        </w:tc>
      </w:tr>
      <w:tr w:rsidR="00DE2C45" w:rsidRPr="00A35800" w:rsidDel="00EE2BBB" w14:paraId="06E8482D" w14:textId="77777777" w:rsidTr="00953F15">
        <w:trPr>
          <w:trHeight w:val="552"/>
          <w:tblHeader/>
        </w:trPr>
        <w:tc>
          <w:tcPr>
            <w:tcW w:w="969" w:type="dxa"/>
            <w:shd w:val="clear" w:color="auto" w:fill="auto"/>
          </w:tcPr>
          <w:p w14:paraId="13E511E0" w14:textId="772B094A" w:rsidR="00DE2C45" w:rsidRPr="00B20327" w:rsidRDefault="00A74F35" w:rsidP="006E533D">
            <w:pPr>
              <w:pStyle w:val="Tablewriting"/>
              <w:jc w:val="center"/>
            </w:pPr>
            <w:r>
              <w:t>13144T</w:t>
            </w:r>
          </w:p>
        </w:tc>
        <w:tc>
          <w:tcPr>
            <w:tcW w:w="3279" w:type="dxa"/>
            <w:shd w:val="clear" w:color="auto" w:fill="auto"/>
          </w:tcPr>
          <w:p w14:paraId="55EB7260" w14:textId="14DE9C52" w:rsidR="00DE2C45" w:rsidRDefault="00A74F35" w:rsidP="00A35800">
            <w:pPr>
              <w:pStyle w:val="Tablewriting"/>
            </w:pPr>
            <w:r>
              <w:t>molnupiravir 200 mg capsule</w:t>
            </w:r>
            <w:r w:rsidR="00484C98">
              <w:t>,</w:t>
            </w:r>
            <w:r>
              <w:t xml:space="preserve"> 40</w:t>
            </w:r>
            <w:r w:rsidR="005C0F9F">
              <w:t xml:space="preserve"> </w:t>
            </w:r>
          </w:p>
        </w:tc>
        <w:tc>
          <w:tcPr>
            <w:tcW w:w="992" w:type="dxa"/>
            <w:shd w:val="clear" w:color="auto" w:fill="auto"/>
          </w:tcPr>
          <w:p w14:paraId="448FA8F6" w14:textId="7F37BDB1" w:rsidR="00DE2C45" w:rsidRDefault="00A74F35" w:rsidP="00866BE4">
            <w:pPr>
              <w:pStyle w:val="Tablewriting"/>
              <w:jc w:val="center"/>
            </w:pPr>
            <w:r>
              <w:t>2</w:t>
            </w:r>
          </w:p>
        </w:tc>
        <w:tc>
          <w:tcPr>
            <w:tcW w:w="680" w:type="dxa"/>
            <w:shd w:val="clear" w:color="auto" w:fill="auto"/>
          </w:tcPr>
          <w:p w14:paraId="5651C846" w14:textId="18753606" w:rsidR="00DE2C45" w:rsidRDefault="00A74F35" w:rsidP="00866BE4">
            <w:pPr>
              <w:pStyle w:val="Tablewriting"/>
              <w:jc w:val="center"/>
            </w:pPr>
            <w:r>
              <w:t>0</w:t>
            </w:r>
          </w:p>
        </w:tc>
        <w:tc>
          <w:tcPr>
            <w:tcW w:w="1040" w:type="dxa"/>
            <w:shd w:val="clear" w:color="auto" w:fill="auto"/>
          </w:tcPr>
          <w:p w14:paraId="1A7CF648" w14:textId="160BF387" w:rsidR="00DE2C45" w:rsidRDefault="00E53A24" w:rsidP="00866BE4">
            <w:pPr>
              <w:pStyle w:val="Tablewriting"/>
              <w:jc w:val="center"/>
            </w:pPr>
            <w:r>
              <w:t>$2</w:t>
            </w:r>
            <w:r w:rsidR="005C0F9F">
              <w:t>,</w:t>
            </w:r>
            <w:r>
              <w:t>192.75</w:t>
            </w:r>
          </w:p>
        </w:tc>
        <w:tc>
          <w:tcPr>
            <w:tcW w:w="2104" w:type="dxa"/>
            <w:shd w:val="clear" w:color="auto" w:fill="auto"/>
          </w:tcPr>
          <w:p w14:paraId="3A8EF399" w14:textId="77777777" w:rsidR="00DE2C45" w:rsidRDefault="00DE2C45" w:rsidP="00DE2C45">
            <w:pPr>
              <w:pStyle w:val="Tablewriting"/>
            </w:pPr>
            <w:r>
              <w:t>Lagevrio®</w:t>
            </w:r>
          </w:p>
          <w:p w14:paraId="4700DB42" w14:textId="19241A0A" w:rsidR="00DE2C45" w:rsidRDefault="00DE2C45" w:rsidP="00DE2C45">
            <w:pPr>
              <w:pStyle w:val="Tablewriting"/>
            </w:pPr>
            <w:r>
              <w:t>Merck Sharp &amp; Dohme (Australia) Pty Ltd</w:t>
            </w:r>
          </w:p>
        </w:tc>
      </w:tr>
    </w:tbl>
    <w:p w14:paraId="1183F151" w14:textId="13B5D7EA" w:rsidR="007247B9" w:rsidRDefault="007408C7" w:rsidP="00E63BD1">
      <w:pPr>
        <w:pStyle w:val="Notes"/>
        <w:spacing w:after="0"/>
      </w:pPr>
      <w:r w:rsidRPr="00A35800" w:rsidDel="00EE2BBB">
        <w:t xml:space="preserve">Source: </w:t>
      </w:r>
      <w:r w:rsidR="001624D7" w:rsidDel="00EE2BBB">
        <w:t xml:space="preserve">the </w:t>
      </w:r>
      <w:hyperlink r:id="rId10" w:history="1">
        <w:r w:rsidR="001624D7" w:rsidRPr="001624D7" w:rsidDel="00EE2BBB">
          <w:rPr>
            <w:rStyle w:val="Hyperlink"/>
          </w:rPr>
          <w:t>PBS website</w:t>
        </w:r>
      </w:hyperlink>
      <w:r w:rsidR="001624D7" w:rsidDel="00EE2BBB">
        <w:t>.</w:t>
      </w:r>
      <w:r w:rsidR="0080485E" w:rsidDel="00EE2BBB">
        <w:t xml:space="preserve">  </w:t>
      </w:r>
    </w:p>
    <w:p w14:paraId="7F130372" w14:textId="77777777" w:rsidR="009C0A9F" w:rsidRDefault="00E63BD1" w:rsidP="00E63BD1">
      <w:pPr>
        <w:pStyle w:val="Notes"/>
        <w:spacing w:after="0"/>
      </w:pPr>
      <w:r>
        <w:t>Note</w:t>
      </w:r>
      <w:r w:rsidR="009C0A9F">
        <w:t>s</w:t>
      </w:r>
      <w:r>
        <w:t xml:space="preserve">: </w:t>
      </w:r>
    </w:p>
    <w:p w14:paraId="31E3D96B" w14:textId="3C84B7C0" w:rsidR="009C0A9F" w:rsidRDefault="009C0A9F" w:rsidP="009C0A9F">
      <w:pPr>
        <w:pStyle w:val="Notes"/>
        <w:numPr>
          <w:ilvl w:val="0"/>
          <w:numId w:val="4"/>
        </w:numPr>
        <w:spacing w:after="0"/>
      </w:pPr>
      <w:r>
        <w:t xml:space="preserve">Details of the Liverpool COVID-19 Drug interaction checker can be found at: </w:t>
      </w:r>
      <w:hyperlink r:id="rId11" w:history="1">
        <w:r w:rsidRPr="00D70AE3">
          <w:rPr>
            <w:rStyle w:val="Hyperlink"/>
          </w:rPr>
          <w:t>https://www.covid19-druginteractions.org/checker</w:t>
        </w:r>
      </w:hyperlink>
    </w:p>
    <w:p w14:paraId="6CD3587D" w14:textId="3562FB87" w:rsidR="00301A96" w:rsidRDefault="00301A96" w:rsidP="009C0A9F">
      <w:pPr>
        <w:pStyle w:val="Notes"/>
        <w:numPr>
          <w:ilvl w:val="0"/>
          <w:numId w:val="4"/>
        </w:numPr>
        <w:spacing w:after="0"/>
      </w:pPr>
      <w:r w:rsidRPr="00301A96">
        <w:t>No increase in the maximum quantity or number of units may be authorised.</w:t>
      </w:r>
    </w:p>
    <w:p w14:paraId="3B77BC1E" w14:textId="6DE09D1C" w:rsidR="00301A96" w:rsidRPr="00301A96" w:rsidRDefault="00301A96" w:rsidP="009C0A9F">
      <w:pPr>
        <w:pStyle w:val="Notes"/>
        <w:numPr>
          <w:ilvl w:val="0"/>
          <w:numId w:val="4"/>
        </w:numPr>
        <w:spacing w:after="0"/>
      </w:pPr>
      <w:r w:rsidRPr="00301A96">
        <w:t>No increase in the maximum number of repeats may be authorised.</w:t>
      </w:r>
    </w:p>
    <w:p w14:paraId="356B85B6" w14:textId="2D929E65" w:rsidR="00E63BD1" w:rsidRDefault="00E63BD1" w:rsidP="009C0A9F">
      <w:pPr>
        <w:pStyle w:val="Notes"/>
        <w:numPr>
          <w:ilvl w:val="0"/>
          <w:numId w:val="4"/>
        </w:numPr>
        <w:spacing w:after="0"/>
      </w:pPr>
      <w:r>
        <w:t xml:space="preserve">Special Pricing Arrangements apply. </w:t>
      </w:r>
    </w:p>
    <w:p w14:paraId="0283058A" w14:textId="77777777" w:rsidR="00B2091F" w:rsidRDefault="00B2091F" w:rsidP="00B2091F">
      <w:pPr>
        <w:pStyle w:val="Notes"/>
        <w:spacing w:after="0"/>
      </w:pPr>
    </w:p>
    <w:p w14:paraId="58D5C0DF" w14:textId="77777777" w:rsidR="00B2091F" w:rsidRDefault="00B2091F" w:rsidP="00B2091F">
      <w:pPr>
        <w:pStyle w:val="Notes"/>
        <w:spacing w:after="0"/>
      </w:pPr>
    </w:p>
    <w:p w14:paraId="29A799D9" w14:textId="77777777" w:rsidR="00B2091F" w:rsidRPr="00A35800" w:rsidDel="00EE2BBB" w:rsidRDefault="00B2091F" w:rsidP="00B2091F">
      <w:pPr>
        <w:pStyle w:val="Notes"/>
        <w:spacing w:after="0"/>
      </w:pPr>
    </w:p>
    <w:p w14:paraId="1AFA1485" w14:textId="0996CCEB" w:rsidR="004C3186" w:rsidDel="00EE2BBB" w:rsidRDefault="004C3186" w:rsidP="00CF5E22">
      <w:pPr>
        <w:pStyle w:val="Heading3"/>
      </w:pPr>
      <w:r w:rsidDel="00EE2BBB">
        <w:lastRenderedPageBreak/>
        <w:t>Restriction</w:t>
      </w:r>
      <w:r w:rsidR="00C917E9">
        <w:t xml:space="preserve"> (abridged)</w:t>
      </w:r>
      <w:r w:rsidR="001B1065">
        <w:t xml:space="preserve"> as at August 2024</w:t>
      </w:r>
    </w:p>
    <w:p w14:paraId="434052B7" w14:textId="3C7FC8E0" w:rsidR="006C5AD2" w:rsidRPr="006C5AD2" w:rsidRDefault="00C5210B" w:rsidP="00A35800">
      <w:r w:rsidRPr="006C5AD2">
        <w:t xml:space="preserve">Molnupiravir </w:t>
      </w:r>
      <w:r w:rsidR="00290C10">
        <w:t>was</w:t>
      </w:r>
      <w:r w:rsidRPr="006C5AD2">
        <w:t xml:space="preserve"> restricted for use in</w:t>
      </w:r>
      <w:r w:rsidR="00460217">
        <w:t xml:space="preserve"> patients</w:t>
      </w:r>
      <w:r w:rsidRPr="006C5AD2">
        <w:t>:</w:t>
      </w:r>
    </w:p>
    <w:p w14:paraId="15B21651" w14:textId="3539AEEA" w:rsidR="006C5AD2" w:rsidRPr="006C5AD2" w:rsidRDefault="006C5AD2" w:rsidP="006C5AD2">
      <w:pPr>
        <w:pStyle w:val="ListParagraph"/>
        <w:numPr>
          <w:ilvl w:val="0"/>
          <w:numId w:val="8"/>
        </w:numPr>
        <w:spacing w:after="160" w:line="259" w:lineRule="auto"/>
        <w:rPr>
          <w:rFonts w:cstheme="minorHAnsi"/>
        </w:rPr>
      </w:pPr>
      <w:r>
        <w:rPr>
          <w:rFonts w:eastAsia="Times New Roman" w:cstheme="minorHAnsi"/>
          <w:color w:val="222222"/>
        </w:rPr>
        <w:t xml:space="preserve">Aged </w:t>
      </w:r>
      <w:r w:rsidRPr="006C5AD2">
        <w:rPr>
          <w:rFonts w:eastAsia="Times New Roman" w:cstheme="minorHAnsi"/>
          <w:color w:val="222222"/>
        </w:rPr>
        <w:t>70 years</w:t>
      </w:r>
      <w:r w:rsidR="00B01562">
        <w:rPr>
          <w:rFonts w:eastAsia="Times New Roman" w:cstheme="minorHAnsi"/>
          <w:color w:val="222222"/>
        </w:rPr>
        <w:t xml:space="preserve"> and</w:t>
      </w:r>
      <w:r w:rsidRPr="006C5AD2">
        <w:rPr>
          <w:rFonts w:eastAsia="Times New Roman" w:cstheme="minorHAnsi"/>
          <w:color w:val="222222"/>
        </w:rPr>
        <w:t xml:space="preserve"> old</w:t>
      </w:r>
      <w:r w:rsidR="00B01562">
        <w:rPr>
          <w:rFonts w:eastAsia="Times New Roman" w:cstheme="minorHAnsi"/>
          <w:color w:val="222222"/>
        </w:rPr>
        <w:t>er</w:t>
      </w:r>
    </w:p>
    <w:p w14:paraId="6C0EE11D" w14:textId="5334E4DD" w:rsidR="006C5AD2" w:rsidRPr="006C5AD2" w:rsidRDefault="006C5AD2" w:rsidP="006C5AD2">
      <w:pPr>
        <w:pStyle w:val="ListParagraph"/>
        <w:numPr>
          <w:ilvl w:val="0"/>
          <w:numId w:val="8"/>
        </w:numPr>
        <w:spacing w:after="160" w:line="259" w:lineRule="auto"/>
      </w:pPr>
      <w:r>
        <w:rPr>
          <w:rFonts w:cstheme="minorHAnsi"/>
        </w:rPr>
        <w:t xml:space="preserve">Aged </w:t>
      </w:r>
      <w:r w:rsidRPr="006C5AD2">
        <w:t xml:space="preserve">18 years </w:t>
      </w:r>
      <w:r w:rsidR="00B01562">
        <w:t>and older</w:t>
      </w:r>
      <w:r w:rsidRPr="006C5AD2">
        <w:t>, moderately to severely immunocompromised and at risk of progression to severe disease OR experienced past COVID-19 infection resulting in hospitalisation</w:t>
      </w:r>
    </w:p>
    <w:p w14:paraId="11DEFE83" w14:textId="545D8BF7" w:rsidR="006C5AD2" w:rsidRPr="006C5AD2" w:rsidRDefault="006C5AD2" w:rsidP="006C5AD2">
      <w:pPr>
        <w:pStyle w:val="ListParagraph"/>
        <w:numPr>
          <w:ilvl w:val="0"/>
          <w:numId w:val="8"/>
        </w:numPr>
        <w:spacing w:after="160" w:line="259" w:lineRule="auto"/>
      </w:pPr>
      <w:r>
        <w:rPr>
          <w:rFonts w:eastAsia="Times New Roman" w:cstheme="minorHAnsi"/>
          <w:color w:val="222222"/>
        </w:rPr>
        <w:t>Aboriginal or Torres Strait Islander</w:t>
      </w:r>
      <w:r w:rsidRPr="006C5AD2">
        <w:rPr>
          <w:rFonts w:eastAsia="Times New Roman" w:cstheme="minorHAnsi"/>
          <w:color w:val="222222"/>
        </w:rPr>
        <w:t xml:space="preserve">, </w:t>
      </w:r>
      <w:r>
        <w:rPr>
          <w:rFonts w:eastAsia="Times New Roman" w:cstheme="minorHAnsi"/>
          <w:color w:val="222222"/>
        </w:rPr>
        <w:t xml:space="preserve">aged </w:t>
      </w:r>
      <w:r w:rsidRPr="006C5AD2">
        <w:rPr>
          <w:rFonts w:eastAsia="Times New Roman" w:cstheme="minorHAnsi"/>
          <w:color w:val="222222"/>
        </w:rPr>
        <w:t xml:space="preserve">30 years </w:t>
      </w:r>
      <w:r w:rsidR="00B01562">
        <w:rPr>
          <w:rFonts w:eastAsia="Times New Roman" w:cstheme="minorHAnsi"/>
          <w:color w:val="222222"/>
        </w:rPr>
        <w:t xml:space="preserve">and </w:t>
      </w:r>
      <w:r w:rsidRPr="006C5AD2">
        <w:rPr>
          <w:rFonts w:eastAsia="Times New Roman" w:cstheme="minorHAnsi"/>
          <w:color w:val="222222"/>
        </w:rPr>
        <w:t>old</w:t>
      </w:r>
      <w:r w:rsidR="00B01562">
        <w:rPr>
          <w:rFonts w:eastAsia="Times New Roman" w:cstheme="minorHAnsi"/>
          <w:color w:val="222222"/>
        </w:rPr>
        <w:t>er with one</w:t>
      </w:r>
      <w:r w:rsidRPr="006C5AD2">
        <w:rPr>
          <w:rFonts w:eastAsia="Times New Roman" w:cstheme="minorHAnsi"/>
          <w:color w:val="222222"/>
        </w:rPr>
        <w:t xml:space="preserve"> risk factor</w:t>
      </w:r>
      <w:r w:rsidR="00B01562">
        <w:rPr>
          <w:rFonts w:eastAsia="Times New Roman" w:cstheme="minorHAnsi"/>
          <w:color w:val="222222"/>
        </w:rPr>
        <w:t xml:space="preserve">. </w:t>
      </w:r>
    </w:p>
    <w:p w14:paraId="2F6EE9EE" w14:textId="20C5F647" w:rsidR="00460217" w:rsidRDefault="006C5AD2" w:rsidP="00460217">
      <w:pPr>
        <w:pStyle w:val="ListParagraph"/>
        <w:numPr>
          <w:ilvl w:val="0"/>
          <w:numId w:val="8"/>
        </w:numPr>
        <w:spacing w:after="160" w:line="259" w:lineRule="auto"/>
      </w:pPr>
      <w:r>
        <w:rPr>
          <w:rFonts w:cstheme="minorHAnsi"/>
        </w:rPr>
        <w:t xml:space="preserve">Aged </w:t>
      </w:r>
      <w:r w:rsidR="00B01562">
        <w:rPr>
          <w:rFonts w:cstheme="minorHAnsi"/>
        </w:rPr>
        <w:t xml:space="preserve">between </w:t>
      </w:r>
      <w:r w:rsidRPr="006C5AD2">
        <w:rPr>
          <w:rFonts w:cstheme="minorHAnsi"/>
        </w:rPr>
        <w:t>50-69 years old</w:t>
      </w:r>
      <w:r w:rsidR="00B01562">
        <w:rPr>
          <w:rFonts w:cstheme="minorHAnsi"/>
        </w:rPr>
        <w:t xml:space="preserve"> with two</w:t>
      </w:r>
      <w:r w:rsidRPr="006C5AD2">
        <w:rPr>
          <w:rFonts w:cstheme="minorHAnsi"/>
        </w:rPr>
        <w:t xml:space="preserve"> risk factors</w:t>
      </w:r>
      <w:r w:rsidR="00B01562">
        <w:rPr>
          <w:rFonts w:cstheme="minorHAnsi"/>
        </w:rPr>
        <w:t xml:space="preserve">. </w:t>
      </w:r>
    </w:p>
    <w:p w14:paraId="22A77CC6" w14:textId="77777777" w:rsidR="00EC588A" w:rsidRPr="00EC588A" w:rsidRDefault="00EC588A" w:rsidP="00EC588A">
      <w:pPr>
        <w:shd w:val="clear" w:color="auto" w:fill="FFFFFF"/>
        <w:spacing w:after="0"/>
        <w:rPr>
          <w:rFonts w:eastAsia="Times New Roman" w:cstheme="minorHAnsi"/>
          <w:b/>
          <w:bCs/>
          <w:color w:val="222222"/>
        </w:rPr>
      </w:pPr>
      <w:r w:rsidRPr="00EC588A">
        <w:rPr>
          <w:rFonts w:cstheme="minorHAnsi"/>
          <w:b/>
          <w:bCs/>
          <w:color w:val="222222"/>
          <w:bdr w:val="none" w:sz="0" w:space="0" w:color="auto" w:frame="1"/>
        </w:rPr>
        <w:t>Clinical criteria:</w:t>
      </w:r>
    </w:p>
    <w:p w14:paraId="0E6A7E11" w14:textId="062BC4D8" w:rsidR="00EC588A" w:rsidRPr="00EC588A" w:rsidRDefault="00EC588A" w:rsidP="00EC588A">
      <w:pPr>
        <w:pStyle w:val="NormalWeb"/>
        <w:numPr>
          <w:ilvl w:val="0"/>
          <w:numId w:val="9"/>
        </w:numPr>
        <w:shd w:val="clear" w:color="auto" w:fill="FFFFFF"/>
        <w:spacing w:before="240" w:beforeAutospacing="0" w:after="0" w:afterAutospacing="0"/>
        <w:rPr>
          <w:rFonts w:asciiTheme="minorHAnsi" w:hAnsiTheme="minorHAnsi" w:cstheme="minorHAnsi"/>
          <w:color w:val="222222"/>
        </w:rPr>
      </w:pPr>
      <w:r w:rsidRPr="00EC588A">
        <w:rPr>
          <w:rFonts w:asciiTheme="minorHAnsi" w:hAnsiTheme="minorHAnsi" w:cstheme="minorHAnsi"/>
          <w:color w:val="222222"/>
        </w:rPr>
        <w:t>The treatment must be for use when nirmatrelvir (&amp;) ritonavir is contraindicated,</w:t>
      </w:r>
    </w:p>
    <w:p w14:paraId="26730641" w14:textId="77777777" w:rsidR="00EC588A" w:rsidRPr="00EC588A" w:rsidRDefault="00EC588A" w:rsidP="00EC588A">
      <w:pPr>
        <w:pStyle w:val="NormalWeb"/>
        <w:shd w:val="clear" w:color="auto" w:fill="FFFFFF"/>
        <w:spacing w:before="240" w:beforeAutospacing="0" w:after="0" w:afterAutospacing="0"/>
        <w:rPr>
          <w:rFonts w:asciiTheme="minorHAnsi" w:hAnsiTheme="minorHAnsi" w:cstheme="minorHAnsi"/>
          <w:color w:val="222222"/>
        </w:rPr>
      </w:pPr>
      <w:r w:rsidRPr="00EC588A">
        <w:rPr>
          <w:rFonts w:asciiTheme="minorHAnsi" w:hAnsiTheme="minorHAnsi" w:cstheme="minorHAnsi"/>
          <w:b/>
          <w:bCs/>
          <w:color w:val="222222"/>
          <w:bdr w:val="none" w:sz="0" w:space="0" w:color="auto" w:frame="1"/>
        </w:rPr>
        <w:t>AND</w:t>
      </w:r>
    </w:p>
    <w:p w14:paraId="25C3A84F" w14:textId="77777777" w:rsidR="00EC588A" w:rsidRPr="00EC588A" w:rsidRDefault="00EC588A" w:rsidP="00EC588A">
      <w:pPr>
        <w:pStyle w:val="NormalWeb"/>
        <w:numPr>
          <w:ilvl w:val="0"/>
          <w:numId w:val="10"/>
        </w:numPr>
        <w:shd w:val="clear" w:color="auto" w:fill="FFFFFF"/>
        <w:spacing w:before="240" w:beforeAutospacing="0" w:after="0" w:afterAutospacing="0"/>
        <w:rPr>
          <w:rFonts w:asciiTheme="minorHAnsi" w:hAnsiTheme="minorHAnsi" w:cstheme="minorHAnsi"/>
          <w:color w:val="222222"/>
        </w:rPr>
      </w:pPr>
      <w:r w:rsidRPr="00EC588A">
        <w:rPr>
          <w:rFonts w:asciiTheme="minorHAnsi" w:hAnsiTheme="minorHAnsi" w:cstheme="minorHAnsi"/>
          <w:color w:val="222222"/>
        </w:rPr>
        <w:t>Patient must have received a positive polymerase chain reaction (PCR) test result; OR</w:t>
      </w:r>
    </w:p>
    <w:p w14:paraId="5E1C971E" w14:textId="77777777" w:rsidR="00EC588A" w:rsidRPr="00EC588A" w:rsidRDefault="00EC588A" w:rsidP="00EC588A">
      <w:pPr>
        <w:pStyle w:val="NormalWeb"/>
        <w:numPr>
          <w:ilvl w:val="0"/>
          <w:numId w:val="10"/>
        </w:numPr>
        <w:shd w:val="clear" w:color="auto" w:fill="FFFFFF"/>
        <w:spacing w:before="240" w:beforeAutospacing="0" w:after="0" w:afterAutospacing="0"/>
        <w:rPr>
          <w:rFonts w:asciiTheme="minorHAnsi" w:hAnsiTheme="minorHAnsi" w:cstheme="minorHAnsi"/>
          <w:color w:val="222222"/>
        </w:rPr>
      </w:pPr>
      <w:r w:rsidRPr="00EC588A">
        <w:rPr>
          <w:rFonts w:asciiTheme="minorHAnsi" w:hAnsiTheme="minorHAnsi" w:cstheme="minorHAnsi"/>
          <w:color w:val="222222"/>
        </w:rPr>
        <w:t>Patient must have received a positive rapid antigen test (RAT) result,</w:t>
      </w:r>
    </w:p>
    <w:p w14:paraId="09DE517D" w14:textId="77777777" w:rsidR="00EC588A" w:rsidRPr="00EC588A" w:rsidRDefault="00EC588A" w:rsidP="00EC588A">
      <w:pPr>
        <w:pStyle w:val="NormalWeb"/>
        <w:shd w:val="clear" w:color="auto" w:fill="FFFFFF"/>
        <w:spacing w:before="240" w:beforeAutospacing="0" w:after="0" w:afterAutospacing="0"/>
        <w:rPr>
          <w:rFonts w:asciiTheme="minorHAnsi" w:hAnsiTheme="minorHAnsi" w:cstheme="minorHAnsi"/>
          <w:color w:val="222222"/>
        </w:rPr>
      </w:pPr>
      <w:r w:rsidRPr="00EC588A">
        <w:rPr>
          <w:rFonts w:asciiTheme="minorHAnsi" w:hAnsiTheme="minorHAnsi" w:cstheme="minorHAnsi"/>
          <w:b/>
          <w:bCs/>
          <w:color w:val="222222"/>
          <w:bdr w:val="none" w:sz="0" w:space="0" w:color="auto" w:frame="1"/>
        </w:rPr>
        <w:t>AND</w:t>
      </w:r>
    </w:p>
    <w:p w14:paraId="30E8D7FE" w14:textId="77777777" w:rsidR="00EC588A" w:rsidRPr="00EC588A" w:rsidRDefault="00EC588A" w:rsidP="00EC588A">
      <w:pPr>
        <w:pStyle w:val="NormalWeb"/>
        <w:numPr>
          <w:ilvl w:val="0"/>
          <w:numId w:val="11"/>
        </w:numPr>
        <w:shd w:val="clear" w:color="auto" w:fill="FFFFFF"/>
        <w:spacing w:before="240" w:beforeAutospacing="0" w:after="0" w:afterAutospacing="0"/>
        <w:rPr>
          <w:rFonts w:asciiTheme="minorHAnsi" w:hAnsiTheme="minorHAnsi" w:cstheme="minorHAnsi"/>
          <w:color w:val="222222"/>
        </w:rPr>
      </w:pPr>
      <w:r w:rsidRPr="00EC588A">
        <w:rPr>
          <w:rFonts w:asciiTheme="minorHAnsi" w:hAnsiTheme="minorHAnsi" w:cstheme="minorHAnsi"/>
          <w:color w:val="222222"/>
        </w:rPr>
        <w:t xml:space="preserve">Patient must not require hospitalisation for COVID-19 infection at the time of prescribing, </w:t>
      </w:r>
    </w:p>
    <w:p w14:paraId="6FB2EBDC" w14:textId="77777777" w:rsidR="00EC588A" w:rsidRPr="00EC588A" w:rsidRDefault="00EC588A" w:rsidP="00EC588A">
      <w:pPr>
        <w:pStyle w:val="NormalWeb"/>
        <w:shd w:val="clear" w:color="auto" w:fill="FFFFFF"/>
        <w:spacing w:before="240" w:beforeAutospacing="0" w:after="0" w:afterAutospacing="0"/>
        <w:rPr>
          <w:rFonts w:asciiTheme="minorHAnsi" w:hAnsiTheme="minorHAnsi" w:cstheme="minorHAnsi"/>
          <w:color w:val="222222"/>
        </w:rPr>
      </w:pPr>
      <w:r w:rsidRPr="00EC588A">
        <w:rPr>
          <w:rFonts w:asciiTheme="minorHAnsi" w:hAnsiTheme="minorHAnsi" w:cstheme="minorHAnsi"/>
          <w:b/>
          <w:bCs/>
          <w:color w:val="222222"/>
          <w:bdr w:val="none" w:sz="0" w:space="0" w:color="auto" w:frame="1"/>
        </w:rPr>
        <w:t>AND</w:t>
      </w:r>
    </w:p>
    <w:p w14:paraId="3E0F46CA" w14:textId="77777777" w:rsidR="00EC588A" w:rsidRPr="00AA0ED0" w:rsidRDefault="00EC588A" w:rsidP="00EC588A">
      <w:pPr>
        <w:pStyle w:val="NormalWeb"/>
        <w:numPr>
          <w:ilvl w:val="0"/>
          <w:numId w:val="12"/>
        </w:numPr>
        <w:shd w:val="clear" w:color="auto" w:fill="FFFFFF"/>
        <w:spacing w:before="240" w:beforeAutospacing="0" w:after="0" w:afterAutospacing="0"/>
        <w:rPr>
          <w:rFonts w:asciiTheme="minorHAnsi" w:hAnsiTheme="minorHAnsi" w:cstheme="minorHAnsi"/>
          <w:i/>
          <w:iCs/>
          <w:color w:val="222222"/>
        </w:rPr>
      </w:pPr>
      <w:r w:rsidRPr="00EC588A">
        <w:rPr>
          <w:rFonts w:asciiTheme="minorHAnsi" w:hAnsiTheme="minorHAnsi" w:cstheme="minorHAnsi"/>
          <w:color w:val="222222"/>
        </w:rPr>
        <w:t xml:space="preserve">The treatment must be initiated within 5 days of symptom onset; </w:t>
      </w:r>
      <w:r w:rsidRPr="00AA0ED0">
        <w:rPr>
          <w:rFonts w:asciiTheme="minorHAnsi" w:hAnsiTheme="minorHAnsi" w:cstheme="minorHAnsi"/>
          <w:i/>
          <w:iCs/>
          <w:color w:val="222222"/>
        </w:rPr>
        <w:t>OR</w:t>
      </w:r>
    </w:p>
    <w:p w14:paraId="6B1B9490" w14:textId="582B3396" w:rsidR="00EC588A" w:rsidRPr="00EC588A" w:rsidRDefault="00EC588A" w:rsidP="00EC588A">
      <w:pPr>
        <w:pStyle w:val="NormalWeb"/>
        <w:numPr>
          <w:ilvl w:val="0"/>
          <w:numId w:val="12"/>
        </w:numPr>
        <w:shd w:val="clear" w:color="auto" w:fill="FFFFFF"/>
        <w:spacing w:before="240" w:beforeAutospacing="0" w:after="0" w:afterAutospacing="0"/>
        <w:rPr>
          <w:rFonts w:asciiTheme="minorHAnsi" w:hAnsiTheme="minorHAnsi" w:cstheme="minorHAnsi"/>
          <w:i/>
          <w:iCs/>
          <w:color w:val="222222"/>
        </w:rPr>
      </w:pPr>
      <w:r w:rsidRPr="00EC588A">
        <w:rPr>
          <w:rFonts w:asciiTheme="minorHAnsi" w:hAnsiTheme="minorHAnsi" w:cstheme="minorHAnsi"/>
          <w:i/>
          <w:iCs/>
          <w:color w:val="222222"/>
        </w:rPr>
        <w:t>The treatment must be initiated as soon as possible after a diagnosis is confirmed where asymptomatic (only for</w:t>
      </w:r>
      <w:r w:rsidR="00460217">
        <w:rPr>
          <w:rFonts w:asciiTheme="minorHAnsi" w:hAnsiTheme="minorHAnsi" w:cstheme="minorHAnsi"/>
          <w:i/>
          <w:iCs/>
          <w:color w:val="222222"/>
        </w:rPr>
        <w:t xml:space="preserve"> patients aged </w:t>
      </w:r>
      <w:r w:rsidRPr="00EC588A">
        <w:rPr>
          <w:rFonts w:asciiTheme="minorHAnsi" w:hAnsiTheme="minorHAnsi" w:cstheme="minorHAnsi"/>
          <w:i/>
          <w:iCs/>
          <w:color w:val="222222"/>
        </w:rPr>
        <w:t xml:space="preserve"> ≥70 years)</w:t>
      </w:r>
    </w:p>
    <w:p w14:paraId="44309CB1" w14:textId="77777777" w:rsidR="00EC588A" w:rsidRDefault="00EC588A" w:rsidP="006C5AD2">
      <w:pPr>
        <w:spacing w:after="160" w:line="259" w:lineRule="auto"/>
      </w:pPr>
    </w:p>
    <w:p w14:paraId="23ACEA88" w14:textId="77777777" w:rsidR="00DF71F3" w:rsidRPr="00DF71F3" w:rsidRDefault="00DF71F3" w:rsidP="00DF71F3">
      <w:pPr>
        <w:shd w:val="clear" w:color="auto" w:fill="FFFFFF"/>
        <w:spacing w:after="0" w:line="300" w:lineRule="atLeast"/>
        <w:rPr>
          <w:rFonts w:eastAsia="Times New Roman" w:cstheme="minorHAnsi"/>
          <w:color w:val="222222"/>
        </w:rPr>
      </w:pPr>
      <w:r w:rsidRPr="00DF71F3">
        <w:rPr>
          <w:rFonts w:eastAsia="Times New Roman" w:cstheme="minorHAnsi"/>
          <w:color w:val="222222"/>
        </w:rPr>
        <w:t>Access to this drug through this restriction is permitted irrespective of vaccination status.</w:t>
      </w:r>
    </w:p>
    <w:p w14:paraId="242F745B" w14:textId="77777777" w:rsidR="00C917E9" w:rsidRDefault="00C917E9" w:rsidP="00DF71F3">
      <w:pPr>
        <w:shd w:val="clear" w:color="auto" w:fill="FFFFFF"/>
        <w:spacing w:after="0" w:line="300" w:lineRule="atLeast"/>
        <w:rPr>
          <w:rFonts w:eastAsia="Times New Roman" w:cstheme="minorHAnsi"/>
          <w:color w:val="222222"/>
        </w:rPr>
      </w:pPr>
    </w:p>
    <w:p w14:paraId="21582093" w14:textId="53D16C2A" w:rsidR="00DF71F3" w:rsidRDefault="00DF71F3" w:rsidP="00DF71F3">
      <w:pPr>
        <w:shd w:val="clear" w:color="auto" w:fill="FFFFFF"/>
        <w:spacing w:after="0" w:line="300" w:lineRule="atLeast"/>
        <w:rPr>
          <w:rFonts w:eastAsia="Times New Roman" w:cstheme="minorHAnsi"/>
          <w:color w:val="222222"/>
        </w:rPr>
      </w:pPr>
      <w:r w:rsidRPr="00DF71F3">
        <w:rPr>
          <w:rFonts w:eastAsia="Times New Roman" w:cstheme="minorHAnsi"/>
          <w:color w:val="222222"/>
        </w:rPr>
        <w:t>Where PCR is used to confirm diagnosis, the result, testing date, location and test provider must be recorded on the patient record.</w:t>
      </w:r>
    </w:p>
    <w:p w14:paraId="505B2619" w14:textId="77777777" w:rsidR="00C917E9" w:rsidRDefault="00C917E9" w:rsidP="00DF71F3">
      <w:pPr>
        <w:shd w:val="clear" w:color="auto" w:fill="FFFFFF"/>
        <w:spacing w:after="0" w:line="300" w:lineRule="atLeast"/>
        <w:rPr>
          <w:rFonts w:eastAsia="Times New Roman" w:cstheme="minorHAnsi"/>
          <w:color w:val="222222"/>
        </w:rPr>
      </w:pPr>
    </w:p>
    <w:p w14:paraId="21F57F29" w14:textId="6695F154" w:rsidR="00DF71F3" w:rsidRDefault="00DF71F3" w:rsidP="00DF71F3">
      <w:pPr>
        <w:shd w:val="clear" w:color="auto" w:fill="FFFFFF"/>
        <w:spacing w:after="0" w:line="300" w:lineRule="atLeast"/>
        <w:rPr>
          <w:rFonts w:eastAsia="Times New Roman" w:cstheme="minorHAnsi"/>
          <w:color w:val="222222"/>
        </w:rPr>
      </w:pPr>
      <w:r w:rsidRPr="00DF71F3">
        <w:rPr>
          <w:rFonts w:eastAsia="Times New Roman" w:cstheme="minorHAnsi"/>
          <w:color w:val="222222"/>
        </w:rPr>
        <w:t>Where a RAT is used to confirm diagnosis, available information about the test result, testing date, location and test provider (where relevant) must be recorded on the patient record.</w:t>
      </w:r>
    </w:p>
    <w:p w14:paraId="57335021" w14:textId="77777777" w:rsidR="00DF71F3" w:rsidRPr="00DF71F3" w:rsidRDefault="00DF71F3" w:rsidP="00DF71F3">
      <w:pPr>
        <w:shd w:val="clear" w:color="auto" w:fill="FFFFFF"/>
        <w:spacing w:after="0" w:line="300" w:lineRule="atLeast"/>
        <w:rPr>
          <w:rFonts w:eastAsia="Times New Roman" w:cstheme="minorHAnsi"/>
          <w:color w:val="222222"/>
        </w:rPr>
      </w:pPr>
    </w:p>
    <w:p w14:paraId="621C1BF6" w14:textId="77777777" w:rsidR="00DF71F3" w:rsidRPr="00DF71F3" w:rsidRDefault="00DF71F3" w:rsidP="00DF71F3">
      <w:pPr>
        <w:shd w:val="clear" w:color="auto" w:fill="FFFFFF"/>
        <w:spacing w:after="0" w:line="300" w:lineRule="atLeast"/>
        <w:rPr>
          <w:rFonts w:eastAsia="Times New Roman" w:cstheme="minorHAnsi"/>
          <w:color w:val="222222"/>
        </w:rPr>
      </w:pPr>
      <w:r w:rsidRPr="00DF71F3">
        <w:rPr>
          <w:rFonts w:eastAsia="Times New Roman" w:cstheme="minorHAnsi"/>
          <w:color w:val="222222"/>
        </w:rPr>
        <w:t>This drug is not PBS-subsidised for pre-exposure or post-exposure prophylaxis for the prevention of SARS-CoV-2 infection.</w:t>
      </w:r>
    </w:p>
    <w:p w14:paraId="3D2210EF" w14:textId="77777777" w:rsidR="00DF71F3" w:rsidRDefault="00DF71F3" w:rsidP="00DF71F3">
      <w:pPr>
        <w:shd w:val="clear" w:color="auto" w:fill="FFFFFF"/>
        <w:spacing w:after="0" w:line="300" w:lineRule="atLeast"/>
        <w:rPr>
          <w:rFonts w:eastAsia="Times New Roman" w:cstheme="minorHAnsi"/>
          <w:color w:val="222222"/>
        </w:rPr>
      </w:pPr>
    </w:p>
    <w:p w14:paraId="6B69A4ED" w14:textId="4CE660F2" w:rsidR="00DF71F3" w:rsidRDefault="00DF71F3" w:rsidP="00DF71F3">
      <w:pPr>
        <w:shd w:val="clear" w:color="auto" w:fill="FFFFFF"/>
        <w:spacing w:after="0" w:line="300" w:lineRule="atLeast"/>
        <w:rPr>
          <w:rFonts w:eastAsia="Times New Roman" w:cstheme="minorHAnsi"/>
          <w:color w:val="222222"/>
        </w:rPr>
      </w:pPr>
      <w:r w:rsidRPr="00DF71F3">
        <w:rPr>
          <w:rFonts w:eastAsia="Times New Roman" w:cstheme="minorHAnsi"/>
          <w:color w:val="222222"/>
        </w:rPr>
        <w:lastRenderedPageBreak/>
        <w:t>For the purpose of administering this restriction, the contraindications to nirmatrelvir (&amp;) ritonavir can be found using the Liverpool COVID-19 Drug interaction checker or the TGA-approved Product Information for Paxlovid.</w:t>
      </w:r>
    </w:p>
    <w:p w14:paraId="3E4AEE6D" w14:textId="77777777" w:rsidR="00C917E9" w:rsidRPr="00DF71F3" w:rsidRDefault="00C917E9" w:rsidP="00DF71F3">
      <w:pPr>
        <w:shd w:val="clear" w:color="auto" w:fill="FFFFFF"/>
        <w:spacing w:after="0" w:line="300" w:lineRule="atLeast"/>
        <w:rPr>
          <w:rFonts w:eastAsia="Times New Roman" w:cstheme="minorHAnsi"/>
          <w:color w:val="222222"/>
        </w:rPr>
      </w:pPr>
    </w:p>
    <w:p w14:paraId="4EE8FBE7" w14:textId="77777777" w:rsidR="00DF71F3" w:rsidRPr="00DF71F3" w:rsidRDefault="00DF71F3" w:rsidP="00DF71F3">
      <w:pPr>
        <w:shd w:val="clear" w:color="auto" w:fill="FFFFFF"/>
        <w:spacing w:after="0" w:line="300" w:lineRule="atLeast"/>
        <w:rPr>
          <w:rFonts w:eastAsia="Times New Roman" w:cstheme="minorHAnsi"/>
          <w:color w:val="222222"/>
        </w:rPr>
      </w:pPr>
      <w:r w:rsidRPr="00DF71F3">
        <w:rPr>
          <w:rFonts w:eastAsia="Times New Roman" w:cstheme="minorHAnsi"/>
          <w:color w:val="222222"/>
        </w:rPr>
        <w:t>Details/reasons of contraindications to nirmatrelvir (&amp;) ritonavir must be documented in the patient's medical records.</w:t>
      </w:r>
    </w:p>
    <w:p w14:paraId="5B14A4A8" w14:textId="77777777" w:rsidR="00DF71F3" w:rsidRPr="00DF71F3" w:rsidRDefault="00DF71F3" w:rsidP="00DF71F3">
      <w:pPr>
        <w:shd w:val="clear" w:color="auto" w:fill="FFFFFF"/>
        <w:spacing w:after="0"/>
        <w:rPr>
          <w:rFonts w:ascii="Open Sans" w:eastAsia="Times New Roman" w:hAnsi="Open Sans" w:cs="Open Sans"/>
          <w:color w:val="222222"/>
        </w:rPr>
      </w:pPr>
    </w:p>
    <w:p w14:paraId="41FDB5C5" w14:textId="77777777" w:rsidR="00DF71F3" w:rsidRPr="00DF71F3" w:rsidRDefault="00DF71F3" w:rsidP="00DF71F3">
      <w:pPr>
        <w:shd w:val="clear" w:color="auto" w:fill="FFFFFF"/>
        <w:spacing w:after="240" w:line="300" w:lineRule="atLeast"/>
        <w:rPr>
          <w:rFonts w:eastAsia="Times New Roman" w:cstheme="minorHAnsi"/>
          <w:color w:val="222222"/>
        </w:rPr>
      </w:pPr>
      <w:r w:rsidRPr="00DF71F3">
        <w:rPr>
          <w:rFonts w:eastAsia="Times New Roman" w:cstheme="minorHAnsi"/>
          <w:color w:val="222222"/>
        </w:rPr>
        <w:t>For the purpose of administering this restriction, signs or symptoms attributable to COVID-19 are: fever greater than 38 degrees Celsius, chills, cough, sore throat, shortness of breath or difficulty breathing with exertion, fatigue, nasal congestion, runny nose, headache, muscle or body aches, nausea, vomiting, diarrhea, loss of taste, loss of smell.</w:t>
      </w:r>
    </w:p>
    <w:p w14:paraId="2ED151A5" w14:textId="62B6DAAE" w:rsidR="00EC588A" w:rsidRPr="006C5AD2" w:rsidDel="00EE2BBB" w:rsidRDefault="00DF71F3" w:rsidP="006C5AD2">
      <w:pPr>
        <w:spacing w:after="160" w:line="259" w:lineRule="auto"/>
      </w:pPr>
      <w:r>
        <w:t xml:space="preserve">Details regarding the </w:t>
      </w:r>
      <w:r w:rsidR="00A5389B">
        <w:t>risk factors and moderately to severely immunocompromised</w:t>
      </w:r>
      <w:r w:rsidR="009479A6">
        <w:t xml:space="preserve"> conditions </w:t>
      </w:r>
      <w:r w:rsidR="00A5389B">
        <w:t xml:space="preserve">can be found in Appendix A. </w:t>
      </w:r>
    </w:p>
    <w:p w14:paraId="4AFD539F" w14:textId="68081A30" w:rsidR="00953F15" w:rsidRPr="002E26D9" w:rsidDel="00EE2BBB" w:rsidRDefault="006775F1" w:rsidP="00A35800">
      <w:pPr>
        <w:rPr>
          <w:color w:val="0000FF" w:themeColor="hyperlink"/>
          <w:u w:val="single"/>
        </w:rPr>
      </w:pPr>
      <w:r w:rsidRPr="006775F1" w:rsidDel="00EE2BBB">
        <w:t xml:space="preserve">For </w:t>
      </w:r>
      <w:r w:rsidR="00835337" w:rsidDel="00EE2BBB">
        <w:t xml:space="preserve">details of the current PBS listing refer to the </w:t>
      </w:r>
      <w:hyperlink r:id="rId12" w:history="1">
        <w:r w:rsidR="00835337" w:rsidRPr="00645D51" w:rsidDel="00EE2BBB">
          <w:rPr>
            <w:rStyle w:val="Hyperlink"/>
          </w:rPr>
          <w:t>PBS website</w:t>
        </w:r>
      </w:hyperlink>
      <w:r w:rsidR="00835337" w:rsidDel="00EE2BBB">
        <w:rPr>
          <w:rStyle w:val="Hyperlink"/>
        </w:rPr>
        <w:t>.</w:t>
      </w:r>
    </w:p>
    <w:p w14:paraId="39EF75ED" w14:textId="73256AB5" w:rsidR="00675BB1" w:rsidRDefault="00675BB1" w:rsidP="00CF5E22">
      <w:pPr>
        <w:pStyle w:val="Heading3"/>
      </w:pPr>
      <w:r w:rsidRPr="00675BB1" w:rsidDel="00EE2BBB">
        <w:t>Changes to listing</w:t>
      </w:r>
    </w:p>
    <w:p w14:paraId="3DF1156E" w14:textId="3486868E" w:rsidR="001D24CE" w:rsidRPr="001D24CE" w:rsidDel="00EE2BBB" w:rsidRDefault="001D24CE" w:rsidP="001D24CE">
      <w:r>
        <w:t xml:space="preserve">Table 2 shows the changes in </w:t>
      </w:r>
      <w:r w:rsidR="001E1512">
        <w:t xml:space="preserve">the eligible populations for </w:t>
      </w:r>
      <w:r w:rsidR="00930743">
        <w:t>molnupiravir</w:t>
      </w:r>
      <w:r w:rsidR="001E1512">
        <w:t xml:space="preserve"> since PBS listing. </w:t>
      </w:r>
    </w:p>
    <w:p w14:paraId="22C4EB45" w14:textId="1DE5D6B8" w:rsidR="00930743" w:rsidRPr="00930743" w:rsidRDefault="00930743" w:rsidP="00930743">
      <w:pPr>
        <w:pStyle w:val="Tabletitle"/>
      </w:pPr>
      <w:r w:rsidRPr="001420B3" w:rsidDel="00EE2BBB">
        <w:t xml:space="preserve">Table </w:t>
      </w:r>
      <w:r>
        <w:t>2</w:t>
      </w:r>
      <w:r w:rsidRPr="001420B3" w:rsidDel="00EE2BBB">
        <w:t xml:space="preserve">: </w:t>
      </w:r>
      <w:r>
        <w:t>Overview of the changes in eligible populations for molnupiravir</w:t>
      </w:r>
    </w:p>
    <w:tbl>
      <w:tblPr>
        <w:tblStyle w:val="TableGrid1"/>
        <w:tblW w:w="5000" w:type="pct"/>
        <w:tblLook w:val="04A0" w:firstRow="1" w:lastRow="0" w:firstColumn="1" w:lastColumn="0" w:noHBand="0" w:noVBand="1"/>
      </w:tblPr>
      <w:tblGrid>
        <w:gridCol w:w="2227"/>
        <w:gridCol w:w="2230"/>
        <w:gridCol w:w="2237"/>
        <w:gridCol w:w="2253"/>
      </w:tblGrid>
      <w:tr w:rsidR="00302DE7" w:rsidRPr="00302DE7" w14:paraId="6CD75708" w14:textId="77777777" w:rsidTr="00302DE7">
        <w:tc>
          <w:tcPr>
            <w:tcW w:w="1245" w:type="pct"/>
            <w:shd w:val="clear" w:color="auto" w:fill="BFBFBF"/>
            <w:vAlign w:val="center"/>
          </w:tcPr>
          <w:p w14:paraId="35444DAC" w14:textId="77777777" w:rsidR="00302DE7" w:rsidRPr="00302DE7" w:rsidRDefault="00302DE7" w:rsidP="009A5311">
            <w:pPr>
              <w:spacing w:before="60" w:after="60"/>
              <w:jc w:val="center"/>
              <w:rPr>
                <w:rFonts w:ascii="Calibri" w:eastAsia="Times New Roman" w:hAnsi="Calibri" w:cs="Calibri"/>
                <w:color w:val="222222"/>
                <w:sz w:val="18"/>
                <w:szCs w:val="18"/>
              </w:rPr>
            </w:pPr>
            <w:r w:rsidRPr="00302DE7">
              <w:rPr>
                <w:rFonts w:ascii="Calibri" w:hAnsi="Calibri" w:cs="Times New Roman"/>
                <w:b/>
                <w:bCs/>
                <w:sz w:val="20"/>
                <w:szCs w:val="20"/>
              </w:rPr>
              <w:t>March 2022</w:t>
            </w:r>
          </w:p>
        </w:tc>
        <w:tc>
          <w:tcPr>
            <w:tcW w:w="1246" w:type="pct"/>
            <w:shd w:val="clear" w:color="auto" w:fill="BFBFBF"/>
            <w:vAlign w:val="center"/>
          </w:tcPr>
          <w:p w14:paraId="1864895E" w14:textId="77777777" w:rsidR="00302DE7" w:rsidRPr="00302DE7" w:rsidRDefault="00302DE7" w:rsidP="009A5311">
            <w:pPr>
              <w:spacing w:before="60" w:after="60"/>
              <w:jc w:val="center"/>
              <w:rPr>
                <w:rFonts w:ascii="Calibri" w:eastAsia="Times New Roman" w:hAnsi="Calibri" w:cs="Calibri"/>
                <w:color w:val="222222"/>
                <w:sz w:val="18"/>
                <w:szCs w:val="18"/>
              </w:rPr>
            </w:pPr>
            <w:r w:rsidRPr="00302DE7">
              <w:rPr>
                <w:rFonts w:ascii="Calibri" w:hAnsi="Calibri" w:cs="Times New Roman"/>
                <w:b/>
                <w:bCs/>
                <w:sz w:val="20"/>
                <w:szCs w:val="20"/>
              </w:rPr>
              <w:t>August 2022</w:t>
            </w:r>
          </w:p>
        </w:tc>
        <w:tc>
          <w:tcPr>
            <w:tcW w:w="1249" w:type="pct"/>
            <w:shd w:val="clear" w:color="auto" w:fill="BFBFBF"/>
            <w:vAlign w:val="center"/>
          </w:tcPr>
          <w:p w14:paraId="63F6925E" w14:textId="77777777" w:rsidR="00302DE7" w:rsidRPr="00302DE7" w:rsidRDefault="00302DE7" w:rsidP="009A5311">
            <w:pPr>
              <w:spacing w:before="60" w:after="60"/>
              <w:jc w:val="center"/>
              <w:rPr>
                <w:rFonts w:ascii="Calibri" w:eastAsia="Times New Roman" w:hAnsi="Calibri" w:cs="Calibri"/>
                <w:color w:val="222222"/>
                <w:sz w:val="18"/>
                <w:szCs w:val="18"/>
              </w:rPr>
            </w:pPr>
            <w:r w:rsidRPr="00302DE7">
              <w:rPr>
                <w:rFonts w:ascii="Calibri" w:hAnsi="Calibri" w:cs="Times New Roman"/>
                <w:b/>
                <w:bCs/>
                <w:sz w:val="20"/>
                <w:szCs w:val="20"/>
              </w:rPr>
              <w:t>November 2022</w:t>
            </w:r>
          </w:p>
        </w:tc>
        <w:tc>
          <w:tcPr>
            <w:tcW w:w="1259" w:type="pct"/>
            <w:shd w:val="clear" w:color="auto" w:fill="BFBFBF"/>
            <w:vAlign w:val="center"/>
          </w:tcPr>
          <w:p w14:paraId="055A1B56" w14:textId="77777777" w:rsidR="00302DE7" w:rsidRPr="00302DE7" w:rsidRDefault="00302DE7" w:rsidP="009A5311">
            <w:pPr>
              <w:spacing w:before="60" w:after="60"/>
              <w:jc w:val="center"/>
              <w:rPr>
                <w:rFonts w:ascii="Calibri" w:eastAsia="Times New Roman" w:hAnsi="Calibri" w:cs="Calibri"/>
                <w:color w:val="222222"/>
                <w:sz w:val="18"/>
                <w:szCs w:val="18"/>
              </w:rPr>
            </w:pPr>
            <w:r w:rsidRPr="00302DE7">
              <w:rPr>
                <w:rFonts w:ascii="Calibri" w:hAnsi="Calibri" w:cs="Times New Roman"/>
                <w:b/>
                <w:bCs/>
                <w:sz w:val="20"/>
                <w:szCs w:val="20"/>
              </w:rPr>
              <w:t>February 2023</w:t>
            </w:r>
          </w:p>
        </w:tc>
      </w:tr>
      <w:tr w:rsidR="00302DE7" w:rsidRPr="00302DE7" w14:paraId="197807AE" w14:textId="77777777" w:rsidTr="00302DE7">
        <w:tc>
          <w:tcPr>
            <w:tcW w:w="1245" w:type="pct"/>
            <w:vAlign w:val="center"/>
          </w:tcPr>
          <w:p w14:paraId="5F6B2FEC" w14:textId="77777777" w:rsidR="00302DE7" w:rsidRPr="00302DE7" w:rsidRDefault="00302DE7" w:rsidP="009A5311">
            <w:pPr>
              <w:spacing w:before="60" w:after="60"/>
              <w:jc w:val="center"/>
              <w:rPr>
                <w:rFonts w:ascii="Calibri" w:hAnsi="Calibri" w:cs="Times New Roman"/>
                <w:sz w:val="20"/>
                <w:szCs w:val="20"/>
              </w:rPr>
            </w:pPr>
            <w:r w:rsidRPr="00302DE7">
              <w:rPr>
                <w:rFonts w:ascii="Calibri" w:hAnsi="Calibri" w:cs="Calibri"/>
                <w:sz w:val="20"/>
                <w:szCs w:val="20"/>
              </w:rPr>
              <w:t>65-74</w:t>
            </w:r>
            <w:r w:rsidRPr="00302DE7">
              <w:rPr>
                <w:rFonts w:ascii="Calibri" w:hAnsi="Calibri" w:cs="Times New Roman"/>
                <w:sz w:val="20"/>
                <w:szCs w:val="20"/>
              </w:rPr>
              <w:t xml:space="preserve"> years old,</w:t>
            </w:r>
          </w:p>
          <w:p w14:paraId="2E1A5032" w14:textId="77777777" w:rsidR="00302DE7" w:rsidRPr="00302DE7" w:rsidRDefault="00302DE7" w:rsidP="009A5311">
            <w:pPr>
              <w:spacing w:before="60" w:after="60"/>
              <w:jc w:val="center"/>
              <w:rPr>
                <w:rFonts w:ascii="Calibri" w:eastAsia="Times New Roman" w:hAnsi="Calibri" w:cs="Calibri"/>
                <w:color w:val="222222"/>
                <w:sz w:val="18"/>
                <w:szCs w:val="18"/>
              </w:rPr>
            </w:pPr>
            <w:r w:rsidRPr="00302DE7">
              <w:rPr>
                <w:rFonts w:ascii="Calibri" w:hAnsi="Calibri" w:cs="Times New Roman"/>
                <w:sz w:val="20"/>
                <w:szCs w:val="20"/>
              </w:rPr>
              <w:t xml:space="preserve">2 risk factors                                                                                                                                                                                                                                                                                                                                                                                                                                                                                                                                                                                                                                                              </w:t>
            </w:r>
          </w:p>
        </w:tc>
        <w:tc>
          <w:tcPr>
            <w:tcW w:w="3755" w:type="pct"/>
            <w:gridSpan w:val="3"/>
            <w:vAlign w:val="center"/>
          </w:tcPr>
          <w:p w14:paraId="42835160" w14:textId="77777777" w:rsidR="00302DE7" w:rsidRPr="00302DE7" w:rsidRDefault="00302DE7" w:rsidP="009A5311">
            <w:pPr>
              <w:spacing w:before="60" w:after="60"/>
              <w:jc w:val="center"/>
              <w:rPr>
                <w:rFonts w:ascii="Calibri" w:hAnsi="Calibri" w:cs="Calibri"/>
                <w:sz w:val="20"/>
                <w:szCs w:val="20"/>
              </w:rPr>
            </w:pPr>
            <w:r w:rsidRPr="00302DE7">
              <w:rPr>
                <w:rFonts w:ascii="Calibri" w:hAnsi="Calibri" w:cs="Calibri"/>
                <w:sz w:val="20"/>
                <w:szCs w:val="20"/>
              </w:rPr>
              <w:t>50-69 years old,</w:t>
            </w:r>
          </w:p>
          <w:p w14:paraId="42D5A717" w14:textId="77777777" w:rsidR="00302DE7" w:rsidRPr="00302DE7" w:rsidRDefault="00302DE7" w:rsidP="009A5311">
            <w:pPr>
              <w:spacing w:before="60" w:after="60"/>
              <w:jc w:val="center"/>
              <w:rPr>
                <w:rFonts w:ascii="Calibri" w:eastAsia="Times New Roman" w:hAnsi="Calibri" w:cs="Calibri"/>
                <w:color w:val="222222"/>
                <w:sz w:val="18"/>
                <w:szCs w:val="18"/>
              </w:rPr>
            </w:pPr>
            <w:r w:rsidRPr="00302DE7">
              <w:rPr>
                <w:rFonts w:ascii="Calibri" w:hAnsi="Calibri" w:cs="Calibri"/>
                <w:sz w:val="20"/>
                <w:szCs w:val="20"/>
              </w:rPr>
              <w:t>2 risk factors</w:t>
            </w:r>
          </w:p>
        </w:tc>
      </w:tr>
      <w:tr w:rsidR="00302DE7" w:rsidRPr="00302DE7" w14:paraId="78D205C8" w14:textId="77777777" w:rsidTr="00302DE7">
        <w:tc>
          <w:tcPr>
            <w:tcW w:w="1245" w:type="pct"/>
            <w:vAlign w:val="center"/>
          </w:tcPr>
          <w:p w14:paraId="13568D15" w14:textId="77777777" w:rsidR="00302DE7" w:rsidRPr="00302DE7" w:rsidRDefault="00302DE7" w:rsidP="009A5311">
            <w:pPr>
              <w:spacing w:before="60" w:after="60"/>
              <w:jc w:val="center"/>
              <w:rPr>
                <w:rFonts w:ascii="Calibri" w:hAnsi="Calibri" w:cs="Times New Roman"/>
                <w:sz w:val="20"/>
                <w:szCs w:val="20"/>
              </w:rPr>
            </w:pPr>
            <w:r w:rsidRPr="00302DE7">
              <w:rPr>
                <w:rFonts w:ascii="Calibri" w:hAnsi="Calibri" w:cs="Calibri"/>
                <w:sz w:val="20"/>
                <w:szCs w:val="20"/>
              </w:rPr>
              <w:t>≥</w:t>
            </w:r>
            <w:r w:rsidRPr="00302DE7">
              <w:rPr>
                <w:rFonts w:ascii="Calibri" w:hAnsi="Calibri" w:cs="Times New Roman"/>
                <w:sz w:val="20"/>
                <w:szCs w:val="20"/>
              </w:rPr>
              <w:t>75 years old,</w:t>
            </w:r>
          </w:p>
          <w:p w14:paraId="7A6F0C2F" w14:textId="77777777" w:rsidR="00302DE7" w:rsidRPr="00302DE7" w:rsidRDefault="00302DE7" w:rsidP="009A5311">
            <w:pPr>
              <w:spacing w:before="60" w:after="60"/>
              <w:jc w:val="center"/>
              <w:rPr>
                <w:rFonts w:ascii="Calibri" w:eastAsia="Times New Roman" w:hAnsi="Calibri" w:cs="Calibri"/>
                <w:color w:val="222222"/>
                <w:sz w:val="18"/>
                <w:szCs w:val="18"/>
              </w:rPr>
            </w:pPr>
            <w:r w:rsidRPr="00302DE7">
              <w:rPr>
                <w:rFonts w:ascii="Calibri" w:hAnsi="Calibri" w:cs="Times New Roman"/>
                <w:sz w:val="20"/>
                <w:szCs w:val="20"/>
              </w:rPr>
              <w:t>1 risk factor</w:t>
            </w:r>
          </w:p>
        </w:tc>
        <w:tc>
          <w:tcPr>
            <w:tcW w:w="3755" w:type="pct"/>
            <w:gridSpan w:val="3"/>
            <w:vAlign w:val="center"/>
          </w:tcPr>
          <w:p w14:paraId="113351B3" w14:textId="77777777" w:rsidR="00302DE7" w:rsidRPr="00302DE7" w:rsidRDefault="00302DE7" w:rsidP="009A5311">
            <w:pPr>
              <w:spacing w:before="60" w:after="60"/>
              <w:jc w:val="center"/>
              <w:rPr>
                <w:rFonts w:ascii="Calibri" w:eastAsia="Times New Roman" w:hAnsi="Calibri" w:cs="Calibri"/>
                <w:color w:val="222222"/>
                <w:sz w:val="18"/>
                <w:szCs w:val="18"/>
              </w:rPr>
            </w:pPr>
            <w:r w:rsidRPr="00302DE7">
              <w:rPr>
                <w:rFonts w:ascii="Calibri" w:hAnsi="Calibri" w:cs="Calibri"/>
                <w:sz w:val="20"/>
                <w:szCs w:val="20"/>
              </w:rPr>
              <w:t>≥ 70 years old</w:t>
            </w:r>
          </w:p>
        </w:tc>
      </w:tr>
      <w:tr w:rsidR="00302DE7" w:rsidRPr="00302DE7" w14:paraId="31C3CB42" w14:textId="77777777" w:rsidTr="00302DE7">
        <w:tc>
          <w:tcPr>
            <w:tcW w:w="3741" w:type="pct"/>
            <w:gridSpan w:val="3"/>
            <w:vAlign w:val="center"/>
          </w:tcPr>
          <w:p w14:paraId="00CEE7A3" w14:textId="77777777" w:rsidR="00302DE7" w:rsidRPr="00302DE7" w:rsidRDefault="00302DE7" w:rsidP="009A5311">
            <w:pPr>
              <w:spacing w:before="60" w:after="60"/>
              <w:jc w:val="center"/>
              <w:rPr>
                <w:rFonts w:ascii="Calibri" w:hAnsi="Calibri" w:cs="Times New Roman"/>
                <w:sz w:val="20"/>
                <w:szCs w:val="20"/>
              </w:rPr>
            </w:pPr>
            <w:r w:rsidRPr="00302DE7">
              <w:rPr>
                <w:rFonts w:ascii="Calibri" w:hAnsi="Calibri" w:cs="Calibri"/>
                <w:sz w:val="20"/>
                <w:szCs w:val="20"/>
              </w:rPr>
              <w:t>≥</w:t>
            </w:r>
            <w:r w:rsidRPr="00302DE7">
              <w:rPr>
                <w:rFonts w:ascii="Calibri" w:hAnsi="Calibri" w:cs="Times New Roman"/>
                <w:sz w:val="20"/>
                <w:szCs w:val="20"/>
              </w:rPr>
              <w:t>18 years old,</w:t>
            </w:r>
          </w:p>
          <w:p w14:paraId="1C98F657" w14:textId="77777777" w:rsidR="00302DE7" w:rsidRPr="00302DE7" w:rsidRDefault="00302DE7" w:rsidP="009A5311">
            <w:pPr>
              <w:spacing w:before="60" w:after="60"/>
              <w:jc w:val="center"/>
              <w:rPr>
                <w:rFonts w:ascii="Calibri" w:hAnsi="Calibri" w:cs="Times New Roman"/>
                <w:sz w:val="20"/>
                <w:szCs w:val="20"/>
              </w:rPr>
            </w:pPr>
            <w:r w:rsidRPr="00302DE7">
              <w:rPr>
                <w:rFonts w:ascii="Calibri" w:hAnsi="Calibri" w:cs="Times New Roman"/>
                <w:sz w:val="20"/>
                <w:szCs w:val="20"/>
              </w:rPr>
              <w:t>moderately to severely immunocompromised and at risk of progression to severe disease</w:t>
            </w:r>
          </w:p>
          <w:p w14:paraId="332F1BD5" w14:textId="77777777" w:rsidR="00302DE7" w:rsidRPr="00302DE7" w:rsidRDefault="00302DE7" w:rsidP="009A5311">
            <w:pPr>
              <w:spacing w:before="60" w:after="60"/>
              <w:jc w:val="center"/>
              <w:rPr>
                <w:rFonts w:ascii="Calibri" w:eastAsia="Times New Roman" w:hAnsi="Calibri" w:cs="Calibri"/>
                <w:color w:val="222222"/>
                <w:sz w:val="18"/>
                <w:szCs w:val="18"/>
              </w:rPr>
            </w:pPr>
          </w:p>
        </w:tc>
        <w:tc>
          <w:tcPr>
            <w:tcW w:w="1259" w:type="pct"/>
            <w:vAlign w:val="center"/>
          </w:tcPr>
          <w:p w14:paraId="314B9083" w14:textId="77777777" w:rsidR="00302DE7" w:rsidRPr="00302DE7" w:rsidRDefault="00302DE7" w:rsidP="009A5311">
            <w:pPr>
              <w:spacing w:before="60" w:after="60"/>
              <w:jc w:val="center"/>
              <w:rPr>
                <w:rFonts w:ascii="Calibri" w:hAnsi="Calibri" w:cs="Times New Roman"/>
                <w:sz w:val="20"/>
                <w:szCs w:val="20"/>
              </w:rPr>
            </w:pPr>
            <w:r w:rsidRPr="00302DE7">
              <w:rPr>
                <w:rFonts w:ascii="Calibri" w:hAnsi="Calibri" w:cs="Calibri"/>
                <w:sz w:val="20"/>
                <w:szCs w:val="20"/>
              </w:rPr>
              <w:t>≥</w:t>
            </w:r>
            <w:r w:rsidRPr="00302DE7">
              <w:rPr>
                <w:rFonts w:ascii="Calibri" w:hAnsi="Calibri" w:cs="Times New Roman"/>
                <w:sz w:val="20"/>
                <w:szCs w:val="20"/>
              </w:rPr>
              <w:t>18 years old,</w:t>
            </w:r>
          </w:p>
          <w:p w14:paraId="3AF3B06B" w14:textId="334A9395" w:rsidR="00302DE7" w:rsidRPr="00302DE7" w:rsidRDefault="0040038A" w:rsidP="009A5311">
            <w:pPr>
              <w:spacing w:before="60" w:after="60"/>
              <w:jc w:val="center"/>
              <w:rPr>
                <w:rFonts w:ascii="Calibri" w:eastAsia="Times New Roman" w:hAnsi="Calibri" w:cs="Calibri"/>
                <w:color w:val="222222"/>
                <w:sz w:val="18"/>
                <w:szCs w:val="18"/>
              </w:rPr>
            </w:pPr>
            <w:r>
              <w:rPr>
                <w:rFonts w:ascii="Calibri" w:hAnsi="Calibri" w:cs="Times New Roman"/>
                <w:sz w:val="20"/>
                <w:szCs w:val="20"/>
              </w:rPr>
              <w:t xml:space="preserve">(i) </w:t>
            </w:r>
            <w:r w:rsidR="00302DE7" w:rsidRPr="00302DE7">
              <w:rPr>
                <w:rFonts w:ascii="Calibri" w:hAnsi="Calibri" w:cs="Times New Roman"/>
                <w:sz w:val="20"/>
                <w:szCs w:val="20"/>
              </w:rPr>
              <w:t xml:space="preserve">moderately to severely immunocompromised and at risk of progression to severe disease OR </w:t>
            </w:r>
            <w:r>
              <w:rPr>
                <w:rFonts w:ascii="Calibri" w:hAnsi="Calibri" w:cs="Times New Roman"/>
                <w:sz w:val="20"/>
                <w:szCs w:val="20"/>
              </w:rPr>
              <w:t xml:space="preserve">(ii) </w:t>
            </w:r>
            <w:r w:rsidR="00302DE7" w:rsidRPr="00302DE7">
              <w:rPr>
                <w:rFonts w:ascii="Calibri" w:hAnsi="Calibri" w:cs="Times New Roman"/>
                <w:sz w:val="20"/>
                <w:szCs w:val="20"/>
              </w:rPr>
              <w:t>experienced past COVID-19 infection resulting in hospitalisation</w:t>
            </w:r>
          </w:p>
        </w:tc>
      </w:tr>
      <w:tr w:rsidR="00302DE7" w:rsidRPr="00302DE7" w14:paraId="1714C216" w14:textId="77777777" w:rsidTr="00302DE7">
        <w:tc>
          <w:tcPr>
            <w:tcW w:w="1245" w:type="pct"/>
            <w:vAlign w:val="center"/>
          </w:tcPr>
          <w:p w14:paraId="628FC3B7" w14:textId="77777777" w:rsidR="00302DE7" w:rsidRPr="00302DE7" w:rsidRDefault="00302DE7" w:rsidP="009A5311">
            <w:pPr>
              <w:spacing w:before="60" w:after="60"/>
              <w:jc w:val="center"/>
              <w:rPr>
                <w:rFonts w:ascii="Calibri" w:eastAsia="Times New Roman" w:hAnsi="Calibri" w:cs="Calibri"/>
                <w:color w:val="222222"/>
                <w:sz w:val="20"/>
                <w:szCs w:val="20"/>
              </w:rPr>
            </w:pPr>
            <w:r w:rsidRPr="00302DE7">
              <w:rPr>
                <w:rFonts w:ascii="Calibri" w:eastAsia="Times New Roman" w:hAnsi="Calibri" w:cs="Calibri"/>
                <w:color w:val="222222"/>
                <w:sz w:val="20"/>
                <w:szCs w:val="20"/>
              </w:rPr>
              <w:t>ATSI,</w:t>
            </w:r>
          </w:p>
          <w:p w14:paraId="40542809" w14:textId="77777777" w:rsidR="00302DE7" w:rsidRPr="00302DE7" w:rsidRDefault="00302DE7" w:rsidP="009A5311">
            <w:pPr>
              <w:spacing w:before="60" w:after="60"/>
              <w:jc w:val="center"/>
              <w:rPr>
                <w:rFonts w:ascii="Calibri" w:eastAsia="Times New Roman" w:hAnsi="Calibri" w:cs="Calibri"/>
                <w:color w:val="222222"/>
                <w:sz w:val="20"/>
                <w:szCs w:val="20"/>
              </w:rPr>
            </w:pPr>
            <w:r w:rsidRPr="00302DE7">
              <w:rPr>
                <w:rFonts w:ascii="Calibri" w:eastAsia="Times New Roman" w:hAnsi="Calibri" w:cs="Calibri"/>
                <w:color w:val="222222"/>
                <w:sz w:val="20"/>
                <w:szCs w:val="20"/>
              </w:rPr>
              <w:t>≥50 years old,</w:t>
            </w:r>
          </w:p>
          <w:p w14:paraId="7790B1F7" w14:textId="77777777" w:rsidR="00302DE7" w:rsidRPr="00302DE7" w:rsidRDefault="00302DE7" w:rsidP="009A5311">
            <w:pPr>
              <w:spacing w:before="60" w:after="60"/>
              <w:jc w:val="center"/>
              <w:rPr>
                <w:rFonts w:ascii="Calibri" w:eastAsia="Times New Roman" w:hAnsi="Calibri" w:cs="Calibri"/>
                <w:color w:val="222222"/>
                <w:sz w:val="18"/>
                <w:szCs w:val="18"/>
              </w:rPr>
            </w:pPr>
            <w:r w:rsidRPr="00302DE7">
              <w:rPr>
                <w:rFonts w:ascii="Calibri" w:eastAsia="Times New Roman" w:hAnsi="Calibri" w:cs="Calibri"/>
                <w:color w:val="222222"/>
                <w:sz w:val="20"/>
                <w:szCs w:val="20"/>
              </w:rPr>
              <w:t>2 risk factors</w:t>
            </w:r>
          </w:p>
        </w:tc>
        <w:tc>
          <w:tcPr>
            <w:tcW w:w="1246" w:type="pct"/>
            <w:vAlign w:val="center"/>
          </w:tcPr>
          <w:p w14:paraId="050842A0" w14:textId="77777777" w:rsidR="00302DE7" w:rsidRPr="00302DE7" w:rsidRDefault="00302DE7" w:rsidP="009A5311">
            <w:pPr>
              <w:spacing w:before="60" w:after="60"/>
              <w:jc w:val="center"/>
              <w:rPr>
                <w:rFonts w:ascii="Calibri" w:eastAsia="Times New Roman" w:hAnsi="Calibri" w:cs="Calibri"/>
                <w:color w:val="222222"/>
                <w:sz w:val="20"/>
                <w:szCs w:val="20"/>
              </w:rPr>
            </w:pPr>
            <w:r w:rsidRPr="00302DE7">
              <w:rPr>
                <w:rFonts w:ascii="Calibri" w:eastAsia="Times New Roman" w:hAnsi="Calibri" w:cs="Calibri"/>
                <w:color w:val="222222"/>
                <w:sz w:val="20"/>
                <w:szCs w:val="20"/>
              </w:rPr>
              <w:t>ATSI,</w:t>
            </w:r>
          </w:p>
          <w:p w14:paraId="28F0AB33" w14:textId="77777777" w:rsidR="00302DE7" w:rsidRPr="00302DE7" w:rsidRDefault="00302DE7" w:rsidP="009A5311">
            <w:pPr>
              <w:spacing w:before="60" w:after="60"/>
              <w:jc w:val="center"/>
              <w:rPr>
                <w:rFonts w:ascii="Calibri" w:eastAsia="Times New Roman" w:hAnsi="Calibri" w:cs="Calibri"/>
                <w:color w:val="222222"/>
                <w:sz w:val="20"/>
                <w:szCs w:val="20"/>
              </w:rPr>
            </w:pPr>
            <w:r w:rsidRPr="00302DE7">
              <w:rPr>
                <w:rFonts w:ascii="Calibri" w:eastAsia="Times New Roman" w:hAnsi="Calibri" w:cs="Calibri"/>
                <w:color w:val="222222"/>
                <w:sz w:val="20"/>
                <w:szCs w:val="20"/>
              </w:rPr>
              <w:t>≥30 years old,</w:t>
            </w:r>
          </w:p>
          <w:p w14:paraId="33E48A69" w14:textId="77777777" w:rsidR="00302DE7" w:rsidRPr="00302DE7" w:rsidRDefault="00302DE7" w:rsidP="009A5311">
            <w:pPr>
              <w:spacing w:before="60" w:after="60"/>
              <w:jc w:val="center"/>
              <w:rPr>
                <w:rFonts w:ascii="Calibri" w:eastAsia="Times New Roman" w:hAnsi="Calibri" w:cs="Calibri"/>
                <w:color w:val="222222"/>
                <w:sz w:val="18"/>
                <w:szCs w:val="18"/>
              </w:rPr>
            </w:pPr>
            <w:r w:rsidRPr="00302DE7">
              <w:rPr>
                <w:rFonts w:ascii="Calibri" w:eastAsia="Times New Roman" w:hAnsi="Calibri" w:cs="Calibri"/>
                <w:color w:val="222222"/>
                <w:sz w:val="20"/>
                <w:szCs w:val="20"/>
              </w:rPr>
              <w:t>2 risk factors</w:t>
            </w:r>
          </w:p>
        </w:tc>
        <w:tc>
          <w:tcPr>
            <w:tcW w:w="2509" w:type="pct"/>
            <w:gridSpan w:val="2"/>
            <w:vAlign w:val="center"/>
          </w:tcPr>
          <w:p w14:paraId="619EB18A" w14:textId="77777777" w:rsidR="00302DE7" w:rsidRPr="00302DE7" w:rsidRDefault="00302DE7" w:rsidP="009A5311">
            <w:pPr>
              <w:spacing w:before="60" w:after="60"/>
              <w:jc w:val="center"/>
              <w:rPr>
                <w:rFonts w:ascii="Calibri" w:eastAsia="Times New Roman" w:hAnsi="Calibri" w:cs="Calibri"/>
                <w:color w:val="222222"/>
                <w:sz w:val="20"/>
                <w:szCs w:val="20"/>
              </w:rPr>
            </w:pPr>
            <w:r w:rsidRPr="00302DE7">
              <w:rPr>
                <w:rFonts w:ascii="Calibri" w:eastAsia="Times New Roman" w:hAnsi="Calibri" w:cs="Calibri"/>
                <w:color w:val="222222"/>
                <w:sz w:val="20"/>
                <w:szCs w:val="20"/>
              </w:rPr>
              <w:t>ATSI,</w:t>
            </w:r>
          </w:p>
          <w:p w14:paraId="200DDB58" w14:textId="77777777" w:rsidR="00302DE7" w:rsidRPr="00302DE7" w:rsidRDefault="00302DE7" w:rsidP="009A5311">
            <w:pPr>
              <w:spacing w:before="60" w:after="60"/>
              <w:jc w:val="center"/>
              <w:rPr>
                <w:rFonts w:ascii="Calibri" w:eastAsia="Times New Roman" w:hAnsi="Calibri" w:cs="Calibri"/>
                <w:color w:val="222222"/>
                <w:sz w:val="20"/>
                <w:szCs w:val="20"/>
              </w:rPr>
            </w:pPr>
            <w:r w:rsidRPr="00302DE7">
              <w:rPr>
                <w:rFonts w:ascii="Calibri" w:eastAsia="Times New Roman" w:hAnsi="Calibri" w:cs="Calibri"/>
                <w:color w:val="222222"/>
                <w:sz w:val="20"/>
                <w:szCs w:val="20"/>
              </w:rPr>
              <w:t>≥30 years old,</w:t>
            </w:r>
          </w:p>
          <w:p w14:paraId="4EA47B23" w14:textId="77777777" w:rsidR="00302DE7" w:rsidRPr="00302DE7" w:rsidRDefault="00302DE7" w:rsidP="009A5311">
            <w:pPr>
              <w:spacing w:before="60" w:after="60"/>
              <w:jc w:val="center"/>
              <w:rPr>
                <w:rFonts w:ascii="Calibri" w:eastAsia="Times New Roman" w:hAnsi="Calibri" w:cs="Calibri"/>
                <w:color w:val="222222"/>
                <w:sz w:val="18"/>
                <w:szCs w:val="18"/>
              </w:rPr>
            </w:pPr>
            <w:r w:rsidRPr="00302DE7">
              <w:rPr>
                <w:rFonts w:ascii="Calibri" w:eastAsia="Times New Roman" w:hAnsi="Calibri" w:cs="Calibri"/>
                <w:color w:val="222222"/>
                <w:sz w:val="20"/>
                <w:szCs w:val="20"/>
              </w:rPr>
              <w:t>1 risk factor</w:t>
            </w:r>
          </w:p>
        </w:tc>
      </w:tr>
    </w:tbl>
    <w:p w14:paraId="7F623941" w14:textId="5ECBEA20" w:rsidR="00A91A8D" w:rsidRDefault="001D24CE" w:rsidP="009E6EBE">
      <w:pPr>
        <w:spacing w:after="0" w:line="259" w:lineRule="auto"/>
        <w:rPr>
          <w:rFonts w:ascii="Calibri" w:eastAsia="Times New Roman" w:hAnsi="Calibri" w:cs="Calibri"/>
          <w:color w:val="222222"/>
          <w:sz w:val="18"/>
          <w:szCs w:val="18"/>
        </w:rPr>
      </w:pPr>
      <w:r w:rsidRPr="00302DE7">
        <w:rPr>
          <w:rFonts w:ascii="Calibri" w:eastAsia="Times New Roman" w:hAnsi="Calibri" w:cs="Calibri"/>
          <w:color w:val="222222"/>
          <w:sz w:val="18"/>
          <w:szCs w:val="18"/>
        </w:rPr>
        <w:t>Note</w:t>
      </w:r>
      <w:r>
        <w:rPr>
          <w:rFonts w:ascii="Calibri" w:eastAsia="Times New Roman" w:hAnsi="Calibri" w:cs="Calibri"/>
          <w:color w:val="222222"/>
          <w:sz w:val="18"/>
          <w:szCs w:val="18"/>
        </w:rPr>
        <w:t>s</w:t>
      </w:r>
      <w:r w:rsidR="00302DE7" w:rsidRPr="00302DE7">
        <w:rPr>
          <w:rFonts w:ascii="Calibri" w:eastAsia="Times New Roman" w:hAnsi="Calibri" w:cs="Calibri"/>
          <w:color w:val="222222"/>
          <w:sz w:val="18"/>
          <w:szCs w:val="18"/>
        </w:rPr>
        <w:t xml:space="preserve">: </w:t>
      </w:r>
    </w:p>
    <w:p w14:paraId="7D2B4382" w14:textId="629CCAAB" w:rsidR="00A91A8D" w:rsidRPr="001D24CE" w:rsidRDefault="00302DE7" w:rsidP="009E6EBE">
      <w:pPr>
        <w:pStyle w:val="ListParagraph"/>
        <w:numPr>
          <w:ilvl w:val="0"/>
          <w:numId w:val="7"/>
        </w:numPr>
        <w:spacing w:after="0" w:line="259" w:lineRule="auto"/>
        <w:rPr>
          <w:rFonts w:ascii="Calibri" w:eastAsia="Times New Roman" w:hAnsi="Calibri" w:cs="Calibri"/>
          <w:color w:val="222222"/>
          <w:sz w:val="18"/>
          <w:szCs w:val="18"/>
        </w:rPr>
      </w:pPr>
      <w:r w:rsidRPr="001D24CE">
        <w:rPr>
          <w:rFonts w:ascii="Calibri" w:eastAsia="Times New Roman" w:hAnsi="Calibri" w:cs="Calibri"/>
          <w:color w:val="222222"/>
          <w:sz w:val="18"/>
          <w:szCs w:val="18"/>
        </w:rPr>
        <w:t>ATSI= Aboriginal or Torres Strait Islander</w:t>
      </w:r>
      <w:r w:rsidR="00877343">
        <w:rPr>
          <w:rFonts w:ascii="Calibri" w:eastAsia="Times New Roman" w:hAnsi="Calibri" w:cs="Calibri"/>
          <w:color w:val="222222"/>
          <w:sz w:val="18"/>
          <w:szCs w:val="18"/>
        </w:rPr>
        <w:t xml:space="preserve">. </w:t>
      </w:r>
    </w:p>
    <w:p w14:paraId="26AF91E7" w14:textId="54BF9709" w:rsidR="001D24CE" w:rsidRPr="001D24CE" w:rsidRDefault="00A91A8D" w:rsidP="009E6EBE">
      <w:pPr>
        <w:pStyle w:val="ListParagraph"/>
        <w:numPr>
          <w:ilvl w:val="0"/>
          <w:numId w:val="7"/>
        </w:numPr>
        <w:spacing w:after="0" w:line="259" w:lineRule="auto"/>
        <w:rPr>
          <w:rFonts w:ascii="Calibri" w:eastAsia="Times New Roman" w:hAnsi="Calibri" w:cs="Calibri"/>
          <w:color w:val="222222"/>
          <w:sz w:val="18"/>
          <w:szCs w:val="18"/>
        </w:rPr>
      </w:pPr>
      <w:r w:rsidRPr="001D24CE">
        <w:rPr>
          <w:sz w:val="18"/>
          <w:szCs w:val="18"/>
        </w:rPr>
        <w:t xml:space="preserve">The moderately to severely immunocompromised group extended the listing to include those who received abatacept in the last three months (August </w:t>
      </w:r>
      <w:r w:rsidR="001D24CE" w:rsidRPr="001D24CE">
        <w:rPr>
          <w:sz w:val="18"/>
          <w:szCs w:val="18"/>
        </w:rPr>
        <w:t xml:space="preserve">2022) and those who received </w:t>
      </w:r>
      <w:r w:rsidRPr="001D24CE">
        <w:rPr>
          <w:rFonts w:cstheme="minorHAnsi"/>
          <w:sz w:val="18"/>
          <w:szCs w:val="18"/>
        </w:rPr>
        <w:t>anti-CD20 monoclonal treatment in the last 12 months</w:t>
      </w:r>
      <w:r w:rsidR="001D24CE" w:rsidRPr="001D24CE">
        <w:rPr>
          <w:rFonts w:cstheme="minorHAnsi"/>
          <w:sz w:val="18"/>
          <w:szCs w:val="18"/>
        </w:rPr>
        <w:t xml:space="preserve"> (January 2023)</w:t>
      </w:r>
      <w:r w:rsidR="001D24CE">
        <w:rPr>
          <w:rFonts w:cstheme="minorHAnsi"/>
          <w:sz w:val="18"/>
          <w:szCs w:val="18"/>
        </w:rPr>
        <w:t xml:space="preserve">. </w:t>
      </w:r>
    </w:p>
    <w:p w14:paraId="25AEDE5D" w14:textId="77777777" w:rsidR="001D24CE" w:rsidRPr="001D24CE" w:rsidRDefault="001D24CE" w:rsidP="001D24CE">
      <w:pPr>
        <w:pStyle w:val="ListParagraph"/>
        <w:spacing w:after="160" w:line="259" w:lineRule="auto"/>
        <w:rPr>
          <w:rFonts w:ascii="Calibri" w:eastAsia="Times New Roman" w:hAnsi="Calibri" w:cs="Calibri"/>
          <w:color w:val="222222"/>
          <w:sz w:val="18"/>
          <w:szCs w:val="18"/>
        </w:rPr>
      </w:pPr>
    </w:p>
    <w:p w14:paraId="5C251340" w14:textId="653ABBA7" w:rsidR="00040E69" w:rsidRDefault="001E1512" w:rsidP="00040E69">
      <w:pPr>
        <w:rPr>
          <w:rFonts w:eastAsia="Times New Roman" w:cstheme="minorHAnsi"/>
          <w:color w:val="222222"/>
        </w:rPr>
      </w:pPr>
      <w:r>
        <w:rPr>
          <w:rFonts w:eastAsia="Times New Roman" w:cstheme="minorHAnsi"/>
          <w:color w:val="222222"/>
        </w:rPr>
        <w:lastRenderedPageBreak/>
        <w:t xml:space="preserve">Additional changes to the molnupiravir listing across all eligible population groups are noted </w:t>
      </w:r>
      <w:r w:rsidR="00C1312A">
        <w:rPr>
          <w:rFonts w:eastAsia="Times New Roman" w:cstheme="minorHAnsi"/>
          <w:color w:val="222222"/>
        </w:rPr>
        <w:t xml:space="preserve">in Table 3. </w:t>
      </w:r>
      <w:r>
        <w:rPr>
          <w:rFonts w:eastAsia="Times New Roman" w:cstheme="minorHAnsi"/>
          <w:color w:val="222222"/>
        </w:rPr>
        <w:t xml:space="preserve"> </w:t>
      </w:r>
    </w:p>
    <w:p w14:paraId="4E2BD4C2" w14:textId="3C442579" w:rsidR="00930743" w:rsidRPr="00930743" w:rsidRDefault="00930743" w:rsidP="00930743">
      <w:pPr>
        <w:pStyle w:val="Tabletitle"/>
      </w:pPr>
      <w:r w:rsidRPr="001420B3" w:rsidDel="00EE2BBB">
        <w:t xml:space="preserve">Table </w:t>
      </w:r>
      <w:r>
        <w:t>3</w:t>
      </w:r>
      <w:r w:rsidRPr="001420B3" w:rsidDel="00EE2BBB">
        <w:t xml:space="preserve">: </w:t>
      </w:r>
      <w:r>
        <w:t>Changes to overall molnupiravir listing</w:t>
      </w:r>
    </w:p>
    <w:tbl>
      <w:tblPr>
        <w:tblStyle w:val="TableGrid"/>
        <w:tblW w:w="0" w:type="auto"/>
        <w:tblLook w:val="04A0" w:firstRow="1" w:lastRow="0" w:firstColumn="1" w:lastColumn="0" w:noHBand="0" w:noVBand="1"/>
      </w:tblPr>
      <w:tblGrid>
        <w:gridCol w:w="1696"/>
        <w:gridCol w:w="7251"/>
      </w:tblGrid>
      <w:tr w:rsidR="00C1312A" w14:paraId="55AAE2E2" w14:textId="77777777" w:rsidTr="003579CB">
        <w:trPr>
          <w:tblHeader/>
        </w:trPr>
        <w:tc>
          <w:tcPr>
            <w:tcW w:w="1696" w:type="dxa"/>
            <w:shd w:val="clear" w:color="auto" w:fill="BFBFBF" w:themeFill="background1" w:themeFillShade="BF"/>
          </w:tcPr>
          <w:p w14:paraId="456447B2" w14:textId="4BBDB5C0" w:rsidR="00C1312A" w:rsidRPr="00C1312A" w:rsidRDefault="00C1312A" w:rsidP="006E533D">
            <w:pPr>
              <w:spacing w:before="60" w:after="60"/>
              <w:rPr>
                <w:rFonts w:eastAsia="Times New Roman" w:cstheme="minorHAnsi"/>
                <w:b/>
                <w:bCs/>
                <w:color w:val="222222"/>
                <w:sz w:val="20"/>
                <w:szCs w:val="20"/>
              </w:rPr>
            </w:pPr>
            <w:r w:rsidRPr="00C1312A">
              <w:rPr>
                <w:rFonts w:eastAsia="Times New Roman" w:cstheme="minorHAnsi"/>
                <w:b/>
                <w:bCs/>
                <w:color w:val="222222"/>
                <w:sz w:val="20"/>
                <w:szCs w:val="20"/>
              </w:rPr>
              <w:t>Date</w:t>
            </w:r>
          </w:p>
        </w:tc>
        <w:tc>
          <w:tcPr>
            <w:tcW w:w="7251" w:type="dxa"/>
            <w:shd w:val="clear" w:color="auto" w:fill="BFBFBF" w:themeFill="background1" w:themeFillShade="BF"/>
          </w:tcPr>
          <w:p w14:paraId="331F5FCC" w14:textId="1A5D7E8D" w:rsidR="00C1312A" w:rsidRPr="00C1312A" w:rsidRDefault="00C1312A" w:rsidP="006E533D">
            <w:pPr>
              <w:spacing w:before="60" w:after="60"/>
              <w:rPr>
                <w:rFonts w:cstheme="minorHAnsi"/>
                <w:b/>
                <w:bCs/>
                <w:sz w:val="20"/>
                <w:szCs w:val="20"/>
              </w:rPr>
            </w:pPr>
            <w:r w:rsidRPr="00C1312A">
              <w:rPr>
                <w:rFonts w:cstheme="minorHAnsi"/>
                <w:b/>
                <w:bCs/>
                <w:sz w:val="20"/>
                <w:szCs w:val="20"/>
              </w:rPr>
              <w:t xml:space="preserve">Change to listing </w:t>
            </w:r>
          </w:p>
        </w:tc>
      </w:tr>
      <w:tr w:rsidR="00C1312A" w14:paraId="23F9668F" w14:textId="77777777" w:rsidTr="00C1312A">
        <w:tc>
          <w:tcPr>
            <w:tcW w:w="1696" w:type="dxa"/>
          </w:tcPr>
          <w:p w14:paraId="0450EA8B" w14:textId="56C56DBE" w:rsidR="00C1312A" w:rsidRPr="00C1312A" w:rsidRDefault="00C1312A" w:rsidP="006E533D">
            <w:pPr>
              <w:spacing w:before="60" w:after="60"/>
              <w:rPr>
                <w:rFonts w:eastAsia="Times New Roman" w:cstheme="minorHAnsi"/>
                <w:color w:val="222222"/>
                <w:sz w:val="20"/>
                <w:szCs w:val="20"/>
              </w:rPr>
            </w:pPr>
            <w:r w:rsidRPr="00C1312A">
              <w:rPr>
                <w:rFonts w:eastAsia="Times New Roman" w:cstheme="minorHAnsi"/>
                <w:color w:val="222222"/>
                <w:sz w:val="20"/>
                <w:szCs w:val="20"/>
              </w:rPr>
              <w:t>May 2022</w:t>
            </w:r>
          </w:p>
        </w:tc>
        <w:tc>
          <w:tcPr>
            <w:tcW w:w="7251" w:type="dxa"/>
          </w:tcPr>
          <w:p w14:paraId="2F4277C4" w14:textId="4FE90F67" w:rsidR="00C1312A" w:rsidRPr="00C1312A" w:rsidRDefault="00C1312A" w:rsidP="006E533D">
            <w:pPr>
              <w:spacing w:before="60" w:after="60"/>
              <w:rPr>
                <w:rFonts w:eastAsia="Times New Roman" w:cstheme="minorHAnsi"/>
                <w:color w:val="222222"/>
                <w:sz w:val="20"/>
                <w:szCs w:val="20"/>
              </w:rPr>
            </w:pPr>
            <w:r w:rsidRPr="00C1312A">
              <w:rPr>
                <w:rFonts w:cstheme="minorHAnsi"/>
                <w:sz w:val="20"/>
                <w:szCs w:val="20"/>
              </w:rPr>
              <w:t>Addition of nurse practitioners as an additional prescriber type</w:t>
            </w:r>
            <w:r w:rsidR="001E3CCB">
              <w:rPr>
                <w:rFonts w:cstheme="minorHAnsi"/>
                <w:sz w:val="20"/>
                <w:szCs w:val="20"/>
              </w:rPr>
              <w:t xml:space="preserve"> to verify </w:t>
            </w:r>
            <w:r w:rsidRPr="00C1312A">
              <w:rPr>
                <w:rFonts w:cstheme="minorHAnsi"/>
                <w:sz w:val="20"/>
                <w:szCs w:val="20"/>
              </w:rPr>
              <w:t>RAT</w:t>
            </w:r>
            <w:r w:rsidR="001C5DE6">
              <w:rPr>
                <w:rFonts w:cstheme="minorHAnsi"/>
                <w:sz w:val="20"/>
                <w:szCs w:val="20"/>
              </w:rPr>
              <w:t>s</w:t>
            </w:r>
            <w:r w:rsidR="00B20327">
              <w:rPr>
                <w:rFonts w:cstheme="minorHAnsi"/>
                <w:sz w:val="20"/>
                <w:szCs w:val="20"/>
              </w:rPr>
              <w:t>.</w:t>
            </w:r>
          </w:p>
        </w:tc>
      </w:tr>
      <w:tr w:rsidR="00C1312A" w14:paraId="441DB351" w14:textId="77777777" w:rsidTr="00C1312A">
        <w:tc>
          <w:tcPr>
            <w:tcW w:w="1696" w:type="dxa"/>
          </w:tcPr>
          <w:p w14:paraId="4C55703E" w14:textId="4FCCFAFC" w:rsidR="00C1312A" w:rsidRPr="00C1312A" w:rsidRDefault="00C1312A" w:rsidP="006E533D">
            <w:pPr>
              <w:spacing w:before="60" w:after="60" w:line="259" w:lineRule="auto"/>
              <w:rPr>
                <w:rFonts w:cstheme="minorHAnsi"/>
                <w:sz w:val="20"/>
                <w:szCs w:val="20"/>
              </w:rPr>
            </w:pPr>
            <w:r w:rsidRPr="00C1312A">
              <w:rPr>
                <w:rFonts w:cstheme="minorHAnsi"/>
                <w:sz w:val="20"/>
                <w:szCs w:val="20"/>
              </w:rPr>
              <w:t>September 2022</w:t>
            </w:r>
          </w:p>
          <w:p w14:paraId="31E032F3" w14:textId="77777777" w:rsidR="00C1312A" w:rsidRPr="00C1312A" w:rsidRDefault="00C1312A" w:rsidP="006E533D">
            <w:pPr>
              <w:spacing w:before="60" w:after="60"/>
              <w:rPr>
                <w:rFonts w:eastAsia="Times New Roman" w:cstheme="minorHAnsi"/>
                <w:color w:val="222222"/>
                <w:sz w:val="20"/>
                <w:szCs w:val="20"/>
              </w:rPr>
            </w:pPr>
          </w:p>
        </w:tc>
        <w:tc>
          <w:tcPr>
            <w:tcW w:w="7251" w:type="dxa"/>
          </w:tcPr>
          <w:p w14:paraId="010F5432" w14:textId="2400DB48" w:rsidR="00C1312A" w:rsidRPr="00C1312A" w:rsidRDefault="00C1312A" w:rsidP="006E533D">
            <w:pPr>
              <w:spacing w:before="60" w:after="60"/>
              <w:rPr>
                <w:rFonts w:eastAsia="Times New Roman" w:cstheme="minorHAnsi"/>
                <w:color w:val="222222"/>
                <w:sz w:val="20"/>
                <w:szCs w:val="20"/>
              </w:rPr>
            </w:pPr>
            <w:r w:rsidRPr="00C1312A">
              <w:rPr>
                <w:rFonts w:cstheme="minorHAnsi"/>
                <w:sz w:val="20"/>
                <w:szCs w:val="20"/>
              </w:rPr>
              <w:t xml:space="preserve">Clarification that </w:t>
            </w:r>
            <w:r w:rsidRPr="00C1312A">
              <w:rPr>
                <w:rFonts w:cstheme="minorHAnsi"/>
                <w:color w:val="222222"/>
                <w:sz w:val="20"/>
                <w:szCs w:val="20"/>
              </w:rPr>
              <w:t>patient must not require hospitalisation for COVID-19 infection at the time of prescribing</w:t>
            </w:r>
            <w:r w:rsidR="00B20327">
              <w:rPr>
                <w:rFonts w:cstheme="minorHAnsi"/>
                <w:color w:val="222222"/>
                <w:sz w:val="20"/>
                <w:szCs w:val="20"/>
              </w:rPr>
              <w:t>.</w:t>
            </w:r>
          </w:p>
        </w:tc>
      </w:tr>
      <w:tr w:rsidR="00D04019" w14:paraId="02D9133B" w14:textId="77777777" w:rsidTr="00C1312A">
        <w:tc>
          <w:tcPr>
            <w:tcW w:w="1696" w:type="dxa"/>
          </w:tcPr>
          <w:p w14:paraId="20A26403" w14:textId="187BB124" w:rsidR="00D04019" w:rsidRPr="00C1312A" w:rsidRDefault="00D04019" w:rsidP="006E533D">
            <w:pPr>
              <w:spacing w:before="60" w:after="60"/>
              <w:rPr>
                <w:rFonts w:cstheme="minorHAnsi"/>
                <w:sz w:val="20"/>
                <w:szCs w:val="20"/>
              </w:rPr>
            </w:pPr>
            <w:r>
              <w:rPr>
                <w:rFonts w:cstheme="minorHAnsi"/>
                <w:sz w:val="20"/>
                <w:szCs w:val="20"/>
              </w:rPr>
              <w:t xml:space="preserve">November 2022 </w:t>
            </w:r>
          </w:p>
        </w:tc>
        <w:tc>
          <w:tcPr>
            <w:tcW w:w="7251" w:type="dxa"/>
          </w:tcPr>
          <w:p w14:paraId="10E38103" w14:textId="1610D3EF" w:rsidR="00D04019" w:rsidRPr="00C1312A" w:rsidRDefault="00D04019" w:rsidP="006E533D">
            <w:pPr>
              <w:spacing w:before="60" w:after="60"/>
              <w:rPr>
                <w:sz w:val="20"/>
                <w:szCs w:val="20"/>
              </w:rPr>
            </w:pPr>
            <w:r>
              <w:rPr>
                <w:sz w:val="20"/>
                <w:szCs w:val="20"/>
              </w:rPr>
              <w:t xml:space="preserve">Addition of </w:t>
            </w:r>
            <w:r w:rsidR="00930743">
              <w:rPr>
                <w:sz w:val="20"/>
                <w:szCs w:val="20"/>
              </w:rPr>
              <w:t xml:space="preserve">the </w:t>
            </w:r>
            <w:r w:rsidR="009923A7">
              <w:rPr>
                <w:sz w:val="20"/>
                <w:szCs w:val="20"/>
              </w:rPr>
              <w:t>P</w:t>
            </w:r>
            <w:r>
              <w:rPr>
                <w:sz w:val="20"/>
                <w:szCs w:val="20"/>
              </w:rPr>
              <w:t xml:space="preserve">rescriber </w:t>
            </w:r>
            <w:r w:rsidR="009923A7">
              <w:rPr>
                <w:sz w:val="20"/>
                <w:szCs w:val="20"/>
              </w:rPr>
              <w:t>B</w:t>
            </w:r>
            <w:r>
              <w:rPr>
                <w:sz w:val="20"/>
                <w:szCs w:val="20"/>
              </w:rPr>
              <w:t xml:space="preserve">ag listing. </w:t>
            </w:r>
          </w:p>
        </w:tc>
      </w:tr>
      <w:tr w:rsidR="00C1312A" w14:paraId="624FFDBB" w14:textId="77777777" w:rsidTr="00C1312A">
        <w:tc>
          <w:tcPr>
            <w:tcW w:w="1696" w:type="dxa"/>
          </w:tcPr>
          <w:p w14:paraId="38E4CB63" w14:textId="02323BEF" w:rsidR="00C1312A" w:rsidRPr="00C1312A" w:rsidRDefault="00C1312A" w:rsidP="006E533D">
            <w:pPr>
              <w:spacing w:before="60" w:after="60"/>
              <w:rPr>
                <w:sz w:val="20"/>
                <w:szCs w:val="20"/>
              </w:rPr>
            </w:pPr>
            <w:r w:rsidRPr="00C1312A">
              <w:rPr>
                <w:rFonts w:cstheme="minorHAnsi"/>
                <w:sz w:val="20"/>
                <w:szCs w:val="20"/>
              </w:rPr>
              <w:t>January 2023</w:t>
            </w:r>
          </w:p>
          <w:p w14:paraId="42750A43" w14:textId="77777777" w:rsidR="00C1312A" w:rsidRPr="00C1312A" w:rsidRDefault="00C1312A" w:rsidP="006E533D">
            <w:pPr>
              <w:spacing w:before="60" w:after="60"/>
              <w:rPr>
                <w:rFonts w:eastAsia="Times New Roman" w:cstheme="minorHAnsi"/>
                <w:color w:val="222222"/>
                <w:sz w:val="20"/>
                <w:szCs w:val="20"/>
              </w:rPr>
            </w:pPr>
          </w:p>
        </w:tc>
        <w:tc>
          <w:tcPr>
            <w:tcW w:w="7251" w:type="dxa"/>
          </w:tcPr>
          <w:p w14:paraId="18529DEA" w14:textId="77777777" w:rsidR="00C1312A" w:rsidRDefault="00C1312A" w:rsidP="006E533D">
            <w:pPr>
              <w:spacing w:before="60" w:after="60"/>
              <w:rPr>
                <w:sz w:val="20"/>
                <w:szCs w:val="20"/>
              </w:rPr>
            </w:pPr>
            <w:r w:rsidRPr="00C1312A">
              <w:rPr>
                <w:sz w:val="20"/>
                <w:szCs w:val="20"/>
              </w:rPr>
              <w:t>Removal of requirement for the RAT to be verified by medical practitioner or nurse practitioner</w:t>
            </w:r>
            <w:r w:rsidR="00B20327">
              <w:rPr>
                <w:sz w:val="20"/>
                <w:szCs w:val="20"/>
              </w:rPr>
              <w:t>.</w:t>
            </w:r>
          </w:p>
          <w:p w14:paraId="1F17777F" w14:textId="33FD1580" w:rsidR="00163177" w:rsidRPr="00163177" w:rsidRDefault="00163177" w:rsidP="006E533D">
            <w:pPr>
              <w:spacing w:before="60" w:after="60"/>
              <w:rPr>
                <w:rFonts w:eastAsia="Times New Roman" w:cstheme="minorHAnsi"/>
                <w:color w:val="222222"/>
                <w:sz w:val="20"/>
                <w:szCs w:val="20"/>
              </w:rPr>
            </w:pPr>
            <w:r w:rsidRPr="00163177">
              <w:rPr>
                <w:rFonts w:eastAsia="Times New Roman" w:cstheme="minorHAnsi"/>
                <w:color w:val="222222"/>
                <w:sz w:val="20"/>
                <w:szCs w:val="20"/>
              </w:rPr>
              <w:t xml:space="preserve">Addition of administrative note stating molnupiravir should be considered for use only if </w:t>
            </w:r>
            <w:r w:rsidRPr="00163177">
              <w:rPr>
                <w:sz w:val="20"/>
                <w:szCs w:val="20"/>
              </w:rPr>
              <w:t>nirmatrelvir and ritonavir is contraindicated or otherwise unsuitable</w:t>
            </w:r>
            <w:r>
              <w:rPr>
                <w:sz w:val="20"/>
                <w:szCs w:val="20"/>
              </w:rPr>
              <w:t xml:space="preserve">. </w:t>
            </w:r>
          </w:p>
        </w:tc>
      </w:tr>
      <w:tr w:rsidR="00C1312A" w14:paraId="132077EF" w14:textId="77777777" w:rsidTr="00C1312A">
        <w:tc>
          <w:tcPr>
            <w:tcW w:w="1696" w:type="dxa"/>
          </w:tcPr>
          <w:p w14:paraId="51504A91" w14:textId="5ADDA5FD" w:rsidR="00C1312A" w:rsidRPr="00C1312A" w:rsidRDefault="00C1312A" w:rsidP="006E533D">
            <w:pPr>
              <w:spacing w:before="60" w:after="60" w:line="259" w:lineRule="auto"/>
              <w:rPr>
                <w:sz w:val="20"/>
                <w:szCs w:val="20"/>
              </w:rPr>
            </w:pPr>
            <w:r w:rsidRPr="00C1312A">
              <w:rPr>
                <w:sz w:val="20"/>
                <w:szCs w:val="20"/>
              </w:rPr>
              <w:t>March 2024</w:t>
            </w:r>
          </w:p>
          <w:p w14:paraId="31C5CA6C" w14:textId="77777777" w:rsidR="00C1312A" w:rsidRPr="00C1312A" w:rsidRDefault="00C1312A" w:rsidP="006E533D">
            <w:pPr>
              <w:spacing w:before="60" w:after="60"/>
              <w:rPr>
                <w:rFonts w:eastAsia="Times New Roman" w:cstheme="minorHAnsi"/>
                <w:color w:val="222222"/>
                <w:sz w:val="20"/>
                <w:szCs w:val="20"/>
              </w:rPr>
            </w:pPr>
          </w:p>
        </w:tc>
        <w:tc>
          <w:tcPr>
            <w:tcW w:w="7251" w:type="dxa"/>
          </w:tcPr>
          <w:p w14:paraId="0BF362C3" w14:textId="09CADAD1" w:rsidR="00C1312A" w:rsidRPr="00C1312A" w:rsidRDefault="00930743" w:rsidP="006E533D">
            <w:pPr>
              <w:spacing w:before="60" w:after="60"/>
              <w:rPr>
                <w:rFonts w:eastAsia="Times New Roman" w:cstheme="minorHAnsi"/>
                <w:color w:val="222222"/>
                <w:sz w:val="20"/>
                <w:szCs w:val="20"/>
              </w:rPr>
            </w:pPr>
            <w:r>
              <w:rPr>
                <w:sz w:val="20"/>
                <w:szCs w:val="20"/>
              </w:rPr>
              <w:t>Formalisation</w:t>
            </w:r>
            <w:r w:rsidR="00163177">
              <w:rPr>
                <w:sz w:val="20"/>
                <w:szCs w:val="20"/>
              </w:rPr>
              <w:t xml:space="preserve"> of clinical criterion in restriction stating the</w:t>
            </w:r>
            <w:r w:rsidR="00C1312A" w:rsidRPr="00C1312A">
              <w:rPr>
                <w:sz w:val="20"/>
                <w:szCs w:val="20"/>
              </w:rPr>
              <w:t xml:space="preserve"> requirement </w:t>
            </w:r>
            <w:r w:rsidR="00B20327">
              <w:rPr>
                <w:sz w:val="20"/>
                <w:szCs w:val="20"/>
              </w:rPr>
              <w:t xml:space="preserve">for treatment only </w:t>
            </w:r>
            <w:r w:rsidR="00C1312A" w:rsidRPr="00C1312A">
              <w:rPr>
                <w:sz w:val="20"/>
                <w:szCs w:val="20"/>
              </w:rPr>
              <w:t>when contraindicated to nirmatrelvir (&amp;) ritonavir</w:t>
            </w:r>
            <w:r w:rsidR="00B20327">
              <w:rPr>
                <w:sz w:val="20"/>
                <w:szCs w:val="20"/>
              </w:rPr>
              <w:t>.</w:t>
            </w:r>
          </w:p>
        </w:tc>
      </w:tr>
    </w:tbl>
    <w:p w14:paraId="5B473AE7" w14:textId="55121A19" w:rsidR="00930743" w:rsidRDefault="00BF544D" w:rsidP="00BF544D">
      <w:r w:rsidRPr="002F61CA" w:rsidDel="00EE2BBB">
        <w:t xml:space="preserve">Current PBS listing details are available from </w:t>
      </w:r>
      <w:r w:rsidDel="00EE2BBB">
        <w:t xml:space="preserve">the </w:t>
      </w:r>
      <w:hyperlink r:id="rId13" w:history="1">
        <w:r w:rsidRPr="00645D51" w:rsidDel="00EE2BBB">
          <w:rPr>
            <w:rStyle w:val="Hyperlink"/>
          </w:rPr>
          <w:t>PBS website</w:t>
        </w:r>
      </w:hyperlink>
      <w:r w:rsidDel="00EE2BBB">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53085816" w14:textId="77777777" w:rsidR="009E6EBE" w:rsidRDefault="00796589" w:rsidP="00C97BB7">
      <w:pPr>
        <w:rPr>
          <w:b/>
          <w:bCs/>
        </w:rPr>
      </w:pPr>
      <w:r w:rsidRPr="00C64E2F">
        <w:rPr>
          <w:b/>
          <w:bCs/>
        </w:rPr>
        <w:t>February 2022</w:t>
      </w:r>
    </w:p>
    <w:p w14:paraId="451A5844" w14:textId="2C9E6152" w:rsidR="00EE2748" w:rsidRPr="009E6EBE" w:rsidRDefault="00C97BB7" w:rsidP="00C97BB7">
      <w:pPr>
        <w:rPr>
          <w:b/>
          <w:bCs/>
        </w:rPr>
      </w:pPr>
      <w:r w:rsidRPr="00590DBB">
        <w:rPr>
          <w:rFonts w:ascii="Calibri" w:hAnsi="Calibri" w:cs="Calibri"/>
          <w:color w:val="000000"/>
        </w:rPr>
        <w:t>The PBAC undertook an expedited consideration of a sponsor submission to add molnupiravir to t</w:t>
      </w:r>
      <w:r w:rsidR="00590DBB" w:rsidRPr="00590DBB">
        <w:rPr>
          <w:rFonts w:ascii="Calibri" w:hAnsi="Calibri" w:cs="Calibri"/>
          <w:color w:val="000000"/>
        </w:rPr>
        <w:t xml:space="preserve">he </w:t>
      </w:r>
      <w:r w:rsidRPr="00590DBB">
        <w:rPr>
          <w:rFonts w:ascii="Calibri" w:hAnsi="Calibri" w:cs="Calibri"/>
          <w:color w:val="000000"/>
        </w:rPr>
        <w:t>PBS for use in treating patients with mild to moderate COVID-19 who are at risk of developing severe disease requiring hospitalisation. The expedited consideration by PBAC recognises the urgent public health need related to the prevention, management, or treatment of SARS-CoV-2 infections</w:t>
      </w:r>
      <w:r w:rsidR="00590DBB" w:rsidRPr="00590DBB">
        <w:rPr>
          <w:rFonts w:ascii="Calibri" w:hAnsi="Calibri" w:cs="Calibri"/>
          <w:color w:val="000000"/>
        </w:rPr>
        <w:t>.</w:t>
      </w:r>
    </w:p>
    <w:p w14:paraId="63EEDBE0" w14:textId="16103F23" w:rsidR="00590DBB" w:rsidRPr="00590DBB" w:rsidRDefault="00590DBB" w:rsidP="00590DBB">
      <w:pPr>
        <w:autoSpaceDE w:val="0"/>
        <w:autoSpaceDN w:val="0"/>
        <w:adjustRightInd w:val="0"/>
        <w:spacing w:after="0"/>
        <w:rPr>
          <w:rFonts w:ascii="Calibri" w:hAnsi="Calibri" w:cs="Calibri"/>
          <w:color w:val="000000"/>
        </w:rPr>
      </w:pPr>
      <w:r w:rsidRPr="00590DBB">
        <w:rPr>
          <w:rFonts w:ascii="Calibri" w:hAnsi="Calibri" w:cs="Calibri"/>
          <w:color w:val="000000"/>
        </w:rPr>
        <w:t xml:space="preserve">The PBAC recommended the listing on the PBS of molnupiravir as a General Schedule, Authority Required (Streamlined) benefit. </w:t>
      </w:r>
    </w:p>
    <w:p w14:paraId="70371FDC" w14:textId="77777777" w:rsidR="00590DBB" w:rsidRPr="00590DBB" w:rsidRDefault="00590DBB" w:rsidP="00590DBB">
      <w:pPr>
        <w:autoSpaceDE w:val="0"/>
        <w:autoSpaceDN w:val="0"/>
        <w:adjustRightInd w:val="0"/>
        <w:spacing w:after="0"/>
        <w:rPr>
          <w:rFonts w:ascii="Calibri" w:hAnsi="Calibri" w:cs="Calibri"/>
          <w:color w:val="000000"/>
        </w:rPr>
      </w:pPr>
    </w:p>
    <w:p w14:paraId="5D761E41" w14:textId="77777777" w:rsidR="00590DBB" w:rsidRPr="00590DBB" w:rsidRDefault="00590DBB" w:rsidP="00590DBB">
      <w:pPr>
        <w:autoSpaceDE w:val="0"/>
        <w:autoSpaceDN w:val="0"/>
        <w:adjustRightInd w:val="0"/>
        <w:spacing w:after="0"/>
        <w:rPr>
          <w:rFonts w:ascii="Calibri" w:hAnsi="Calibri" w:cs="Calibri"/>
          <w:color w:val="000000"/>
        </w:rPr>
      </w:pPr>
      <w:r w:rsidRPr="00590DBB">
        <w:rPr>
          <w:rFonts w:ascii="Calibri" w:hAnsi="Calibri" w:cs="Calibri"/>
          <w:color w:val="000000"/>
        </w:rPr>
        <w:t xml:space="preserve">The PBAC recommended PBS-subsidised treatment initially be provided for the following groups of patients with mild-moderate COVID-19 disease not requiring supplemental oxygen for their COVID-19 and where treatment is commenced within 5 days of the onset of symptoms: </w:t>
      </w:r>
    </w:p>
    <w:p w14:paraId="17738373" w14:textId="5F220021" w:rsidR="00590DBB" w:rsidRPr="00604378" w:rsidRDefault="00590DBB" w:rsidP="00604378">
      <w:pPr>
        <w:pStyle w:val="ListParagraph"/>
        <w:numPr>
          <w:ilvl w:val="0"/>
          <w:numId w:val="11"/>
        </w:numPr>
        <w:autoSpaceDE w:val="0"/>
        <w:autoSpaceDN w:val="0"/>
        <w:adjustRightInd w:val="0"/>
        <w:spacing w:after="61"/>
        <w:rPr>
          <w:rFonts w:ascii="Calibri" w:hAnsi="Calibri" w:cs="Calibri"/>
          <w:color w:val="000000"/>
        </w:rPr>
      </w:pPr>
      <w:r w:rsidRPr="00604378">
        <w:rPr>
          <w:rFonts w:ascii="Calibri" w:hAnsi="Calibri" w:cs="Calibri"/>
          <w:color w:val="000000"/>
        </w:rPr>
        <w:t xml:space="preserve">People 65 years or older with two additional high-risk factors for developing severe disease, </w:t>
      </w:r>
    </w:p>
    <w:p w14:paraId="45869277" w14:textId="5614D37E" w:rsidR="00590DBB" w:rsidRPr="00604378" w:rsidRDefault="00590DBB" w:rsidP="00604378">
      <w:pPr>
        <w:pStyle w:val="ListParagraph"/>
        <w:numPr>
          <w:ilvl w:val="0"/>
          <w:numId w:val="11"/>
        </w:numPr>
        <w:autoSpaceDE w:val="0"/>
        <w:autoSpaceDN w:val="0"/>
        <w:adjustRightInd w:val="0"/>
        <w:spacing w:after="61"/>
        <w:rPr>
          <w:rFonts w:ascii="Calibri" w:hAnsi="Calibri" w:cs="Calibri"/>
          <w:color w:val="000000"/>
        </w:rPr>
      </w:pPr>
      <w:r w:rsidRPr="00604378">
        <w:rPr>
          <w:rFonts w:ascii="Calibri" w:hAnsi="Calibri" w:cs="Calibri"/>
          <w:color w:val="000000"/>
        </w:rPr>
        <w:t xml:space="preserve">People 75 years or older with one additional high-risk factor for developing severe disease, </w:t>
      </w:r>
    </w:p>
    <w:p w14:paraId="56ADC834" w14:textId="69C52528" w:rsidR="00590DBB" w:rsidRPr="00604378" w:rsidRDefault="00590DBB" w:rsidP="00604378">
      <w:pPr>
        <w:pStyle w:val="ListParagraph"/>
        <w:numPr>
          <w:ilvl w:val="0"/>
          <w:numId w:val="11"/>
        </w:numPr>
        <w:autoSpaceDE w:val="0"/>
        <w:autoSpaceDN w:val="0"/>
        <w:adjustRightInd w:val="0"/>
        <w:spacing w:after="61"/>
        <w:rPr>
          <w:rFonts w:ascii="Calibri" w:hAnsi="Calibri" w:cs="Calibri"/>
          <w:color w:val="000000"/>
        </w:rPr>
      </w:pPr>
      <w:r w:rsidRPr="00604378">
        <w:rPr>
          <w:rFonts w:ascii="Calibri" w:hAnsi="Calibri" w:cs="Calibri"/>
          <w:color w:val="000000"/>
        </w:rPr>
        <w:t xml:space="preserve">Moderately to severely immunocompromised people irrespective of vaccination status, and </w:t>
      </w:r>
    </w:p>
    <w:p w14:paraId="57C910E2" w14:textId="1CF4CF52" w:rsidR="00590DBB" w:rsidRPr="00604378" w:rsidRDefault="00590DBB" w:rsidP="00604378">
      <w:pPr>
        <w:pStyle w:val="ListParagraph"/>
        <w:numPr>
          <w:ilvl w:val="0"/>
          <w:numId w:val="11"/>
        </w:numPr>
        <w:autoSpaceDE w:val="0"/>
        <w:autoSpaceDN w:val="0"/>
        <w:adjustRightInd w:val="0"/>
        <w:spacing w:after="0"/>
        <w:rPr>
          <w:rFonts w:ascii="Calibri" w:hAnsi="Calibri" w:cs="Calibri"/>
          <w:color w:val="000000"/>
        </w:rPr>
      </w:pPr>
      <w:r w:rsidRPr="00604378">
        <w:rPr>
          <w:rFonts w:ascii="Calibri" w:hAnsi="Calibri" w:cs="Calibri"/>
          <w:color w:val="000000"/>
        </w:rPr>
        <w:t xml:space="preserve">Aboriginal and Torres Strait Islander people aged 50 years or older with two additional high-risk factors for developing severe disease. </w:t>
      </w:r>
    </w:p>
    <w:p w14:paraId="404F5889" w14:textId="77777777" w:rsidR="00590DBB" w:rsidRPr="00590DBB" w:rsidRDefault="00590DBB" w:rsidP="00590DBB">
      <w:pPr>
        <w:autoSpaceDE w:val="0"/>
        <w:autoSpaceDN w:val="0"/>
        <w:adjustRightInd w:val="0"/>
        <w:spacing w:after="0"/>
        <w:rPr>
          <w:rFonts w:ascii="Calibri" w:hAnsi="Calibri" w:cs="Calibri"/>
          <w:color w:val="000000"/>
          <w:sz w:val="23"/>
          <w:szCs w:val="23"/>
        </w:rPr>
      </w:pPr>
    </w:p>
    <w:p w14:paraId="0487234E" w14:textId="1DC5EE94" w:rsidR="00B2091F" w:rsidRDefault="00C01509" w:rsidP="00D94863">
      <w:r>
        <w:lastRenderedPageBreak/>
        <w:t xml:space="preserve">For further details refer to </w:t>
      </w:r>
      <w:r w:rsidRPr="00F65F0D">
        <w:t xml:space="preserve">the </w:t>
      </w:r>
      <w:hyperlink r:id="rId14" w:history="1">
        <w:r w:rsidRPr="00C64E2F">
          <w:rPr>
            <w:rStyle w:val="Hyperlink"/>
          </w:rPr>
          <w:t>Outcome Statemen</w:t>
        </w:r>
        <w:r w:rsidR="0091561D" w:rsidRPr="00C64E2F">
          <w:rPr>
            <w:rStyle w:val="Hyperlink"/>
          </w:rPr>
          <w:t>t</w:t>
        </w:r>
      </w:hyperlink>
      <w:r w:rsidR="0091561D">
        <w:t xml:space="preserve"> </w:t>
      </w:r>
      <w:r w:rsidR="00EE30D7">
        <w:t>regarding the</w:t>
      </w:r>
      <w:r w:rsidR="00C947F4">
        <w:t xml:space="preserve"> out-of-session </w:t>
      </w:r>
      <w:r w:rsidR="00EE30D7">
        <w:t xml:space="preserve">PBAC </w:t>
      </w:r>
      <w:r w:rsidR="00C947F4">
        <w:t xml:space="preserve">recommendation </w:t>
      </w:r>
      <w:r w:rsidR="00EE30D7">
        <w:t xml:space="preserve">in February 2022. </w:t>
      </w:r>
    </w:p>
    <w:p w14:paraId="2A098F8D" w14:textId="0FBB681E" w:rsidR="005D3027" w:rsidRPr="005D3027" w:rsidRDefault="00C64E2F" w:rsidP="00604378">
      <w:pPr>
        <w:rPr>
          <w:b/>
          <w:bCs/>
        </w:rPr>
      </w:pPr>
      <w:r w:rsidRPr="00C64E2F">
        <w:rPr>
          <w:b/>
          <w:bCs/>
        </w:rPr>
        <w:t xml:space="preserve">June 2022 </w:t>
      </w:r>
    </w:p>
    <w:p w14:paraId="4BD4E43F" w14:textId="32800527" w:rsidR="005D3027" w:rsidRPr="006372E0" w:rsidRDefault="005D3027" w:rsidP="005D3027">
      <w:pPr>
        <w:autoSpaceDE w:val="0"/>
        <w:autoSpaceDN w:val="0"/>
        <w:adjustRightInd w:val="0"/>
        <w:spacing w:after="0"/>
        <w:rPr>
          <w:rFonts w:ascii="Calibri" w:hAnsi="Calibri" w:cs="Calibri"/>
          <w:color w:val="000000"/>
        </w:rPr>
      </w:pPr>
      <w:r w:rsidRPr="005D3027">
        <w:rPr>
          <w:rFonts w:ascii="Calibri" w:hAnsi="Calibri" w:cs="Calibri"/>
          <w:color w:val="000000"/>
        </w:rPr>
        <w:t>The PBAC recommended changes to the PBS</w:t>
      </w:r>
      <w:r w:rsidR="00604378" w:rsidRPr="006372E0">
        <w:rPr>
          <w:rFonts w:ascii="Calibri" w:hAnsi="Calibri" w:cs="Calibri"/>
          <w:color w:val="000000"/>
        </w:rPr>
        <w:t xml:space="preserve"> </w:t>
      </w:r>
      <w:r w:rsidRPr="005D3027">
        <w:rPr>
          <w:rFonts w:ascii="Calibri" w:hAnsi="Calibri" w:cs="Calibri"/>
          <w:color w:val="000000"/>
        </w:rPr>
        <w:t xml:space="preserve">eligibility criteria for both molnupiravir and nirmatrelvir and ritonavir in the light of current understanding of the evidence for effectiveness and safety of these medicines, recent PBS utilisation patterns, and the changing epidemiology of COVID-19. </w:t>
      </w:r>
    </w:p>
    <w:p w14:paraId="591381BC" w14:textId="77777777" w:rsidR="00604378" w:rsidRPr="005D3027" w:rsidRDefault="00604378" w:rsidP="005D3027">
      <w:pPr>
        <w:autoSpaceDE w:val="0"/>
        <w:autoSpaceDN w:val="0"/>
        <w:adjustRightInd w:val="0"/>
        <w:spacing w:after="0"/>
        <w:rPr>
          <w:rFonts w:ascii="Calibri" w:hAnsi="Calibri" w:cs="Calibri"/>
          <w:color w:val="000000"/>
        </w:rPr>
      </w:pPr>
    </w:p>
    <w:p w14:paraId="2689FA75" w14:textId="72CD2A2A" w:rsidR="00604378" w:rsidRPr="005D3027" w:rsidRDefault="005D3027" w:rsidP="005D3027">
      <w:pPr>
        <w:autoSpaceDE w:val="0"/>
        <w:autoSpaceDN w:val="0"/>
        <w:adjustRightInd w:val="0"/>
        <w:spacing w:after="0"/>
        <w:rPr>
          <w:rFonts w:ascii="Calibri" w:hAnsi="Calibri" w:cs="Calibri"/>
          <w:color w:val="000000"/>
        </w:rPr>
      </w:pPr>
      <w:r w:rsidRPr="005D3027">
        <w:rPr>
          <w:rFonts w:ascii="Calibri" w:hAnsi="Calibri" w:cs="Calibri"/>
          <w:color w:val="000000"/>
        </w:rPr>
        <w:t xml:space="preserve">The PBAC recommended that treatment be provided as a General Schedule, Authority Required (Streamlined) benefit for the following groups of patients with COVID-19 disease not requiring supplemental oxygen for their COVID-19 and where treatment is commenced within 5 days of the onset of signs/symptoms for: </w:t>
      </w:r>
    </w:p>
    <w:p w14:paraId="75FBEC03" w14:textId="77777777" w:rsidR="00604378" w:rsidRPr="006372E0" w:rsidRDefault="005D3027" w:rsidP="00604378">
      <w:pPr>
        <w:pStyle w:val="ListParagraph"/>
        <w:numPr>
          <w:ilvl w:val="0"/>
          <w:numId w:val="21"/>
        </w:numPr>
        <w:autoSpaceDE w:val="0"/>
        <w:autoSpaceDN w:val="0"/>
        <w:adjustRightInd w:val="0"/>
        <w:spacing w:after="61"/>
        <w:rPr>
          <w:rFonts w:ascii="Calibri" w:hAnsi="Calibri" w:cs="Calibri"/>
          <w:color w:val="000000"/>
        </w:rPr>
      </w:pPr>
      <w:r w:rsidRPr="006372E0">
        <w:rPr>
          <w:rFonts w:ascii="Calibri" w:hAnsi="Calibri" w:cs="Calibri"/>
          <w:color w:val="000000"/>
        </w:rPr>
        <w:t xml:space="preserve">People 50 years of age or older, with two additional risk factors for developing severe disease; </w:t>
      </w:r>
    </w:p>
    <w:p w14:paraId="0D5A64D9" w14:textId="5FDB8F01" w:rsidR="00203076" w:rsidRDefault="005D3027" w:rsidP="00203076">
      <w:pPr>
        <w:pStyle w:val="ListParagraph"/>
        <w:numPr>
          <w:ilvl w:val="0"/>
          <w:numId w:val="21"/>
        </w:numPr>
        <w:autoSpaceDE w:val="0"/>
        <w:autoSpaceDN w:val="0"/>
        <w:adjustRightInd w:val="0"/>
        <w:spacing w:after="61"/>
        <w:rPr>
          <w:rFonts w:ascii="Calibri" w:hAnsi="Calibri" w:cs="Calibri"/>
          <w:color w:val="000000"/>
        </w:rPr>
      </w:pPr>
      <w:r w:rsidRPr="006372E0">
        <w:rPr>
          <w:rFonts w:ascii="Calibri" w:hAnsi="Calibri" w:cs="Calibri"/>
          <w:color w:val="000000"/>
        </w:rPr>
        <w:t xml:space="preserve">People 30 years of age or older, identifying as Aboriginal or Torres Strait Islander, with two additional risk factors for developing severe disease; </w:t>
      </w:r>
    </w:p>
    <w:p w14:paraId="3BD47496" w14:textId="2E078C70" w:rsidR="00203076" w:rsidRPr="00203076" w:rsidRDefault="005D3027" w:rsidP="00203076">
      <w:pPr>
        <w:pStyle w:val="ListParagraph"/>
        <w:numPr>
          <w:ilvl w:val="0"/>
          <w:numId w:val="21"/>
        </w:numPr>
        <w:autoSpaceDE w:val="0"/>
        <w:autoSpaceDN w:val="0"/>
        <w:adjustRightInd w:val="0"/>
        <w:spacing w:after="61"/>
        <w:rPr>
          <w:rFonts w:ascii="Calibri" w:hAnsi="Calibri" w:cs="Calibri"/>
          <w:color w:val="000000"/>
        </w:rPr>
      </w:pPr>
      <w:r w:rsidRPr="00203076">
        <w:rPr>
          <w:rFonts w:ascii="Calibri" w:hAnsi="Calibri" w:cs="Calibri"/>
          <w:color w:val="000000"/>
        </w:rPr>
        <w:t xml:space="preserve">People 18 years of age or older, with moderate to severe immunocompromise; </w:t>
      </w:r>
      <w:r w:rsidR="00203076">
        <w:rPr>
          <w:rFonts w:ascii="Calibri" w:hAnsi="Calibri" w:cs="Calibri"/>
          <w:color w:val="000000"/>
        </w:rPr>
        <w:t>and</w:t>
      </w:r>
    </w:p>
    <w:p w14:paraId="76D927CA" w14:textId="19A98F14" w:rsidR="005D3027" w:rsidRPr="00203076" w:rsidRDefault="005D3027" w:rsidP="00203076">
      <w:pPr>
        <w:pStyle w:val="ListParagraph"/>
        <w:numPr>
          <w:ilvl w:val="0"/>
          <w:numId w:val="21"/>
        </w:numPr>
        <w:autoSpaceDE w:val="0"/>
        <w:autoSpaceDN w:val="0"/>
        <w:adjustRightInd w:val="0"/>
        <w:spacing w:after="61"/>
        <w:rPr>
          <w:rFonts w:ascii="Calibri" w:hAnsi="Calibri" w:cs="Calibri"/>
          <w:color w:val="000000"/>
        </w:rPr>
      </w:pPr>
      <w:r w:rsidRPr="00203076">
        <w:rPr>
          <w:rFonts w:ascii="Calibri" w:hAnsi="Calibri" w:cs="Calibri"/>
          <w:color w:val="000000"/>
        </w:rPr>
        <w:t>People 70 years of age or older</w:t>
      </w:r>
      <w:r w:rsidR="00203076">
        <w:rPr>
          <w:rFonts w:ascii="Calibri" w:hAnsi="Calibri" w:cs="Calibri"/>
          <w:color w:val="000000"/>
        </w:rPr>
        <w:t xml:space="preserve"> </w:t>
      </w:r>
      <w:r w:rsidR="00203076" w:rsidRPr="00203076">
        <w:rPr>
          <w:rFonts w:ascii="Calibri" w:hAnsi="Calibri" w:cs="Calibri"/>
          <w:color w:val="000000"/>
        </w:rPr>
        <w:t>where treatment is commenced within 5 days of the onset of symptoms, or treatment is initiated as soon as possible after diagnosis is confirmed where asymptomatic</w:t>
      </w:r>
      <w:r w:rsidR="00203076">
        <w:rPr>
          <w:rFonts w:ascii="Calibri" w:hAnsi="Calibri" w:cs="Calibri"/>
          <w:color w:val="000000"/>
        </w:rPr>
        <w:t xml:space="preserve">. </w:t>
      </w:r>
    </w:p>
    <w:p w14:paraId="03D864FA" w14:textId="77777777" w:rsidR="005D3027" w:rsidRPr="005D3027" w:rsidRDefault="005D3027" w:rsidP="005D3027">
      <w:pPr>
        <w:autoSpaceDE w:val="0"/>
        <w:autoSpaceDN w:val="0"/>
        <w:adjustRightInd w:val="0"/>
        <w:spacing w:after="0"/>
        <w:rPr>
          <w:rFonts w:ascii="Calibri" w:hAnsi="Calibri" w:cs="Calibri"/>
          <w:color w:val="000000"/>
        </w:rPr>
      </w:pPr>
    </w:p>
    <w:p w14:paraId="1FA67036" w14:textId="77777777" w:rsidR="005D3027" w:rsidRPr="006372E0" w:rsidRDefault="005D3027" w:rsidP="005D3027">
      <w:pPr>
        <w:autoSpaceDE w:val="0"/>
        <w:autoSpaceDN w:val="0"/>
        <w:adjustRightInd w:val="0"/>
        <w:spacing w:after="0"/>
        <w:rPr>
          <w:rFonts w:ascii="Calibri" w:hAnsi="Calibri" w:cs="Calibri"/>
          <w:color w:val="000000"/>
        </w:rPr>
      </w:pPr>
      <w:r w:rsidRPr="005D3027">
        <w:rPr>
          <w:rFonts w:ascii="Calibri" w:hAnsi="Calibri" w:cs="Calibri"/>
          <w:color w:val="000000"/>
        </w:rPr>
        <w:t xml:space="preserve">The PBAC recommended changes to the list of conditions that define high risk for developing severe disease, including clarification and/or expansion of eligibility in relation to respiratory, cardiac, and neurological co-morbidity. The PBAC acknowledged that a large majority of Australian adults have received more than one COVID-19 vaccination, and recommended that the current condition ‘patient has received less than 2 doses of SARS-CoV-2 vaccine’ no longer need be included in the list. </w:t>
      </w:r>
    </w:p>
    <w:p w14:paraId="3C76AD24" w14:textId="77777777" w:rsidR="00F71ACF" w:rsidRPr="005D3027" w:rsidRDefault="00F71ACF" w:rsidP="005D3027">
      <w:pPr>
        <w:autoSpaceDE w:val="0"/>
        <w:autoSpaceDN w:val="0"/>
        <w:adjustRightInd w:val="0"/>
        <w:spacing w:after="0"/>
        <w:rPr>
          <w:rFonts w:ascii="Calibri" w:hAnsi="Calibri" w:cs="Calibri"/>
          <w:color w:val="000000"/>
        </w:rPr>
      </w:pPr>
    </w:p>
    <w:p w14:paraId="7308437D" w14:textId="4F2B9398" w:rsidR="00C64E2F" w:rsidRPr="006372E0" w:rsidRDefault="005D3027" w:rsidP="005D3027">
      <w:pPr>
        <w:rPr>
          <w:sz w:val="28"/>
          <w:szCs w:val="28"/>
        </w:rPr>
      </w:pPr>
      <w:r w:rsidRPr="006372E0">
        <w:rPr>
          <w:rFonts w:ascii="Calibri" w:hAnsi="Calibri" w:cs="Calibri"/>
          <w:color w:val="000000"/>
        </w:rPr>
        <w:t>The PBAC recommended changes to the definition of ‘moderate to severe immunocompromise,’ noting correspondence received from the Australian Rheumatology Association in relation to immunosuppression with use of methotrexate, azathioprine and abatacept.</w:t>
      </w:r>
    </w:p>
    <w:p w14:paraId="3A83788F" w14:textId="5CB1DB5B" w:rsidR="00F71ACF" w:rsidRDefault="00C64E2F" w:rsidP="00D94863">
      <w:r>
        <w:t xml:space="preserve">For further details refer to </w:t>
      </w:r>
      <w:r w:rsidRPr="00F65F0D">
        <w:t xml:space="preserve">the </w:t>
      </w:r>
      <w:hyperlink r:id="rId15" w:history="1">
        <w:r w:rsidRPr="00C64E2F">
          <w:rPr>
            <w:rStyle w:val="Hyperlink"/>
          </w:rPr>
          <w:t>Outcome Statement</w:t>
        </w:r>
      </w:hyperlink>
      <w:r>
        <w:t xml:space="preserve"> regarding the out-of-session PBAC recommendation in June 2022. </w:t>
      </w:r>
    </w:p>
    <w:p w14:paraId="000F58D3" w14:textId="55FD8BFC" w:rsidR="00CA44D4" w:rsidRPr="00A91EA7" w:rsidRDefault="00CA44D4" w:rsidP="00D94863">
      <w:pPr>
        <w:rPr>
          <w:b/>
          <w:bCs/>
        </w:rPr>
      </w:pPr>
      <w:r w:rsidRPr="00A91EA7">
        <w:rPr>
          <w:b/>
          <w:bCs/>
        </w:rPr>
        <w:t xml:space="preserve">July </w:t>
      </w:r>
      <w:r w:rsidR="003A0958">
        <w:rPr>
          <w:b/>
          <w:bCs/>
        </w:rPr>
        <w:t xml:space="preserve">and </w:t>
      </w:r>
      <w:r w:rsidRPr="00A91EA7">
        <w:rPr>
          <w:b/>
          <w:bCs/>
        </w:rPr>
        <w:t xml:space="preserve">November 2023 </w:t>
      </w:r>
      <w:r w:rsidR="00A91EA7">
        <w:rPr>
          <w:b/>
          <w:bCs/>
        </w:rPr>
        <w:t xml:space="preserve">PBAC meetings </w:t>
      </w:r>
    </w:p>
    <w:p w14:paraId="7C43D66E" w14:textId="18E2B315" w:rsidR="00253CEB" w:rsidRDefault="00CB060E" w:rsidP="00930743">
      <w:pPr>
        <w:spacing w:after="0"/>
      </w:pPr>
      <w:r>
        <w:t xml:space="preserve">The PBAC provided advice regarding molnupiravir for the treatment of patients with mild to moderate COVID-19 who are at high risk of developing severe disease requiring hospitalisation. The PBAC advised that the sponsor’s submission did not adequately support continuation of the current PBS listing of molnupiravir, and that additional information is required to inform further consideration of this matter. The PBAC noted the continued toll of the pandemic and the disproportionate effects on older Australians despite vaccination, and the preference expressed by consumers, clinicians and public health experts to </w:t>
      </w:r>
      <w:r>
        <w:lastRenderedPageBreak/>
        <w:t>maintain molnupiravir on the PBS as an option for patients who could not use nirmatrelvir and ritonavir. The PBAC considered all available evidence on the effectiveness and safety of molnupiravir including the randomised trials MOVe OUT and PANORAMIC and noted that the effectiveness in trials as measured by reductions in hospital admissions and mortality ranged between no effect and a modest benefit. The PBAC noted that observational trials showed results consistent with modest benefits, noting that the observational trials were subject to a range of biases. The PBAC considered that the cost-effectiveness of molnupiravir was highly uncertain due to the uncertainty of effectiveness. The PBAC noted that the estimated utilisation and therefore financial impact appeared to be very high relative to the current use (and given PBAC preference that this drug</w:t>
      </w:r>
      <w:r w:rsidR="00C24ACF">
        <w:t xml:space="preserve"> </w:t>
      </w:r>
      <w:r>
        <w:t>only be used where the more effective treatment (nirmatrelvir and ritonavir) is not suitable). Further clarification was also needed in the restriction regarding the limited patient groups where molnupiravir should be used. The PBAC noted that the current PBS listing would be maintained pending further consideration.</w:t>
      </w:r>
    </w:p>
    <w:p w14:paraId="4FBA31D9" w14:textId="77777777" w:rsidR="00930743" w:rsidRDefault="00930743" w:rsidP="00930743">
      <w:pPr>
        <w:spacing w:after="0"/>
      </w:pPr>
    </w:p>
    <w:p w14:paraId="0DA6C2F3" w14:textId="077936ED" w:rsidR="00B4565F" w:rsidRDefault="00DC6703" w:rsidP="00D94863">
      <w:r>
        <w:t>At its November 2023 meeting, the</w:t>
      </w:r>
      <w:r w:rsidR="00B4565F">
        <w:t xml:space="preserve"> PBAC provided advice regarding molnupiravir, for the treatment of patients with mild to moderate COVID-19 who are at high risk of severe disease requiring hospitalisation. Consistent with its July 2023 advice, the PBAC considered that molnupiravir may be an appropriate treatment for patients who cannot use nirmatrelvir and ritonavir. The PBAC noted that nirmatrelvir and ritonavir is a more effective treatment than molnupiravir, however nirmatrelvir and ritonavir is contraindicated in patients with severe renal or hepatic impairment, and contraindicated for use with certain other drugs, due to the risk of significant drug-drug interactions. The PBAC noted that these contraindications are clinically important for some vulnerable patients and must be managed carefully by prescribers. The PBAC advised that the submission did not support continuation of the PBS listing with the current restriction criteria and proposed price of molnupiravir. The PBAC recommended changes to the restriction, and price of molnupiravir. The PBAC noted that the market share for molnupiravir remained higher than nirmatrelvir and ritonavir, which did not reflect clinical guidelines. The PBAC recommended that the sponsor and Department explore initiatives to support the safe and effective use of oral antiviral medicines for COVID-19, consistent with quality use of medicines (QUM) principles.</w:t>
      </w:r>
    </w:p>
    <w:p w14:paraId="70539E18" w14:textId="5E8BC6B1" w:rsidR="00D94863" w:rsidRPr="00F65F0D" w:rsidRDefault="00D94863" w:rsidP="00D94863">
      <w:r>
        <w:t xml:space="preserve">For further details refer to </w:t>
      </w:r>
      <w:r w:rsidRPr="00F65F0D">
        <w:t xml:space="preserve">the </w:t>
      </w:r>
      <w:hyperlink r:id="rId16" w:history="1">
        <w:r w:rsidRPr="00253CEB">
          <w:rPr>
            <w:rStyle w:val="Hyperlink"/>
          </w:rPr>
          <w:t>Public Summary Document</w:t>
        </w:r>
      </w:hyperlink>
      <w:r w:rsidR="00253CEB">
        <w:t xml:space="preserve"> </w:t>
      </w:r>
      <w:r w:rsidRPr="00F65F0D">
        <w:t xml:space="preserve">from the </w:t>
      </w:r>
      <w:r w:rsidR="00253CEB">
        <w:t xml:space="preserve">July and November 2023 </w:t>
      </w:r>
      <w:r>
        <w:t>PBAC meeting</w:t>
      </w:r>
      <w:r w:rsidR="00253CEB">
        <w:t>s</w:t>
      </w:r>
      <w:r>
        <w:t>.</w:t>
      </w:r>
    </w:p>
    <w:p w14:paraId="791905ED" w14:textId="77777777" w:rsidR="00B64459" w:rsidRDefault="00B64459">
      <w:pPr>
        <w:spacing w:line="276" w:lineRule="auto"/>
        <w:rPr>
          <w:rFonts w:eastAsiaTheme="majorEastAsia" w:cstheme="majorBidi"/>
          <w:b/>
          <w:bCs/>
          <w:sz w:val="32"/>
          <w:szCs w:val="32"/>
        </w:rPr>
      </w:pPr>
      <w:r>
        <w:br w:type="page"/>
      </w:r>
    </w:p>
    <w:p w14:paraId="0312FFEC" w14:textId="7B1894FF" w:rsidR="00E677DD" w:rsidRPr="005E22C2" w:rsidRDefault="00E677DD" w:rsidP="00CF5E22">
      <w:pPr>
        <w:pStyle w:val="Heading1"/>
      </w:pPr>
      <w:r w:rsidRPr="005E22C2">
        <w:lastRenderedPageBreak/>
        <w:t>Method</w:t>
      </w:r>
      <w:r w:rsidR="001B5D37" w:rsidRPr="005E22C2">
        <w:t>s</w:t>
      </w:r>
    </w:p>
    <w:p w14:paraId="6D8C9BF9" w14:textId="0265F4AE" w:rsidR="006804E0" w:rsidRDefault="006804E0" w:rsidP="00524D13">
      <w:r w:rsidRPr="006804E0">
        <w:t xml:space="preserve">Data extracted from the PBS claims database maintained by the Department of Health and Aged Care and processed by Services Australia were used for the analyses. Prescription data were extracted from </w:t>
      </w:r>
      <w:r w:rsidR="00A0603F">
        <w:t>1 March 2022</w:t>
      </w:r>
      <w:r w:rsidRPr="006804E0">
        <w:t xml:space="preserve"> up to and including </w:t>
      </w:r>
      <w:r w:rsidR="002E26D9">
        <w:t>30 June 2024</w:t>
      </w:r>
      <w:r w:rsidRPr="006804E0">
        <w:t xml:space="preserve">. </w:t>
      </w:r>
    </w:p>
    <w:p w14:paraId="5FEEEBD5" w14:textId="77777777" w:rsidR="00B54919" w:rsidRDefault="002A5D17" w:rsidP="005E3744">
      <w:pPr>
        <w:rPr>
          <w:rFonts w:cstheme="minorHAnsi"/>
        </w:rPr>
      </w:pPr>
      <w:r w:rsidRPr="007B27DE">
        <w:rPr>
          <w:rFonts w:cstheme="minorHAnsi"/>
        </w:rPr>
        <w:t>Prescription data were used to determine the prescription and patient count</w:t>
      </w:r>
      <w:r>
        <w:rPr>
          <w:rFonts w:cstheme="minorHAnsi"/>
        </w:rPr>
        <w:t>s</w:t>
      </w:r>
      <w:r w:rsidR="00A94530">
        <w:rPr>
          <w:rFonts w:cstheme="minorHAnsi"/>
        </w:rPr>
        <w:t xml:space="preserve"> of molnupiravir</w:t>
      </w:r>
      <w:r w:rsidR="005E3744">
        <w:rPr>
          <w:rFonts w:cstheme="minorHAnsi"/>
        </w:rPr>
        <w:t xml:space="preserve"> by listing year and supply quarter. Analyses to examine utilisation following changes to the various changes to the sub-populations eligible for molnupiravir were also conducted. Sub-populations were determined by the corresponding Authority Required (Streamlined) code. </w:t>
      </w:r>
    </w:p>
    <w:p w14:paraId="07895048" w14:textId="175720B3" w:rsidR="00657812" w:rsidRPr="00B54919" w:rsidRDefault="005E3744" w:rsidP="00B54919">
      <w:pPr>
        <w:rPr>
          <w:rFonts w:cstheme="minorHAnsi"/>
        </w:rPr>
      </w:pPr>
      <w:r>
        <w:rPr>
          <w:rFonts w:cstheme="minorHAnsi"/>
        </w:rPr>
        <w:t xml:space="preserve">Data were also used to assess </w:t>
      </w:r>
      <w:r w:rsidR="00B54919">
        <w:rPr>
          <w:rFonts w:cstheme="minorHAnsi"/>
        </w:rPr>
        <w:t xml:space="preserve">molnupiravir </w:t>
      </w:r>
      <w:r>
        <w:rPr>
          <w:rFonts w:cstheme="minorHAnsi"/>
        </w:rPr>
        <w:t xml:space="preserve">utilisation by </w:t>
      </w:r>
      <w:r w:rsidR="00B54919">
        <w:rPr>
          <w:rFonts w:cstheme="minorHAnsi"/>
        </w:rPr>
        <w:t xml:space="preserve">the following analyses: </w:t>
      </w:r>
      <w:r w:rsidR="00EE3BED">
        <w:rPr>
          <w:rFonts w:cstheme="minorHAnsi"/>
        </w:rPr>
        <w:t xml:space="preserve">age and gender distribution, </w:t>
      </w:r>
      <w:r>
        <w:rPr>
          <w:rFonts w:cstheme="minorHAnsi"/>
        </w:rPr>
        <w:t xml:space="preserve">prescriber type, </w:t>
      </w:r>
      <w:r w:rsidR="00657812" w:rsidRPr="00657812">
        <w:rPr>
          <w:rFonts w:cstheme="minorHAnsi"/>
          <w:color w:val="222222"/>
          <w:shd w:val="clear" w:color="auto" w:fill="FFFFFF"/>
        </w:rPr>
        <w:t>residential aged care facility</w:t>
      </w:r>
      <w:r w:rsidR="00B54919">
        <w:rPr>
          <w:rFonts w:cstheme="minorHAnsi"/>
          <w:color w:val="222222"/>
          <w:shd w:val="clear" w:color="auto" w:fill="FFFFFF"/>
        </w:rPr>
        <w:t xml:space="preserve"> (RACF) (</w:t>
      </w:r>
      <w:r w:rsidR="00657812">
        <w:rPr>
          <w:rFonts w:cstheme="minorHAnsi"/>
          <w:color w:val="222222"/>
          <w:shd w:val="clear" w:color="auto" w:fill="FFFFFF"/>
        </w:rPr>
        <w:t xml:space="preserve">patients who are residents of </w:t>
      </w:r>
      <w:r w:rsidR="00662E6A">
        <w:rPr>
          <w:rFonts w:cstheme="minorHAnsi"/>
          <w:color w:val="222222"/>
          <w:shd w:val="clear" w:color="auto" w:fill="FFFFFF"/>
        </w:rPr>
        <w:t xml:space="preserve">an aged care facility are </w:t>
      </w:r>
      <w:r w:rsidR="00657812" w:rsidRPr="00657812">
        <w:rPr>
          <w:rFonts w:cstheme="minorHAnsi"/>
          <w:color w:val="222222"/>
          <w:shd w:val="clear" w:color="auto" w:fill="FFFFFF"/>
        </w:rPr>
        <w:t xml:space="preserve">denoted by presence of a RACF Identification number </w:t>
      </w:r>
      <w:r w:rsidR="00B54919">
        <w:rPr>
          <w:rFonts w:cstheme="minorHAnsi"/>
          <w:color w:val="222222"/>
          <w:shd w:val="clear" w:color="auto" w:fill="FFFFFF"/>
        </w:rPr>
        <w:t>[</w:t>
      </w:r>
      <w:r w:rsidR="00657812" w:rsidRPr="00657812">
        <w:rPr>
          <w:rFonts w:cstheme="minorHAnsi"/>
          <w:color w:val="222222"/>
          <w:shd w:val="clear" w:color="auto" w:fill="FFFFFF"/>
        </w:rPr>
        <w:t>RACF Id</w:t>
      </w:r>
      <w:r w:rsidR="00B54919">
        <w:rPr>
          <w:rFonts w:cstheme="minorHAnsi"/>
          <w:color w:val="222222"/>
          <w:shd w:val="clear" w:color="auto" w:fill="FFFFFF"/>
        </w:rPr>
        <w:t>])</w:t>
      </w:r>
      <w:r w:rsidR="00B54919">
        <w:rPr>
          <w:rFonts w:cstheme="minorHAnsi"/>
        </w:rPr>
        <w:t xml:space="preserve"> and </w:t>
      </w:r>
      <w:r w:rsidR="00657812" w:rsidRPr="00B54919">
        <w:rPr>
          <w:rFonts w:cstheme="minorHAnsi"/>
        </w:rPr>
        <w:t>jurisdiction</w:t>
      </w:r>
      <w:r w:rsidR="00662E6A" w:rsidRPr="00B54919">
        <w:rPr>
          <w:rFonts w:cstheme="minorHAnsi"/>
        </w:rPr>
        <w:t xml:space="preserve">. </w:t>
      </w:r>
      <w:r w:rsidR="00B54919">
        <w:rPr>
          <w:rFonts w:cstheme="minorHAnsi"/>
        </w:rPr>
        <w:t xml:space="preserve">As part of the jurisdiction analysis, </w:t>
      </w:r>
      <w:r w:rsidR="00B54919">
        <w:t>p</w:t>
      </w:r>
      <w:r w:rsidR="00662E6A">
        <w:t>atient numbers were standardised to provide a representative value relative to the population size of the respective state or territory. Population estimates for those aged between 18 years and over were extracted from the Australian Bureau of Statistics (ABS) for each state and territory. The number of patients were divided by the population estimates for each state and territory. These figures were multiplied by 100,000 to generate the age standardised values for each state and territory.</w:t>
      </w:r>
    </w:p>
    <w:p w14:paraId="54B05B56" w14:textId="140089FA" w:rsidR="005E3744" w:rsidRPr="00D10A1E" w:rsidRDefault="00A94530" w:rsidP="00D10A1E">
      <w:pPr>
        <w:rPr>
          <w:rFonts w:cstheme="minorHAnsi"/>
        </w:rPr>
      </w:pPr>
      <w:r>
        <w:rPr>
          <w:rFonts w:cstheme="minorHAnsi"/>
        </w:rPr>
        <w:t>Additional prescription data were extracted for the other</w:t>
      </w:r>
      <w:r w:rsidR="003D3F94">
        <w:rPr>
          <w:rFonts w:cstheme="minorHAnsi"/>
        </w:rPr>
        <w:t xml:space="preserve"> PBS-listed</w:t>
      </w:r>
      <w:r>
        <w:rPr>
          <w:rFonts w:cstheme="minorHAnsi"/>
        </w:rPr>
        <w:t xml:space="preserve"> COVID-19 oral antiviral, nirmatrelvir </w:t>
      </w:r>
      <w:r w:rsidR="00905A97">
        <w:rPr>
          <w:rFonts w:cstheme="minorHAnsi"/>
        </w:rPr>
        <w:t>and</w:t>
      </w:r>
      <w:r>
        <w:rPr>
          <w:rFonts w:cstheme="minorHAnsi"/>
        </w:rPr>
        <w:t xml:space="preserve"> ritonavir</w:t>
      </w:r>
      <w:r w:rsidR="003D3F94">
        <w:rPr>
          <w:rFonts w:cstheme="minorHAnsi"/>
        </w:rPr>
        <w:t>,</w:t>
      </w:r>
      <w:r w:rsidR="002D61A4">
        <w:rPr>
          <w:rFonts w:cstheme="minorHAnsi"/>
        </w:rPr>
        <w:t xml:space="preserve"> </w:t>
      </w:r>
      <w:r>
        <w:rPr>
          <w:rFonts w:cstheme="minorHAnsi"/>
        </w:rPr>
        <w:t xml:space="preserve">to assess market utilisation. </w:t>
      </w:r>
      <w:r w:rsidR="00662E6A">
        <w:t>A drug sequence analysis was conducted to examine the pattern of oral antiviral utilisation in patients. Two cohorts were selected for this analysis to compare therapy patterns before and after the formalisation of clinical criterion in the restriction requiring patients be treated with molnupiravir if they are contraindicated to nirmatrelvir and ritonavir. In both cohorts, the first prescribed drug was recorded and if patients were subsequently supplied other drugs, these were noted to form the patient’s drug chronological sequence.</w:t>
      </w:r>
      <w:r w:rsidR="00D10A1E">
        <w:rPr>
          <w:rFonts w:cstheme="minorHAnsi"/>
        </w:rPr>
        <w:t xml:space="preserve"> As both molnupiravir and nirmatrelvir &amp; ritonavir have listings on the Prescriber Bag, utilisation was examined based on their corresponding Prescriber Bag item codes. </w:t>
      </w:r>
    </w:p>
    <w:p w14:paraId="0712D9D5" w14:textId="66AF15F4" w:rsidR="00524D13" w:rsidRDefault="006804E0" w:rsidP="00524D13">
      <w:r w:rsidRPr="006804E0">
        <w:t>As this analysis use</w:t>
      </w:r>
      <w:r w:rsidR="00230BB0">
        <w:t>d</w:t>
      </w:r>
      <w:r w:rsidRPr="006804E0">
        <w:t xml:space="preserve"> date of supply prescription data, there may be small differences compared with publicly available Services Australia Medicare date of processing data.</w:t>
      </w:r>
      <w:r w:rsidR="00576B18">
        <w:rPr>
          <w:rStyle w:val="FootnoteReference"/>
        </w:rPr>
        <w:footnoteReference w:id="5"/>
      </w:r>
      <w:r w:rsidR="00576B18">
        <w:t xml:space="preserve"> </w:t>
      </w:r>
      <w:r w:rsidR="0090691F">
        <w:t xml:space="preserve">The </w:t>
      </w:r>
      <w:r w:rsidR="00AC5054">
        <w:t xml:space="preserve">publicly available </w:t>
      </w:r>
      <w:r w:rsidRPr="006804E0">
        <w:t xml:space="preserve">Services Australia </w:t>
      </w:r>
      <w:r w:rsidR="0090691F">
        <w:t xml:space="preserve">Medicare data </w:t>
      </w:r>
      <w:r w:rsidR="008E3F8C">
        <w:t xml:space="preserve">only </w:t>
      </w:r>
      <w:r w:rsidR="0090691F">
        <w:t xml:space="preserve">includes </w:t>
      </w:r>
      <w:r w:rsidR="00524D13">
        <w:t xml:space="preserve">subsidised R/PBS prescriptions </w:t>
      </w:r>
      <w:r w:rsidR="008E3F8C">
        <w:t xml:space="preserve">with prescriptions </w:t>
      </w:r>
      <w:r w:rsidR="00524D13">
        <w:t xml:space="preserve">under </w:t>
      </w:r>
      <w:r w:rsidR="00DD29A3">
        <w:t xml:space="preserve">the </w:t>
      </w:r>
      <w:r w:rsidR="00524D13">
        <w:t xml:space="preserve">patient co-payment </w:t>
      </w:r>
      <w:r w:rsidR="008E3F8C">
        <w:t>not included</w:t>
      </w:r>
      <w:r w:rsidR="00524D13">
        <w:t>.</w:t>
      </w:r>
      <w:r w:rsidR="00DD29A3">
        <w:t xml:space="preserve"> The </w:t>
      </w:r>
      <w:r w:rsidRPr="006804E0">
        <w:t xml:space="preserve">Services Australia </w:t>
      </w:r>
      <w:r w:rsidR="00DD29A3">
        <w:t>Medicare data used in this report includes under co-payment prescriptions from 1</w:t>
      </w:r>
      <w:r w:rsidR="006B554F">
        <w:t> </w:t>
      </w:r>
      <w:r w:rsidR="00DD29A3">
        <w:t>April 2012.</w:t>
      </w:r>
    </w:p>
    <w:p w14:paraId="4F91A98A" w14:textId="00180E30"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01FDAE4" w14:textId="59425590" w:rsidR="0047144F" w:rsidRDefault="00736041" w:rsidP="003C367C">
      <w:pPr>
        <w:pStyle w:val="Heading3"/>
      </w:pPr>
      <w:r w:rsidRPr="005E22C2">
        <w:t>Overall utilisation</w:t>
      </w:r>
    </w:p>
    <w:p w14:paraId="50A13E36" w14:textId="4A837FA7" w:rsidR="00B248F5" w:rsidRDefault="00B248F5" w:rsidP="00B248F5">
      <w:pPr>
        <w:pStyle w:val="Tabletitle"/>
      </w:pPr>
      <w:r w:rsidRPr="001420B3" w:rsidDel="00EE2BBB">
        <w:t xml:space="preserve">Table </w:t>
      </w:r>
      <w:r w:rsidR="00930743">
        <w:t>4</w:t>
      </w:r>
      <w:r w:rsidRPr="001420B3" w:rsidDel="00EE2BBB">
        <w:t xml:space="preserve">: </w:t>
      </w:r>
      <w:r w:rsidR="00460623">
        <w:t>Utilisation of m</w:t>
      </w:r>
      <w:r>
        <w:t xml:space="preserve">olnupiravir by listing year </w:t>
      </w:r>
    </w:p>
    <w:tbl>
      <w:tblPr>
        <w:tblStyle w:val="TableGrid"/>
        <w:tblW w:w="5000" w:type="pct"/>
        <w:tblLook w:val="04A0" w:firstRow="1" w:lastRow="0" w:firstColumn="1" w:lastColumn="0" w:noHBand="0" w:noVBand="1"/>
      </w:tblPr>
      <w:tblGrid>
        <w:gridCol w:w="2236"/>
        <w:gridCol w:w="2237"/>
        <w:gridCol w:w="2237"/>
        <w:gridCol w:w="2237"/>
      </w:tblGrid>
      <w:tr w:rsidR="00B248F5" w:rsidRPr="00335A17" w14:paraId="114FFDA5" w14:textId="77777777" w:rsidTr="004F7307">
        <w:tc>
          <w:tcPr>
            <w:tcW w:w="1250" w:type="pct"/>
            <w:shd w:val="clear" w:color="auto" w:fill="BFBFBF" w:themeFill="background1" w:themeFillShade="BF"/>
          </w:tcPr>
          <w:p w14:paraId="54DC8CA9" w14:textId="77777777" w:rsidR="00B248F5" w:rsidRPr="00335A17" w:rsidRDefault="00B248F5" w:rsidP="004F7307">
            <w:pPr>
              <w:pStyle w:val="Tabletitle"/>
              <w:spacing w:before="60" w:after="60"/>
              <w:rPr>
                <w:sz w:val="20"/>
                <w:szCs w:val="20"/>
              </w:rPr>
            </w:pPr>
          </w:p>
        </w:tc>
        <w:tc>
          <w:tcPr>
            <w:tcW w:w="1250" w:type="pct"/>
            <w:shd w:val="clear" w:color="auto" w:fill="BFBFBF" w:themeFill="background1" w:themeFillShade="BF"/>
          </w:tcPr>
          <w:p w14:paraId="2C0D1094" w14:textId="77777777" w:rsidR="00B248F5" w:rsidRPr="00335A17" w:rsidRDefault="00B248F5" w:rsidP="004F7307">
            <w:pPr>
              <w:pStyle w:val="Tabletitle"/>
              <w:spacing w:before="60" w:after="60"/>
              <w:jc w:val="center"/>
              <w:rPr>
                <w:sz w:val="20"/>
                <w:szCs w:val="20"/>
              </w:rPr>
            </w:pPr>
            <w:r>
              <w:rPr>
                <w:sz w:val="20"/>
                <w:szCs w:val="20"/>
              </w:rPr>
              <w:t xml:space="preserve">Year 1 </w:t>
            </w:r>
          </w:p>
        </w:tc>
        <w:tc>
          <w:tcPr>
            <w:tcW w:w="1250" w:type="pct"/>
            <w:shd w:val="clear" w:color="auto" w:fill="BFBFBF" w:themeFill="background1" w:themeFillShade="BF"/>
          </w:tcPr>
          <w:p w14:paraId="0C41C7CC" w14:textId="77777777" w:rsidR="00B248F5" w:rsidRPr="00335A17" w:rsidRDefault="00B248F5" w:rsidP="004F7307">
            <w:pPr>
              <w:pStyle w:val="Tabletitle"/>
              <w:spacing w:before="60" w:after="60"/>
              <w:jc w:val="center"/>
              <w:rPr>
                <w:sz w:val="20"/>
                <w:szCs w:val="20"/>
              </w:rPr>
            </w:pPr>
            <w:r>
              <w:rPr>
                <w:sz w:val="20"/>
                <w:szCs w:val="20"/>
              </w:rPr>
              <w:t xml:space="preserve">Year 2 </w:t>
            </w:r>
          </w:p>
        </w:tc>
        <w:tc>
          <w:tcPr>
            <w:tcW w:w="1250" w:type="pct"/>
            <w:shd w:val="clear" w:color="auto" w:fill="BFBFBF" w:themeFill="background1" w:themeFillShade="BF"/>
          </w:tcPr>
          <w:p w14:paraId="529AA244" w14:textId="2C09C3BE" w:rsidR="00B248F5" w:rsidRPr="00335A17" w:rsidRDefault="00B248F5" w:rsidP="004F7307">
            <w:pPr>
              <w:pStyle w:val="Tabletitle"/>
              <w:spacing w:before="60" w:after="60"/>
              <w:jc w:val="center"/>
              <w:rPr>
                <w:sz w:val="20"/>
                <w:szCs w:val="20"/>
              </w:rPr>
            </w:pPr>
            <w:r>
              <w:rPr>
                <w:sz w:val="20"/>
                <w:szCs w:val="20"/>
              </w:rPr>
              <w:t xml:space="preserve">Year 3 </w:t>
            </w:r>
            <w:r w:rsidR="005E3744">
              <w:rPr>
                <w:sz w:val="20"/>
                <w:szCs w:val="20"/>
              </w:rPr>
              <w:t>(part-year)</w:t>
            </w:r>
          </w:p>
        </w:tc>
      </w:tr>
      <w:tr w:rsidR="00B248F5" w:rsidRPr="00335A17" w14:paraId="6F770B37" w14:textId="77777777" w:rsidTr="004F7307">
        <w:tc>
          <w:tcPr>
            <w:tcW w:w="1250" w:type="pct"/>
            <w:shd w:val="clear" w:color="auto" w:fill="BFBFBF" w:themeFill="background1" w:themeFillShade="BF"/>
          </w:tcPr>
          <w:p w14:paraId="44C26ED8" w14:textId="77777777" w:rsidR="00B248F5" w:rsidRPr="00335A17" w:rsidRDefault="00B248F5" w:rsidP="004F7307">
            <w:pPr>
              <w:pStyle w:val="Tabletitle"/>
              <w:spacing w:before="60" w:after="60"/>
              <w:rPr>
                <w:sz w:val="20"/>
                <w:szCs w:val="20"/>
              </w:rPr>
            </w:pPr>
          </w:p>
        </w:tc>
        <w:tc>
          <w:tcPr>
            <w:tcW w:w="1250" w:type="pct"/>
            <w:shd w:val="clear" w:color="auto" w:fill="BFBFBF" w:themeFill="background1" w:themeFillShade="BF"/>
          </w:tcPr>
          <w:p w14:paraId="72232E61" w14:textId="02544892" w:rsidR="00B248F5" w:rsidRPr="00335A17" w:rsidRDefault="00B248F5" w:rsidP="004F7307">
            <w:pPr>
              <w:pStyle w:val="Tabletitle"/>
              <w:spacing w:before="60" w:after="60"/>
              <w:jc w:val="center"/>
              <w:rPr>
                <w:sz w:val="20"/>
                <w:szCs w:val="20"/>
              </w:rPr>
            </w:pPr>
            <w:r>
              <w:rPr>
                <w:sz w:val="20"/>
                <w:szCs w:val="20"/>
              </w:rPr>
              <w:t>March 2022</w:t>
            </w:r>
            <w:r w:rsidR="00B314B6">
              <w:rPr>
                <w:sz w:val="20"/>
                <w:szCs w:val="20"/>
              </w:rPr>
              <w:t xml:space="preserve"> </w:t>
            </w:r>
            <w:r>
              <w:rPr>
                <w:sz w:val="20"/>
                <w:szCs w:val="20"/>
              </w:rPr>
              <w:t>- February 2023</w:t>
            </w:r>
          </w:p>
        </w:tc>
        <w:tc>
          <w:tcPr>
            <w:tcW w:w="1250" w:type="pct"/>
            <w:shd w:val="clear" w:color="auto" w:fill="BFBFBF" w:themeFill="background1" w:themeFillShade="BF"/>
          </w:tcPr>
          <w:p w14:paraId="4AB73E3E" w14:textId="7670AEA6" w:rsidR="00B248F5" w:rsidRPr="00335A17" w:rsidRDefault="00B248F5" w:rsidP="004F7307">
            <w:pPr>
              <w:pStyle w:val="Tabletitle"/>
              <w:spacing w:before="60" w:after="60"/>
              <w:jc w:val="center"/>
              <w:rPr>
                <w:sz w:val="20"/>
                <w:szCs w:val="20"/>
              </w:rPr>
            </w:pPr>
            <w:r>
              <w:rPr>
                <w:sz w:val="20"/>
                <w:szCs w:val="20"/>
              </w:rPr>
              <w:t>March 2023</w:t>
            </w:r>
            <w:r w:rsidR="00B314B6">
              <w:rPr>
                <w:sz w:val="20"/>
                <w:szCs w:val="20"/>
              </w:rPr>
              <w:t xml:space="preserve"> </w:t>
            </w:r>
            <w:r>
              <w:rPr>
                <w:sz w:val="20"/>
                <w:szCs w:val="20"/>
              </w:rPr>
              <w:t>- February 2024</w:t>
            </w:r>
          </w:p>
        </w:tc>
        <w:tc>
          <w:tcPr>
            <w:tcW w:w="1250" w:type="pct"/>
            <w:shd w:val="clear" w:color="auto" w:fill="BFBFBF" w:themeFill="background1" w:themeFillShade="BF"/>
          </w:tcPr>
          <w:p w14:paraId="72DBA5DD" w14:textId="30FA0310" w:rsidR="00B248F5" w:rsidRPr="00335A17" w:rsidRDefault="00B248F5" w:rsidP="004F7307">
            <w:pPr>
              <w:pStyle w:val="Tabletitle"/>
              <w:spacing w:before="60" w:after="60"/>
              <w:jc w:val="center"/>
              <w:rPr>
                <w:sz w:val="20"/>
                <w:szCs w:val="20"/>
              </w:rPr>
            </w:pPr>
            <w:r>
              <w:rPr>
                <w:sz w:val="20"/>
                <w:szCs w:val="20"/>
              </w:rPr>
              <w:t>March 2024</w:t>
            </w:r>
            <w:r w:rsidR="00B314B6">
              <w:rPr>
                <w:sz w:val="20"/>
                <w:szCs w:val="20"/>
              </w:rPr>
              <w:t xml:space="preserve"> </w:t>
            </w:r>
            <w:r>
              <w:rPr>
                <w:sz w:val="20"/>
                <w:szCs w:val="20"/>
              </w:rPr>
              <w:t xml:space="preserve">- June 2024 </w:t>
            </w:r>
          </w:p>
        </w:tc>
      </w:tr>
      <w:tr w:rsidR="00B248F5" w:rsidRPr="00335A17" w14:paraId="33B43101" w14:textId="77777777" w:rsidTr="004F7307">
        <w:tc>
          <w:tcPr>
            <w:tcW w:w="1250" w:type="pct"/>
          </w:tcPr>
          <w:p w14:paraId="44F6279A" w14:textId="77777777" w:rsidR="00B248F5" w:rsidRPr="00B314B6" w:rsidRDefault="00B248F5" w:rsidP="004F7307">
            <w:pPr>
              <w:pStyle w:val="Tabletitle"/>
              <w:spacing w:before="60" w:after="60"/>
              <w:rPr>
                <w:b w:val="0"/>
                <w:bCs/>
                <w:sz w:val="20"/>
                <w:szCs w:val="20"/>
              </w:rPr>
            </w:pPr>
            <w:r w:rsidRPr="00B314B6">
              <w:rPr>
                <w:b w:val="0"/>
                <w:bCs/>
                <w:sz w:val="20"/>
                <w:szCs w:val="20"/>
              </w:rPr>
              <w:t>Patients treated</w:t>
            </w:r>
          </w:p>
        </w:tc>
        <w:tc>
          <w:tcPr>
            <w:tcW w:w="1250" w:type="pct"/>
          </w:tcPr>
          <w:p w14:paraId="325A2B11" w14:textId="77777777" w:rsidR="00B248F5" w:rsidRPr="00B248F5" w:rsidRDefault="00B248F5" w:rsidP="004F7307">
            <w:pPr>
              <w:pStyle w:val="Tabletitle"/>
              <w:spacing w:before="60" w:after="60"/>
              <w:jc w:val="center"/>
              <w:rPr>
                <w:b w:val="0"/>
                <w:bCs/>
                <w:sz w:val="20"/>
                <w:szCs w:val="20"/>
              </w:rPr>
            </w:pPr>
            <w:r w:rsidRPr="00B248F5">
              <w:rPr>
                <w:b w:val="0"/>
                <w:bCs/>
                <w:sz w:val="20"/>
                <w:szCs w:val="20"/>
              </w:rPr>
              <w:t>492,941</w:t>
            </w:r>
          </w:p>
        </w:tc>
        <w:tc>
          <w:tcPr>
            <w:tcW w:w="1250" w:type="pct"/>
          </w:tcPr>
          <w:p w14:paraId="48330923" w14:textId="410C4DF9" w:rsidR="00B248F5" w:rsidRPr="00B248F5" w:rsidRDefault="00B248F5" w:rsidP="004F7307">
            <w:pPr>
              <w:pStyle w:val="Tabletitle"/>
              <w:spacing w:before="60" w:after="60"/>
              <w:jc w:val="center"/>
              <w:rPr>
                <w:b w:val="0"/>
                <w:bCs/>
                <w:sz w:val="20"/>
                <w:szCs w:val="20"/>
              </w:rPr>
            </w:pPr>
            <w:r w:rsidRPr="00B248F5">
              <w:rPr>
                <w:b w:val="0"/>
                <w:bCs/>
                <w:sz w:val="20"/>
                <w:szCs w:val="20"/>
              </w:rPr>
              <w:t>348,0</w:t>
            </w:r>
            <w:r w:rsidR="00FA693B">
              <w:rPr>
                <w:b w:val="0"/>
                <w:bCs/>
                <w:sz w:val="20"/>
                <w:szCs w:val="20"/>
              </w:rPr>
              <w:t>52</w:t>
            </w:r>
          </w:p>
        </w:tc>
        <w:tc>
          <w:tcPr>
            <w:tcW w:w="1250" w:type="pct"/>
          </w:tcPr>
          <w:p w14:paraId="68F25503" w14:textId="74836968" w:rsidR="00B248F5" w:rsidRPr="00B248F5" w:rsidRDefault="00B248F5" w:rsidP="004F7307">
            <w:pPr>
              <w:pStyle w:val="Tabletitle"/>
              <w:spacing w:before="60" w:after="60"/>
              <w:jc w:val="center"/>
              <w:rPr>
                <w:b w:val="0"/>
                <w:bCs/>
                <w:sz w:val="20"/>
                <w:szCs w:val="20"/>
              </w:rPr>
            </w:pPr>
            <w:r w:rsidRPr="00B248F5">
              <w:rPr>
                <w:b w:val="0"/>
                <w:bCs/>
                <w:sz w:val="20"/>
                <w:szCs w:val="20"/>
              </w:rPr>
              <w:t>11</w:t>
            </w:r>
            <w:r w:rsidR="00FA693B">
              <w:rPr>
                <w:b w:val="0"/>
                <w:bCs/>
                <w:sz w:val="20"/>
                <w:szCs w:val="20"/>
              </w:rPr>
              <w:t>9</w:t>
            </w:r>
            <w:r w:rsidRPr="00B248F5">
              <w:rPr>
                <w:b w:val="0"/>
                <w:bCs/>
                <w:sz w:val="20"/>
                <w:szCs w:val="20"/>
              </w:rPr>
              <w:t>,</w:t>
            </w:r>
            <w:r w:rsidR="00FA693B">
              <w:rPr>
                <w:b w:val="0"/>
                <w:bCs/>
                <w:sz w:val="20"/>
                <w:szCs w:val="20"/>
              </w:rPr>
              <w:t>015</w:t>
            </w:r>
          </w:p>
        </w:tc>
      </w:tr>
      <w:tr w:rsidR="00B248F5" w:rsidRPr="00335A17" w14:paraId="4B09F981" w14:textId="77777777" w:rsidTr="00FA693B">
        <w:trPr>
          <w:trHeight w:val="243"/>
        </w:trPr>
        <w:tc>
          <w:tcPr>
            <w:tcW w:w="1250" w:type="pct"/>
          </w:tcPr>
          <w:p w14:paraId="22C8AFD5" w14:textId="77777777" w:rsidR="00B248F5" w:rsidRPr="00B314B6" w:rsidRDefault="00B248F5" w:rsidP="004F7307">
            <w:pPr>
              <w:pStyle w:val="Tabletitle"/>
              <w:spacing w:before="60" w:after="60"/>
              <w:rPr>
                <w:b w:val="0"/>
                <w:bCs/>
                <w:sz w:val="20"/>
                <w:szCs w:val="20"/>
              </w:rPr>
            </w:pPr>
            <w:r w:rsidRPr="00B314B6">
              <w:rPr>
                <w:b w:val="0"/>
                <w:bCs/>
                <w:sz w:val="20"/>
                <w:szCs w:val="20"/>
              </w:rPr>
              <w:t>Prescriptions supplied</w:t>
            </w:r>
          </w:p>
        </w:tc>
        <w:tc>
          <w:tcPr>
            <w:tcW w:w="1250" w:type="pct"/>
          </w:tcPr>
          <w:p w14:paraId="080E4843" w14:textId="2E90F270" w:rsidR="00B248F5" w:rsidRPr="00B248F5" w:rsidRDefault="00FA693B" w:rsidP="004F7307">
            <w:pPr>
              <w:pStyle w:val="Tabletitle"/>
              <w:spacing w:before="60" w:after="60"/>
              <w:jc w:val="center"/>
              <w:rPr>
                <w:b w:val="0"/>
                <w:bCs/>
                <w:sz w:val="20"/>
                <w:szCs w:val="20"/>
              </w:rPr>
            </w:pPr>
            <w:r>
              <w:rPr>
                <w:b w:val="0"/>
                <w:bCs/>
                <w:sz w:val="20"/>
                <w:szCs w:val="20"/>
              </w:rPr>
              <w:t>509,307</w:t>
            </w:r>
          </w:p>
        </w:tc>
        <w:tc>
          <w:tcPr>
            <w:tcW w:w="1250" w:type="pct"/>
          </w:tcPr>
          <w:p w14:paraId="26F6E990" w14:textId="14A4F1C1" w:rsidR="00B248F5" w:rsidRPr="00B248F5" w:rsidRDefault="00FA693B" w:rsidP="004F7307">
            <w:pPr>
              <w:pStyle w:val="Tabletitle"/>
              <w:spacing w:before="60" w:after="60"/>
              <w:jc w:val="center"/>
              <w:rPr>
                <w:b w:val="0"/>
                <w:bCs/>
                <w:sz w:val="20"/>
                <w:szCs w:val="20"/>
              </w:rPr>
            </w:pPr>
            <w:r>
              <w:rPr>
                <w:b w:val="0"/>
                <w:bCs/>
                <w:sz w:val="20"/>
                <w:szCs w:val="20"/>
              </w:rPr>
              <w:t>361,341</w:t>
            </w:r>
          </w:p>
        </w:tc>
        <w:tc>
          <w:tcPr>
            <w:tcW w:w="1250" w:type="pct"/>
          </w:tcPr>
          <w:p w14:paraId="696B0E21" w14:textId="03A5F32F" w:rsidR="00B248F5" w:rsidRPr="00B248F5" w:rsidRDefault="00FA693B" w:rsidP="004F7307">
            <w:pPr>
              <w:pStyle w:val="Tabletitle"/>
              <w:spacing w:before="60" w:after="60"/>
              <w:jc w:val="center"/>
              <w:rPr>
                <w:b w:val="0"/>
                <w:bCs/>
                <w:sz w:val="20"/>
                <w:szCs w:val="20"/>
              </w:rPr>
            </w:pPr>
            <w:r>
              <w:rPr>
                <w:b w:val="0"/>
                <w:bCs/>
                <w:sz w:val="20"/>
                <w:szCs w:val="20"/>
              </w:rPr>
              <w:t>120,924</w:t>
            </w:r>
          </w:p>
        </w:tc>
      </w:tr>
    </w:tbl>
    <w:p w14:paraId="43E93B4E" w14:textId="77777777" w:rsidR="005E3744" w:rsidRDefault="005E3744" w:rsidP="00FA3456">
      <w:pPr>
        <w:jc w:val="center"/>
      </w:pPr>
    </w:p>
    <w:p w14:paraId="0CE3A8E9" w14:textId="59BB3FFA" w:rsidR="00FA693B" w:rsidRDefault="009C08FF" w:rsidP="00FA3456">
      <w:pPr>
        <w:jc w:val="center"/>
      </w:pPr>
      <w:r>
        <w:rPr>
          <w:noProof/>
        </w:rPr>
        <w:drawing>
          <wp:inline distT="0" distB="0" distL="0" distR="0" wp14:anchorId="7F92517A" wp14:editId="03D03449">
            <wp:extent cx="4993200" cy="3045600"/>
            <wp:effectExtent l="0" t="0" r="17145" b="2540"/>
            <wp:docPr id="1635421793" name="Chart 1">
              <a:extLst xmlns:a="http://schemas.openxmlformats.org/drawingml/2006/main">
                <a:ext uri="{FF2B5EF4-FFF2-40B4-BE49-F238E27FC236}">
                  <a16:creationId xmlns:a16="http://schemas.microsoft.com/office/drawing/2014/main" id="{01BB2D82-1444-0349-91E9-8E07813E516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2C5A69" w14:textId="28FBA8A7" w:rsidR="0047144F" w:rsidRDefault="00AA699D" w:rsidP="0047144F">
      <w:pPr>
        <w:pStyle w:val="Figuretitle"/>
      </w:pPr>
      <w:r>
        <w:t xml:space="preserve"> </w:t>
      </w:r>
      <w:r w:rsidR="0047144F">
        <w:t>Figure 1: Utilisation of molnupiravir by</w:t>
      </w:r>
      <w:r w:rsidR="00F8581B">
        <w:t xml:space="preserve"> </w:t>
      </w:r>
      <w:r w:rsidR="00BA436D">
        <w:t>supply quarter</w:t>
      </w:r>
    </w:p>
    <w:p w14:paraId="55D0F801" w14:textId="77777777" w:rsidR="00B03D50" w:rsidRDefault="00B03D50" w:rsidP="00B03D50">
      <w:pPr>
        <w:spacing w:after="160" w:line="259" w:lineRule="auto"/>
      </w:pPr>
    </w:p>
    <w:p w14:paraId="05BF45B3" w14:textId="2D8E8614" w:rsidR="0047144F" w:rsidRDefault="00460623" w:rsidP="00D11698">
      <w:pPr>
        <w:spacing w:after="160" w:line="259" w:lineRule="auto"/>
      </w:pPr>
      <w:r>
        <w:t xml:space="preserve">Table </w:t>
      </w:r>
      <w:r w:rsidR="00930743">
        <w:t>4</w:t>
      </w:r>
      <w:r>
        <w:t xml:space="preserve"> and </w:t>
      </w:r>
      <w:r w:rsidR="003F5265">
        <w:t>Figure 1 shows utilisation of molnupiravir since PBS listing.</w:t>
      </w:r>
      <w:r w:rsidR="000E00F0">
        <w:t xml:space="preserve"> </w:t>
      </w:r>
      <w:r>
        <w:t>Overall</w:t>
      </w:r>
      <w:r w:rsidR="00273F15">
        <w:t xml:space="preserve"> </w:t>
      </w:r>
      <w:r w:rsidR="00F704CF">
        <w:t xml:space="preserve">utilisation of </w:t>
      </w:r>
      <w:r>
        <w:t>molnupiravir ha</w:t>
      </w:r>
      <w:r w:rsidR="005A341F">
        <w:t>d</w:t>
      </w:r>
      <w:r>
        <w:t xml:space="preserve"> decreased</w:t>
      </w:r>
      <w:r w:rsidR="006163B5">
        <w:t xml:space="preserve">, with lower utilisation in 2023 and 2024 compared to 2022. </w:t>
      </w:r>
    </w:p>
    <w:p w14:paraId="300E1A5E" w14:textId="77777777" w:rsidR="00D11698" w:rsidRDefault="00D11698" w:rsidP="00D11698">
      <w:pPr>
        <w:spacing w:after="160" w:line="259" w:lineRule="auto"/>
      </w:pPr>
    </w:p>
    <w:p w14:paraId="7FE5209A" w14:textId="77777777" w:rsidR="006163B5" w:rsidRDefault="006163B5" w:rsidP="00D11698">
      <w:pPr>
        <w:spacing w:after="160" w:line="259" w:lineRule="auto"/>
      </w:pPr>
    </w:p>
    <w:p w14:paraId="44E87058" w14:textId="77777777" w:rsidR="006163B5" w:rsidRDefault="006163B5" w:rsidP="00D11698">
      <w:pPr>
        <w:spacing w:after="160" w:line="259" w:lineRule="auto"/>
      </w:pPr>
    </w:p>
    <w:p w14:paraId="18E18C73" w14:textId="77777777" w:rsidR="006163B5" w:rsidRDefault="006163B5" w:rsidP="00D11698">
      <w:pPr>
        <w:spacing w:after="160" w:line="259" w:lineRule="auto"/>
      </w:pPr>
    </w:p>
    <w:p w14:paraId="6739B5EA" w14:textId="77777777" w:rsidR="006163B5" w:rsidRDefault="006163B5" w:rsidP="00D11698">
      <w:pPr>
        <w:spacing w:after="160" w:line="259" w:lineRule="auto"/>
      </w:pPr>
    </w:p>
    <w:p w14:paraId="2C1C001C" w14:textId="3A153223" w:rsidR="00711367" w:rsidRDefault="00711367" w:rsidP="00711367">
      <w:pPr>
        <w:pStyle w:val="Heading3"/>
      </w:pPr>
      <w:r w:rsidRPr="005E22C2">
        <w:lastRenderedPageBreak/>
        <w:t>Utilisation by relevant sub-populations/regions or patient level analysis</w:t>
      </w:r>
    </w:p>
    <w:p w14:paraId="6CE47906" w14:textId="77777777" w:rsidR="00D52D15" w:rsidRPr="00D52D15" w:rsidRDefault="00D52D15" w:rsidP="00D52D15"/>
    <w:p w14:paraId="4A4ED05D" w14:textId="32769030" w:rsidR="003D3F94" w:rsidRPr="0047144F" w:rsidRDefault="003D3F94" w:rsidP="003D3F94">
      <w:pPr>
        <w:jc w:val="center"/>
      </w:pPr>
      <w:r>
        <w:rPr>
          <w:noProof/>
        </w:rPr>
        <w:drawing>
          <wp:inline distT="0" distB="0" distL="0" distR="0" wp14:anchorId="6D1E6C5E" wp14:editId="65727C01">
            <wp:extent cx="4993200" cy="3045600"/>
            <wp:effectExtent l="0" t="0" r="17145" b="2540"/>
            <wp:docPr id="16" name="Chart 16">
              <a:extLst xmlns:a="http://schemas.openxmlformats.org/drawingml/2006/main">
                <a:ext uri="{FF2B5EF4-FFF2-40B4-BE49-F238E27FC236}">
                  <a16:creationId xmlns:a16="http://schemas.microsoft.com/office/drawing/2014/main" id="{3CE46D3B-EAF2-B566-0EA5-6FA721EE085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D52D15">
        <w:t xml:space="preserve"> </w:t>
      </w:r>
    </w:p>
    <w:p w14:paraId="4C9C65B0" w14:textId="2A73C4F4" w:rsidR="003D3F94" w:rsidRDefault="003D3F94" w:rsidP="003D3F94">
      <w:pPr>
        <w:pStyle w:val="Figuretitle"/>
      </w:pPr>
      <w:r>
        <w:t xml:space="preserve">Figure </w:t>
      </w:r>
      <w:r w:rsidR="00FA693B">
        <w:t>2</w:t>
      </w:r>
      <w:r>
        <w:t xml:space="preserve">: Molnupiravir prescriptions supplied by </w:t>
      </w:r>
      <w:r w:rsidR="00D52D15">
        <w:t>sub-population</w:t>
      </w:r>
      <w:r>
        <w:t xml:space="preserve"> and </w:t>
      </w:r>
      <w:r w:rsidR="003579CB">
        <w:t xml:space="preserve">supply </w:t>
      </w:r>
      <w:proofErr w:type="gramStart"/>
      <w:r w:rsidR="003579CB">
        <w:t>quarter</w:t>
      </w:r>
      <w:proofErr w:type="gramEnd"/>
    </w:p>
    <w:p w14:paraId="26F5EBFA" w14:textId="73B9F656" w:rsidR="003D3F94" w:rsidRDefault="003D3F94" w:rsidP="003D3F94">
      <w:pPr>
        <w:rPr>
          <w:sz w:val="20"/>
          <w:szCs w:val="20"/>
        </w:rPr>
      </w:pPr>
      <w:r w:rsidRPr="00D22423">
        <w:rPr>
          <w:sz w:val="20"/>
          <w:szCs w:val="20"/>
        </w:rPr>
        <w:t xml:space="preserve">Note: </w:t>
      </w:r>
      <w:r>
        <w:rPr>
          <w:sz w:val="20"/>
          <w:szCs w:val="20"/>
        </w:rPr>
        <w:t xml:space="preserve">Less than one percent of </w:t>
      </w:r>
      <w:r w:rsidR="00D52D15">
        <w:rPr>
          <w:sz w:val="20"/>
          <w:szCs w:val="20"/>
        </w:rPr>
        <w:t xml:space="preserve">molnupiravir prescriptions supplied had an unknown streamlined code and as such an unknown sub-population. </w:t>
      </w:r>
      <w:r>
        <w:rPr>
          <w:sz w:val="20"/>
          <w:szCs w:val="20"/>
        </w:rPr>
        <w:t xml:space="preserve">  </w:t>
      </w:r>
    </w:p>
    <w:p w14:paraId="5FF4B84A" w14:textId="48D1C4C5" w:rsidR="003D3F94" w:rsidRDefault="003D3F94" w:rsidP="00D56873">
      <w:r>
        <w:t xml:space="preserve">Figure </w:t>
      </w:r>
      <w:r w:rsidR="00FA693B">
        <w:t>2</w:t>
      </w:r>
      <w:r>
        <w:t xml:space="preserve"> shows prescriptions supplied based on the </w:t>
      </w:r>
      <w:r w:rsidR="00D52D15">
        <w:t>sub-populations eligible for molnupiravir derived from the corresponding Streamlined code.</w:t>
      </w:r>
      <w:r>
        <w:t xml:space="preserve"> </w:t>
      </w:r>
      <w:r w:rsidR="00D52D15">
        <w:t>From 2022Q2 onwards, most molnupiravir prescriptions supplied were for p</w:t>
      </w:r>
      <w:r>
        <w:t>atients aged 70 years and over</w:t>
      </w:r>
      <w:r w:rsidR="00D52D15">
        <w:t xml:space="preserve">. </w:t>
      </w:r>
    </w:p>
    <w:p w14:paraId="456933B8" w14:textId="3C568C76" w:rsidR="00A0485D" w:rsidRDefault="00E75335" w:rsidP="00711367">
      <w:pPr>
        <w:jc w:val="center"/>
      </w:pPr>
      <w:r>
        <w:rPr>
          <w:noProof/>
        </w:rPr>
        <w:drawing>
          <wp:inline distT="0" distB="0" distL="0" distR="0" wp14:anchorId="5F575BA3" wp14:editId="740C27FF">
            <wp:extent cx="4993200" cy="3045600"/>
            <wp:effectExtent l="0" t="0" r="17145" b="2540"/>
            <wp:docPr id="24" name="Chart 24">
              <a:extLst xmlns:a="http://schemas.openxmlformats.org/drawingml/2006/main">
                <a:ext uri="{FF2B5EF4-FFF2-40B4-BE49-F238E27FC236}">
                  <a16:creationId xmlns:a16="http://schemas.microsoft.com/office/drawing/2014/main" id="{398F2C74-2F8C-BC40-8328-56300AA0C7E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1B6AAC" w14:textId="0C140B5E" w:rsidR="00A15993" w:rsidRDefault="00A15993" w:rsidP="00D52D15">
      <w:pPr>
        <w:pStyle w:val="Figuretitle"/>
      </w:pPr>
      <w:r>
        <w:t xml:space="preserve">Figure </w:t>
      </w:r>
      <w:r w:rsidR="00FA693B">
        <w:t>3</w:t>
      </w:r>
      <w:r>
        <w:t xml:space="preserve">: </w:t>
      </w:r>
      <w:r w:rsidR="002A5D17">
        <w:t>Molnupiravir t</w:t>
      </w:r>
      <w:r>
        <w:t xml:space="preserve">reated patients by age group </w:t>
      </w:r>
      <w:r w:rsidR="002A5D17">
        <w:t xml:space="preserve">and </w:t>
      </w:r>
      <w:r w:rsidR="00E75335">
        <w:t xml:space="preserve">supply </w:t>
      </w:r>
      <w:proofErr w:type="gramStart"/>
      <w:r w:rsidR="00E75335">
        <w:t>quarter</w:t>
      </w:r>
      <w:proofErr w:type="gramEnd"/>
      <w:r w:rsidR="002A5D17">
        <w:t xml:space="preserve"> </w:t>
      </w:r>
    </w:p>
    <w:p w14:paraId="448FD0A7" w14:textId="7A4AA682" w:rsidR="00295DF8" w:rsidRDefault="00D52D15" w:rsidP="00E75335">
      <w:r>
        <w:lastRenderedPageBreak/>
        <w:t xml:space="preserve">Figure 3 shows </w:t>
      </w:r>
      <w:r w:rsidR="00EE3BED">
        <w:t xml:space="preserve">the number of patients treated with molnupiravir by the age-related sub-populations. When molnupiravir was first PBS listed, treatment was restricted to patients aged 65-74 years with 2 risk factors or patients aged </w:t>
      </w:r>
      <w:r w:rsidR="00EE3BED">
        <w:rPr>
          <w:rFonts w:cstheme="minorHAnsi"/>
        </w:rPr>
        <w:t>≥</w:t>
      </w:r>
      <w:r w:rsidR="00EE3BED">
        <w:t xml:space="preserve">75 years with 1 risk factor. </w:t>
      </w:r>
      <w:r w:rsidR="009A5311">
        <w:t xml:space="preserve">When </w:t>
      </w:r>
      <w:r w:rsidR="00EE3BED">
        <w:t>the sub-populations were extended</w:t>
      </w:r>
      <w:r w:rsidR="009A5311">
        <w:t xml:space="preserve">, the patients aged 70 years and over accounted for the majority of utilisation. </w:t>
      </w:r>
      <w:r w:rsidR="00EE3BED">
        <w:t xml:space="preserve"> </w:t>
      </w:r>
    </w:p>
    <w:p w14:paraId="54E73265" w14:textId="2CFF8287" w:rsidR="00E75335" w:rsidRDefault="00E75335" w:rsidP="00711367">
      <w:pPr>
        <w:jc w:val="center"/>
      </w:pPr>
      <w:r>
        <w:rPr>
          <w:noProof/>
        </w:rPr>
        <w:drawing>
          <wp:inline distT="0" distB="0" distL="0" distR="0" wp14:anchorId="613F498F" wp14:editId="11676896">
            <wp:extent cx="4993200" cy="3045600"/>
            <wp:effectExtent l="0" t="0" r="17145" b="2540"/>
            <wp:docPr id="19" name="Chart 19">
              <a:extLst xmlns:a="http://schemas.openxmlformats.org/drawingml/2006/main">
                <a:ext uri="{FF2B5EF4-FFF2-40B4-BE49-F238E27FC236}">
                  <a16:creationId xmlns:a16="http://schemas.microsoft.com/office/drawing/2014/main" id="{0ABBFB72-31BA-8ABB-5314-AAE9B2F02C0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2ED61C" w14:textId="17294A51" w:rsidR="00A15993" w:rsidRDefault="00A15993" w:rsidP="00A15993">
      <w:pPr>
        <w:pStyle w:val="Figuretitle"/>
      </w:pPr>
      <w:r>
        <w:t xml:space="preserve">Figure </w:t>
      </w:r>
      <w:r w:rsidR="00FA693B">
        <w:t>4</w:t>
      </w:r>
      <w:r>
        <w:t xml:space="preserve">: </w:t>
      </w:r>
      <w:r w:rsidR="002A5D17">
        <w:t>I</w:t>
      </w:r>
      <w:r w:rsidR="00FA1300">
        <w:t>mmunocompromised patients</w:t>
      </w:r>
      <w:r w:rsidR="0040038A">
        <w:t xml:space="preserve"> or patients </w:t>
      </w:r>
      <w:r w:rsidR="008B35FD">
        <w:t xml:space="preserve">with </w:t>
      </w:r>
      <w:r w:rsidR="0040038A">
        <w:t>past hospitalisation</w:t>
      </w:r>
      <w:r w:rsidR="002A5D17">
        <w:t xml:space="preserve"> treated with molnupiravir</w:t>
      </w:r>
      <w:r w:rsidR="00FA1300">
        <w:t xml:space="preserve"> by </w:t>
      </w:r>
      <w:r w:rsidR="00E75335">
        <w:t xml:space="preserve">supply </w:t>
      </w:r>
      <w:proofErr w:type="gramStart"/>
      <w:r w:rsidR="00E75335">
        <w:t>quarter</w:t>
      </w:r>
      <w:proofErr w:type="gramEnd"/>
    </w:p>
    <w:p w14:paraId="6ED87F55" w14:textId="77777777" w:rsidR="0097267A" w:rsidRPr="0079635A" w:rsidRDefault="0097267A" w:rsidP="0079635A"/>
    <w:p w14:paraId="27CBD448" w14:textId="2F9A5DBE" w:rsidR="0097267A" w:rsidRPr="0097267A" w:rsidRDefault="0097267A" w:rsidP="0097267A">
      <w:pPr>
        <w:spacing w:before="60" w:after="60"/>
        <w:rPr>
          <w:rFonts w:ascii="Calibri" w:hAnsi="Calibri" w:cs="Times New Roman"/>
        </w:rPr>
      </w:pPr>
      <w:r w:rsidRPr="0097267A">
        <w:t xml:space="preserve">Figure </w:t>
      </w:r>
      <w:r w:rsidR="00FA693B">
        <w:t>4</w:t>
      </w:r>
      <w:r w:rsidRPr="0097267A">
        <w:t xml:space="preserve"> shows the number of moderately to severely immunocompromised patients aged 18 years and older </w:t>
      </w:r>
      <w:r w:rsidRPr="0097267A">
        <w:rPr>
          <w:rFonts w:ascii="Calibri" w:hAnsi="Calibri" w:cs="Times New Roman"/>
        </w:rPr>
        <w:t>and at risk of progression to severe disease</w:t>
      </w:r>
      <w:r>
        <w:rPr>
          <w:rFonts w:ascii="Calibri" w:hAnsi="Calibri" w:cs="Times New Roman"/>
        </w:rPr>
        <w:t>.</w:t>
      </w:r>
      <w:r w:rsidR="002D5E23">
        <w:rPr>
          <w:rFonts w:ascii="Calibri" w:hAnsi="Calibri" w:cs="Times New Roman"/>
        </w:rPr>
        <w:t xml:space="preserve"> From February 2023 onwards, this sub-population was extended to include those aged 18 years and older who experienced past COVID-19 infection resulting in hospitalisation. The number of patients treated under this sub-population was greatest in 2022</w:t>
      </w:r>
      <w:r w:rsidR="00EA5A7E">
        <w:rPr>
          <w:rFonts w:ascii="Calibri" w:hAnsi="Calibri" w:cs="Times New Roman"/>
        </w:rPr>
        <w:t>Q4.</w:t>
      </w:r>
    </w:p>
    <w:p w14:paraId="123C7709" w14:textId="623D9215" w:rsidR="00A15993" w:rsidRDefault="00A15993" w:rsidP="00711367">
      <w:pPr>
        <w:jc w:val="center"/>
      </w:pPr>
      <w:r>
        <w:br/>
      </w:r>
    </w:p>
    <w:p w14:paraId="4F6FFFF8" w14:textId="3F1AE1EF" w:rsidR="00E75335" w:rsidRDefault="00E75335" w:rsidP="00711367">
      <w:pPr>
        <w:jc w:val="center"/>
      </w:pPr>
      <w:r>
        <w:rPr>
          <w:noProof/>
        </w:rPr>
        <w:lastRenderedPageBreak/>
        <w:drawing>
          <wp:inline distT="0" distB="0" distL="0" distR="0" wp14:anchorId="055A7275" wp14:editId="4723FB36">
            <wp:extent cx="4993200" cy="3045600"/>
            <wp:effectExtent l="0" t="0" r="17145" b="2540"/>
            <wp:docPr id="17" name="Chart 17">
              <a:extLst xmlns:a="http://schemas.openxmlformats.org/drawingml/2006/main">
                <a:ext uri="{FF2B5EF4-FFF2-40B4-BE49-F238E27FC236}">
                  <a16:creationId xmlns:a16="http://schemas.microsoft.com/office/drawing/2014/main" id="{EBFC78F0-FE32-C74F-0B19-1B9385BB64F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F272DB6" w14:textId="298FF72A" w:rsidR="00711367" w:rsidRDefault="00A15993" w:rsidP="00711367">
      <w:pPr>
        <w:pStyle w:val="Figuretitle"/>
      </w:pPr>
      <w:r>
        <w:t xml:space="preserve">Figure </w:t>
      </w:r>
      <w:r w:rsidR="00FA693B">
        <w:t>5</w:t>
      </w:r>
      <w:r>
        <w:t xml:space="preserve">: </w:t>
      </w:r>
      <w:r w:rsidR="006E06EE">
        <w:t>Aboriginal or Torres Strait Islander</w:t>
      </w:r>
      <w:r>
        <w:t xml:space="preserve"> </w:t>
      </w:r>
      <w:r w:rsidR="008F6D68">
        <w:t>patients</w:t>
      </w:r>
      <w:r>
        <w:t xml:space="preserve"> treated with molnupiravir </w:t>
      </w:r>
      <w:r w:rsidR="002A5D17">
        <w:t xml:space="preserve">by </w:t>
      </w:r>
      <w:r w:rsidR="00E75335">
        <w:t xml:space="preserve">supply </w:t>
      </w:r>
      <w:proofErr w:type="gramStart"/>
      <w:r w:rsidR="00E75335">
        <w:t>quarter</w:t>
      </w:r>
      <w:proofErr w:type="gramEnd"/>
    </w:p>
    <w:p w14:paraId="47586B63" w14:textId="77777777" w:rsidR="002804DC" w:rsidRDefault="002804DC" w:rsidP="00711367"/>
    <w:p w14:paraId="7A59B93B" w14:textId="327A829E" w:rsidR="002D4D22" w:rsidRDefault="002804DC" w:rsidP="00711367">
      <w:r>
        <w:t xml:space="preserve">Figure </w:t>
      </w:r>
      <w:r w:rsidR="00FA693B">
        <w:t>5</w:t>
      </w:r>
      <w:r>
        <w:t xml:space="preserve"> shows the number of </w:t>
      </w:r>
      <w:r w:rsidR="00EA5A7E">
        <w:t>Aboriginal or Torres Strait Islander</w:t>
      </w:r>
      <w:r>
        <w:t xml:space="preserve"> patients treated with molnupiravir. </w:t>
      </w:r>
      <w:r w:rsidR="00EA5A7E">
        <w:t>Over time, this sub-population ha</w:t>
      </w:r>
      <w:r w:rsidR="00A22625">
        <w:t xml:space="preserve">d </w:t>
      </w:r>
      <w:r w:rsidR="00EA5A7E">
        <w:t xml:space="preserve">extended </w:t>
      </w:r>
      <w:r w:rsidR="004D5F3A">
        <w:t xml:space="preserve">its </w:t>
      </w:r>
      <w:r w:rsidR="00EA5A7E">
        <w:t>eligibility criteria</w:t>
      </w:r>
      <w:r w:rsidR="00373DF6">
        <w:t>, decreasing the eligible patient</w:t>
      </w:r>
      <w:r w:rsidR="00EA5A7E">
        <w:t xml:space="preserve"> age</w:t>
      </w:r>
      <w:r w:rsidR="00373DF6">
        <w:t xml:space="preserve"> from </w:t>
      </w:r>
      <w:r w:rsidR="00EA5A7E">
        <w:rPr>
          <w:rFonts w:cstheme="minorHAnsi"/>
        </w:rPr>
        <w:t>≥</w:t>
      </w:r>
      <w:r w:rsidR="00373DF6">
        <w:t xml:space="preserve">50 years to </w:t>
      </w:r>
      <w:r w:rsidR="00EA5A7E">
        <w:rPr>
          <w:rFonts w:cstheme="minorHAnsi"/>
        </w:rPr>
        <w:t>≥</w:t>
      </w:r>
      <w:r w:rsidR="00373DF6">
        <w:t>30 years and decreasing the number of risk factors from 2 to 1. As observed in the other sub-populations, the number of patients treated with molnupiravir was greatest in 2022. However, in 2023, there was a smalle</w:t>
      </w:r>
      <w:r w:rsidR="004D5F3A">
        <w:t xml:space="preserve">r </w:t>
      </w:r>
      <w:r w:rsidR="00373DF6">
        <w:t>percentage decrease in the number of patients treated with molnupiravir</w:t>
      </w:r>
      <w:r w:rsidR="00EA5A7E">
        <w:t xml:space="preserve"> compared to the other sub-populations</w:t>
      </w:r>
      <w:r w:rsidR="00373DF6">
        <w:t xml:space="preserve">.  </w:t>
      </w:r>
    </w:p>
    <w:p w14:paraId="68157359" w14:textId="77777777" w:rsidR="002D4D22" w:rsidRDefault="002D4D22" w:rsidP="00711367"/>
    <w:p w14:paraId="47BB0AF0" w14:textId="1F415B54" w:rsidR="006E06EE" w:rsidRPr="00711367" w:rsidRDefault="006E06EE" w:rsidP="00711367"/>
    <w:p w14:paraId="3CA91EC2" w14:textId="4B70D914" w:rsidR="00D768A0" w:rsidRDefault="00D768A0" w:rsidP="00826055">
      <w:pPr>
        <w:spacing w:after="160" w:line="259" w:lineRule="auto"/>
        <w:jc w:val="center"/>
      </w:pPr>
    </w:p>
    <w:p w14:paraId="5DDBDA67" w14:textId="0E6BBFB8" w:rsidR="003579CB" w:rsidRDefault="003579CB" w:rsidP="00826055">
      <w:pPr>
        <w:spacing w:after="160" w:line="259" w:lineRule="auto"/>
        <w:jc w:val="center"/>
      </w:pPr>
      <w:r>
        <w:rPr>
          <w:noProof/>
        </w:rPr>
        <w:lastRenderedPageBreak/>
        <w:drawing>
          <wp:inline distT="0" distB="0" distL="0" distR="0" wp14:anchorId="56A6A1FA" wp14:editId="4A6933B6">
            <wp:extent cx="4993200" cy="3045600"/>
            <wp:effectExtent l="0" t="0" r="17145" b="2540"/>
            <wp:docPr id="20" name="Chart 20">
              <a:extLst xmlns:a="http://schemas.openxmlformats.org/drawingml/2006/main">
                <a:ext uri="{FF2B5EF4-FFF2-40B4-BE49-F238E27FC236}">
                  <a16:creationId xmlns:a16="http://schemas.microsoft.com/office/drawing/2014/main" id="{9F64FCF8-F5F9-CA04-2963-6B518A14C65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32A648" w14:textId="5CEF1762" w:rsidR="00826055" w:rsidRDefault="00826055" w:rsidP="00826055">
      <w:pPr>
        <w:pStyle w:val="Figuretitle"/>
      </w:pPr>
      <w:r>
        <w:t xml:space="preserve">Figure </w:t>
      </w:r>
      <w:r w:rsidR="00FA693B">
        <w:t>6</w:t>
      </w:r>
      <w:r>
        <w:t xml:space="preserve">: Age and gender distribution of molnupiravir patients </w:t>
      </w:r>
      <w:r w:rsidR="00BC4ED6">
        <w:t>in 2023</w:t>
      </w:r>
    </w:p>
    <w:p w14:paraId="094B6E9F" w14:textId="77777777" w:rsidR="00673A25" w:rsidRDefault="00673A25" w:rsidP="00D22423"/>
    <w:p w14:paraId="1F87D573" w14:textId="377DFBFB" w:rsidR="002558C2" w:rsidRDefault="00673A25" w:rsidP="00AD7EEC">
      <w:r>
        <w:t xml:space="preserve">Figure </w:t>
      </w:r>
      <w:r w:rsidR="00FA693B">
        <w:t>6</w:t>
      </w:r>
      <w:r>
        <w:t xml:space="preserve"> shows the age and gender distribution of molnupiravir patients</w:t>
      </w:r>
      <w:r w:rsidR="004D5F3A">
        <w:t xml:space="preserve"> in 2023</w:t>
      </w:r>
      <w:r>
        <w:t xml:space="preserve">. As </w:t>
      </w:r>
      <w:r w:rsidR="004D5F3A">
        <w:t>shown</w:t>
      </w:r>
      <w:r>
        <w:t xml:space="preserve"> in Figure 3, the majority of patients were aged 70 years and over. The most common age group were patients aged between 70 to 74 years. Females accounted for a greater proportion of utilisation across all age groups compared to males. </w:t>
      </w:r>
    </w:p>
    <w:p w14:paraId="6009E5FC" w14:textId="77777777" w:rsidR="002558C2" w:rsidRDefault="002558C2" w:rsidP="00AD7EEC"/>
    <w:p w14:paraId="7A8B3F00" w14:textId="1EF74979" w:rsidR="00FA693B" w:rsidRDefault="00FA693B" w:rsidP="00980824">
      <w:pPr>
        <w:jc w:val="center"/>
      </w:pPr>
      <w:r>
        <w:rPr>
          <w:noProof/>
        </w:rPr>
        <w:drawing>
          <wp:inline distT="0" distB="0" distL="0" distR="0" wp14:anchorId="0FCA66A6" wp14:editId="40F1B8F0">
            <wp:extent cx="4993200" cy="3045600"/>
            <wp:effectExtent l="0" t="0" r="17145" b="2540"/>
            <wp:docPr id="10" name="Chart 10">
              <a:extLst xmlns:a="http://schemas.openxmlformats.org/drawingml/2006/main">
                <a:ext uri="{FF2B5EF4-FFF2-40B4-BE49-F238E27FC236}">
                  <a16:creationId xmlns:a16="http://schemas.microsoft.com/office/drawing/2014/main" id="{50C02C04-A8DE-02CC-2727-A53041F59BC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B0FA42B" w14:textId="03B26741" w:rsidR="00673A25" w:rsidRDefault="00980824" w:rsidP="002558C2">
      <w:pPr>
        <w:pStyle w:val="Figuretitle"/>
        <w:rPr>
          <w:rStyle w:val="ui-provider"/>
        </w:rPr>
      </w:pPr>
      <w:r>
        <w:t xml:space="preserve">Figure </w:t>
      </w:r>
      <w:r w:rsidR="00F77DDD">
        <w:t>7</w:t>
      </w:r>
      <w:r>
        <w:t xml:space="preserve">: </w:t>
      </w:r>
      <w:r w:rsidR="00EA2EC6">
        <w:t>Molnupiravir p</w:t>
      </w:r>
      <w:r>
        <w:t xml:space="preserve">rescriptions supplied by </w:t>
      </w:r>
      <w:r w:rsidR="00BA436D">
        <w:t>Residential Aged Care Facility (RACF) identifier</w:t>
      </w:r>
      <w:r>
        <w:t xml:space="preserve"> </w:t>
      </w:r>
      <w:r w:rsidR="00F8581B">
        <w:t xml:space="preserve">and </w:t>
      </w:r>
      <w:r w:rsidR="00BA436D">
        <w:t xml:space="preserve">supply </w:t>
      </w:r>
      <w:proofErr w:type="gramStart"/>
      <w:r w:rsidR="00BA436D">
        <w:t>quarter</w:t>
      </w:r>
      <w:proofErr w:type="gramEnd"/>
    </w:p>
    <w:p w14:paraId="1260CBE9" w14:textId="0C26ABFF" w:rsidR="00673A25" w:rsidRDefault="00673A25" w:rsidP="00670DFA">
      <w:pPr>
        <w:rPr>
          <w:rStyle w:val="ui-provider"/>
        </w:rPr>
      </w:pPr>
      <w:r>
        <w:rPr>
          <w:rStyle w:val="ui-provider"/>
        </w:rPr>
        <w:lastRenderedPageBreak/>
        <w:t xml:space="preserve">Figure </w:t>
      </w:r>
      <w:r w:rsidR="00F77DDD">
        <w:rPr>
          <w:rStyle w:val="ui-provider"/>
        </w:rPr>
        <w:t>7</w:t>
      </w:r>
      <w:r>
        <w:rPr>
          <w:rStyle w:val="ui-provider"/>
        </w:rPr>
        <w:t xml:space="preserve"> shows molnupiravir utilisation by residential aged care facility status. Patients treated with molnupiravir in </w:t>
      </w:r>
      <w:r w:rsidR="00905A97">
        <w:rPr>
          <w:rStyle w:val="ui-provider"/>
        </w:rPr>
        <w:t>RACFs</w:t>
      </w:r>
      <w:r>
        <w:rPr>
          <w:rStyle w:val="ui-provider"/>
        </w:rPr>
        <w:t xml:space="preserve"> accounted for a</w:t>
      </w:r>
      <w:r w:rsidR="003259DF">
        <w:rPr>
          <w:rStyle w:val="ui-provider"/>
        </w:rPr>
        <w:t>pproximately 16%</w:t>
      </w:r>
      <w:r>
        <w:rPr>
          <w:rStyle w:val="ui-provider"/>
        </w:rPr>
        <w:t xml:space="preserve"> of</w:t>
      </w:r>
      <w:r w:rsidR="003259DF">
        <w:rPr>
          <w:rStyle w:val="ui-provider"/>
        </w:rPr>
        <w:t xml:space="preserve"> molnupiravir utilisation</w:t>
      </w:r>
      <w:r w:rsidR="00F57A5A">
        <w:rPr>
          <w:rStyle w:val="ui-provider"/>
        </w:rPr>
        <w:t>, with an average of 13,000 molnupiravir prescriptions per supply quarter</w:t>
      </w:r>
      <w:r w:rsidR="003259DF">
        <w:rPr>
          <w:rStyle w:val="ui-provider"/>
        </w:rPr>
        <w:t xml:space="preserve">. </w:t>
      </w:r>
    </w:p>
    <w:p w14:paraId="621318EE" w14:textId="4D3DDF14" w:rsidR="002558C2" w:rsidRDefault="00905A97" w:rsidP="00670DFA">
      <w:pPr>
        <w:rPr>
          <w:rStyle w:val="ui-provider"/>
        </w:rPr>
      </w:pPr>
      <w:r>
        <w:t>It is noted as part of the National Medicines Stockpile</w:t>
      </w:r>
      <w:r w:rsidR="00B2091F">
        <w:t xml:space="preserve"> (NMS)</w:t>
      </w:r>
      <w:r>
        <w:t xml:space="preserve">, distribution of molnupiravir commenced on 6 February 2022 to all RACFs with outbreak sites prioritised for delivery. The </w:t>
      </w:r>
      <w:r w:rsidR="00B2091F">
        <w:t>NMS</w:t>
      </w:r>
      <w:r>
        <w:t xml:space="preserve"> deployed 48,269 treatment courses of molnupiravir to </w:t>
      </w:r>
      <w:r w:rsidR="00B2091F">
        <w:t>RACFs</w:t>
      </w:r>
      <w:r>
        <w:t>.</w:t>
      </w:r>
      <w:r w:rsidR="002558C2">
        <w:rPr>
          <w:rStyle w:val="FootnoteReference"/>
        </w:rPr>
        <w:footnoteReference w:id="6"/>
      </w:r>
      <w:r w:rsidR="002558C2">
        <w:rPr>
          <w:rStyle w:val="ui-provider"/>
        </w:rPr>
        <w:t xml:space="preserve"> </w:t>
      </w:r>
    </w:p>
    <w:p w14:paraId="1F54AD0A" w14:textId="5A773ABE" w:rsidR="00EA2EC6" w:rsidRDefault="00EA2EC6" w:rsidP="003259DF">
      <w:pPr>
        <w:spacing w:after="160" w:line="259" w:lineRule="auto"/>
      </w:pPr>
    </w:p>
    <w:p w14:paraId="4403416A" w14:textId="2122A3DD" w:rsidR="003259DF" w:rsidRDefault="003259DF" w:rsidP="006E06EE">
      <w:pPr>
        <w:spacing w:after="160" w:line="259" w:lineRule="auto"/>
        <w:jc w:val="center"/>
      </w:pPr>
      <w:r>
        <w:rPr>
          <w:noProof/>
        </w:rPr>
        <w:drawing>
          <wp:inline distT="0" distB="0" distL="0" distR="0" wp14:anchorId="48F50996" wp14:editId="1450B7A4">
            <wp:extent cx="4993200" cy="3045600"/>
            <wp:effectExtent l="0" t="0" r="17145" b="2540"/>
            <wp:docPr id="18" name="Chart 18">
              <a:extLst xmlns:a="http://schemas.openxmlformats.org/drawingml/2006/main">
                <a:ext uri="{FF2B5EF4-FFF2-40B4-BE49-F238E27FC236}">
                  <a16:creationId xmlns:a16="http://schemas.microsoft.com/office/drawing/2014/main" id="{CD838D3E-1CB9-4DBF-0F48-BB4794660E0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CE1E05" w14:textId="043A5A44" w:rsidR="00EA2EC6" w:rsidRDefault="005536AB" w:rsidP="00FE6203">
      <w:pPr>
        <w:pStyle w:val="Figuretitle"/>
      </w:pPr>
      <w:r>
        <w:t xml:space="preserve">Figure </w:t>
      </w:r>
      <w:r w:rsidR="00F77DDD">
        <w:t>8</w:t>
      </w:r>
      <w:r w:rsidR="00EA2EC6">
        <w:t xml:space="preserve">: Molnupiravir prescriptions supplied by </w:t>
      </w:r>
      <w:r w:rsidR="003579CB">
        <w:t>listing</w:t>
      </w:r>
      <w:r w:rsidR="00FE6203">
        <w:t xml:space="preserve"> year and </w:t>
      </w:r>
      <w:r w:rsidR="00EA2EC6">
        <w:t xml:space="preserve">prescriber </w:t>
      </w:r>
      <w:proofErr w:type="gramStart"/>
      <w:r w:rsidR="00EA2EC6">
        <w:t>type</w:t>
      </w:r>
      <w:proofErr w:type="gramEnd"/>
      <w:r w:rsidR="00EA2EC6">
        <w:t xml:space="preserve"> </w:t>
      </w:r>
    </w:p>
    <w:p w14:paraId="05507FA0" w14:textId="77777777" w:rsidR="00FE6203" w:rsidRDefault="00FE6203" w:rsidP="00EA2EC6">
      <w:pPr>
        <w:spacing w:after="160" w:line="259" w:lineRule="auto"/>
      </w:pPr>
    </w:p>
    <w:p w14:paraId="44474F0F" w14:textId="3AD65142" w:rsidR="0097267A" w:rsidRDefault="00673A25" w:rsidP="00BA436D">
      <w:pPr>
        <w:spacing w:after="160" w:line="259" w:lineRule="auto"/>
      </w:pPr>
      <w:r>
        <w:t>Figure</w:t>
      </w:r>
      <w:r w:rsidR="00F77DDD">
        <w:t xml:space="preserve"> 8</w:t>
      </w:r>
      <w:r>
        <w:t xml:space="preserve"> shows molnupiravir utilisation by prescriber type. General Practitioners</w:t>
      </w:r>
      <w:r w:rsidR="00642D43">
        <w:t xml:space="preserve"> accounted for at least</w:t>
      </w:r>
      <w:r w:rsidR="003259DF">
        <w:t xml:space="preserve"> 96</w:t>
      </w:r>
      <w:r w:rsidR="008D4518">
        <w:t xml:space="preserve">% of </w:t>
      </w:r>
      <w:r w:rsidR="00642D43">
        <w:t xml:space="preserve">molnupiravir </w:t>
      </w:r>
      <w:r w:rsidR="008D4518">
        <w:t>prescriptions</w:t>
      </w:r>
      <w:r w:rsidR="00FE6203">
        <w:t xml:space="preserve"> across all  years</w:t>
      </w:r>
      <w:r w:rsidR="008D4518">
        <w:t xml:space="preserve">. </w:t>
      </w:r>
    </w:p>
    <w:p w14:paraId="4CF5784A" w14:textId="77777777" w:rsidR="00BA436D" w:rsidRDefault="00BA436D" w:rsidP="00BA436D">
      <w:pPr>
        <w:spacing w:after="160" w:line="259" w:lineRule="auto"/>
      </w:pPr>
    </w:p>
    <w:p w14:paraId="7997C443" w14:textId="5BF72466" w:rsidR="00604AB3" w:rsidRDefault="00FB6841" w:rsidP="0093357A">
      <w:pPr>
        <w:spacing w:after="160" w:line="259" w:lineRule="auto"/>
        <w:jc w:val="center"/>
      </w:pPr>
      <w:r>
        <w:t xml:space="preserve"> </w:t>
      </w:r>
    </w:p>
    <w:p w14:paraId="70D4388F" w14:textId="154BB18A" w:rsidR="007501BB" w:rsidRDefault="007501BB" w:rsidP="0093357A">
      <w:pPr>
        <w:spacing w:after="160" w:line="259" w:lineRule="auto"/>
        <w:jc w:val="center"/>
      </w:pPr>
      <w:r>
        <w:rPr>
          <w:noProof/>
        </w:rPr>
        <w:lastRenderedPageBreak/>
        <w:drawing>
          <wp:inline distT="0" distB="0" distL="0" distR="0" wp14:anchorId="13E6C29E" wp14:editId="77A1C9FE">
            <wp:extent cx="4993200" cy="3045600"/>
            <wp:effectExtent l="0" t="0" r="17145" b="2540"/>
            <wp:docPr id="2079329180" name="Chart 1">
              <a:extLst xmlns:a="http://schemas.openxmlformats.org/drawingml/2006/main">
                <a:ext uri="{FF2B5EF4-FFF2-40B4-BE49-F238E27FC236}">
                  <a16:creationId xmlns:a16="http://schemas.microsoft.com/office/drawing/2014/main" id="{2CA35567-0804-7953-AA9C-0553E101087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F196ED3" w14:textId="026E0663" w:rsidR="0093357A" w:rsidRDefault="0093357A" w:rsidP="0093357A">
      <w:pPr>
        <w:pStyle w:val="Figuretitle"/>
      </w:pPr>
      <w:r>
        <w:t xml:space="preserve">Figure </w:t>
      </w:r>
      <w:r w:rsidR="00F77DDD">
        <w:t>9</w:t>
      </w:r>
      <w:r>
        <w:t>:</w:t>
      </w:r>
      <w:r w:rsidRPr="0093357A">
        <w:t xml:space="preserve"> </w:t>
      </w:r>
      <w:r>
        <w:t xml:space="preserve">Molnupiravir treated patients by jurisdiction and supply </w:t>
      </w:r>
      <w:proofErr w:type="gramStart"/>
      <w:r>
        <w:t>quarter</w:t>
      </w:r>
      <w:proofErr w:type="gramEnd"/>
    </w:p>
    <w:p w14:paraId="3B111CF2" w14:textId="77777777" w:rsidR="0093357A" w:rsidRPr="0093357A" w:rsidRDefault="0093357A" w:rsidP="0093357A"/>
    <w:p w14:paraId="106CD9F9" w14:textId="5AA78306" w:rsidR="00B17A14" w:rsidRDefault="00604AB3" w:rsidP="00657812">
      <w:r>
        <w:t xml:space="preserve">Figure </w:t>
      </w:r>
      <w:r w:rsidR="00F77DDD">
        <w:t>9</w:t>
      </w:r>
      <w:r>
        <w:t xml:space="preserve"> shows the number of patients treated with molnupiravir standardised by each jurisdiction’s</w:t>
      </w:r>
      <w:r w:rsidRPr="00604AB3">
        <w:t xml:space="preserve"> </w:t>
      </w:r>
      <w:r>
        <w:t>population size</w:t>
      </w:r>
      <w:r w:rsidR="007501BB">
        <w:t xml:space="preserve"> over 18 years</w:t>
      </w:r>
      <w:r>
        <w:t xml:space="preserve">. Since </w:t>
      </w:r>
      <w:r w:rsidR="00662E6A">
        <w:t xml:space="preserve">PBS </w:t>
      </w:r>
      <w:r>
        <w:t xml:space="preserve">listing, the number of patients treated was the lowest in Northern Territory. </w:t>
      </w:r>
      <w:r w:rsidR="00642D43">
        <w:t>T</w:t>
      </w:r>
      <w:r>
        <w:t xml:space="preserve">he jurisdiction accounting for the highest </w:t>
      </w:r>
      <w:r w:rsidR="00662E6A">
        <w:t xml:space="preserve">molnupiravir </w:t>
      </w:r>
      <w:r>
        <w:t xml:space="preserve">utilisation has varied over time. </w:t>
      </w:r>
      <w:r w:rsidR="00662E6A">
        <w:t>Overall, all jurisdictions ha</w:t>
      </w:r>
      <w:r w:rsidR="003259DF">
        <w:t>ve had</w:t>
      </w:r>
      <w:r w:rsidR="00662E6A">
        <w:t xml:space="preserve"> similar waves of utilisation over time. </w:t>
      </w:r>
    </w:p>
    <w:p w14:paraId="1D5000B7" w14:textId="3031B63D" w:rsidR="00657812" w:rsidRDefault="00657812">
      <w:pPr>
        <w:spacing w:line="276" w:lineRule="auto"/>
        <w:rPr>
          <w:b/>
          <w:i/>
          <w:szCs w:val="28"/>
        </w:rPr>
      </w:pPr>
    </w:p>
    <w:p w14:paraId="074CBE65" w14:textId="77777777" w:rsidR="00657812" w:rsidRDefault="00657812">
      <w:pPr>
        <w:spacing w:line="276" w:lineRule="auto"/>
        <w:rPr>
          <w:b/>
          <w:i/>
          <w:szCs w:val="28"/>
        </w:rPr>
      </w:pPr>
      <w:r>
        <w:br w:type="page"/>
      </w:r>
    </w:p>
    <w:p w14:paraId="2710BB0F" w14:textId="7E29090A" w:rsidR="00371004" w:rsidRPr="00371004" w:rsidRDefault="00DC49E9" w:rsidP="001472AF">
      <w:pPr>
        <w:pStyle w:val="Heading3"/>
      </w:pPr>
      <w:r w:rsidRPr="005E22C2">
        <w:lastRenderedPageBreak/>
        <w:t>Changes in the use of other drugs</w:t>
      </w:r>
    </w:p>
    <w:p w14:paraId="37A2C47F" w14:textId="223A6828" w:rsidR="001472AF" w:rsidRDefault="001472AF" w:rsidP="001472AF">
      <w:pPr>
        <w:pStyle w:val="Tabletitle"/>
      </w:pPr>
      <w:r w:rsidRPr="001420B3" w:rsidDel="00EE2BBB">
        <w:t xml:space="preserve">Table </w:t>
      </w:r>
      <w:r w:rsidR="00930743">
        <w:t>5</w:t>
      </w:r>
      <w:r w:rsidRPr="001420B3" w:rsidDel="00EE2BBB">
        <w:t xml:space="preserve">: </w:t>
      </w:r>
      <w:r w:rsidR="002259D1">
        <w:t xml:space="preserve">Utilisation of </w:t>
      </w:r>
      <w:r>
        <w:t>COVID-19 oral antiviral</w:t>
      </w:r>
      <w:r w:rsidR="002259D1">
        <w:t xml:space="preserve">s </w:t>
      </w:r>
      <w:r>
        <w:t>by calendar year</w:t>
      </w:r>
    </w:p>
    <w:tbl>
      <w:tblPr>
        <w:tblStyle w:val="TableGrid"/>
        <w:tblW w:w="5000" w:type="pct"/>
        <w:tblLook w:val="04A0" w:firstRow="1" w:lastRow="0" w:firstColumn="1" w:lastColumn="0" w:noHBand="0" w:noVBand="1"/>
      </w:tblPr>
      <w:tblGrid>
        <w:gridCol w:w="2121"/>
        <w:gridCol w:w="2271"/>
        <w:gridCol w:w="1517"/>
        <w:gridCol w:w="1519"/>
        <w:gridCol w:w="1519"/>
      </w:tblGrid>
      <w:tr w:rsidR="002259D1" w:rsidRPr="00371004" w14:paraId="611841FE" w14:textId="77777777" w:rsidTr="002259D1">
        <w:tc>
          <w:tcPr>
            <w:tcW w:w="1185" w:type="pct"/>
            <w:shd w:val="clear" w:color="auto" w:fill="BFBFBF" w:themeFill="background1" w:themeFillShade="BF"/>
          </w:tcPr>
          <w:p w14:paraId="33A46872" w14:textId="77777777" w:rsidR="002259D1" w:rsidRPr="00371004" w:rsidRDefault="002259D1" w:rsidP="009A5311">
            <w:pPr>
              <w:spacing w:before="60" w:after="60"/>
              <w:rPr>
                <w:b/>
                <w:bCs/>
                <w:sz w:val="20"/>
                <w:szCs w:val="20"/>
              </w:rPr>
            </w:pPr>
          </w:p>
        </w:tc>
        <w:tc>
          <w:tcPr>
            <w:tcW w:w="1269" w:type="pct"/>
            <w:shd w:val="clear" w:color="auto" w:fill="BFBFBF" w:themeFill="background1" w:themeFillShade="BF"/>
          </w:tcPr>
          <w:p w14:paraId="556DA50C" w14:textId="6A0096C1" w:rsidR="002259D1" w:rsidRPr="00371004" w:rsidRDefault="002259D1" w:rsidP="009A5311">
            <w:pPr>
              <w:spacing w:before="60" w:after="60"/>
              <w:rPr>
                <w:b/>
                <w:bCs/>
                <w:sz w:val="20"/>
                <w:szCs w:val="20"/>
              </w:rPr>
            </w:pPr>
          </w:p>
        </w:tc>
        <w:tc>
          <w:tcPr>
            <w:tcW w:w="848" w:type="pct"/>
            <w:shd w:val="clear" w:color="auto" w:fill="BFBFBF" w:themeFill="background1" w:themeFillShade="BF"/>
          </w:tcPr>
          <w:p w14:paraId="6A61ACC7" w14:textId="72FDF625" w:rsidR="002259D1" w:rsidRPr="00371004" w:rsidRDefault="002259D1" w:rsidP="009A5311">
            <w:pPr>
              <w:spacing w:before="60" w:after="60"/>
              <w:jc w:val="center"/>
              <w:rPr>
                <w:b/>
                <w:bCs/>
                <w:sz w:val="20"/>
                <w:szCs w:val="20"/>
              </w:rPr>
            </w:pPr>
            <w:r w:rsidRPr="00371004">
              <w:rPr>
                <w:b/>
                <w:bCs/>
                <w:sz w:val="20"/>
                <w:szCs w:val="20"/>
              </w:rPr>
              <w:t>2022</w:t>
            </w:r>
          </w:p>
        </w:tc>
        <w:tc>
          <w:tcPr>
            <w:tcW w:w="849" w:type="pct"/>
            <w:shd w:val="clear" w:color="auto" w:fill="BFBFBF" w:themeFill="background1" w:themeFillShade="BF"/>
          </w:tcPr>
          <w:p w14:paraId="402E2BF4" w14:textId="63F36503" w:rsidR="002259D1" w:rsidRPr="00371004" w:rsidRDefault="002259D1" w:rsidP="009A5311">
            <w:pPr>
              <w:spacing w:before="60" w:after="60"/>
              <w:jc w:val="center"/>
              <w:rPr>
                <w:b/>
                <w:bCs/>
                <w:sz w:val="20"/>
                <w:szCs w:val="20"/>
              </w:rPr>
            </w:pPr>
            <w:r w:rsidRPr="00371004">
              <w:rPr>
                <w:b/>
                <w:bCs/>
                <w:sz w:val="20"/>
                <w:szCs w:val="20"/>
              </w:rPr>
              <w:t>2023</w:t>
            </w:r>
          </w:p>
        </w:tc>
        <w:tc>
          <w:tcPr>
            <w:tcW w:w="849" w:type="pct"/>
            <w:shd w:val="clear" w:color="auto" w:fill="BFBFBF" w:themeFill="background1" w:themeFillShade="BF"/>
          </w:tcPr>
          <w:p w14:paraId="46590B6D" w14:textId="339E547A" w:rsidR="002259D1" w:rsidRPr="00371004" w:rsidRDefault="002259D1" w:rsidP="009A5311">
            <w:pPr>
              <w:spacing w:before="60" w:after="60"/>
              <w:jc w:val="center"/>
              <w:rPr>
                <w:b/>
                <w:bCs/>
                <w:sz w:val="20"/>
                <w:szCs w:val="20"/>
              </w:rPr>
            </w:pPr>
            <w:r w:rsidRPr="00371004">
              <w:rPr>
                <w:b/>
                <w:bCs/>
                <w:sz w:val="20"/>
                <w:szCs w:val="20"/>
              </w:rPr>
              <w:t>2024</w:t>
            </w:r>
          </w:p>
        </w:tc>
      </w:tr>
      <w:tr w:rsidR="00F52F11" w:rsidRPr="00371004" w14:paraId="67AA0D9C" w14:textId="77777777" w:rsidTr="002259D1">
        <w:tc>
          <w:tcPr>
            <w:tcW w:w="1185" w:type="pct"/>
            <w:vMerge w:val="restart"/>
          </w:tcPr>
          <w:p w14:paraId="325BBA3E" w14:textId="40AC8D3A" w:rsidR="00F52F11" w:rsidRDefault="00F52F11" w:rsidP="009A5311">
            <w:pPr>
              <w:spacing w:before="60" w:after="60"/>
              <w:rPr>
                <w:sz w:val="20"/>
                <w:szCs w:val="20"/>
              </w:rPr>
            </w:pPr>
            <w:r>
              <w:rPr>
                <w:sz w:val="20"/>
                <w:szCs w:val="20"/>
              </w:rPr>
              <w:t xml:space="preserve">Patients treated </w:t>
            </w:r>
          </w:p>
        </w:tc>
        <w:tc>
          <w:tcPr>
            <w:tcW w:w="1269" w:type="pct"/>
          </w:tcPr>
          <w:p w14:paraId="0404B8FD" w14:textId="36B2B347" w:rsidR="00F52F11" w:rsidRPr="00371004" w:rsidRDefault="00F52F11" w:rsidP="009A5311">
            <w:pPr>
              <w:spacing w:before="60" w:after="60"/>
              <w:rPr>
                <w:sz w:val="20"/>
                <w:szCs w:val="20"/>
              </w:rPr>
            </w:pPr>
            <w:r w:rsidRPr="00371004">
              <w:rPr>
                <w:sz w:val="20"/>
                <w:szCs w:val="20"/>
              </w:rPr>
              <w:t xml:space="preserve">Molnupiravir </w:t>
            </w:r>
          </w:p>
        </w:tc>
        <w:tc>
          <w:tcPr>
            <w:tcW w:w="848" w:type="pct"/>
          </w:tcPr>
          <w:p w14:paraId="44397AEE" w14:textId="00947008" w:rsidR="00F52F11" w:rsidRDefault="00F52F11" w:rsidP="009A5311">
            <w:pPr>
              <w:spacing w:before="60" w:after="60"/>
              <w:jc w:val="center"/>
              <w:rPr>
                <w:sz w:val="20"/>
                <w:szCs w:val="20"/>
              </w:rPr>
            </w:pPr>
            <w:r>
              <w:rPr>
                <w:sz w:val="20"/>
                <w:szCs w:val="20"/>
              </w:rPr>
              <w:t>448,358</w:t>
            </w:r>
          </w:p>
        </w:tc>
        <w:tc>
          <w:tcPr>
            <w:tcW w:w="849" w:type="pct"/>
          </w:tcPr>
          <w:p w14:paraId="6C2DDF10" w14:textId="599A9016" w:rsidR="00F52F11" w:rsidRDefault="00F52F11" w:rsidP="009A5311">
            <w:pPr>
              <w:spacing w:before="60" w:after="60"/>
              <w:jc w:val="center"/>
              <w:rPr>
                <w:sz w:val="20"/>
                <w:szCs w:val="20"/>
              </w:rPr>
            </w:pPr>
            <w:r>
              <w:rPr>
                <w:sz w:val="20"/>
                <w:szCs w:val="20"/>
              </w:rPr>
              <w:t>323,849</w:t>
            </w:r>
          </w:p>
        </w:tc>
        <w:tc>
          <w:tcPr>
            <w:tcW w:w="849" w:type="pct"/>
          </w:tcPr>
          <w:p w14:paraId="36D36A84" w14:textId="19968A24" w:rsidR="00F52F11" w:rsidRDefault="00F52F11" w:rsidP="009A5311">
            <w:pPr>
              <w:spacing w:before="60" w:after="60"/>
              <w:jc w:val="center"/>
              <w:rPr>
                <w:sz w:val="20"/>
                <w:szCs w:val="20"/>
              </w:rPr>
            </w:pPr>
            <w:r>
              <w:rPr>
                <w:sz w:val="20"/>
                <w:szCs w:val="20"/>
              </w:rPr>
              <w:t>191,862</w:t>
            </w:r>
          </w:p>
        </w:tc>
      </w:tr>
      <w:tr w:rsidR="00F52F11" w:rsidRPr="00371004" w14:paraId="4A8D9C5B" w14:textId="77777777" w:rsidTr="002259D1">
        <w:tc>
          <w:tcPr>
            <w:tcW w:w="1185" w:type="pct"/>
            <w:vMerge/>
          </w:tcPr>
          <w:p w14:paraId="54127C30" w14:textId="77777777" w:rsidR="00F52F11" w:rsidRDefault="00F52F11" w:rsidP="009A5311">
            <w:pPr>
              <w:spacing w:before="60" w:after="60"/>
              <w:rPr>
                <w:sz w:val="20"/>
                <w:szCs w:val="20"/>
              </w:rPr>
            </w:pPr>
          </w:p>
        </w:tc>
        <w:tc>
          <w:tcPr>
            <w:tcW w:w="1269" w:type="pct"/>
          </w:tcPr>
          <w:p w14:paraId="64332609" w14:textId="3F3E4678" w:rsidR="00F52F11" w:rsidRPr="00371004" w:rsidRDefault="00F52F11" w:rsidP="009A5311">
            <w:pPr>
              <w:spacing w:before="60" w:after="60"/>
              <w:rPr>
                <w:sz w:val="20"/>
                <w:szCs w:val="20"/>
              </w:rPr>
            </w:pPr>
            <w:r w:rsidRPr="00371004">
              <w:rPr>
                <w:sz w:val="20"/>
                <w:szCs w:val="20"/>
              </w:rPr>
              <w:t xml:space="preserve">Nirmatrelvir (&amp;) </w:t>
            </w:r>
            <w:r>
              <w:rPr>
                <w:sz w:val="20"/>
                <w:szCs w:val="20"/>
              </w:rPr>
              <w:t>r</w:t>
            </w:r>
            <w:r w:rsidRPr="00371004">
              <w:rPr>
                <w:sz w:val="20"/>
                <w:szCs w:val="20"/>
              </w:rPr>
              <w:t xml:space="preserve">itonavir </w:t>
            </w:r>
          </w:p>
        </w:tc>
        <w:tc>
          <w:tcPr>
            <w:tcW w:w="848" w:type="pct"/>
          </w:tcPr>
          <w:p w14:paraId="194716FE" w14:textId="532236B2" w:rsidR="00F52F11" w:rsidRDefault="00F52F11" w:rsidP="009A5311">
            <w:pPr>
              <w:spacing w:before="60" w:after="60"/>
              <w:jc w:val="center"/>
              <w:rPr>
                <w:sz w:val="20"/>
                <w:szCs w:val="20"/>
              </w:rPr>
            </w:pPr>
            <w:r>
              <w:rPr>
                <w:sz w:val="20"/>
                <w:szCs w:val="20"/>
              </w:rPr>
              <w:t>160,630</w:t>
            </w:r>
          </w:p>
        </w:tc>
        <w:tc>
          <w:tcPr>
            <w:tcW w:w="849" w:type="pct"/>
          </w:tcPr>
          <w:p w14:paraId="5749BB14" w14:textId="629920FB" w:rsidR="00F52F11" w:rsidRDefault="00F52F11" w:rsidP="009A5311">
            <w:pPr>
              <w:spacing w:before="60" w:after="60"/>
              <w:jc w:val="center"/>
              <w:rPr>
                <w:sz w:val="20"/>
                <w:szCs w:val="20"/>
              </w:rPr>
            </w:pPr>
            <w:r>
              <w:rPr>
                <w:sz w:val="20"/>
                <w:szCs w:val="20"/>
              </w:rPr>
              <w:t>226,760</w:t>
            </w:r>
          </w:p>
        </w:tc>
        <w:tc>
          <w:tcPr>
            <w:tcW w:w="849" w:type="pct"/>
          </w:tcPr>
          <w:p w14:paraId="429ADFEF" w14:textId="2793209E" w:rsidR="00F52F11" w:rsidRDefault="00F52F11" w:rsidP="009A5311">
            <w:pPr>
              <w:spacing w:before="60" w:after="60"/>
              <w:jc w:val="center"/>
              <w:rPr>
                <w:sz w:val="20"/>
                <w:szCs w:val="20"/>
              </w:rPr>
            </w:pPr>
            <w:r>
              <w:rPr>
                <w:sz w:val="20"/>
                <w:szCs w:val="20"/>
              </w:rPr>
              <w:t>131,863</w:t>
            </w:r>
          </w:p>
        </w:tc>
      </w:tr>
      <w:tr w:rsidR="00F52F11" w:rsidRPr="00371004" w14:paraId="2FC83D0F" w14:textId="77777777" w:rsidTr="002259D1">
        <w:tc>
          <w:tcPr>
            <w:tcW w:w="1185" w:type="pct"/>
            <w:vMerge w:val="restart"/>
          </w:tcPr>
          <w:p w14:paraId="66F87C34" w14:textId="6ECCEA4D" w:rsidR="00F52F11" w:rsidRPr="00371004" w:rsidRDefault="00F52F11" w:rsidP="009A5311">
            <w:pPr>
              <w:spacing w:before="60" w:after="60"/>
              <w:rPr>
                <w:sz w:val="20"/>
                <w:szCs w:val="20"/>
              </w:rPr>
            </w:pPr>
            <w:r>
              <w:rPr>
                <w:sz w:val="20"/>
                <w:szCs w:val="20"/>
              </w:rPr>
              <w:t xml:space="preserve">Prescriptions supplied </w:t>
            </w:r>
          </w:p>
        </w:tc>
        <w:tc>
          <w:tcPr>
            <w:tcW w:w="1269" w:type="pct"/>
          </w:tcPr>
          <w:p w14:paraId="7AA88E9A" w14:textId="45479A55" w:rsidR="00F52F11" w:rsidRPr="00371004" w:rsidRDefault="00F52F11" w:rsidP="009A5311">
            <w:pPr>
              <w:spacing w:before="60" w:after="60"/>
              <w:rPr>
                <w:sz w:val="20"/>
                <w:szCs w:val="20"/>
              </w:rPr>
            </w:pPr>
            <w:r w:rsidRPr="00371004">
              <w:rPr>
                <w:sz w:val="20"/>
                <w:szCs w:val="20"/>
              </w:rPr>
              <w:t xml:space="preserve">Molnupiravir </w:t>
            </w:r>
          </w:p>
        </w:tc>
        <w:tc>
          <w:tcPr>
            <w:tcW w:w="848" w:type="pct"/>
          </w:tcPr>
          <w:p w14:paraId="2F73A847" w14:textId="097DF4B4" w:rsidR="00F52F11" w:rsidRPr="00371004" w:rsidRDefault="00F52F11" w:rsidP="009A5311">
            <w:pPr>
              <w:spacing w:before="60" w:after="60"/>
              <w:jc w:val="center"/>
              <w:rPr>
                <w:sz w:val="20"/>
                <w:szCs w:val="20"/>
              </w:rPr>
            </w:pPr>
            <w:r>
              <w:rPr>
                <w:sz w:val="20"/>
                <w:szCs w:val="20"/>
              </w:rPr>
              <w:t>466,598</w:t>
            </w:r>
          </w:p>
        </w:tc>
        <w:tc>
          <w:tcPr>
            <w:tcW w:w="849" w:type="pct"/>
          </w:tcPr>
          <w:p w14:paraId="030B68DD" w14:textId="56865B77" w:rsidR="00F52F11" w:rsidRPr="00371004" w:rsidRDefault="00F52F11" w:rsidP="009A5311">
            <w:pPr>
              <w:spacing w:before="60" w:after="60"/>
              <w:jc w:val="center"/>
              <w:rPr>
                <w:sz w:val="20"/>
                <w:szCs w:val="20"/>
              </w:rPr>
            </w:pPr>
            <w:r>
              <w:rPr>
                <w:sz w:val="20"/>
                <w:szCs w:val="20"/>
              </w:rPr>
              <w:t>356,307</w:t>
            </w:r>
          </w:p>
        </w:tc>
        <w:tc>
          <w:tcPr>
            <w:tcW w:w="849" w:type="pct"/>
          </w:tcPr>
          <w:p w14:paraId="67C29B2F" w14:textId="65232468" w:rsidR="00F52F11" w:rsidRPr="00371004" w:rsidRDefault="00F52F11" w:rsidP="009A5311">
            <w:pPr>
              <w:spacing w:before="60" w:after="60"/>
              <w:jc w:val="center"/>
              <w:rPr>
                <w:sz w:val="20"/>
                <w:szCs w:val="20"/>
              </w:rPr>
            </w:pPr>
            <w:r>
              <w:rPr>
                <w:sz w:val="20"/>
                <w:szCs w:val="20"/>
              </w:rPr>
              <w:t>206,883</w:t>
            </w:r>
          </w:p>
        </w:tc>
      </w:tr>
      <w:tr w:rsidR="00F52F11" w:rsidRPr="00371004" w14:paraId="467E0581" w14:textId="77777777" w:rsidTr="002259D1">
        <w:tc>
          <w:tcPr>
            <w:tcW w:w="1185" w:type="pct"/>
            <w:vMerge/>
          </w:tcPr>
          <w:p w14:paraId="5540A99A" w14:textId="77777777" w:rsidR="00F52F11" w:rsidRPr="00371004" w:rsidRDefault="00F52F11" w:rsidP="009A5311">
            <w:pPr>
              <w:spacing w:before="60" w:after="60"/>
              <w:rPr>
                <w:sz w:val="20"/>
                <w:szCs w:val="20"/>
              </w:rPr>
            </w:pPr>
          </w:p>
        </w:tc>
        <w:tc>
          <w:tcPr>
            <w:tcW w:w="1269" w:type="pct"/>
          </w:tcPr>
          <w:p w14:paraId="2FDB30E8" w14:textId="65C1C21C" w:rsidR="00F52F11" w:rsidRPr="00371004" w:rsidRDefault="00F52F11" w:rsidP="009A5311">
            <w:pPr>
              <w:spacing w:before="60" w:after="60"/>
              <w:rPr>
                <w:sz w:val="20"/>
                <w:szCs w:val="20"/>
              </w:rPr>
            </w:pPr>
            <w:r w:rsidRPr="00371004">
              <w:rPr>
                <w:sz w:val="20"/>
                <w:szCs w:val="20"/>
              </w:rPr>
              <w:t xml:space="preserve">Nirmatrelvir (&amp;) </w:t>
            </w:r>
            <w:r>
              <w:rPr>
                <w:sz w:val="20"/>
                <w:szCs w:val="20"/>
              </w:rPr>
              <w:t>r</w:t>
            </w:r>
            <w:r w:rsidRPr="00371004">
              <w:rPr>
                <w:sz w:val="20"/>
                <w:szCs w:val="20"/>
              </w:rPr>
              <w:t xml:space="preserve">itonavir </w:t>
            </w:r>
          </w:p>
        </w:tc>
        <w:tc>
          <w:tcPr>
            <w:tcW w:w="848" w:type="pct"/>
          </w:tcPr>
          <w:p w14:paraId="06F00090" w14:textId="5A0E1BF9" w:rsidR="00F52F11" w:rsidRPr="00371004" w:rsidRDefault="00F52F11" w:rsidP="009A5311">
            <w:pPr>
              <w:spacing w:before="60" w:after="60"/>
              <w:jc w:val="center"/>
              <w:rPr>
                <w:sz w:val="20"/>
                <w:szCs w:val="20"/>
              </w:rPr>
            </w:pPr>
            <w:r>
              <w:rPr>
                <w:sz w:val="20"/>
                <w:szCs w:val="20"/>
              </w:rPr>
              <w:t>169,553</w:t>
            </w:r>
          </w:p>
        </w:tc>
        <w:tc>
          <w:tcPr>
            <w:tcW w:w="849" w:type="pct"/>
          </w:tcPr>
          <w:p w14:paraId="40524458" w14:textId="5BDD468F" w:rsidR="00F52F11" w:rsidRPr="00371004" w:rsidRDefault="00F52F11" w:rsidP="009A5311">
            <w:pPr>
              <w:spacing w:before="60" w:after="60"/>
              <w:jc w:val="center"/>
              <w:rPr>
                <w:sz w:val="20"/>
                <w:szCs w:val="20"/>
              </w:rPr>
            </w:pPr>
            <w:r>
              <w:rPr>
                <w:sz w:val="20"/>
                <w:szCs w:val="20"/>
              </w:rPr>
              <w:t>258,795</w:t>
            </w:r>
          </w:p>
        </w:tc>
        <w:tc>
          <w:tcPr>
            <w:tcW w:w="849" w:type="pct"/>
          </w:tcPr>
          <w:p w14:paraId="2F14A801" w14:textId="33AC2CDF" w:rsidR="00F52F11" w:rsidRPr="00371004" w:rsidRDefault="00F52F11" w:rsidP="009A5311">
            <w:pPr>
              <w:spacing w:before="60" w:after="60"/>
              <w:jc w:val="center"/>
              <w:rPr>
                <w:sz w:val="20"/>
                <w:szCs w:val="20"/>
              </w:rPr>
            </w:pPr>
            <w:r>
              <w:rPr>
                <w:sz w:val="20"/>
                <w:szCs w:val="20"/>
              </w:rPr>
              <w:t>147,959</w:t>
            </w:r>
          </w:p>
        </w:tc>
      </w:tr>
    </w:tbl>
    <w:p w14:paraId="1CEFDC2E" w14:textId="0EB3808C" w:rsidR="001472AF" w:rsidRDefault="001472AF" w:rsidP="00754B83">
      <w:pPr>
        <w:rPr>
          <w:sz w:val="20"/>
          <w:szCs w:val="20"/>
        </w:rPr>
      </w:pPr>
      <w:r w:rsidRPr="001472AF">
        <w:rPr>
          <w:sz w:val="20"/>
          <w:szCs w:val="20"/>
        </w:rPr>
        <w:t xml:space="preserve">Note: </w:t>
      </w:r>
      <w:r w:rsidR="00F92E23">
        <w:rPr>
          <w:sz w:val="20"/>
          <w:szCs w:val="20"/>
        </w:rPr>
        <w:t xml:space="preserve">Figures for 2022 and 2024 are not reflective of full calendar years. In 2022, molnupiravir prescriptions supplied is from March </w:t>
      </w:r>
      <w:r w:rsidR="00B2091F">
        <w:rPr>
          <w:sz w:val="20"/>
          <w:szCs w:val="20"/>
        </w:rPr>
        <w:t xml:space="preserve">2022 </w:t>
      </w:r>
      <w:r w:rsidR="00F92E23">
        <w:rPr>
          <w:sz w:val="20"/>
          <w:szCs w:val="20"/>
        </w:rPr>
        <w:t xml:space="preserve">to December 2022 and for </w:t>
      </w:r>
      <w:r>
        <w:rPr>
          <w:sz w:val="20"/>
          <w:szCs w:val="20"/>
        </w:rPr>
        <w:t xml:space="preserve">nirmatrelvir </w:t>
      </w:r>
      <w:r w:rsidR="00642D43">
        <w:rPr>
          <w:sz w:val="20"/>
          <w:szCs w:val="20"/>
        </w:rPr>
        <w:t>(</w:t>
      </w:r>
      <w:r>
        <w:rPr>
          <w:sz w:val="20"/>
          <w:szCs w:val="20"/>
        </w:rPr>
        <w:t>&amp;</w:t>
      </w:r>
      <w:r w:rsidR="00642D43">
        <w:rPr>
          <w:sz w:val="20"/>
          <w:szCs w:val="20"/>
        </w:rPr>
        <w:t>)</w:t>
      </w:r>
      <w:r>
        <w:rPr>
          <w:sz w:val="20"/>
          <w:szCs w:val="20"/>
        </w:rPr>
        <w:t xml:space="preserve"> ritonavir’s figure is from May 2022 to December 2022. </w:t>
      </w:r>
      <w:r w:rsidR="003259DF">
        <w:rPr>
          <w:sz w:val="20"/>
          <w:szCs w:val="20"/>
        </w:rPr>
        <w:t xml:space="preserve">Figures in </w:t>
      </w:r>
      <w:r>
        <w:rPr>
          <w:sz w:val="20"/>
          <w:szCs w:val="20"/>
        </w:rPr>
        <w:t>20</w:t>
      </w:r>
      <w:r w:rsidR="00F92E23">
        <w:rPr>
          <w:sz w:val="20"/>
          <w:szCs w:val="20"/>
        </w:rPr>
        <w:t>2</w:t>
      </w:r>
      <w:r>
        <w:rPr>
          <w:sz w:val="20"/>
          <w:szCs w:val="20"/>
        </w:rPr>
        <w:t xml:space="preserve">4 is from January 2024 to June 2024, inclusive. </w:t>
      </w:r>
    </w:p>
    <w:p w14:paraId="74A7FBAA" w14:textId="77777777" w:rsidR="003259DF" w:rsidRDefault="003259DF" w:rsidP="00754B83">
      <w:pPr>
        <w:rPr>
          <w:sz w:val="20"/>
          <w:szCs w:val="20"/>
        </w:rPr>
      </w:pPr>
    </w:p>
    <w:p w14:paraId="220996B4" w14:textId="2C80F630" w:rsidR="00551182" w:rsidRDefault="00373169" w:rsidP="00551182">
      <w:pPr>
        <w:jc w:val="center"/>
      </w:pPr>
      <w:r>
        <w:rPr>
          <w:noProof/>
        </w:rPr>
        <w:drawing>
          <wp:inline distT="0" distB="0" distL="0" distR="0" wp14:anchorId="6A716394" wp14:editId="14CF170D">
            <wp:extent cx="4993200" cy="3045600"/>
            <wp:effectExtent l="0" t="0" r="17145" b="2540"/>
            <wp:docPr id="2" name="Chart 2">
              <a:extLst xmlns:a="http://schemas.openxmlformats.org/drawingml/2006/main">
                <a:ext uri="{FF2B5EF4-FFF2-40B4-BE49-F238E27FC236}">
                  <a16:creationId xmlns:a16="http://schemas.microsoft.com/office/drawing/2014/main" id="{41CE49D3-F7F2-AA11-9655-4573C519A9B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340DE4" w14:textId="28FC7C7F" w:rsidR="00551182" w:rsidRDefault="00551182" w:rsidP="008755CB">
      <w:pPr>
        <w:pStyle w:val="Figuretitle"/>
      </w:pPr>
      <w:r>
        <w:t xml:space="preserve">Figure </w:t>
      </w:r>
      <w:r w:rsidR="00604AB3">
        <w:t>1</w:t>
      </w:r>
      <w:r w:rsidR="00F77DDD">
        <w:t>0</w:t>
      </w:r>
      <w:r>
        <w:t xml:space="preserve">: </w:t>
      </w:r>
      <w:r w:rsidR="003259DF">
        <w:t xml:space="preserve">Patients treated with </w:t>
      </w:r>
      <w:r>
        <w:t xml:space="preserve">COVID-19 oral antivirals by </w:t>
      </w:r>
      <w:r w:rsidR="003259DF">
        <w:t xml:space="preserve">supply </w:t>
      </w:r>
      <w:proofErr w:type="gramStart"/>
      <w:r w:rsidR="003259DF">
        <w:t>quarter</w:t>
      </w:r>
      <w:proofErr w:type="gramEnd"/>
      <w:r>
        <w:t xml:space="preserve"> </w:t>
      </w:r>
    </w:p>
    <w:p w14:paraId="5172E3E5" w14:textId="77777777" w:rsidR="008755CB" w:rsidRPr="001472AF" w:rsidRDefault="008755CB" w:rsidP="001472AF"/>
    <w:p w14:paraId="6475C10C" w14:textId="488EBF0F" w:rsidR="00B66C3F" w:rsidRDefault="001A0446" w:rsidP="00551182">
      <w:r>
        <w:t xml:space="preserve">Table 5 and </w:t>
      </w:r>
      <w:r w:rsidR="008755CB">
        <w:t xml:space="preserve">Figure </w:t>
      </w:r>
      <w:r w:rsidR="00604AB3">
        <w:t>1</w:t>
      </w:r>
      <w:r w:rsidR="00F77DDD">
        <w:t xml:space="preserve">0 </w:t>
      </w:r>
      <w:r w:rsidR="008755CB">
        <w:t>shows utilisation of COV</w:t>
      </w:r>
      <w:r w:rsidR="00B17A14">
        <w:t>ID</w:t>
      </w:r>
      <w:r w:rsidR="008755CB">
        <w:t>-19</w:t>
      </w:r>
      <w:r w:rsidR="00B17A14">
        <w:t xml:space="preserve"> oral</w:t>
      </w:r>
      <w:r w:rsidR="008755CB">
        <w:t xml:space="preserve"> antivirals</w:t>
      </w:r>
      <w:r w:rsidR="00B17A14">
        <w:t xml:space="preserve">, with molnupiravir accounting for a greater proportion of utilisation compared to nirmatrelvir </w:t>
      </w:r>
      <w:r w:rsidR="00642D43">
        <w:t>(&amp;)</w:t>
      </w:r>
      <w:r w:rsidR="00B17A14">
        <w:t xml:space="preserve"> ritonavir</w:t>
      </w:r>
      <w:r w:rsidR="008755CB">
        <w:t xml:space="preserve">. </w:t>
      </w:r>
      <w:r w:rsidR="00B17A14">
        <w:t xml:space="preserve">Overall, both molnupiravir and </w:t>
      </w:r>
      <w:r w:rsidR="00642D43">
        <w:t xml:space="preserve">nirmatrelvir (&amp;) </w:t>
      </w:r>
      <w:r w:rsidR="00B17A14">
        <w:t>ritonavir appear to be following similar waves of utilisation</w:t>
      </w:r>
      <w:r w:rsidR="008755CB">
        <w:t xml:space="preserve">, with peaks occurring mid- year and at the end of year. </w:t>
      </w:r>
    </w:p>
    <w:p w14:paraId="02052684" w14:textId="77777777" w:rsidR="00551182" w:rsidRPr="00551182" w:rsidRDefault="00551182" w:rsidP="00551182">
      <w:pPr>
        <w:jc w:val="center"/>
      </w:pPr>
    </w:p>
    <w:p w14:paraId="5712242F" w14:textId="2DB6B42F" w:rsidR="00AC68AA" w:rsidRDefault="00373169" w:rsidP="00FA3456">
      <w:pPr>
        <w:jc w:val="center"/>
      </w:pPr>
      <w:r>
        <w:rPr>
          <w:noProof/>
        </w:rPr>
        <w:lastRenderedPageBreak/>
        <w:drawing>
          <wp:inline distT="0" distB="0" distL="0" distR="0" wp14:anchorId="552B477D" wp14:editId="67B41846">
            <wp:extent cx="4993200" cy="3045600"/>
            <wp:effectExtent l="0" t="0" r="17145" b="2540"/>
            <wp:docPr id="3" name="Chart 3">
              <a:extLst xmlns:a="http://schemas.openxmlformats.org/drawingml/2006/main">
                <a:ext uri="{FF2B5EF4-FFF2-40B4-BE49-F238E27FC236}">
                  <a16:creationId xmlns:a16="http://schemas.microsoft.com/office/drawing/2014/main" id="{14DC691F-798F-AEA4-AC66-456035B8B7C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157047F" w14:textId="4157C7E7" w:rsidR="00466F76" w:rsidRDefault="00FA3456" w:rsidP="008755CB">
      <w:pPr>
        <w:pStyle w:val="Figuretitle"/>
      </w:pPr>
      <w:r>
        <w:t xml:space="preserve">Figure </w:t>
      </w:r>
      <w:r w:rsidR="00551182">
        <w:t>1</w:t>
      </w:r>
      <w:r w:rsidR="00F77DDD">
        <w:t>1</w:t>
      </w:r>
      <w:r>
        <w:t>: Market share of COVID-19 oral antivirals by</w:t>
      </w:r>
      <w:r w:rsidR="009A3965">
        <w:t xml:space="preserve"> </w:t>
      </w:r>
      <w:r w:rsidR="00551182">
        <w:t>supply quarter</w:t>
      </w:r>
      <w:r w:rsidR="009A3965">
        <w:t xml:space="preserve"> </w:t>
      </w:r>
    </w:p>
    <w:p w14:paraId="46E3ED51" w14:textId="77777777" w:rsidR="00C55604" w:rsidRDefault="00C55604" w:rsidP="00F8581B"/>
    <w:p w14:paraId="793C2C4F" w14:textId="5CE98EFB" w:rsidR="00D11698" w:rsidRDefault="008D4518" w:rsidP="00FA3456">
      <w:r w:rsidRPr="008D4518">
        <w:t xml:space="preserve">Figure </w:t>
      </w:r>
      <w:r w:rsidR="008755CB">
        <w:t>1</w:t>
      </w:r>
      <w:r w:rsidR="00F77DDD">
        <w:t>1</w:t>
      </w:r>
      <w:r w:rsidRPr="008D4518">
        <w:t xml:space="preserve"> shows the market share distribution </w:t>
      </w:r>
      <w:r>
        <w:t>of the COVID-19 antivirals</w:t>
      </w:r>
      <w:r w:rsidR="00466F76">
        <w:t xml:space="preserve">, molnupiravir and nirmatrelvir </w:t>
      </w:r>
      <w:r w:rsidR="00B17A14">
        <w:t>and</w:t>
      </w:r>
      <w:r w:rsidR="00466F76">
        <w:t xml:space="preserve"> ritonavir. </w:t>
      </w:r>
      <w:r w:rsidR="003259DF">
        <w:t>Although</w:t>
      </w:r>
      <w:r w:rsidR="00551182">
        <w:t xml:space="preserve"> molnupiravir accounted for a greater proportion of the market share compared to nirmatrelvir (&amp;) ritonavir</w:t>
      </w:r>
      <w:r w:rsidR="003259DF">
        <w:t xml:space="preserve"> since PBS listing, its market share </w:t>
      </w:r>
      <w:r w:rsidR="00642D43">
        <w:t>ha</w:t>
      </w:r>
      <w:r w:rsidR="002008A9">
        <w:t>d</w:t>
      </w:r>
      <w:r w:rsidR="00642D43">
        <w:t xml:space="preserve"> decreased</w:t>
      </w:r>
      <w:r w:rsidR="003259DF">
        <w:t xml:space="preserve"> over time. </w:t>
      </w:r>
      <w:r w:rsidR="00973F69">
        <w:t xml:space="preserve"> </w:t>
      </w:r>
    </w:p>
    <w:p w14:paraId="1D139849" w14:textId="47FF348B" w:rsidR="00C77846" w:rsidRPr="00C77846" w:rsidRDefault="00C77846" w:rsidP="00C77846">
      <w:pPr>
        <w:pStyle w:val="Tabletitle"/>
      </w:pPr>
      <w:r w:rsidRPr="00C77846" w:rsidDel="00EE2BBB">
        <w:t>Table</w:t>
      </w:r>
      <w:r w:rsidR="002B28AC">
        <w:t xml:space="preserve"> </w:t>
      </w:r>
      <w:r w:rsidR="00930743">
        <w:t>6</w:t>
      </w:r>
      <w:r w:rsidRPr="00C77846" w:rsidDel="00EE2BBB">
        <w:t xml:space="preserve">: </w:t>
      </w:r>
      <w:r w:rsidRPr="00C77846">
        <w:t xml:space="preserve">COVID-19 oral antiviral drug sequence prior to </w:t>
      </w:r>
      <w:r w:rsidR="00466F76">
        <w:t xml:space="preserve">the formalisation of clinical criteria </w:t>
      </w:r>
    </w:p>
    <w:tbl>
      <w:tblPr>
        <w:tblStyle w:val="TableGrid"/>
        <w:tblW w:w="0" w:type="auto"/>
        <w:tblLook w:val="04A0" w:firstRow="1" w:lastRow="0" w:firstColumn="1" w:lastColumn="0" w:noHBand="0" w:noVBand="1"/>
      </w:tblPr>
      <w:tblGrid>
        <w:gridCol w:w="6799"/>
        <w:gridCol w:w="2148"/>
      </w:tblGrid>
      <w:tr w:rsidR="00C77846" w:rsidRPr="009A5311" w14:paraId="0862250C" w14:textId="77777777" w:rsidTr="00C77846">
        <w:tc>
          <w:tcPr>
            <w:tcW w:w="6799" w:type="dxa"/>
            <w:shd w:val="clear" w:color="auto" w:fill="BFBFBF" w:themeFill="background1" w:themeFillShade="BF"/>
          </w:tcPr>
          <w:p w14:paraId="314B0111" w14:textId="33688C5B" w:rsidR="00C77846" w:rsidRPr="009A5311" w:rsidRDefault="00C77846" w:rsidP="009A5311">
            <w:pPr>
              <w:spacing w:before="60" w:after="60"/>
              <w:rPr>
                <w:b/>
                <w:bCs/>
                <w:sz w:val="20"/>
                <w:szCs w:val="20"/>
              </w:rPr>
            </w:pPr>
            <w:r w:rsidRPr="009A5311">
              <w:rPr>
                <w:b/>
                <w:bCs/>
                <w:sz w:val="20"/>
                <w:szCs w:val="20"/>
              </w:rPr>
              <w:t xml:space="preserve">SEQUENCE </w:t>
            </w:r>
          </w:p>
        </w:tc>
        <w:tc>
          <w:tcPr>
            <w:tcW w:w="2148" w:type="dxa"/>
            <w:shd w:val="clear" w:color="auto" w:fill="BFBFBF" w:themeFill="background1" w:themeFillShade="BF"/>
          </w:tcPr>
          <w:p w14:paraId="2574AEC9" w14:textId="346FD401" w:rsidR="00C77846" w:rsidRPr="009A5311" w:rsidRDefault="00C77846" w:rsidP="009A5311">
            <w:pPr>
              <w:spacing w:before="60" w:after="60"/>
              <w:jc w:val="center"/>
              <w:rPr>
                <w:b/>
                <w:bCs/>
                <w:sz w:val="20"/>
                <w:szCs w:val="20"/>
              </w:rPr>
            </w:pPr>
            <w:r w:rsidRPr="009A5311">
              <w:rPr>
                <w:b/>
                <w:bCs/>
                <w:sz w:val="20"/>
                <w:szCs w:val="20"/>
              </w:rPr>
              <w:t>PERCENTAGE</w:t>
            </w:r>
          </w:p>
        </w:tc>
      </w:tr>
      <w:tr w:rsidR="00C77846" w:rsidRPr="009A5311" w14:paraId="73FAFB55" w14:textId="77777777" w:rsidTr="00C77846">
        <w:tc>
          <w:tcPr>
            <w:tcW w:w="6799" w:type="dxa"/>
          </w:tcPr>
          <w:p w14:paraId="3833F089" w14:textId="03F5D60E" w:rsidR="00C77846" w:rsidRPr="009A5311" w:rsidRDefault="00C77846" w:rsidP="009A5311">
            <w:pPr>
              <w:spacing w:before="60" w:after="60"/>
              <w:rPr>
                <w:sz w:val="20"/>
                <w:szCs w:val="20"/>
              </w:rPr>
            </w:pPr>
            <w:r w:rsidRPr="009A5311">
              <w:rPr>
                <w:sz w:val="20"/>
                <w:szCs w:val="20"/>
              </w:rPr>
              <w:t xml:space="preserve">MOLNUPIRAVIR </w:t>
            </w:r>
          </w:p>
        </w:tc>
        <w:tc>
          <w:tcPr>
            <w:tcW w:w="2148" w:type="dxa"/>
          </w:tcPr>
          <w:p w14:paraId="3B9F93EF" w14:textId="1F9E8BF2" w:rsidR="00C77846" w:rsidRPr="009A5311" w:rsidRDefault="00C77846" w:rsidP="009A5311">
            <w:pPr>
              <w:spacing w:before="60" w:after="60"/>
              <w:jc w:val="center"/>
              <w:rPr>
                <w:sz w:val="20"/>
                <w:szCs w:val="20"/>
              </w:rPr>
            </w:pPr>
            <w:r w:rsidRPr="009A5311">
              <w:rPr>
                <w:sz w:val="20"/>
                <w:szCs w:val="20"/>
              </w:rPr>
              <w:t>64.9%</w:t>
            </w:r>
          </w:p>
        </w:tc>
      </w:tr>
      <w:tr w:rsidR="00C77846" w:rsidRPr="009A5311" w14:paraId="702A0792" w14:textId="77777777" w:rsidTr="00C77846">
        <w:tc>
          <w:tcPr>
            <w:tcW w:w="6799" w:type="dxa"/>
          </w:tcPr>
          <w:p w14:paraId="7E88DEF7" w14:textId="7F522AB1" w:rsidR="00C77846" w:rsidRPr="009A5311" w:rsidRDefault="00C77846" w:rsidP="009A5311">
            <w:pPr>
              <w:spacing w:before="60" w:after="60"/>
              <w:rPr>
                <w:sz w:val="20"/>
                <w:szCs w:val="20"/>
              </w:rPr>
            </w:pPr>
            <w:r w:rsidRPr="009A5311">
              <w:rPr>
                <w:sz w:val="20"/>
                <w:szCs w:val="20"/>
              </w:rPr>
              <w:t>NIRMATRELVIR</w:t>
            </w:r>
            <w:r w:rsidR="00B17A14" w:rsidRPr="009A5311">
              <w:rPr>
                <w:sz w:val="20"/>
                <w:szCs w:val="20"/>
              </w:rPr>
              <w:t xml:space="preserve"> </w:t>
            </w:r>
            <w:r w:rsidRPr="009A5311">
              <w:rPr>
                <w:sz w:val="20"/>
                <w:szCs w:val="20"/>
              </w:rPr>
              <w:t>&amp; RITONAVIR</w:t>
            </w:r>
          </w:p>
        </w:tc>
        <w:tc>
          <w:tcPr>
            <w:tcW w:w="2148" w:type="dxa"/>
          </w:tcPr>
          <w:p w14:paraId="63DEA9EE" w14:textId="28008797" w:rsidR="00C77846" w:rsidRPr="009A5311" w:rsidRDefault="00C77846" w:rsidP="009A5311">
            <w:pPr>
              <w:spacing w:before="60" w:after="60"/>
              <w:jc w:val="center"/>
              <w:rPr>
                <w:sz w:val="20"/>
                <w:szCs w:val="20"/>
              </w:rPr>
            </w:pPr>
            <w:r w:rsidRPr="009A5311">
              <w:rPr>
                <w:sz w:val="20"/>
                <w:szCs w:val="20"/>
              </w:rPr>
              <w:t>32.5%</w:t>
            </w:r>
          </w:p>
        </w:tc>
      </w:tr>
      <w:tr w:rsidR="00C77846" w:rsidRPr="009A5311" w14:paraId="602E43C3" w14:textId="77777777" w:rsidTr="00C77846">
        <w:tc>
          <w:tcPr>
            <w:tcW w:w="6799" w:type="dxa"/>
          </w:tcPr>
          <w:p w14:paraId="17714C66" w14:textId="4A9A68FE" w:rsidR="00C77846" w:rsidRPr="009A5311" w:rsidRDefault="00C77846" w:rsidP="009A5311">
            <w:pPr>
              <w:spacing w:before="60" w:after="60"/>
              <w:rPr>
                <w:sz w:val="20"/>
                <w:szCs w:val="20"/>
              </w:rPr>
            </w:pPr>
            <w:r w:rsidRPr="009A5311">
              <w:rPr>
                <w:sz w:val="20"/>
                <w:szCs w:val="20"/>
              </w:rPr>
              <w:t>MOLNUPIRAVIR&gt;NIRMATRELVIR &amp; RITONAVIR</w:t>
            </w:r>
          </w:p>
        </w:tc>
        <w:tc>
          <w:tcPr>
            <w:tcW w:w="2148" w:type="dxa"/>
          </w:tcPr>
          <w:p w14:paraId="708CAF4E" w14:textId="49425FF7" w:rsidR="00C77846" w:rsidRPr="009A5311" w:rsidRDefault="00C77846" w:rsidP="009A5311">
            <w:pPr>
              <w:spacing w:before="60" w:after="60"/>
              <w:jc w:val="center"/>
              <w:rPr>
                <w:sz w:val="20"/>
                <w:szCs w:val="20"/>
              </w:rPr>
            </w:pPr>
            <w:r w:rsidRPr="009A5311">
              <w:rPr>
                <w:sz w:val="20"/>
                <w:szCs w:val="20"/>
              </w:rPr>
              <w:t>1.6%</w:t>
            </w:r>
          </w:p>
        </w:tc>
      </w:tr>
      <w:tr w:rsidR="00C77846" w:rsidRPr="009A5311" w14:paraId="650821AF" w14:textId="77777777" w:rsidTr="00C77846">
        <w:tc>
          <w:tcPr>
            <w:tcW w:w="6799" w:type="dxa"/>
          </w:tcPr>
          <w:p w14:paraId="69EA7690" w14:textId="0CB1D6E4" w:rsidR="00C77846" w:rsidRPr="009A5311" w:rsidRDefault="00C77846" w:rsidP="009A5311">
            <w:pPr>
              <w:spacing w:before="60" w:after="60"/>
              <w:rPr>
                <w:sz w:val="20"/>
                <w:szCs w:val="20"/>
              </w:rPr>
            </w:pPr>
            <w:r w:rsidRPr="009A5311">
              <w:rPr>
                <w:sz w:val="20"/>
                <w:szCs w:val="20"/>
              </w:rPr>
              <w:t>NIRMATRELVIR &amp;</w:t>
            </w:r>
            <w:r w:rsidR="00B17A14" w:rsidRPr="009A5311">
              <w:rPr>
                <w:sz w:val="20"/>
                <w:szCs w:val="20"/>
              </w:rPr>
              <w:t xml:space="preserve"> </w:t>
            </w:r>
            <w:r w:rsidRPr="009A5311">
              <w:rPr>
                <w:sz w:val="20"/>
                <w:szCs w:val="20"/>
              </w:rPr>
              <w:t>RITONAVIR&gt;MOLNUPIRAVIR</w:t>
            </w:r>
          </w:p>
        </w:tc>
        <w:tc>
          <w:tcPr>
            <w:tcW w:w="2148" w:type="dxa"/>
          </w:tcPr>
          <w:p w14:paraId="62D373A3" w14:textId="30800E16" w:rsidR="00C77846" w:rsidRPr="009A5311" w:rsidRDefault="00C77846" w:rsidP="009A5311">
            <w:pPr>
              <w:spacing w:before="60" w:after="60"/>
              <w:jc w:val="center"/>
              <w:rPr>
                <w:sz w:val="20"/>
                <w:szCs w:val="20"/>
              </w:rPr>
            </w:pPr>
            <w:r w:rsidRPr="009A5311">
              <w:rPr>
                <w:sz w:val="20"/>
                <w:szCs w:val="20"/>
              </w:rPr>
              <w:t>0.9%</w:t>
            </w:r>
          </w:p>
        </w:tc>
      </w:tr>
      <w:tr w:rsidR="00C77846" w:rsidRPr="009A5311" w14:paraId="2C88B8B5" w14:textId="77777777" w:rsidTr="00C77846">
        <w:tc>
          <w:tcPr>
            <w:tcW w:w="6799" w:type="dxa"/>
          </w:tcPr>
          <w:p w14:paraId="4AFA2E99" w14:textId="3A201761" w:rsidR="00C77846" w:rsidRPr="009A5311" w:rsidRDefault="00C77846" w:rsidP="009A5311">
            <w:pPr>
              <w:spacing w:before="60" w:after="60"/>
              <w:rPr>
                <w:sz w:val="20"/>
                <w:szCs w:val="20"/>
              </w:rPr>
            </w:pPr>
            <w:r w:rsidRPr="009A5311">
              <w:rPr>
                <w:sz w:val="20"/>
                <w:szCs w:val="20"/>
              </w:rPr>
              <w:t xml:space="preserve">Other sequences </w:t>
            </w:r>
          </w:p>
        </w:tc>
        <w:tc>
          <w:tcPr>
            <w:tcW w:w="2148" w:type="dxa"/>
          </w:tcPr>
          <w:p w14:paraId="7ADA8762" w14:textId="20894B70" w:rsidR="00C77846" w:rsidRPr="009A5311" w:rsidRDefault="001A2589" w:rsidP="009A5311">
            <w:pPr>
              <w:spacing w:before="60" w:after="60"/>
              <w:jc w:val="center"/>
              <w:rPr>
                <w:sz w:val="20"/>
                <w:szCs w:val="20"/>
              </w:rPr>
            </w:pPr>
            <w:r w:rsidRPr="009A5311">
              <w:rPr>
                <w:sz w:val="20"/>
                <w:szCs w:val="20"/>
              </w:rPr>
              <w:t>&lt;</w:t>
            </w:r>
            <w:r w:rsidR="00C77846" w:rsidRPr="009A5311">
              <w:rPr>
                <w:sz w:val="20"/>
                <w:szCs w:val="20"/>
              </w:rPr>
              <w:t>0.1%</w:t>
            </w:r>
          </w:p>
        </w:tc>
      </w:tr>
    </w:tbl>
    <w:p w14:paraId="1423929D" w14:textId="77777777" w:rsidR="00031998" w:rsidRDefault="00031998" w:rsidP="00FA3456"/>
    <w:p w14:paraId="605343B8" w14:textId="071F0D8D" w:rsidR="00B17A14" w:rsidRPr="00334A80" w:rsidRDefault="00551182" w:rsidP="00FA3456">
      <w:r w:rsidRPr="00334A80">
        <w:t>Table</w:t>
      </w:r>
      <w:r w:rsidR="000611B5" w:rsidRPr="00334A80">
        <w:t xml:space="preserve"> </w:t>
      </w:r>
      <w:r w:rsidR="00930743" w:rsidRPr="00334A80">
        <w:t>6</w:t>
      </w:r>
      <w:r w:rsidRPr="00334A80">
        <w:t xml:space="preserve"> shows the drug </w:t>
      </w:r>
      <w:r w:rsidR="00334A80">
        <w:t>sequencing</w:t>
      </w:r>
      <w:r w:rsidRPr="00334A80">
        <w:t xml:space="preserve"> prior to the </w:t>
      </w:r>
      <w:r w:rsidR="00005EB8" w:rsidRPr="00334A80">
        <w:t>formalisation</w:t>
      </w:r>
      <w:r w:rsidRPr="00334A80">
        <w:t xml:space="preserve"> of the clinical criteria</w:t>
      </w:r>
      <w:r w:rsidR="00296E06" w:rsidRPr="00334A80">
        <w:t xml:space="preserve"> requiring patients</w:t>
      </w:r>
      <w:r w:rsidR="003259DF" w:rsidRPr="00334A80">
        <w:t xml:space="preserve"> treated </w:t>
      </w:r>
      <w:r w:rsidR="00334A80" w:rsidRPr="00334A80">
        <w:t>with molnupiravir only when contraindicated to nirmatrelvir (&amp;) ritonavir.</w:t>
      </w:r>
      <w:r w:rsidR="00334A80">
        <w:t xml:space="preserve"> </w:t>
      </w:r>
      <w:r w:rsidR="00296E06" w:rsidRPr="00334A80">
        <w:t xml:space="preserve">The majority of patients received one supply of </w:t>
      </w:r>
      <w:r w:rsidR="00594752" w:rsidRPr="00334A80">
        <w:t xml:space="preserve">a COVID-19 </w:t>
      </w:r>
      <w:r w:rsidR="00334A80">
        <w:t xml:space="preserve">oral </w:t>
      </w:r>
      <w:r w:rsidR="00594752" w:rsidRPr="00334A80">
        <w:t xml:space="preserve">antiviral, with most patients </w:t>
      </w:r>
      <w:r w:rsidR="00334A80">
        <w:t>only being treated with</w:t>
      </w:r>
      <w:r w:rsidR="00594752" w:rsidRPr="00334A80">
        <w:t xml:space="preserve"> molnupiravir. </w:t>
      </w:r>
    </w:p>
    <w:p w14:paraId="766CED30" w14:textId="77777777" w:rsidR="003259DF" w:rsidRDefault="003259DF" w:rsidP="00FA3456"/>
    <w:p w14:paraId="02C94141" w14:textId="77777777" w:rsidR="00334A80" w:rsidRDefault="00334A80" w:rsidP="00FA3456"/>
    <w:p w14:paraId="1F39C297" w14:textId="77777777" w:rsidR="00334A80" w:rsidRDefault="00334A80" w:rsidP="00FA3456"/>
    <w:p w14:paraId="08D53832" w14:textId="315E30E4" w:rsidR="00C77846" w:rsidRPr="00C77846" w:rsidRDefault="00C77846" w:rsidP="00C77846">
      <w:pPr>
        <w:pStyle w:val="Tabletitle"/>
      </w:pPr>
      <w:r w:rsidRPr="00C77846" w:rsidDel="00EE2BBB">
        <w:lastRenderedPageBreak/>
        <w:t xml:space="preserve">Table </w:t>
      </w:r>
      <w:r w:rsidR="00930743">
        <w:t>7</w:t>
      </w:r>
      <w:r w:rsidRPr="00C77846" w:rsidDel="00EE2BBB">
        <w:t xml:space="preserve">: </w:t>
      </w:r>
      <w:r w:rsidRPr="00C77846">
        <w:t xml:space="preserve">COVID-19 oral antiviral drug sequence </w:t>
      </w:r>
      <w:r>
        <w:t>following</w:t>
      </w:r>
      <w:r w:rsidRPr="00C77846">
        <w:t xml:space="preserve"> the </w:t>
      </w:r>
      <w:r w:rsidR="009E7FC3">
        <w:t>formalisation of clinical criteria</w:t>
      </w:r>
    </w:p>
    <w:tbl>
      <w:tblPr>
        <w:tblStyle w:val="TableGrid"/>
        <w:tblW w:w="0" w:type="auto"/>
        <w:tblLook w:val="04A0" w:firstRow="1" w:lastRow="0" w:firstColumn="1" w:lastColumn="0" w:noHBand="0" w:noVBand="1"/>
      </w:tblPr>
      <w:tblGrid>
        <w:gridCol w:w="6799"/>
        <w:gridCol w:w="2148"/>
      </w:tblGrid>
      <w:tr w:rsidR="00C77846" w:rsidRPr="009A5311" w14:paraId="12BCFE55" w14:textId="77777777" w:rsidTr="001A2589">
        <w:tc>
          <w:tcPr>
            <w:tcW w:w="6799" w:type="dxa"/>
            <w:shd w:val="clear" w:color="auto" w:fill="BFBFBF" w:themeFill="background1" w:themeFillShade="BF"/>
          </w:tcPr>
          <w:p w14:paraId="76D990C1" w14:textId="20CB94AB" w:rsidR="00C77846" w:rsidRPr="009A5311" w:rsidRDefault="00C77846" w:rsidP="009A5311">
            <w:pPr>
              <w:spacing w:before="60" w:after="60"/>
              <w:rPr>
                <w:b/>
                <w:bCs/>
                <w:sz w:val="20"/>
                <w:szCs w:val="20"/>
              </w:rPr>
            </w:pPr>
            <w:r w:rsidRPr="009A5311">
              <w:rPr>
                <w:b/>
                <w:bCs/>
                <w:sz w:val="20"/>
                <w:szCs w:val="20"/>
              </w:rPr>
              <w:t xml:space="preserve">SEQUENCE </w:t>
            </w:r>
          </w:p>
        </w:tc>
        <w:tc>
          <w:tcPr>
            <w:tcW w:w="2148" w:type="dxa"/>
            <w:shd w:val="clear" w:color="auto" w:fill="BFBFBF" w:themeFill="background1" w:themeFillShade="BF"/>
          </w:tcPr>
          <w:p w14:paraId="13933DF8" w14:textId="4E1FC906" w:rsidR="00C77846" w:rsidRPr="009A5311" w:rsidRDefault="001A2589" w:rsidP="009A5311">
            <w:pPr>
              <w:spacing w:before="60" w:after="60"/>
              <w:jc w:val="center"/>
              <w:rPr>
                <w:b/>
                <w:bCs/>
                <w:sz w:val="20"/>
                <w:szCs w:val="20"/>
              </w:rPr>
            </w:pPr>
            <w:r w:rsidRPr="009A5311">
              <w:rPr>
                <w:b/>
                <w:bCs/>
                <w:sz w:val="20"/>
                <w:szCs w:val="20"/>
              </w:rPr>
              <w:t>PERCENTAGE</w:t>
            </w:r>
          </w:p>
        </w:tc>
      </w:tr>
      <w:tr w:rsidR="001A2589" w:rsidRPr="009A5311" w14:paraId="388BF639" w14:textId="77777777" w:rsidTr="001A2589">
        <w:tc>
          <w:tcPr>
            <w:tcW w:w="6799" w:type="dxa"/>
          </w:tcPr>
          <w:p w14:paraId="7775AEEF" w14:textId="5415176D" w:rsidR="001A2589" w:rsidRPr="009A5311" w:rsidRDefault="001A2589" w:rsidP="009A5311">
            <w:pPr>
              <w:spacing w:before="60" w:after="60"/>
              <w:rPr>
                <w:sz w:val="20"/>
                <w:szCs w:val="20"/>
              </w:rPr>
            </w:pPr>
            <w:r w:rsidRPr="009A5311">
              <w:rPr>
                <w:sz w:val="20"/>
                <w:szCs w:val="20"/>
              </w:rPr>
              <w:t xml:space="preserve">MOLNUPIRAVIR </w:t>
            </w:r>
          </w:p>
        </w:tc>
        <w:tc>
          <w:tcPr>
            <w:tcW w:w="2148" w:type="dxa"/>
          </w:tcPr>
          <w:p w14:paraId="78C4FF88" w14:textId="670C019B" w:rsidR="001A2589" w:rsidRPr="009A5311" w:rsidRDefault="001A2589" w:rsidP="009A5311">
            <w:pPr>
              <w:spacing w:before="60" w:after="60"/>
              <w:jc w:val="center"/>
              <w:rPr>
                <w:sz w:val="20"/>
                <w:szCs w:val="20"/>
              </w:rPr>
            </w:pPr>
            <w:r w:rsidRPr="009A5311">
              <w:rPr>
                <w:sz w:val="20"/>
                <w:szCs w:val="20"/>
              </w:rPr>
              <w:t>57.6%</w:t>
            </w:r>
          </w:p>
        </w:tc>
      </w:tr>
      <w:tr w:rsidR="001A2589" w:rsidRPr="009A5311" w14:paraId="662175C1" w14:textId="77777777" w:rsidTr="001A2589">
        <w:tc>
          <w:tcPr>
            <w:tcW w:w="6799" w:type="dxa"/>
          </w:tcPr>
          <w:p w14:paraId="6C71BF3F" w14:textId="48308079" w:rsidR="001A2589" w:rsidRPr="009A5311" w:rsidRDefault="001A2589" w:rsidP="009A5311">
            <w:pPr>
              <w:spacing w:before="60" w:after="60"/>
              <w:rPr>
                <w:sz w:val="20"/>
                <w:szCs w:val="20"/>
              </w:rPr>
            </w:pPr>
            <w:r w:rsidRPr="009A5311">
              <w:rPr>
                <w:sz w:val="20"/>
                <w:szCs w:val="20"/>
              </w:rPr>
              <w:t>NIRMATRELVIR (&amp;) RITONAVIR</w:t>
            </w:r>
          </w:p>
        </w:tc>
        <w:tc>
          <w:tcPr>
            <w:tcW w:w="2148" w:type="dxa"/>
          </w:tcPr>
          <w:p w14:paraId="62C2CC38" w14:textId="395E4FB3" w:rsidR="001A2589" w:rsidRPr="009A5311" w:rsidRDefault="001A2589" w:rsidP="009A5311">
            <w:pPr>
              <w:spacing w:before="60" w:after="60"/>
              <w:jc w:val="center"/>
              <w:rPr>
                <w:sz w:val="20"/>
                <w:szCs w:val="20"/>
              </w:rPr>
            </w:pPr>
            <w:r w:rsidRPr="009A5311">
              <w:rPr>
                <w:sz w:val="20"/>
                <w:szCs w:val="20"/>
              </w:rPr>
              <w:t>41.9%</w:t>
            </w:r>
          </w:p>
        </w:tc>
      </w:tr>
      <w:tr w:rsidR="001A2589" w:rsidRPr="009A5311" w14:paraId="29B90123" w14:textId="77777777" w:rsidTr="001A2589">
        <w:tc>
          <w:tcPr>
            <w:tcW w:w="6799" w:type="dxa"/>
          </w:tcPr>
          <w:p w14:paraId="2CAF5F28" w14:textId="07BD6D90" w:rsidR="001A2589" w:rsidRPr="009A5311" w:rsidRDefault="001A2589" w:rsidP="009A5311">
            <w:pPr>
              <w:spacing w:before="60" w:after="60"/>
              <w:rPr>
                <w:sz w:val="20"/>
                <w:szCs w:val="20"/>
              </w:rPr>
            </w:pPr>
            <w:r w:rsidRPr="009A5311">
              <w:rPr>
                <w:sz w:val="20"/>
                <w:szCs w:val="20"/>
              </w:rPr>
              <w:t>MOLNUPIRAVIR&gt;NIRMATRELVIR (&amp;) RITONAVIR</w:t>
            </w:r>
          </w:p>
        </w:tc>
        <w:tc>
          <w:tcPr>
            <w:tcW w:w="2148" w:type="dxa"/>
          </w:tcPr>
          <w:p w14:paraId="5EE2468A" w14:textId="4421106E" w:rsidR="001A2589" w:rsidRPr="009A5311" w:rsidRDefault="001A2589" w:rsidP="009A5311">
            <w:pPr>
              <w:spacing w:before="60" w:after="60"/>
              <w:jc w:val="center"/>
              <w:rPr>
                <w:sz w:val="20"/>
                <w:szCs w:val="20"/>
              </w:rPr>
            </w:pPr>
            <w:r w:rsidRPr="009A5311">
              <w:rPr>
                <w:sz w:val="20"/>
                <w:szCs w:val="20"/>
              </w:rPr>
              <w:t>0.3%</w:t>
            </w:r>
          </w:p>
        </w:tc>
      </w:tr>
      <w:tr w:rsidR="001A2589" w:rsidRPr="009A5311" w14:paraId="7A9A3FAC" w14:textId="77777777" w:rsidTr="001A2589">
        <w:tc>
          <w:tcPr>
            <w:tcW w:w="6799" w:type="dxa"/>
          </w:tcPr>
          <w:p w14:paraId="396D6FDC" w14:textId="0920EB5B" w:rsidR="001A2589" w:rsidRPr="009A5311" w:rsidRDefault="001A2589" w:rsidP="009A5311">
            <w:pPr>
              <w:spacing w:before="60" w:after="60"/>
              <w:rPr>
                <w:sz w:val="20"/>
                <w:szCs w:val="20"/>
              </w:rPr>
            </w:pPr>
            <w:r w:rsidRPr="009A5311">
              <w:rPr>
                <w:sz w:val="20"/>
                <w:szCs w:val="20"/>
              </w:rPr>
              <w:t>NIRMATRELVIR (&amp;) RITONAVIR&gt;MOLNUPIRAVIR</w:t>
            </w:r>
          </w:p>
        </w:tc>
        <w:tc>
          <w:tcPr>
            <w:tcW w:w="2148" w:type="dxa"/>
          </w:tcPr>
          <w:p w14:paraId="36692416" w14:textId="3AA5D3A5" w:rsidR="001A2589" w:rsidRPr="009A5311" w:rsidRDefault="001A2589" w:rsidP="009A5311">
            <w:pPr>
              <w:spacing w:before="60" w:after="60"/>
              <w:jc w:val="center"/>
              <w:rPr>
                <w:sz w:val="20"/>
                <w:szCs w:val="20"/>
              </w:rPr>
            </w:pPr>
            <w:r w:rsidRPr="009A5311">
              <w:rPr>
                <w:sz w:val="20"/>
                <w:szCs w:val="20"/>
              </w:rPr>
              <w:t>0.2%</w:t>
            </w:r>
          </w:p>
        </w:tc>
      </w:tr>
      <w:tr w:rsidR="001A2589" w:rsidRPr="009A5311" w14:paraId="663DF951" w14:textId="77777777" w:rsidTr="001A2589">
        <w:tc>
          <w:tcPr>
            <w:tcW w:w="6799" w:type="dxa"/>
          </w:tcPr>
          <w:p w14:paraId="17C58B96" w14:textId="78CE9A02" w:rsidR="001A2589" w:rsidRPr="009A5311" w:rsidRDefault="001A2589" w:rsidP="009A5311">
            <w:pPr>
              <w:spacing w:before="60" w:after="60"/>
              <w:rPr>
                <w:sz w:val="20"/>
                <w:szCs w:val="20"/>
              </w:rPr>
            </w:pPr>
            <w:r w:rsidRPr="009A5311">
              <w:rPr>
                <w:sz w:val="20"/>
                <w:szCs w:val="20"/>
              </w:rPr>
              <w:t>Other sequences</w:t>
            </w:r>
          </w:p>
        </w:tc>
        <w:tc>
          <w:tcPr>
            <w:tcW w:w="2148" w:type="dxa"/>
          </w:tcPr>
          <w:p w14:paraId="1088AC12" w14:textId="2F1A5706" w:rsidR="001A2589" w:rsidRPr="009A5311" w:rsidRDefault="001A2589" w:rsidP="009A5311">
            <w:pPr>
              <w:spacing w:before="60" w:after="60"/>
              <w:jc w:val="center"/>
              <w:rPr>
                <w:sz w:val="20"/>
                <w:szCs w:val="20"/>
              </w:rPr>
            </w:pPr>
            <w:r w:rsidRPr="009A5311">
              <w:rPr>
                <w:sz w:val="20"/>
                <w:szCs w:val="20"/>
              </w:rPr>
              <w:t>&lt;0.1%</w:t>
            </w:r>
          </w:p>
        </w:tc>
      </w:tr>
    </w:tbl>
    <w:p w14:paraId="5A8584A5" w14:textId="77777777" w:rsidR="009832D0" w:rsidRDefault="009832D0" w:rsidP="00FA3456"/>
    <w:p w14:paraId="1FF4C384" w14:textId="333A19D2" w:rsidR="0097267A" w:rsidRDefault="00466F76" w:rsidP="00FA3456">
      <w:r>
        <w:t xml:space="preserve">Table </w:t>
      </w:r>
      <w:r w:rsidR="00334A80">
        <w:t>7</w:t>
      </w:r>
      <w:r>
        <w:t xml:space="preserve"> shows following the </w:t>
      </w:r>
      <w:r w:rsidR="00B17A14">
        <w:t>formalisation</w:t>
      </w:r>
      <w:r>
        <w:t xml:space="preserve"> of the clinical cri</w:t>
      </w:r>
      <w:r w:rsidR="009E7FC3">
        <w:t>teria</w:t>
      </w:r>
      <w:r w:rsidR="00B17A14">
        <w:t xml:space="preserve"> in the restriction requiring molnupiravir treated patients to have a contraindication to nirmatrelvir </w:t>
      </w:r>
      <w:r w:rsidR="00642D43">
        <w:t>(&amp;)</w:t>
      </w:r>
      <w:r w:rsidR="00B17A14">
        <w:t xml:space="preserve"> ritonavir, the proportion of patients treated with molnupiravir ha</w:t>
      </w:r>
      <w:r w:rsidR="002008A9">
        <w:t>d</w:t>
      </w:r>
      <w:r w:rsidR="00B17A14">
        <w:t xml:space="preserve"> decreased.</w:t>
      </w:r>
    </w:p>
    <w:p w14:paraId="2D240269" w14:textId="77777777" w:rsidR="00C638A6" w:rsidRDefault="00C638A6" w:rsidP="00FA3456"/>
    <w:p w14:paraId="75F1853C" w14:textId="77777777" w:rsidR="00C638A6" w:rsidRPr="0047144F" w:rsidRDefault="00C638A6" w:rsidP="00C638A6">
      <w:pPr>
        <w:jc w:val="center"/>
      </w:pPr>
      <w:r>
        <w:rPr>
          <w:noProof/>
        </w:rPr>
        <w:drawing>
          <wp:inline distT="0" distB="0" distL="0" distR="0" wp14:anchorId="1D718CC5" wp14:editId="03142B5F">
            <wp:extent cx="4993200" cy="3045600"/>
            <wp:effectExtent l="0" t="0" r="17145" b="2540"/>
            <wp:docPr id="5" name="Chart 5">
              <a:extLst xmlns:a="http://schemas.openxmlformats.org/drawingml/2006/main">
                <a:ext uri="{FF2B5EF4-FFF2-40B4-BE49-F238E27FC236}">
                  <a16:creationId xmlns:a16="http://schemas.microsoft.com/office/drawing/2014/main" id="{F706D1FB-360D-278B-5F4B-9144B453704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6D06FF1" w14:textId="77BE2374" w:rsidR="00C638A6" w:rsidRDefault="00C638A6" w:rsidP="00334A80">
      <w:pPr>
        <w:pStyle w:val="Figuretitle"/>
      </w:pPr>
      <w:r>
        <w:t xml:space="preserve">Figure </w:t>
      </w:r>
      <w:r w:rsidR="00334A80">
        <w:t>1</w:t>
      </w:r>
      <w:r w:rsidR="00F77DDD">
        <w:t>2</w:t>
      </w:r>
      <w:r>
        <w:t xml:space="preserve">: </w:t>
      </w:r>
      <w:r w:rsidR="00CC73FB">
        <w:t>Utilisation of p</w:t>
      </w:r>
      <w:r>
        <w:t xml:space="preserve">rescriber bag listings by drug and supply quarter </w:t>
      </w:r>
    </w:p>
    <w:p w14:paraId="5380D958" w14:textId="77777777" w:rsidR="00334A80" w:rsidRPr="00334A80" w:rsidRDefault="00334A80" w:rsidP="00334A80"/>
    <w:p w14:paraId="15634C44" w14:textId="1EAEABCC" w:rsidR="00C638A6" w:rsidRDefault="00C638A6" w:rsidP="00C638A6">
      <w:r>
        <w:t xml:space="preserve">Figure </w:t>
      </w:r>
      <w:r w:rsidR="00334A80">
        <w:t>1</w:t>
      </w:r>
      <w:r w:rsidR="00F77DDD">
        <w:t>2</w:t>
      </w:r>
      <w:r>
        <w:t xml:space="preserve"> shows utilisation of </w:t>
      </w:r>
      <w:r w:rsidR="00F77DDD">
        <w:t xml:space="preserve">Prescriber Bag COVID-19 oral antiviral </w:t>
      </w:r>
      <w:r w:rsidR="00334A80">
        <w:t>listings</w:t>
      </w:r>
      <w:r>
        <w:t xml:space="preserve">. </w:t>
      </w:r>
      <w:r w:rsidR="00334A80">
        <w:t xml:space="preserve">In contrast to utilisation trends observed in the General Schedule listings, a greater </w:t>
      </w:r>
      <w:r w:rsidR="001C2212">
        <w:t xml:space="preserve">number of </w:t>
      </w:r>
      <w:r w:rsidR="00334A80">
        <w:t xml:space="preserve"> nirmatrelvir </w:t>
      </w:r>
      <w:r w:rsidR="00642D43">
        <w:t>(&amp;)</w:t>
      </w:r>
      <w:r w:rsidR="00334A80">
        <w:t xml:space="preserve"> ritonavir prescriptions were supplied compared to molnupiravir. </w:t>
      </w:r>
    </w:p>
    <w:p w14:paraId="33985494" w14:textId="77777777" w:rsidR="00C638A6" w:rsidRDefault="00C638A6" w:rsidP="00FA3456"/>
    <w:p w14:paraId="243D64E4" w14:textId="77777777" w:rsidR="00334A80" w:rsidRDefault="00334A80">
      <w:pPr>
        <w:spacing w:line="276" w:lineRule="auto"/>
        <w:rPr>
          <w:rFonts w:eastAsiaTheme="majorEastAsia" w:cstheme="majorBidi"/>
          <w:b/>
          <w:bCs/>
          <w:sz w:val="32"/>
          <w:szCs w:val="32"/>
        </w:rPr>
      </w:pPr>
      <w:r>
        <w:br w:type="page"/>
      </w:r>
    </w:p>
    <w:p w14:paraId="3555DFBA" w14:textId="20D4F165" w:rsidR="00591512" w:rsidRDefault="00AB3733" w:rsidP="00F73113">
      <w:pPr>
        <w:pStyle w:val="Heading1"/>
      </w:pPr>
      <w:r>
        <w:lastRenderedPageBreak/>
        <w:t>D</w:t>
      </w:r>
      <w:r w:rsidR="007346C7" w:rsidRPr="005E22C2">
        <w:t>iscussion</w:t>
      </w:r>
    </w:p>
    <w:p w14:paraId="3816BE20" w14:textId="17FB2F99" w:rsidR="00FD565F" w:rsidRDefault="002B28AC" w:rsidP="002B28AC">
      <w:r>
        <w:t>Since its PBS listing, molnupiravir accounted for a greater proportion of</w:t>
      </w:r>
      <w:r w:rsidR="00431231">
        <w:t xml:space="preserve"> the COVID-19 oral antiviral</w:t>
      </w:r>
      <w:r>
        <w:t xml:space="preserve"> market share compared to nirmatrelvir </w:t>
      </w:r>
      <w:r w:rsidR="00431231">
        <w:t>and</w:t>
      </w:r>
      <w:r>
        <w:t xml:space="preserve"> ritonavir (Figure </w:t>
      </w:r>
      <w:r w:rsidR="001C2212">
        <w:t>1</w:t>
      </w:r>
      <w:r w:rsidR="00F77DDD">
        <w:t>0</w:t>
      </w:r>
      <w:r>
        <w:t xml:space="preserve">). </w:t>
      </w:r>
      <w:r w:rsidR="00ED7C2E">
        <w:t>At its November 2023 meeting, the PBAC noted that nirmatrelvir and ritonavir is a more effective treatment than molnupiravir, however nirmatrelvir and ritonavir is contraindicated in patients with severe renal or hepatic impairment, and contraindicated for use with certain other drugs, due to the risk of significant drug-drug interactions (paragraph 14.1, molnupiravir Public Summary Document, July 2023 with addendum November 2023).</w:t>
      </w:r>
      <w:r>
        <w:t xml:space="preserve"> </w:t>
      </w:r>
    </w:p>
    <w:p w14:paraId="5FA40909" w14:textId="1DCBC563" w:rsidR="001C2212" w:rsidRDefault="00FD565F" w:rsidP="001C2212">
      <w:r>
        <w:t xml:space="preserve">The PBAC recommended the formalisation of the Administration </w:t>
      </w:r>
      <w:r w:rsidR="006E2B32">
        <w:t>N</w:t>
      </w:r>
      <w:r>
        <w:t xml:space="preserve">ote into the clinical criterion and noted it is likely that it would take time to see the effect of the restriction change and over time this should reflect only patients strictly contraindicated for nirmatrelvir and ritonavir (approximately 15%, paragraph 13.28 molnupiravir Public Summary Document July 2023 with addendum November 2023). As shown in Figure </w:t>
      </w:r>
      <w:r w:rsidR="001C2212">
        <w:t>1</w:t>
      </w:r>
      <w:r w:rsidR="00F77DDD">
        <w:t>1</w:t>
      </w:r>
      <w:r>
        <w:t xml:space="preserve">, molnupiravir </w:t>
      </w:r>
      <w:r w:rsidR="00431231">
        <w:t>had</w:t>
      </w:r>
      <w:r>
        <w:t xml:space="preserve"> a market share of approximately 57% </w:t>
      </w:r>
      <w:r w:rsidR="00431231">
        <w:t>since the formalisation of the clinical criterion</w:t>
      </w:r>
      <w:r>
        <w:t xml:space="preserve">. </w:t>
      </w:r>
      <w:r w:rsidR="00D509CB">
        <w:t xml:space="preserve">It </w:t>
      </w:r>
      <w:r w:rsidR="00564DF3">
        <w:t>wa</w:t>
      </w:r>
      <w:r w:rsidR="00D509CB">
        <w:t xml:space="preserve">s noted as part of the PBAC’s consideration of molnupiravir in November 2023, the PBAC considered that the listing of molnupiravir be considered again in 3 years. The PBAC requested DUSC conduct a </w:t>
      </w:r>
      <w:r w:rsidR="00B47343">
        <w:t xml:space="preserve">further </w:t>
      </w:r>
      <w:r w:rsidR="00D509CB">
        <w:t xml:space="preserve">review of oral antiviral utilisation for PBAC consideration in July 2026. </w:t>
      </w:r>
      <w:r w:rsidR="001C2212">
        <w:t>At the time of this review, only three months of the data were available since the formalisation of the clinical criterion. Given</w:t>
      </w:r>
      <w:r w:rsidR="003579CB">
        <w:t xml:space="preserve"> that</w:t>
      </w:r>
      <w:r w:rsidR="001C2212">
        <w:t xml:space="preserve"> </w:t>
      </w:r>
      <w:r w:rsidR="003579CB">
        <w:t>there would be 24 months of utilisation data following the formalisation of clinical criterion, further decreases in the market share of molnupiravir may be observed</w:t>
      </w:r>
      <w:r w:rsidR="003579CB" w:rsidRPr="003579CB">
        <w:t xml:space="preserve"> </w:t>
      </w:r>
      <w:r w:rsidR="003579CB">
        <w:t xml:space="preserve">when the next DUSC review is undertaken. </w:t>
      </w:r>
    </w:p>
    <w:p w14:paraId="6BA62274" w14:textId="4963FB92" w:rsidR="006E2B32" w:rsidRDefault="006E2B32" w:rsidP="002B28AC">
      <w:r>
        <w:t xml:space="preserve">The PBAC advised that the Prescriber Bag listing should be maintained for molnupiravir to provide for patients requiring urgent treatment and contraindicated to nirmatrelvir and ritonavir. </w:t>
      </w:r>
      <w:r w:rsidR="001C2212">
        <w:t>The PBAC expected utilisation of the Prescriber Bag listings to be low (paragraph 14.4 molnupiravir Public Summary Document July 2023 with addendum November 2023). As shown above, utilisation of Prescriber Bag listings</w:t>
      </w:r>
      <w:r w:rsidR="003579CB">
        <w:t xml:space="preserve"> (Figure 1</w:t>
      </w:r>
      <w:r w:rsidR="00F77DDD">
        <w:t>2</w:t>
      </w:r>
      <w:r w:rsidR="003579CB">
        <w:t>)</w:t>
      </w:r>
      <w:r w:rsidR="001C2212">
        <w:t xml:space="preserve"> were low relative to the General Schedule listings</w:t>
      </w:r>
      <w:r w:rsidR="003579CB">
        <w:t xml:space="preserve"> (Figure 1</w:t>
      </w:r>
      <w:r w:rsidR="00F77DDD">
        <w:t>0</w:t>
      </w:r>
      <w:r w:rsidR="003579CB">
        <w:t>)</w:t>
      </w:r>
      <w:r w:rsidR="001C2212">
        <w:t xml:space="preserve">. In contrast to the General Schedule listings where a greater proportion of molnupiravir prescriptions were supplied, a greater proportion of nirmatrelvir </w:t>
      </w:r>
      <w:r w:rsidR="00642D43">
        <w:t>and</w:t>
      </w:r>
      <w:r w:rsidR="001C2212">
        <w:t xml:space="preserve"> ritonavir prescriptions were supplied</w:t>
      </w:r>
      <w:r w:rsidR="003579CB">
        <w:t xml:space="preserve"> as part of the Prescriber Bag. </w:t>
      </w:r>
    </w:p>
    <w:p w14:paraId="05295C01" w14:textId="77777777" w:rsidR="0081626F" w:rsidRDefault="0081626F" w:rsidP="0081626F">
      <w:pPr>
        <w:pStyle w:val="Heading1"/>
      </w:pPr>
      <w:r>
        <w:t>DUSC consideration</w:t>
      </w:r>
    </w:p>
    <w:p w14:paraId="4B0AF321" w14:textId="5A1CB482" w:rsidR="00D71F99" w:rsidRPr="00D71F99" w:rsidRDefault="00D71F99" w:rsidP="00D71F99">
      <w:r w:rsidRPr="00D71F99">
        <w:t xml:space="preserve">DUSC noted, molnupiravir currently had a TGA provisional approval for the treatment of adults with COVID-19 who do not require initiation of oxygen due to COVID-19 and who are at increased risk for hospitalisation or death. DUSC considered the potential QUM issues associated with prescribing a medicine under provisional approval given the potential safety risks. DUSC commented that prior to molnupiravir treatment, the patient should understand the potential safety risks noting that the Consumer Medicines Information (CMI) states “LAGEVRIO has provisional approval to treat COVID-19 in adults who are at increased risk for hospitalisation or death. The decision to approve this medicine has been made on the basis of results of data available at the time of provisional approval. More </w:t>
      </w:r>
      <w:r w:rsidRPr="00D71F99">
        <w:lastRenderedPageBreak/>
        <w:t xml:space="preserve">evidence is required to be submitted when available to fully confirm the benefit and safety of LAGEVRIO for this use.” DUSC noted the CMI states a number of points related to pregnancy and reproduction. The CMI states that treatment “is not recommended in pregnancy” and males who are sexually active with a partner who has the potential to become pregnant use a reliable method of contraception during treatment and for 3 months after the last dose of molnupiravir. DUSC considered whether patients were aware of the potential for teratogenicity. DUSC considered the potential for patients to have their drug regimen disrupted due to treatment with molnupiravir and considered whether these patients returned to their usual drug regimen following treatment. </w:t>
      </w:r>
    </w:p>
    <w:p w14:paraId="7E1E0C15" w14:textId="77777777" w:rsidR="00D71F99" w:rsidRPr="00D71F99" w:rsidRDefault="00D71F99" w:rsidP="00D71F99">
      <w:r w:rsidRPr="00D71F99">
        <w:t>DUSC noted that in addition to the PBS, the oral antivirals were supplied to patients through several channels including the National Medical Stockpile, the Aboriginal Community Controlled Health Organisation (ACCHO) and via State and Territory programs. DUSC noted that for the PBS listings there was a greater utilisation of molnupiravir compared to nirmatrelvir and ritonavir. DUSC commented that utilisation had not reflected the clinical evidence. DUSC noted this contrasted with utilisation of COVID-19 oral antivirals internationally, where there had been greater utilisation of nirmatrelvir and ritonavir compared to molnupiravir.</w:t>
      </w:r>
      <w:r w:rsidRPr="00D71F99">
        <w:rPr>
          <w:vertAlign w:val="superscript"/>
        </w:rPr>
        <w:footnoteReference w:id="7"/>
      </w:r>
      <w:r w:rsidRPr="00D71F99">
        <w:t xml:space="preserve"> DUSC considered factors that may have contributed to the greater uptake of molnupiravir: </w:t>
      </w:r>
    </w:p>
    <w:p w14:paraId="61C26C53" w14:textId="77777777" w:rsidR="00D71F99" w:rsidRPr="00D71F99" w:rsidRDefault="00D71F99" w:rsidP="00D71F99">
      <w:pPr>
        <w:numPr>
          <w:ilvl w:val="0"/>
          <w:numId w:val="31"/>
        </w:numPr>
        <w:spacing w:line="276" w:lineRule="auto"/>
        <w:contextualSpacing/>
        <w:rPr>
          <w:rFonts w:cs="Times New Roman"/>
        </w:rPr>
      </w:pPr>
      <w:r w:rsidRPr="00D71F99">
        <w:rPr>
          <w:rFonts w:cs="Times New Roman"/>
        </w:rPr>
        <w:t xml:space="preserve">As molnupiravir was the first COVID-19 oral antiviral to be placed in Residential Aged Care Facilities (RACF) through the National Medicines Stockpile, it became the preferred antiviral. </w:t>
      </w:r>
    </w:p>
    <w:p w14:paraId="7AC29F2A" w14:textId="77777777" w:rsidR="00D71F99" w:rsidRPr="00D71F99" w:rsidRDefault="00D71F99" w:rsidP="00D71F99">
      <w:pPr>
        <w:numPr>
          <w:ilvl w:val="0"/>
          <w:numId w:val="31"/>
        </w:numPr>
        <w:spacing w:line="276" w:lineRule="auto"/>
        <w:contextualSpacing/>
        <w:rPr>
          <w:rFonts w:cs="Times New Roman"/>
        </w:rPr>
      </w:pPr>
      <w:r w:rsidRPr="00D71F99">
        <w:rPr>
          <w:rFonts w:cs="Times New Roman"/>
        </w:rPr>
        <w:t xml:space="preserve">The contraindications to nirmatrelvir and ritonavir which have changed over time, with limited guidance regarding its use initially and concern related to drug  interactions. </w:t>
      </w:r>
    </w:p>
    <w:p w14:paraId="006942B8" w14:textId="40F8B17E" w:rsidR="00D71F99" w:rsidRPr="00D71F99" w:rsidRDefault="00D71F99" w:rsidP="00D71F99">
      <w:pPr>
        <w:rPr>
          <w:rFonts w:cs="Times New Roman"/>
        </w:rPr>
      </w:pPr>
      <w:r w:rsidRPr="00D71F99">
        <w:rPr>
          <w:rFonts w:cs="Times New Roman"/>
        </w:rPr>
        <w:t xml:space="preserve">DUSC considered the distribution and supply of medicines and lack of guidance regarding the safety of medicines during the COVID-19 pandemic and considered how future pandemics could be approached differently. </w:t>
      </w:r>
    </w:p>
    <w:p w14:paraId="3B7464D5" w14:textId="45348EA4" w:rsidR="00D71F99" w:rsidRPr="00D71F99" w:rsidRDefault="00D71F99" w:rsidP="00D71F99">
      <w:r w:rsidRPr="00D71F99">
        <w:t xml:space="preserve">In contrast to the General Schedule listings, DUSC noted a greater proportion of nirmatrelvir and ritonavir prescriptions were supplied compared to molnupiravir as part of the Prescriber Bag. DUSC considered utilisation of the Prescriber Bag items may reflect the small proportion of clinicians who used these items in COVID-19 care centres and used nirmatrelvir with ritonavir based on best clinical practice. </w:t>
      </w:r>
    </w:p>
    <w:p w14:paraId="7B4D0881" w14:textId="77777777" w:rsidR="00D71F99" w:rsidRPr="00D71F99" w:rsidRDefault="00D71F99" w:rsidP="00D71F99">
      <w:r w:rsidRPr="00D71F99">
        <w:t xml:space="preserve">DUSC noted the PBAC requested that the DUSC conduct a review of COVID-19 oral antiviral utilisation for PBAC consideration in July 2026. The PBAC requested that the sponsor provide an update on the effectiveness, safety and cost-effectiveness of molnupiravir alongside the DUSC review to support the PBAC consideration in July 2026. DUSC noted the PBAC undertook an expediated consideration of molnupiravir due to the urgent public health need to reduce hospitalisations and deaths associated with COVID-19 during the </w:t>
      </w:r>
      <w:r w:rsidRPr="00D71F99">
        <w:lastRenderedPageBreak/>
        <w:t>pandemic. DUSC noted molnupiravir was no longer subsidised in New Zealand from 1 February 2024.</w:t>
      </w:r>
      <w:r w:rsidRPr="00D71F99">
        <w:rPr>
          <w:vertAlign w:val="superscript"/>
        </w:rPr>
        <w:footnoteReference w:id="8"/>
      </w:r>
      <w:r w:rsidRPr="00D71F99">
        <w:t xml:space="preserve"> DUSC noted the Pre-Sub-Committee Response (PSCR) statement that, “molnupiravir continues to be an important treatment choice for COVID-19, particularly for those aged over 70 years old, and those in Residential Aged Care who are contraindicated to nirmatrelvir-ritonavir. MSD looks forward to PBAC consideration of the real world effectiveness of molnupiravir and the DUSC review in July 2026”. </w:t>
      </w:r>
    </w:p>
    <w:p w14:paraId="1147FCB8" w14:textId="77777777" w:rsidR="0081626F" w:rsidRDefault="0081626F" w:rsidP="0081626F">
      <w:pPr>
        <w:pStyle w:val="Heading1"/>
      </w:pPr>
      <w:r>
        <w:t>DUSC actions</w:t>
      </w:r>
    </w:p>
    <w:p w14:paraId="023AE047" w14:textId="27BAC090" w:rsidR="007A33E3" w:rsidRPr="007A33E3" w:rsidRDefault="007A33E3" w:rsidP="0081626F">
      <w:pPr>
        <w:rPr>
          <w:highlight w:val="yellow"/>
        </w:rPr>
      </w:pPr>
      <w:r w:rsidRPr="007A33E3">
        <w:rPr>
          <w:rFonts w:eastAsia="Calibri"/>
          <w:kern w:val="2"/>
          <w14:ligatures w14:val="standardContextual"/>
        </w:rPr>
        <w:t>DUSC requested that the report be provided to the PBAC for consideration.</w:t>
      </w:r>
    </w:p>
    <w:p w14:paraId="3121DDC2" w14:textId="77777777" w:rsidR="0081626F" w:rsidRDefault="0081626F" w:rsidP="0081626F">
      <w:pPr>
        <w:pStyle w:val="Heading1"/>
      </w:pPr>
      <w:r w:rsidRPr="0092516A">
        <w:t>Context for analysis</w:t>
      </w:r>
    </w:p>
    <w:p w14:paraId="7B4535B0" w14:textId="77777777" w:rsidR="0081626F" w:rsidRDefault="0081626F" w:rsidP="0081626F">
      <w:r>
        <w:t>The DUSC is a Sub Committee of the Pharmaceutical Benefits Advisory Committee (PBAC). The DUSC assesses estimates on projected usage and financial cost of medicines.</w:t>
      </w:r>
    </w:p>
    <w:p w14:paraId="29299574" w14:textId="77777777" w:rsidR="0081626F" w:rsidRDefault="0081626F" w:rsidP="0081626F">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3B574800" w14:textId="77777777" w:rsidR="0081626F" w:rsidRDefault="0081626F" w:rsidP="0081626F">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1E71FF12" w14:textId="77777777" w:rsidR="0081626F" w:rsidRDefault="0081626F" w:rsidP="0081626F">
      <w:r>
        <w:t>The utilisation analysis report was provided to the pharmaceutical sponsors of each drug and comments on the report were provided to DUSC prior to its consideration of the analysis.</w:t>
      </w:r>
    </w:p>
    <w:p w14:paraId="16530B91" w14:textId="77777777" w:rsidR="0081626F" w:rsidRDefault="0081626F" w:rsidP="0081626F">
      <w:pPr>
        <w:pStyle w:val="Heading1"/>
      </w:pPr>
      <w:r>
        <w:t>Sponsor</w:t>
      </w:r>
      <w:r w:rsidRPr="0092516A">
        <w:t>s</w:t>
      </w:r>
      <w:r>
        <w:t>’</w:t>
      </w:r>
      <w:r w:rsidRPr="0092516A">
        <w:t xml:space="preserve"> comments</w:t>
      </w:r>
    </w:p>
    <w:p w14:paraId="5AC4BBDB" w14:textId="5B8CCB17" w:rsidR="0081626F" w:rsidRPr="00E12C57" w:rsidRDefault="00E12C57" w:rsidP="0081626F">
      <w:r w:rsidRPr="00E12C57">
        <w:t xml:space="preserve">Merck Sharp &amp; Dohme (Australia) Pty Ltd: </w:t>
      </w:r>
      <w:r w:rsidR="002E5CB6">
        <w:t>The sponsor ha</w:t>
      </w:r>
      <w:r w:rsidR="00564DF3">
        <w:t>d</w:t>
      </w:r>
      <w:r w:rsidR="002E5CB6">
        <w:t xml:space="preserve"> no comment.</w:t>
      </w:r>
    </w:p>
    <w:p w14:paraId="1E04A54D" w14:textId="77777777" w:rsidR="0081626F" w:rsidRDefault="0081626F" w:rsidP="0081626F">
      <w:pPr>
        <w:pStyle w:val="Heading1"/>
      </w:pPr>
      <w:r w:rsidRPr="00A4020E">
        <w:t>Disclaimer</w:t>
      </w:r>
    </w:p>
    <w:p w14:paraId="33462F93" w14:textId="77777777" w:rsidR="0081626F" w:rsidRDefault="0081626F" w:rsidP="0081626F">
      <w:r>
        <w:t xml:space="preserve">The information provided in this report does not constitute medical advice and is not intended to take the place of professional medical advice or care.  It is not intended to define what constitutes reasonable, appropriate or best care for any individual for any </w:t>
      </w:r>
      <w:r>
        <w:lastRenderedPageBreak/>
        <w:t>given health issue.  The information should not be used as a substitute for the judgement and skill of a medical practitioner.</w:t>
      </w:r>
    </w:p>
    <w:p w14:paraId="269BE183" w14:textId="77777777" w:rsidR="0081626F" w:rsidRDefault="0081626F" w:rsidP="0081626F">
      <w:r>
        <w:t>The Department of Health and Aged Care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45272087" w14:textId="77777777" w:rsidR="0081626F" w:rsidRDefault="0081626F" w:rsidP="0081626F">
      <w:r>
        <w:t xml:space="preserve">To the extent provided by law, the Department of Health and Aged Care makes no warranties or representations as to accuracy or completeness of information contained in this report. </w:t>
      </w:r>
    </w:p>
    <w:p w14:paraId="0917AEE4" w14:textId="77777777" w:rsidR="0081626F" w:rsidRDefault="0081626F" w:rsidP="0081626F">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44156DFD" w14:textId="77777777" w:rsidR="0081626F" w:rsidRPr="0003046A" w:rsidRDefault="0081626F" w:rsidP="0003046A"/>
    <w:p w14:paraId="0BCB4AC8" w14:textId="77777777" w:rsidR="00D11698" w:rsidRDefault="00D11698">
      <w:pPr>
        <w:spacing w:line="276" w:lineRule="auto"/>
        <w:rPr>
          <w:rFonts w:eastAsiaTheme="majorEastAsia" w:cstheme="majorBidi"/>
          <w:b/>
          <w:bCs/>
          <w:sz w:val="32"/>
          <w:szCs w:val="32"/>
        </w:rPr>
      </w:pPr>
      <w:r>
        <w:br w:type="page"/>
      </w:r>
    </w:p>
    <w:p w14:paraId="7C4E4AB9" w14:textId="6D59096B" w:rsidR="002C6E0C" w:rsidRDefault="002C6E0C" w:rsidP="00F73113">
      <w:pPr>
        <w:pStyle w:val="Heading1"/>
      </w:pPr>
      <w:r>
        <w:lastRenderedPageBreak/>
        <w:t>Appendices</w:t>
      </w:r>
    </w:p>
    <w:p w14:paraId="00B752C5" w14:textId="148C5F39" w:rsidR="009A537C" w:rsidRPr="00FE1B4B" w:rsidRDefault="009A537C" w:rsidP="001331B4">
      <w:pPr>
        <w:spacing w:after="0"/>
        <w:rPr>
          <w:b/>
          <w:sz w:val="28"/>
          <w:szCs w:val="28"/>
        </w:rPr>
      </w:pPr>
      <w:r w:rsidRPr="00FE1B4B">
        <w:rPr>
          <w:b/>
          <w:sz w:val="28"/>
          <w:szCs w:val="28"/>
        </w:rPr>
        <w:t xml:space="preserve">Appendix A:  </w:t>
      </w:r>
      <w:r w:rsidR="00570CDE">
        <w:rPr>
          <w:b/>
          <w:sz w:val="28"/>
          <w:szCs w:val="28"/>
        </w:rPr>
        <w:t>R</w:t>
      </w:r>
      <w:r w:rsidR="00FE1B4B" w:rsidRPr="00FE1B4B">
        <w:rPr>
          <w:b/>
          <w:sz w:val="28"/>
          <w:szCs w:val="28"/>
        </w:rPr>
        <w:t>isk factors</w:t>
      </w:r>
      <w:r w:rsidR="00570CDE">
        <w:rPr>
          <w:b/>
          <w:sz w:val="28"/>
          <w:szCs w:val="28"/>
        </w:rPr>
        <w:t xml:space="preserve"> </w:t>
      </w:r>
      <w:r w:rsidR="009479A6">
        <w:rPr>
          <w:b/>
          <w:sz w:val="28"/>
          <w:szCs w:val="28"/>
        </w:rPr>
        <w:t xml:space="preserve">and immunocompromised conditions </w:t>
      </w:r>
      <w:r w:rsidR="00570CDE">
        <w:rPr>
          <w:b/>
          <w:sz w:val="28"/>
          <w:szCs w:val="28"/>
        </w:rPr>
        <w:t>listed</w:t>
      </w:r>
      <w:r w:rsidR="00FE1B4B" w:rsidRPr="00FE1B4B">
        <w:rPr>
          <w:b/>
          <w:sz w:val="28"/>
          <w:szCs w:val="28"/>
        </w:rPr>
        <w:t xml:space="preserve"> </w:t>
      </w:r>
      <w:r w:rsidR="002C4C6E">
        <w:rPr>
          <w:b/>
          <w:sz w:val="28"/>
          <w:szCs w:val="28"/>
        </w:rPr>
        <w:t>in the</w:t>
      </w:r>
      <w:r w:rsidR="00570CDE">
        <w:rPr>
          <w:b/>
          <w:sz w:val="28"/>
          <w:szCs w:val="28"/>
        </w:rPr>
        <w:t xml:space="preserve"> molnupiravir</w:t>
      </w:r>
      <w:r w:rsidR="002C4C6E">
        <w:rPr>
          <w:b/>
          <w:sz w:val="28"/>
          <w:szCs w:val="28"/>
        </w:rPr>
        <w:t xml:space="preserve"> PBS restriction (as at </w:t>
      </w:r>
      <w:r w:rsidR="007A1048">
        <w:rPr>
          <w:b/>
          <w:sz w:val="28"/>
          <w:szCs w:val="28"/>
        </w:rPr>
        <w:t>August</w:t>
      </w:r>
      <w:r w:rsidR="002C4C6E">
        <w:rPr>
          <w:b/>
          <w:sz w:val="28"/>
          <w:szCs w:val="28"/>
        </w:rPr>
        <w:t xml:space="preserve"> 2024) </w:t>
      </w:r>
    </w:p>
    <w:tbl>
      <w:tblPr>
        <w:tblStyle w:val="TableGrid2"/>
        <w:tblW w:w="5000" w:type="pct"/>
        <w:tblLook w:val="04A0" w:firstRow="1" w:lastRow="0" w:firstColumn="1" w:lastColumn="0" w:noHBand="0" w:noVBand="1"/>
      </w:tblPr>
      <w:tblGrid>
        <w:gridCol w:w="2321"/>
        <w:gridCol w:w="6626"/>
      </w:tblGrid>
      <w:tr w:rsidR="00FE1B4B" w:rsidRPr="00FE1B4B" w14:paraId="70C4216D" w14:textId="77777777" w:rsidTr="00FE1B4B">
        <w:trPr>
          <w:tblHeader/>
        </w:trPr>
        <w:tc>
          <w:tcPr>
            <w:tcW w:w="1297" w:type="pct"/>
            <w:shd w:val="clear" w:color="auto" w:fill="BFBFBF"/>
          </w:tcPr>
          <w:p w14:paraId="032AD025" w14:textId="77777777" w:rsidR="00FE1B4B" w:rsidRPr="00FE1B4B" w:rsidRDefault="00FE1B4B" w:rsidP="006E533D">
            <w:pPr>
              <w:spacing w:before="60" w:after="60"/>
              <w:jc w:val="center"/>
              <w:rPr>
                <w:rFonts w:ascii="Calibri" w:eastAsia="Times New Roman" w:hAnsi="Calibri" w:cs="Calibri"/>
                <w:b/>
                <w:bCs/>
                <w:color w:val="222222"/>
                <w:sz w:val="20"/>
                <w:szCs w:val="20"/>
              </w:rPr>
            </w:pPr>
            <w:r w:rsidRPr="00FE1B4B">
              <w:rPr>
                <w:rFonts w:ascii="Calibri" w:eastAsia="Times New Roman" w:hAnsi="Calibri" w:cs="Calibri"/>
                <w:b/>
                <w:bCs/>
                <w:color w:val="222222"/>
                <w:sz w:val="20"/>
                <w:szCs w:val="20"/>
              </w:rPr>
              <w:t>Population group</w:t>
            </w:r>
          </w:p>
        </w:tc>
        <w:tc>
          <w:tcPr>
            <w:tcW w:w="3703" w:type="pct"/>
            <w:shd w:val="clear" w:color="auto" w:fill="BFBFBF"/>
          </w:tcPr>
          <w:p w14:paraId="1C7FE014" w14:textId="677CB8AB" w:rsidR="00FE1B4B" w:rsidRPr="00FE1B4B" w:rsidRDefault="00F21F57" w:rsidP="006E533D">
            <w:pPr>
              <w:spacing w:before="60" w:after="60"/>
              <w:jc w:val="center"/>
              <w:rPr>
                <w:rFonts w:ascii="Calibri" w:eastAsia="Times New Roman" w:hAnsi="Calibri" w:cs="Calibri"/>
                <w:b/>
                <w:bCs/>
                <w:color w:val="222222"/>
                <w:sz w:val="20"/>
                <w:szCs w:val="20"/>
              </w:rPr>
            </w:pPr>
            <w:r>
              <w:rPr>
                <w:rFonts w:ascii="Calibri" w:eastAsia="Times New Roman" w:hAnsi="Calibri" w:cs="Calibri"/>
                <w:b/>
                <w:bCs/>
                <w:color w:val="222222"/>
                <w:sz w:val="20"/>
                <w:szCs w:val="20"/>
              </w:rPr>
              <w:t>Immunocompromised conditions</w:t>
            </w:r>
            <w:r w:rsidR="00FE1B4B" w:rsidRPr="00FE1B4B">
              <w:rPr>
                <w:rFonts w:ascii="Calibri" w:eastAsia="Times New Roman" w:hAnsi="Calibri" w:cs="Calibri"/>
                <w:b/>
                <w:bCs/>
                <w:color w:val="222222"/>
                <w:sz w:val="20"/>
                <w:szCs w:val="20"/>
              </w:rPr>
              <w:t>/risk factors</w:t>
            </w:r>
          </w:p>
        </w:tc>
      </w:tr>
      <w:tr w:rsidR="00FE1B4B" w:rsidRPr="00FE1B4B" w14:paraId="5B7A5E5A" w14:textId="77777777" w:rsidTr="00F40F7A">
        <w:tc>
          <w:tcPr>
            <w:tcW w:w="1297" w:type="pct"/>
          </w:tcPr>
          <w:p w14:paraId="2F43525A" w14:textId="77777777" w:rsidR="00FE1B4B" w:rsidRPr="00FE1B4B" w:rsidRDefault="00FE1B4B" w:rsidP="006E533D">
            <w:pPr>
              <w:spacing w:before="60" w:after="60"/>
              <w:jc w:val="center"/>
              <w:rPr>
                <w:rFonts w:ascii="Calibri" w:hAnsi="Calibri" w:cs="Times New Roman"/>
                <w:sz w:val="20"/>
                <w:szCs w:val="20"/>
              </w:rPr>
            </w:pPr>
            <w:r w:rsidRPr="00FE1B4B">
              <w:rPr>
                <w:rFonts w:ascii="Calibri" w:hAnsi="Calibri" w:cs="Calibri"/>
                <w:sz w:val="20"/>
                <w:szCs w:val="20"/>
              </w:rPr>
              <w:t>≥</w:t>
            </w:r>
            <w:r w:rsidRPr="00FE1B4B">
              <w:rPr>
                <w:rFonts w:ascii="Calibri" w:hAnsi="Calibri" w:cs="Times New Roman"/>
                <w:sz w:val="20"/>
                <w:szCs w:val="20"/>
              </w:rPr>
              <w:t>18 years old,</w:t>
            </w:r>
          </w:p>
          <w:p w14:paraId="44BB14FF" w14:textId="77777777" w:rsidR="00FE1B4B" w:rsidRPr="00FE1B4B" w:rsidRDefault="00FE1B4B" w:rsidP="006E533D">
            <w:pPr>
              <w:spacing w:before="60" w:after="60"/>
              <w:jc w:val="center"/>
              <w:rPr>
                <w:rFonts w:ascii="Calibri" w:eastAsia="Times New Roman" w:hAnsi="Calibri" w:cs="Calibri"/>
                <w:color w:val="222222"/>
                <w:sz w:val="20"/>
                <w:szCs w:val="20"/>
              </w:rPr>
            </w:pPr>
            <w:r w:rsidRPr="00FE1B4B">
              <w:rPr>
                <w:rFonts w:ascii="Calibri" w:hAnsi="Calibri" w:cs="Times New Roman"/>
                <w:sz w:val="20"/>
                <w:szCs w:val="20"/>
              </w:rPr>
              <w:t>moderately to severely immunocompromised and at risk of progression to severe disease OR experienced past COVID-19 infection resulting in hospitalisation</w:t>
            </w:r>
            <w:r w:rsidRPr="00FE1B4B">
              <w:rPr>
                <w:rFonts w:ascii="Calibri" w:eastAsia="Times New Roman" w:hAnsi="Calibri" w:cs="Calibri"/>
                <w:color w:val="222222"/>
                <w:sz w:val="20"/>
                <w:szCs w:val="20"/>
              </w:rPr>
              <w:t xml:space="preserve"> </w:t>
            </w:r>
          </w:p>
        </w:tc>
        <w:tc>
          <w:tcPr>
            <w:tcW w:w="3703" w:type="pct"/>
          </w:tcPr>
          <w:p w14:paraId="58214D5B" w14:textId="77777777" w:rsidR="00FE1B4B" w:rsidRPr="00FE1B4B" w:rsidRDefault="00FE1B4B" w:rsidP="006E533D">
            <w:pPr>
              <w:shd w:val="clear" w:color="auto" w:fill="FFFFFF"/>
              <w:spacing w:before="60" w:after="60" w:line="300" w:lineRule="atLeast"/>
              <w:rPr>
                <w:rFonts w:ascii="Calibri" w:eastAsia="Times New Roman" w:hAnsi="Calibri" w:cs="Calibri"/>
                <w:color w:val="222222"/>
                <w:sz w:val="20"/>
                <w:szCs w:val="20"/>
              </w:rPr>
            </w:pPr>
            <w:r w:rsidRPr="00FE1B4B">
              <w:rPr>
                <w:rFonts w:ascii="Calibri" w:eastAsia="Times New Roman" w:hAnsi="Calibri" w:cs="Calibri"/>
                <w:color w:val="222222"/>
                <w:sz w:val="20"/>
                <w:szCs w:val="20"/>
              </w:rPr>
              <w:t>For the purpose of administering this restriction, 'moderately to severely immunocompromised' patients are those with:</w:t>
            </w:r>
          </w:p>
          <w:p w14:paraId="10A18A48" w14:textId="77777777" w:rsidR="00FE1B4B" w:rsidRPr="00FE1B4B" w:rsidRDefault="00FE1B4B" w:rsidP="006E533D">
            <w:pPr>
              <w:numPr>
                <w:ilvl w:val="0"/>
                <w:numId w:val="17"/>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Any primary or acquired immunodeficiency including:</w:t>
            </w:r>
          </w:p>
          <w:p w14:paraId="2042A70D" w14:textId="77777777" w:rsidR="00FE1B4B" w:rsidRPr="00FE1B4B" w:rsidRDefault="00FE1B4B" w:rsidP="006E533D">
            <w:pPr>
              <w:numPr>
                <w:ilvl w:val="0"/>
                <w:numId w:val="13"/>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Haematologic neoplasms: leukaemias, lymphomas, myelodysplastic syndromes, multiple myeloma and other plasma cell disorders,</w:t>
            </w:r>
          </w:p>
          <w:p w14:paraId="380F6EB9" w14:textId="77777777" w:rsidR="00FE1B4B" w:rsidRPr="00FE1B4B" w:rsidRDefault="00FE1B4B" w:rsidP="006E533D">
            <w:pPr>
              <w:numPr>
                <w:ilvl w:val="0"/>
                <w:numId w:val="13"/>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 xml:space="preserve"> Post-transplant: solid organ (on immunosuppressive therapy), haematopoietic stem cell transplant (within 24 months),</w:t>
            </w:r>
          </w:p>
          <w:p w14:paraId="4317703F" w14:textId="77777777" w:rsidR="00FE1B4B" w:rsidRPr="00FE1B4B" w:rsidRDefault="00FE1B4B" w:rsidP="006E533D">
            <w:pPr>
              <w:numPr>
                <w:ilvl w:val="0"/>
                <w:numId w:val="13"/>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 xml:space="preserve"> Immunocompromised due to primary or acquired (HIV/AIDS) immunodeficiency; OR</w:t>
            </w:r>
          </w:p>
          <w:p w14:paraId="7539EDD6" w14:textId="77777777" w:rsidR="00FE1B4B" w:rsidRPr="00FE1B4B" w:rsidRDefault="00FE1B4B" w:rsidP="006E533D">
            <w:pPr>
              <w:numPr>
                <w:ilvl w:val="0"/>
                <w:numId w:val="17"/>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Any significantly immunocompromising condition(s) where, in the last 3 months the patient has received:</w:t>
            </w:r>
          </w:p>
          <w:p w14:paraId="4A66197C" w14:textId="77777777" w:rsidR="00FE1B4B" w:rsidRPr="00FE1B4B" w:rsidRDefault="00FE1B4B" w:rsidP="006E533D">
            <w:pPr>
              <w:numPr>
                <w:ilvl w:val="0"/>
                <w:numId w:val="14"/>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Chemotherapy or whole body radiotherapy,</w:t>
            </w:r>
          </w:p>
          <w:p w14:paraId="49EC95DE" w14:textId="77777777" w:rsidR="00FE1B4B" w:rsidRPr="00FE1B4B" w:rsidRDefault="00FE1B4B" w:rsidP="006E533D">
            <w:pPr>
              <w:numPr>
                <w:ilvl w:val="0"/>
                <w:numId w:val="14"/>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High-dose corticosteroids (at least 20 mg of prednisone per day, or equivalent) for at least 14 days in a month, or pulse corticosteroid therapy,</w:t>
            </w:r>
          </w:p>
          <w:p w14:paraId="143E4E1A" w14:textId="77777777" w:rsidR="00FE1B4B" w:rsidRPr="00FE1B4B" w:rsidRDefault="00FE1B4B" w:rsidP="006E533D">
            <w:pPr>
              <w:numPr>
                <w:ilvl w:val="0"/>
                <w:numId w:val="14"/>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Biological agents and other treatments that deplete or inhibit B cell or T cell function (abatacept, anti-CD20 antibodies, BTK inhibitors, JAK inhibitors, sphingosine 1-phosphate receptor modulators, anti-CD52 antibodies, anti-complement antibodies, anti-thymocyte globulin),</w:t>
            </w:r>
          </w:p>
          <w:p w14:paraId="3546F6DD" w14:textId="77777777" w:rsidR="00FE1B4B" w:rsidRPr="00FE1B4B" w:rsidRDefault="00FE1B4B" w:rsidP="006E533D">
            <w:pPr>
              <w:numPr>
                <w:ilvl w:val="0"/>
                <w:numId w:val="14"/>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Selected conventional synthetic disease-modifying anti-rheumatic drugs (csDMARDs) including mycophenolate, methotrexate, leflunomide, azathioprine, 6-mercaptopurine (at least 1.5mg/kg/day), alkylating agents (e.g. cyclophosphamide, chlorambucil), and systemic calcineurin inhibitors (e.g. cyclosporin, tacrolimus); OR</w:t>
            </w:r>
          </w:p>
          <w:p w14:paraId="7E7957B2" w14:textId="77777777" w:rsidR="00FE1B4B" w:rsidRPr="00FE1B4B" w:rsidRDefault="00FE1B4B" w:rsidP="006E533D">
            <w:pPr>
              <w:numPr>
                <w:ilvl w:val="0"/>
                <w:numId w:val="17"/>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Any significantly immunocompromising condition(s) where, in the last 12 months the patient has received an anti-CD20 monoclonal antibody treatment, but criterion 2c above is not met; OR</w:t>
            </w:r>
          </w:p>
          <w:p w14:paraId="10263896" w14:textId="77777777" w:rsidR="00FE1B4B" w:rsidRPr="00FE1B4B" w:rsidRDefault="00FE1B4B" w:rsidP="006E533D">
            <w:pPr>
              <w:numPr>
                <w:ilvl w:val="0"/>
                <w:numId w:val="17"/>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Others with very high-risk conditions including Down Syndrome, cerebral palsy, congenital heart disease, thalassemia, sickle cell disease and other haemoglobinopathies; OR</w:t>
            </w:r>
          </w:p>
          <w:p w14:paraId="25557BC8" w14:textId="77777777" w:rsidR="00FE1B4B" w:rsidRPr="00FE1B4B" w:rsidRDefault="00FE1B4B" w:rsidP="006E533D">
            <w:pPr>
              <w:numPr>
                <w:ilvl w:val="0"/>
                <w:numId w:val="17"/>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People with disability with multiple comorbidities and/or frailty.</w:t>
            </w:r>
          </w:p>
        </w:tc>
      </w:tr>
      <w:tr w:rsidR="00FE1B4B" w:rsidRPr="00FE1B4B" w14:paraId="4547D17C" w14:textId="77777777" w:rsidTr="00F40F7A">
        <w:trPr>
          <w:trHeight w:val="3991"/>
        </w:trPr>
        <w:tc>
          <w:tcPr>
            <w:tcW w:w="1297" w:type="pct"/>
          </w:tcPr>
          <w:p w14:paraId="00829377" w14:textId="77777777" w:rsidR="00FE1B4B" w:rsidRPr="00FE1B4B" w:rsidRDefault="00FE1B4B" w:rsidP="006E533D">
            <w:pPr>
              <w:spacing w:before="60" w:after="60"/>
              <w:jc w:val="center"/>
              <w:rPr>
                <w:rFonts w:ascii="Calibri" w:eastAsia="Times New Roman" w:hAnsi="Calibri" w:cs="Calibri"/>
                <w:color w:val="222222"/>
                <w:sz w:val="20"/>
                <w:szCs w:val="20"/>
              </w:rPr>
            </w:pPr>
            <w:r w:rsidRPr="00FE1B4B">
              <w:rPr>
                <w:rFonts w:ascii="Calibri" w:eastAsia="Times New Roman" w:hAnsi="Calibri" w:cs="Calibri"/>
                <w:color w:val="222222"/>
                <w:sz w:val="20"/>
                <w:szCs w:val="20"/>
              </w:rPr>
              <w:lastRenderedPageBreak/>
              <w:t>ATSI,</w:t>
            </w:r>
          </w:p>
          <w:p w14:paraId="2C5FFDDF" w14:textId="77777777" w:rsidR="00FE1B4B" w:rsidRPr="00FE1B4B" w:rsidRDefault="00FE1B4B" w:rsidP="006E533D">
            <w:pPr>
              <w:spacing w:before="60" w:after="60"/>
              <w:jc w:val="center"/>
              <w:rPr>
                <w:rFonts w:ascii="Calibri" w:eastAsia="Times New Roman" w:hAnsi="Calibri" w:cs="Calibri"/>
                <w:color w:val="222222"/>
                <w:sz w:val="20"/>
                <w:szCs w:val="20"/>
              </w:rPr>
            </w:pPr>
            <w:r w:rsidRPr="00FE1B4B">
              <w:rPr>
                <w:rFonts w:ascii="Calibri" w:eastAsia="Times New Roman" w:hAnsi="Calibri" w:cs="Calibri"/>
                <w:color w:val="222222"/>
                <w:sz w:val="20"/>
                <w:szCs w:val="20"/>
              </w:rPr>
              <w:t>≥30 years old,</w:t>
            </w:r>
          </w:p>
          <w:p w14:paraId="799B0BFB" w14:textId="77777777" w:rsidR="00FE1B4B" w:rsidRPr="00FE1B4B" w:rsidRDefault="00FE1B4B" w:rsidP="006E533D">
            <w:pPr>
              <w:shd w:val="clear" w:color="auto" w:fill="FFFFFF"/>
              <w:spacing w:before="60" w:after="60"/>
              <w:jc w:val="center"/>
              <w:rPr>
                <w:rFonts w:ascii="Calibri" w:eastAsia="Times New Roman" w:hAnsi="Calibri" w:cs="Calibri"/>
                <w:color w:val="222222"/>
                <w:sz w:val="20"/>
                <w:szCs w:val="20"/>
              </w:rPr>
            </w:pPr>
            <w:r w:rsidRPr="00FE1B4B">
              <w:rPr>
                <w:rFonts w:ascii="Calibri" w:eastAsia="Times New Roman" w:hAnsi="Calibri" w:cs="Calibri"/>
                <w:color w:val="222222"/>
                <w:sz w:val="20"/>
                <w:szCs w:val="20"/>
              </w:rPr>
              <w:t>1 risk factor</w:t>
            </w:r>
          </w:p>
        </w:tc>
        <w:tc>
          <w:tcPr>
            <w:tcW w:w="3703" w:type="pct"/>
          </w:tcPr>
          <w:p w14:paraId="4C279BD3" w14:textId="77777777" w:rsidR="00FE1B4B" w:rsidRPr="00FE1B4B" w:rsidRDefault="00FE1B4B" w:rsidP="006E533D">
            <w:pPr>
              <w:numPr>
                <w:ilvl w:val="0"/>
                <w:numId w:val="15"/>
              </w:numPr>
              <w:shd w:val="clear" w:color="auto" w:fill="FFFFFF"/>
              <w:spacing w:before="60" w:after="60"/>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The patient is in residential aged care</w:t>
            </w:r>
          </w:p>
          <w:p w14:paraId="2691C4A5" w14:textId="77777777" w:rsidR="00FE1B4B" w:rsidRPr="00FE1B4B" w:rsidRDefault="00FE1B4B" w:rsidP="006E533D">
            <w:pPr>
              <w:numPr>
                <w:ilvl w:val="0"/>
                <w:numId w:val="15"/>
              </w:numPr>
              <w:shd w:val="clear" w:color="auto" w:fill="FFFFFF"/>
              <w:spacing w:before="60" w:after="60"/>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The patient has disability with multiple comorbidities and/or frailty</w:t>
            </w:r>
          </w:p>
          <w:p w14:paraId="4131C35C" w14:textId="77777777" w:rsidR="00FE1B4B" w:rsidRPr="00FE1B4B" w:rsidRDefault="00FE1B4B" w:rsidP="006E533D">
            <w:pPr>
              <w:numPr>
                <w:ilvl w:val="0"/>
                <w:numId w:val="15"/>
              </w:numPr>
              <w:shd w:val="clear" w:color="auto" w:fill="FFFFFF"/>
              <w:spacing w:before="60" w:after="60"/>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 xml:space="preserve"> Neurological conditions, including stroke and dementia and demyelinating conditions</w:t>
            </w:r>
          </w:p>
          <w:p w14:paraId="2D207CF6" w14:textId="77777777" w:rsidR="00FE1B4B" w:rsidRPr="00FE1B4B" w:rsidRDefault="00FE1B4B" w:rsidP="006E533D">
            <w:pPr>
              <w:numPr>
                <w:ilvl w:val="0"/>
                <w:numId w:val="15"/>
              </w:numPr>
              <w:shd w:val="clear" w:color="auto" w:fill="FFFFFF"/>
              <w:spacing w:before="60" w:after="60"/>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Respiratory compromise, including COPD, moderate or severe asthma (required inhaled steroids), and bronchiectasis, or caused by neurological or musculoskeletal disease</w:t>
            </w:r>
          </w:p>
          <w:p w14:paraId="5266A95B" w14:textId="77777777" w:rsidR="00FE1B4B" w:rsidRPr="00FE1B4B" w:rsidRDefault="00FE1B4B" w:rsidP="006E533D">
            <w:pPr>
              <w:numPr>
                <w:ilvl w:val="0"/>
                <w:numId w:val="15"/>
              </w:numPr>
              <w:shd w:val="clear" w:color="auto" w:fill="FFFFFF"/>
              <w:spacing w:before="60" w:after="60"/>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Heart failure, coronary artery disease, cardiomyopathies</w:t>
            </w:r>
          </w:p>
          <w:p w14:paraId="477BE68B" w14:textId="77777777" w:rsidR="00FE1B4B" w:rsidRPr="00FE1B4B" w:rsidRDefault="00FE1B4B" w:rsidP="006E533D">
            <w:pPr>
              <w:numPr>
                <w:ilvl w:val="0"/>
                <w:numId w:val="15"/>
              </w:numPr>
              <w:shd w:val="clear" w:color="auto" w:fill="FFFFFF"/>
              <w:spacing w:before="60" w:after="60"/>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Obesity (BMI greater than 30 kg/m</w:t>
            </w:r>
            <w:r w:rsidRPr="00FE1B4B">
              <w:rPr>
                <w:rFonts w:ascii="Calibri" w:eastAsia="Times New Roman" w:hAnsi="Calibri" w:cs="Calibri"/>
                <w:color w:val="222222"/>
                <w:sz w:val="20"/>
                <w:szCs w:val="20"/>
                <w:bdr w:val="none" w:sz="0" w:space="0" w:color="auto" w:frame="1"/>
                <w:vertAlign w:val="superscript"/>
              </w:rPr>
              <w:t>2</w:t>
            </w:r>
            <w:r w:rsidRPr="00FE1B4B">
              <w:rPr>
                <w:rFonts w:ascii="Calibri" w:eastAsia="Times New Roman" w:hAnsi="Calibri" w:cs="Calibri"/>
                <w:color w:val="222222"/>
                <w:sz w:val="20"/>
                <w:szCs w:val="20"/>
              </w:rPr>
              <w:t>)</w:t>
            </w:r>
          </w:p>
          <w:p w14:paraId="77483E35" w14:textId="77777777" w:rsidR="00FE1B4B" w:rsidRPr="00FE1B4B" w:rsidRDefault="00FE1B4B" w:rsidP="006E533D">
            <w:pPr>
              <w:numPr>
                <w:ilvl w:val="0"/>
                <w:numId w:val="15"/>
              </w:numPr>
              <w:shd w:val="clear" w:color="auto" w:fill="FFFFFF"/>
              <w:spacing w:before="60" w:after="60"/>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Diabetes type I or II, requiring medication for glycaemic control</w:t>
            </w:r>
          </w:p>
          <w:p w14:paraId="29875DAF" w14:textId="77777777" w:rsidR="00FE1B4B" w:rsidRPr="00FE1B4B" w:rsidRDefault="00FE1B4B" w:rsidP="006E533D">
            <w:pPr>
              <w:numPr>
                <w:ilvl w:val="0"/>
                <w:numId w:val="15"/>
              </w:numPr>
              <w:shd w:val="clear" w:color="auto" w:fill="FFFFFF"/>
              <w:spacing w:before="60" w:after="60"/>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Renal impairment (eGFR less than 60mL/min)</w:t>
            </w:r>
          </w:p>
          <w:p w14:paraId="4921C1BD" w14:textId="77777777" w:rsidR="00FE1B4B" w:rsidRPr="00FE1B4B" w:rsidRDefault="00FE1B4B" w:rsidP="006E533D">
            <w:pPr>
              <w:numPr>
                <w:ilvl w:val="0"/>
                <w:numId w:val="15"/>
              </w:numPr>
              <w:shd w:val="clear" w:color="auto" w:fill="FFFFFF"/>
              <w:spacing w:before="60" w:after="60"/>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Cirrhosis</w:t>
            </w:r>
          </w:p>
          <w:p w14:paraId="2F124E39" w14:textId="77777777" w:rsidR="00FE1B4B" w:rsidRPr="00FE1B4B" w:rsidRDefault="00FE1B4B" w:rsidP="006E533D">
            <w:pPr>
              <w:numPr>
                <w:ilvl w:val="0"/>
                <w:numId w:val="15"/>
              </w:numPr>
              <w:shd w:val="clear" w:color="auto" w:fill="FFFFFF"/>
              <w:spacing w:before="60" w:after="60"/>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The patient has reduced, or lack of, access to higher level healthcare and lives in an area of geographic remoteness classified by the Modified Monash Model as Category 5 or above</w:t>
            </w:r>
          </w:p>
          <w:p w14:paraId="6C4F9D06" w14:textId="77777777" w:rsidR="00FE1B4B" w:rsidRPr="00FE1B4B" w:rsidRDefault="00FE1B4B" w:rsidP="006E533D">
            <w:pPr>
              <w:numPr>
                <w:ilvl w:val="0"/>
                <w:numId w:val="15"/>
              </w:numPr>
              <w:shd w:val="clear" w:color="auto" w:fill="FFFFFF"/>
              <w:spacing w:before="60" w:after="60"/>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Past COVID-19 infection episode resulting in hospitalisation.</w:t>
            </w:r>
          </w:p>
        </w:tc>
      </w:tr>
      <w:tr w:rsidR="00FE1B4B" w:rsidRPr="00FE1B4B" w14:paraId="36A03A6B" w14:textId="77777777" w:rsidTr="00F40F7A">
        <w:trPr>
          <w:trHeight w:val="4060"/>
        </w:trPr>
        <w:tc>
          <w:tcPr>
            <w:tcW w:w="1297" w:type="pct"/>
          </w:tcPr>
          <w:p w14:paraId="6F3C67DF" w14:textId="77777777" w:rsidR="00FE1B4B" w:rsidRPr="00FE1B4B" w:rsidRDefault="00FE1B4B" w:rsidP="006E533D">
            <w:pPr>
              <w:spacing w:before="60" w:after="60"/>
              <w:jc w:val="center"/>
              <w:rPr>
                <w:rFonts w:ascii="Calibri" w:hAnsi="Calibri" w:cs="Calibri"/>
                <w:sz w:val="20"/>
                <w:szCs w:val="20"/>
              </w:rPr>
            </w:pPr>
            <w:r w:rsidRPr="00FE1B4B">
              <w:rPr>
                <w:rFonts w:ascii="Calibri" w:hAnsi="Calibri" w:cs="Calibri"/>
                <w:sz w:val="20"/>
                <w:szCs w:val="20"/>
              </w:rPr>
              <w:t>50-69 years old,</w:t>
            </w:r>
          </w:p>
          <w:p w14:paraId="7B69D071" w14:textId="77777777" w:rsidR="00FE1B4B" w:rsidRPr="00FE1B4B" w:rsidRDefault="00FE1B4B" w:rsidP="006E533D">
            <w:pPr>
              <w:shd w:val="clear" w:color="auto" w:fill="FFFFFF"/>
              <w:spacing w:before="60" w:after="60"/>
              <w:jc w:val="center"/>
              <w:rPr>
                <w:rFonts w:ascii="Calibri" w:eastAsia="Times New Roman" w:hAnsi="Calibri" w:cs="Calibri"/>
                <w:color w:val="222222"/>
                <w:sz w:val="20"/>
                <w:szCs w:val="20"/>
              </w:rPr>
            </w:pPr>
            <w:r w:rsidRPr="00FE1B4B">
              <w:rPr>
                <w:rFonts w:ascii="Calibri" w:hAnsi="Calibri" w:cs="Calibri"/>
                <w:sz w:val="20"/>
                <w:szCs w:val="20"/>
              </w:rPr>
              <w:t>2 risk factors</w:t>
            </w:r>
          </w:p>
        </w:tc>
        <w:tc>
          <w:tcPr>
            <w:tcW w:w="3703" w:type="pct"/>
          </w:tcPr>
          <w:p w14:paraId="256E77C3" w14:textId="77777777" w:rsidR="00FE1B4B" w:rsidRPr="00FE1B4B" w:rsidRDefault="00FE1B4B" w:rsidP="006E533D">
            <w:pPr>
              <w:numPr>
                <w:ilvl w:val="0"/>
                <w:numId w:val="16"/>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The patient is in residential aged care,</w:t>
            </w:r>
          </w:p>
          <w:p w14:paraId="19F53F4C" w14:textId="77777777" w:rsidR="00FE1B4B" w:rsidRPr="00FE1B4B" w:rsidRDefault="00FE1B4B" w:rsidP="006E533D">
            <w:pPr>
              <w:numPr>
                <w:ilvl w:val="0"/>
                <w:numId w:val="16"/>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The patient has disability with multiple comorbidities and/or frailty,</w:t>
            </w:r>
          </w:p>
          <w:p w14:paraId="7089F6B6" w14:textId="77777777" w:rsidR="00FE1B4B" w:rsidRPr="00FE1B4B" w:rsidRDefault="00FE1B4B" w:rsidP="006E533D">
            <w:pPr>
              <w:numPr>
                <w:ilvl w:val="0"/>
                <w:numId w:val="16"/>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Neurological conditions, including stroke and dementia and demyelinating conditions,</w:t>
            </w:r>
          </w:p>
          <w:p w14:paraId="77CA957B" w14:textId="29327BB4" w:rsidR="00FE1B4B" w:rsidRPr="00FE1B4B" w:rsidRDefault="00FE1B4B" w:rsidP="006E533D">
            <w:pPr>
              <w:numPr>
                <w:ilvl w:val="0"/>
                <w:numId w:val="16"/>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 xml:space="preserve">Respiratory compromise, including COPD, moderate or severe asthma (required inhaled steroids), and bronchiectasis, or caused by neurological or </w:t>
            </w:r>
            <w:r w:rsidR="006B30D9">
              <w:rPr>
                <w:rFonts w:ascii="Calibri" w:eastAsia="Times New Roman" w:hAnsi="Calibri" w:cs="Calibri"/>
                <w:color w:val="222222"/>
                <w:sz w:val="20"/>
                <w:szCs w:val="20"/>
              </w:rPr>
              <w:t xml:space="preserve"> </w:t>
            </w:r>
            <w:r w:rsidRPr="00FE1B4B">
              <w:rPr>
                <w:rFonts w:ascii="Calibri" w:eastAsia="Times New Roman" w:hAnsi="Calibri" w:cs="Calibri"/>
                <w:color w:val="222222"/>
                <w:sz w:val="20"/>
                <w:szCs w:val="20"/>
              </w:rPr>
              <w:t>musculoskeletal disease,</w:t>
            </w:r>
          </w:p>
          <w:p w14:paraId="31D58925" w14:textId="77777777" w:rsidR="00FE1B4B" w:rsidRPr="00FE1B4B" w:rsidRDefault="00FE1B4B" w:rsidP="006E533D">
            <w:pPr>
              <w:numPr>
                <w:ilvl w:val="0"/>
                <w:numId w:val="16"/>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Heart failure, coronary artery disease, cardiomyopathies,</w:t>
            </w:r>
          </w:p>
          <w:p w14:paraId="67FB14D9" w14:textId="77777777" w:rsidR="00FE1B4B" w:rsidRPr="00FE1B4B" w:rsidRDefault="00FE1B4B" w:rsidP="006E533D">
            <w:pPr>
              <w:numPr>
                <w:ilvl w:val="0"/>
                <w:numId w:val="16"/>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Obesity (BMI greater than 30 kg/m</w:t>
            </w:r>
            <w:r w:rsidRPr="00FE1B4B">
              <w:rPr>
                <w:rFonts w:ascii="Calibri" w:eastAsia="Times New Roman" w:hAnsi="Calibri" w:cs="Calibri"/>
                <w:color w:val="222222"/>
                <w:sz w:val="20"/>
                <w:szCs w:val="20"/>
                <w:bdr w:val="none" w:sz="0" w:space="0" w:color="auto" w:frame="1"/>
                <w:vertAlign w:val="superscript"/>
              </w:rPr>
              <w:t>2</w:t>
            </w:r>
            <w:r w:rsidRPr="00FE1B4B">
              <w:rPr>
                <w:rFonts w:ascii="Calibri" w:eastAsia="Times New Roman" w:hAnsi="Calibri" w:cs="Calibri"/>
                <w:color w:val="222222"/>
                <w:sz w:val="20"/>
                <w:szCs w:val="20"/>
              </w:rPr>
              <w:t>),</w:t>
            </w:r>
          </w:p>
          <w:p w14:paraId="265BC2D1" w14:textId="77777777" w:rsidR="00FE1B4B" w:rsidRPr="00FE1B4B" w:rsidRDefault="00FE1B4B" w:rsidP="006E533D">
            <w:pPr>
              <w:numPr>
                <w:ilvl w:val="0"/>
                <w:numId w:val="16"/>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Diabetes type I or II, requiring medication for glycaemic control,</w:t>
            </w:r>
          </w:p>
          <w:p w14:paraId="294D9AAD" w14:textId="77777777" w:rsidR="00FE1B4B" w:rsidRPr="00FE1B4B" w:rsidRDefault="00FE1B4B" w:rsidP="006E533D">
            <w:pPr>
              <w:numPr>
                <w:ilvl w:val="0"/>
                <w:numId w:val="16"/>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Renal impairment (eGFR less than 60mL/min),</w:t>
            </w:r>
          </w:p>
          <w:p w14:paraId="2133B504" w14:textId="77777777" w:rsidR="00FE1B4B" w:rsidRPr="00FE1B4B" w:rsidRDefault="00FE1B4B" w:rsidP="006E533D">
            <w:pPr>
              <w:numPr>
                <w:ilvl w:val="0"/>
                <w:numId w:val="16"/>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Cirrhosis, or</w:t>
            </w:r>
          </w:p>
          <w:p w14:paraId="57B42FF2" w14:textId="77777777" w:rsidR="00FE1B4B" w:rsidRPr="00FE1B4B" w:rsidRDefault="00FE1B4B" w:rsidP="006E533D">
            <w:pPr>
              <w:numPr>
                <w:ilvl w:val="0"/>
                <w:numId w:val="16"/>
              </w:numPr>
              <w:shd w:val="clear" w:color="auto" w:fill="FFFFFF"/>
              <w:spacing w:before="60" w:after="60" w:line="300" w:lineRule="atLeast"/>
              <w:contextualSpacing/>
              <w:rPr>
                <w:rFonts w:ascii="Calibri" w:eastAsia="Times New Roman" w:hAnsi="Calibri" w:cs="Calibri"/>
                <w:color w:val="222222"/>
                <w:sz w:val="20"/>
                <w:szCs w:val="20"/>
              </w:rPr>
            </w:pPr>
            <w:r w:rsidRPr="00FE1B4B">
              <w:rPr>
                <w:rFonts w:ascii="Calibri" w:eastAsia="Times New Roman" w:hAnsi="Calibri" w:cs="Calibri"/>
                <w:color w:val="222222"/>
                <w:sz w:val="20"/>
                <w:szCs w:val="20"/>
              </w:rPr>
              <w:t>The patient has reduced, or lack of, access to higher level healthcare and lives in an area of geographic remoteness classified by the Modified Monash Model as Category 5 or above.</w:t>
            </w:r>
          </w:p>
        </w:tc>
      </w:tr>
    </w:tbl>
    <w:p w14:paraId="71D0E84A" w14:textId="77777777" w:rsidR="0040038A" w:rsidRDefault="0040038A" w:rsidP="00657812"/>
    <w:sectPr w:rsidR="0040038A" w:rsidSect="00DD188C">
      <w:headerReference w:type="even" r:id="rId29"/>
      <w:headerReference w:type="default" r:id="rId30"/>
      <w:footerReference w:type="even" r:id="rId31"/>
      <w:footerReference w:type="default" r:id="rId32"/>
      <w:headerReference w:type="first" r:id="rId33"/>
      <w:footerReference w:type="first" r:id="rId34"/>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323D8" w14:textId="77777777" w:rsidR="000278E8" w:rsidRDefault="000278E8" w:rsidP="00A35800">
      <w:r>
        <w:separator/>
      </w:r>
    </w:p>
  </w:endnote>
  <w:endnote w:type="continuationSeparator" w:id="0">
    <w:p w14:paraId="508D1F21" w14:textId="77777777" w:rsidR="000278E8" w:rsidRDefault="000278E8"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30682B98" w14:textId="0A36FFB0" w:rsidR="000E72C6" w:rsidRPr="000E72C6" w:rsidRDefault="00023C88" w:rsidP="000E72C6">
            <w:pPr>
              <w:pStyle w:val="Footer"/>
              <w:jc w:val="center"/>
              <w:rPr>
                <w:i/>
                <w:sz w:val="20"/>
              </w:rPr>
            </w:pPr>
            <w:r>
              <w:rPr>
                <w:i/>
                <w:sz w:val="20"/>
              </w:rPr>
              <w:t>Public Release Document, October 2024 DUSC Meeting</w:t>
            </w:r>
          </w:p>
          <w:p w14:paraId="10292A9A" w14:textId="275D445E"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1F0A4E">
              <w:rPr>
                <w:bCs/>
                <w:i/>
                <w:noProof/>
                <w:sz w:val="20"/>
              </w:rPr>
              <w:t>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1F0A4E">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33B63" w14:textId="77777777" w:rsidR="000278E8" w:rsidRDefault="000278E8" w:rsidP="00A35800">
      <w:r>
        <w:separator/>
      </w:r>
    </w:p>
  </w:footnote>
  <w:footnote w:type="continuationSeparator" w:id="0">
    <w:p w14:paraId="0A87BAB9" w14:textId="77777777" w:rsidR="000278E8" w:rsidRDefault="000278E8" w:rsidP="00A35800">
      <w:r>
        <w:continuationSeparator/>
      </w:r>
    </w:p>
  </w:footnote>
  <w:footnote w:id="1">
    <w:p w14:paraId="2FBAA8FB" w14:textId="758C283A" w:rsidR="006A537C" w:rsidRDefault="006A537C">
      <w:pPr>
        <w:pStyle w:val="FootnoteText"/>
      </w:pPr>
      <w:r>
        <w:rPr>
          <w:rStyle w:val="FootnoteReference"/>
        </w:rPr>
        <w:footnoteRef/>
      </w:r>
      <w:r>
        <w:t xml:space="preserve"> Australian Government Department of Health and Aged Care. About coronavirus disease 2019 (COVID-19). Accessed from </w:t>
      </w:r>
      <w:r w:rsidRPr="006A537C">
        <w:t>https://www.health.gov.au/topics/covid-19/about</w:t>
      </w:r>
    </w:p>
  </w:footnote>
  <w:footnote w:id="2">
    <w:p w14:paraId="7503D861" w14:textId="1CF01E4D" w:rsidR="006A537C" w:rsidRDefault="006A537C">
      <w:pPr>
        <w:pStyle w:val="FootnoteText"/>
      </w:pPr>
      <w:r>
        <w:rPr>
          <w:rStyle w:val="FootnoteReference"/>
        </w:rPr>
        <w:footnoteRef/>
      </w:r>
      <w:r>
        <w:t xml:space="preserve"> Australian Government Department of Health and Aged Care. Groups at high risk from COVID-19. Accessed  from: </w:t>
      </w:r>
      <w:r w:rsidRPr="006A537C">
        <w:t>https://www.health.gov.au/topics/covid-19/protect-yourself-and-others/high-risk-groups</w:t>
      </w:r>
    </w:p>
  </w:footnote>
  <w:footnote w:id="3">
    <w:p w14:paraId="6D058E19" w14:textId="77777777" w:rsidR="00216787" w:rsidRPr="008142B4" w:rsidRDefault="00216787" w:rsidP="00216787">
      <w:pPr>
        <w:pStyle w:val="FootnoteText"/>
        <w:rPr>
          <w:szCs w:val="18"/>
        </w:rPr>
      </w:pPr>
      <w:r w:rsidRPr="008142B4">
        <w:rPr>
          <w:rStyle w:val="FootnoteReference"/>
          <w:szCs w:val="18"/>
        </w:rPr>
        <w:footnoteRef/>
      </w:r>
      <w:r w:rsidRPr="008142B4">
        <w:rPr>
          <w:szCs w:val="18"/>
        </w:rPr>
        <w:t xml:space="preserve"> </w:t>
      </w:r>
      <w:r>
        <w:rPr>
          <w:szCs w:val="18"/>
        </w:rPr>
        <w:t>Lagevrio®(molnupiravir). Australian Approved Product Information. Macquarie Park: Merck Sharp &amp; Dohme (Australia) Pty Limited. Approved 20 January 2022 , updated 18 October 2023. Available from &lt;</w:t>
      </w:r>
      <w:r w:rsidRPr="00CD4486">
        <w:t xml:space="preserve"> </w:t>
      </w:r>
      <w:r w:rsidRPr="00CD4486">
        <w:rPr>
          <w:szCs w:val="18"/>
        </w:rPr>
        <w:t>https://www.tga.gov.au/product-information-pi</w:t>
      </w:r>
      <w:r>
        <w:rPr>
          <w:szCs w:val="18"/>
        </w:rPr>
        <w:t>.&gt;</w:t>
      </w:r>
    </w:p>
  </w:footnote>
  <w:footnote w:id="4">
    <w:p w14:paraId="5EB5B944" w14:textId="64E73FB1" w:rsidR="006A2416" w:rsidRDefault="006A2416">
      <w:pPr>
        <w:pStyle w:val="FootnoteText"/>
      </w:pPr>
      <w:r>
        <w:rPr>
          <w:rStyle w:val="FootnoteReference"/>
        </w:rPr>
        <w:footnoteRef/>
      </w:r>
      <w:r>
        <w:t xml:space="preserve"> Therapeutic Goods Administration. The Black Triangle Scheme. Accessed 19 July 2024 from: </w:t>
      </w:r>
      <w:r w:rsidRPr="006A2416">
        <w:t>https://www.tga.gov.au/resources/resource/guidance/black-triangle-scheme-information-sponsors</w:t>
      </w:r>
    </w:p>
  </w:footnote>
  <w:footnote w:id="5">
    <w:p w14:paraId="0A4DD767" w14:textId="6B3A91EE" w:rsidR="00576B18" w:rsidRPr="00BC5AE2" w:rsidRDefault="00576B18" w:rsidP="00576B18">
      <w:pPr>
        <w:pStyle w:val="FootnoteText"/>
        <w:rPr>
          <w:sz w:val="20"/>
        </w:rPr>
      </w:pPr>
      <w:r w:rsidRPr="00BC5AE2">
        <w:rPr>
          <w:rStyle w:val="FootnoteReference"/>
          <w:sz w:val="20"/>
        </w:rPr>
        <w:footnoteRef/>
      </w:r>
      <w:r w:rsidRPr="00BC5AE2">
        <w:rPr>
          <w:sz w:val="20"/>
        </w:rPr>
        <w:t xml:space="preserve"> PBS statistics</w:t>
      </w:r>
      <w:r>
        <w:rPr>
          <w:sz w:val="20"/>
        </w:rPr>
        <w:t xml:space="preserve">. Australian Government </w:t>
      </w:r>
      <w:r w:rsidR="006804E0" w:rsidRPr="006804E0">
        <w:rPr>
          <w:sz w:val="20"/>
        </w:rPr>
        <w:t>Services Australia</w:t>
      </w:r>
      <w:r>
        <w:rPr>
          <w:sz w:val="20"/>
        </w:rPr>
        <w:t>. Canberra. Available from &lt;</w:t>
      </w:r>
      <w:hyperlink r:id="rId1" w:history="1">
        <w:r>
          <w:rPr>
            <w:rStyle w:val="Hyperlink"/>
            <w:sz w:val="20"/>
          </w:rPr>
          <w:t>http://www.medicareaustralia.gov.au/provider/pbs/stats.jsp</w:t>
        </w:r>
      </w:hyperlink>
      <w:r>
        <w:rPr>
          <w:sz w:val="20"/>
        </w:rPr>
        <w:t>&gt;.</w:t>
      </w:r>
    </w:p>
  </w:footnote>
  <w:footnote w:id="6">
    <w:p w14:paraId="13D69030" w14:textId="5F2AFC2A" w:rsidR="002558C2" w:rsidRDefault="002558C2">
      <w:pPr>
        <w:pStyle w:val="FootnoteText"/>
      </w:pPr>
      <w:r>
        <w:rPr>
          <w:rStyle w:val="FootnoteReference"/>
        </w:rPr>
        <w:footnoteRef/>
      </w:r>
      <w:r>
        <w:t xml:space="preserve"> Australian Government Department of Health and Aged Care. COVID-19 outbreaks in Australian residential aged care facilities. Accessed from: </w:t>
      </w:r>
      <w:r w:rsidRPr="002558C2">
        <w:t>https://www.health.gov.au/sites/default/files/2024-01/covid-19-outbreaks-in-australian-residential-aged-care-facilities-25-january-2024.pdf</w:t>
      </w:r>
    </w:p>
  </w:footnote>
  <w:footnote w:id="7">
    <w:p w14:paraId="554C47DB" w14:textId="77777777" w:rsidR="00D71F99" w:rsidRDefault="00D71F99" w:rsidP="00D71F99">
      <w:pPr>
        <w:pStyle w:val="FootnoteText"/>
      </w:pPr>
      <w:r>
        <w:rPr>
          <w:rStyle w:val="FootnoteReference"/>
        </w:rPr>
        <w:footnoteRef/>
      </w:r>
      <w:r>
        <w:t xml:space="preserve"> Murphy, S.J., Samson, L.W. and Sommers, B.D. COVID-19 Antivirals Utilization: Geographic and Demographic Patterns of Treatment in 2022. Office of the Assistant Secretary for Planning and Evaluation, U.S. Department of Health and Human Services. December 2022.</w:t>
      </w:r>
    </w:p>
  </w:footnote>
  <w:footnote w:id="8">
    <w:p w14:paraId="6A6D744C" w14:textId="77777777" w:rsidR="00D71F99" w:rsidRDefault="00D71F99" w:rsidP="00D71F99">
      <w:pPr>
        <w:pStyle w:val="FootnoteText"/>
      </w:pPr>
      <w:r>
        <w:rPr>
          <w:rStyle w:val="FootnoteReference"/>
        </w:rPr>
        <w:footnoteRef/>
      </w:r>
      <w:r>
        <w:t xml:space="preserve"> Pharmac Te Pataka Whaioranga. Molnupiravir access criteria. Accessed from: </w:t>
      </w:r>
      <w:r w:rsidRPr="00394131">
        <w:t>https://pharmac.govt.nz/news-and-resources/covid19/access-criteria-for-covid-19-medicines/molnupiravir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A8CE" w14:textId="77777777" w:rsidR="00871534" w:rsidRDefault="0087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6F15D" w14:textId="77777777" w:rsidR="00FB77FA" w:rsidRDefault="00FB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CF38" w14:textId="77777777" w:rsidR="00871534" w:rsidRDefault="0087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227AF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520DD"/>
    <w:multiLevelType w:val="hybridMultilevel"/>
    <w:tmpl w:val="F70AF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54689A"/>
    <w:multiLevelType w:val="hybridMultilevel"/>
    <w:tmpl w:val="48485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C27B7D"/>
    <w:multiLevelType w:val="hybridMultilevel"/>
    <w:tmpl w:val="8D4C03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E6445"/>
    <w:multiLevelType w:val="multilevel"/>
    <w:tmpl w:val="DED2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679EC"/>
    <w:multiLevelType w:val="multilevel"/>
    <w:tmpl w:val="4706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F18D2"/>
    <w:multiLevelType w:val="multilevel"/>
    <w:tmpl w:val="AA56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166D9"/>
    <w:multiLevelType w:val="hybridMultilevel"/>
    <w:tmpl w:val="DC764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73151B"/>
    <w:multiLevelType w:val="hybridMultilevel"/>
    <w:tmpl w:val="DFEE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6462A4"/>
    <w:multiLevelType w:val="multilevel"/>
    <w:tmpl w:val="17FC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11E63"/>
    <w:multiLevelType w:val="hybridMultilevel"/>
    <w:tmpl w:val="10E0A1D0"/>
    <w:lvl w:ilvl="0" w:tplc="0C090019">
      <w:start w:val="1"/>
      <w:numFmt w:val="lowerLetter"/>
      <w:lvlText w:val="%1."/>
      <w:lvlJc w:val="left"/>
      <w:pPr>
        <w:ind w:left="1080" w:hanging="360"/>
      </w:pPr>
    </w:lvl>
    <w:lvl w:ilvl="1" w:tplc="1520DDDC">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7DED3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82C27A9"/>
    <w:multiLevelType w:val="hybridMultilevel"/>
    <w:tmpl w:val="BCA6A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E840D7"/>
    <w:multiLevelType w:val="multilevel"/>
    <w:tmpl w:val="310CEF6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53427"/>
    <w:multiLevelType w:val="hybridMultilevel"/>
    <w:tmpl w:val="19FC4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2C750F"/>
    <w:multiLevelType w:val="hybridMultilevel"/>
    <w:tmpl w:val="611A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4B37C6"/>
    <w:multiLevelType w:val="hybridMultilevel"/>
    <w:tmpl w:val="B4D4C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A424E7"/>
    <w:multiLevelType w:val="hybridMultilevel"/>
    <w:tmpl w:val="CA800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CE0005"/>
    <w:multiLevelType w:val="hybridMultilevel"/>
    <w:tmpl w:val="CD468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342D3D"/>
    <w:multiLevelType w:val="hybridMultilevel"/>
    <w:tmpl w:val="4B9C2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604402"/>
    <w:multiLevelType w:val="hybridMultilevel"/>
    <w:tmpl w:val="67AA7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ED743E"/>
    <w:multiLevelType w:val="hybridMultilevel"/>
    <w:tmpl w:val="68D40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6224F7"/>
    <w:multiLevelType w:val="hybridMultilevel"/>
    <w:tmpl w:val="8EE69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7311C21"/>
    <w:multiLevelType w:val="hybridMultilevel"/>
    <w:tmpl w:val="8C0A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D47E53"/>
    <w:multiLevelType w:val="hybridMultilevel"/>
    <w:tmpl w:val="2C4E2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24A7C"/>
    <w:multiLevelType w:val="hybridMultilevel"/>
    <w:tmpl w:val="63EE1680"/>
    <w:lvl w:ilvl="0" w:tplc="293C45B4">
      <w:start w:val="1"/>
      <w:numFmt w:val="lowerLetter"/>
      <w:lvlText w:val="%1."/>
      <w:lvlJc w:val="left"/>
      <w:pPr>
        <w:ind w:left="1080" w:hanging="360"/>
      </w:pPr>
      <w:rPr>
        <w:rFonts w:asciiTheme="minorHAnsi" w:eastAsia="Times New Roman" w:hAnsiTheme="minorHAnsi" w:cstheme="min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4F3D09"/>
    <w:multiLevelType w:val="hybridMultilevel"/>
    <w:tmpl w:val="71AC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0544337">
    <w:abstractNumId w:val="28"/>
  </w:num>
  <w:num w:numId="2" w16cid:durableId="1310943459">
    <w:abstractNumId w:val="24"/>
  </w:num>
  <w:num w:numId="3" w16cid:durableId="1239709270">
    <w:abstractNumId w:val="8"/>
  </w:num>
  <w:num w:numId="4" w16cid:durableId="364672605">
    <w:abstractNumId w:val="7"/>
  </w:num>
  <w:num w:numId="5" w16cid:durableId="581455141">
    <w:abstractNumId w:val="9"/>
  </w:num>
  <w:num w:numId="6" w16cid:durableId="246355243">
    <w:abstractNumId w:val="22"/>
  </w:num>
  <w:num w:numId="7" w16cid:durableId="506555977">
    <w:abstractNumId w:val="19"/>
  </w:num>
  <w:num w:numId="8" w16cid:durableId="2126537376">
    <w:abstractNumId w:val="18"/>
  </w:num>
  <w:num w:numId="9" w16cid:durableId="392583820">
    <w:abstractNumId w:val="4"/>
  </w:num>
  <w:num w:numId="10" w16cid:durableId="1708291390">
    <w:abstractNumId w:val="10"/>
  </w:num>
  <w:num w:numId="11" w16cid:durableId="678044639">
    <w:abstractNumId w:val="14"/>
  </w:num>
  <w:num w:numId="12" w16cid:durableId="1409425362">
    <w:abstractNumId w:val="5"/>
  </w:num>
  <w:num w:numId="13" w16cid:durableId="672341584">
    <w:abstractNumId w:val="27"/>
  </w:num>
  <w:num w:numId="14" w16cid:durableId="499321669">
    <w:abstractNumId w:val="11"/>
  </w:num>
  <w:num w:numId="15" w16cid:durableId="79912793">
    <w:abstractNumId w:val="13"/>
  </w:num>
  <w:num w:numId="16" w16cid:durableId="626862383">
    <w:abstractNumId w:val="3"/>
  </w:num>
  <w:num w:numId="17" w16cid:durableId="712584927">
    <w:abstractNumId w:val="20"/>
  </w:num>
  <w:num w:numId="18" w16cid:durableId="929047755">
    <w:abstractNumId w:val="17"/>
  </w:num>
  <w:num w:numId="19" w16cid:durableId="1873609663">
    <w:abstractNumId w:val="12"/>
  </w:num>
  <w:num w:numId="20" w16cid:durableId="1399136228">
    <w:abstractNumId w:val="0"/>
  </w:num>
  <w:num w:numId="21" w16cid:durableId="116415593">
    <w:abstractNumId w:val="26"/>
  </w:num>
  <w:num w:numId="22" w16cid:durableId="1084110302">
    <w:abstractNumId w:val="21"/>
  </w:num>
  <w:num w:numId="23" w16cid:durableId="121073052">
    <w:abstractNumId w:val="16"/>
  </w:num>
  <w:num w:numId="24" w16cid:durableId="700283353">
    <w:abstractNumId w:val="15"/>
  </w:num>
  <w:num w:numId="25" w16cid:durableId="715665591">
    <w:abstractNumId w:val="2"/>
  </w:num>
  <w:num w:numId="26" w16cid:durableId="470289101">
    <w:abstractNumId w:val="1"/>
  </w:num>
  <w:num w:numId="27" w16cid:durableId="1207642039">
    <w:abstractNumId w:val="1"/>
  </w:num>
  <w:num w:numId="28" w16cid:durableId="1894268934">
    <w:abstractNumId w:val="25"/>
  </w:num>
  <w:num w:numId="29" w16cid:durableId="836114232">
    <w:abstractNumId w:val="29"/>
  </w:num>
  <w:num w:numId="30" w16cid:durableId="1929386385">
    <w:abstractNumId w:val="6"/>
  </w:num>
  <w:num w:numId="31" w16cid:durableId="19318853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1"/>
    <w:rsid w:val="00001AE7"/>
    <w:rsid w:val="00001E0A"/>
    <w:rsid w:val="000055B1"/>
    <w:rsid w:val="00005EB8"/>
    <w:rsid w:val="00007E85"/>
    <w:rsid w:val="00013465"/>
    <w:rsid w:val="000152FC"/>
    <w:rsid w:val="00016104"/>
    <w:rsid w:val="000226B3"/>
    <w:rsid w:val="00022B7D"/>
    <w:rsid w:val="00023C88"/>
    <w:rsid w:val="00024549"/>
    <w:rsid w:val="00026940"/>
    <w:rsid w:val="000278E8"/>
    <w:rsid w:val="0003046A"/>
    <w:rsid w:val="00031998"/>
    <w:rsid w:val="0003312E"/>
    <w:rsid w:val="00040E69"/>
    <w:rsid w:val="000544B6"/>
    <w:rsid w:val="000604AF"/>
    <w:rsid w:val="000611B5"/>
    <w:rsid w:val="000759BC"/>
    <w:rsid w:val="00086C11"/>
    <w:rsid w:val="00094DCF"/>
    <w:rsid w:val="000A6CFD"/>
    <w:rsid w:val="000B0982"/>
    <w:rsid w:val="000B796C"/>
    <w:rsid w:val="000C46BB"/>
    <w:rsid w:val="000C4D9D"/>
    <w:rsid w:val="000C7C4B"/>
    <w:rsid w:val="000C7D8B"/>
    <w:rsid w:val="000D03A1"/>
    <w:rsid w:val="000D0DF6"/>
    <w:rsid w:val="000D244C"/>
    <w:rsid w:val="000E00F0"/>
    <w:rsid w:val="000E485D"/>
    <w:rsid w:val="000E72C6"/>
    <w:rsid w:val="000F1893"/>
    <w:rsid w:val="000F2F51"/>
    <w:rsid w:val="00113CC2"/>
    <w:rsid w:val="00113CF8"/>
    <w:rsid w:val="00113D74"/>
    <w:rsid w:val="00117C5C"/>
    <w:rsid w:val="001310AE"/>
    <w:rsid w:val="001331B4"/>
    <w:rsid w:val="00134EA4"/>
    <w:rsid w:val="001363EA"/>
    <w:rsid w:val="001420B3"/>
    <w:rsid w:val="001436A1"/>
    <w:rsid w:val="001460C4"/>
    <w:rsid w:val="001472AF"/>
    <w:rsid w:val="0015691C"/>
    <w:rsid w:val="00161390"/>
    <w:rsid w:val="001621F7"/>
    <w:rsid w:val="001624D7"/>
    <w:rsid w:val="00163177"/>
    <w:rsid w:val="00176AC5"/>
    <w:rsid w:val="00177B86"/>
    <w:rsid w:val="00182585"/>
    <w:rsid w:val="00191182"/>
    <w:rsid w:val="0019664D"/>
    <w:rsid w:val="001A0446"/>
    <w:rsid w:val="001A2589"/>
    <w:rsid w:val="001A6103"/>
    <w:rsid w:val="001A6510"/>
    <w:rsid w:val="001B1065"/>
    <w:rsid w:val="001B5D37"/>
    <w:rsid w:val="001C2212"/>
    <w:rsid w:val="001C2940"/>
    <w:rsid w:val="001C4016"/>
    <w:rsid w:val="001C548D"/>
    <w:rsid w:val="001C5DE6"/>
    <w:rsid w:val="001C6A5D"/>
    <w:rsid w:val="001D24CE"/>
    <w:rsid w:val="001D5D4F"/>
    <w:rsid w:val="001E1512"/>
    <w:rsid w:val="001E31A6"/>
    <w:rsid w:val="001E3CCB"/>
    <w:rsid w:val="001E42C7"/>
    <w:rsid w:val="001E4CAB"/>
    <w:rsid w:val="001F0A4E"/>
    <w:rsid w:val="001F2F3E"/>
    <w:rsid w:val="001F4906"/>
    <w:rsid w:val="001F7C4A"/>
    <w:rsid w:val="002008A9"/>
    <w:rsid w:val="00203076"/>
    <w:rsid w:val="0020578A"/>
    <w:rsid w:val="00207631"/>
    <w:rsid w:val="0021289D"/>
    <w:rsid w:val="00214013"/>
    <w:rsid w:val="00216787"/>
    <w:rsid w:val="00217892"/>
    <w:rsid w:val="00220FC1"/>
    <w:rsid w:val="00222E9A"/>
    <w:rsid w:val="0022437E"/>
    <w:rsid w:val="002259D1"/>
    <w:rsid w:val="00230BB0"/>
    <w:rsid w:val="002313BF"/>
    <w:rsid w:val="00231505"/>
    <w:rsid w:val="0023179D"/>
    <w:rsid w:val="00231D0D"/>
    <w:rsid w:val="00235377"/>
    <w:rsid w:val="00243CEF"/>
    <w:rsid w:val="0025389D"/>
    <w:rsid w:val="00253CEB"/>
    <w:rsid w:val="00254E02"/>
    <w:rsid w:val="002558C2"/>
    <w:rsid w:val="0026265F"/>
    <w:rsid w:val="00273F15"/>
    <w:rsid w:val="002804DC"/>
    <w:rsid w:val="00286C3A"/>
    <w:rsid w:val="00290C10"/>
    <w:rsid w:val="002930F5"/>
    <w:rsid w:val="00295DF8"/>
    <w:rsid w:val="00296E06"/>
    <w:rsid w:val="002A06B7"/>
    <w:rsid w:val="002A5D17"/>
    <w:rsid w:val="002B28AC"/>
    <w:rsid w:val="002C4C6E"/>
    <w:rsid w:val="002C6E0C"/>
    <w:rsid w:val="002D144A"/>
    <w:rsid w:val="002D4D22"/>
    <w:rsid w:val="002D5E23"/>
    <w:rsid w:val="002D61A4"/>
    <w:rsid w:val="002E19A3"/>
    <w:rsid w:val="002E212B"/>
    <w:rsid w:val="002E26D9"/>
    <w:rsid w:val="002E3337"/>
    <w:rsid w:val="002E33CD"/>
    <w:rsid w:val="002E5CB6"/>
    <w:rsid w:val="002E6D03"/>
    <w:rsid w:val="002F49A8"/>
    <w:rsid w:val="002F5E66"/>
    <w:rsid w:val="002F61CA"/>
    <w:rsid w:val="0030010D"/>
    <w:rsid w:val="00301A96"/>
    <w:rsid w:val="00302DE7"/>
    <w:rsid w:val="00310544"/>
    <w:rsid w:val="00323B97"/>
    <w:rsid w:val="003259DF"/>
    <w:rsid w:val="003266A0"/>
    <w:rsid w:val="00334A80"/>
    <w:rsid w:val="0033504C"/>
    <w:rsid w:val="00335A17"/>
    <w:rsid w:val="00336816"/>
    <w:rsid w:val="003370D0"/>
    <w:rsid w:val="00337355"/>
    <w:rsid w:val="003402E4"/>
    <w:rsid w:val="00340F95"/>
    <w:rsid w:val="00345154"/>
    <w:rsid w:val="00352931"/>
    <w:rsid w:val="003531ED"/>
    <w:rsid w:val="003579CB"/>
    <w:rsid w:val="00360B9A"/>
    <w:rsid w:val="00371004"/>
    <w:rsid w:val="00373169"/>
    <w:rsid w:val="00373DF6"/>
    <w:rsid w:val="0039017F"/>
    <w:rsid w:val="00391C00"/>
    <w:rsid w:val="00394AEE"/>
    <w:rsid w:val="00397A4A"/>
    <w:rsid w:val="003A0958"/>
    <w:rsid w:val="003C2D98"/>
    <w:rsid w:val="003C367C"/>
    <w:rsid w:val="003D3A96"/>
    <w:rsid w:val="003D3B9C"/>
    <w:rsid w:val="003D3F94"/>
    <w:rsid w:val="003F5265"/>
    <w:rsid w:val="0040038A"/>
    <w:rsid w:val="00404F03"/>
    <w:rsid w:val="00412051"/>
    <w:rsid w:val="004201E6"/>
    <w:rsid w:val="00423B94"/>
    <w:rsid w:val="00426778"/>
    <w:rsid w:val="00431231"/>
    <w:rsid w:val="00460217"/>
    <w:rsid w:val="00460623"/>
    <w:rsid w:val="00463731"/>
    <w:rsid w:val="0046400A"/>
    <w:rsid w:val="004641CB"/>
    <w:rsid w:val="00466F76"/>
    <w:rsid w:val="00467B25"/>
    <w:rsid w:val="0047144F"/>
    <w:rsid w:val="00481108"/>
    <w:rsid w:val="00484C98"/>
    <w:rsid w:val="00486905"/>
    <w:rsid w:val="0049042B"/>
    <w:rsid w:val="00491379"/>
    <w:rsid w:val="00495473"/>
    <w:rsid w:val="004A458E"/>
    <w:rsid w:val="004B23E7"/>
    <w:rsid w:val="004B306F"/>
    <w:rsid w:val="004B31D6"/>
    <w:rsid w:val="004C0319"/>
    <w:rsid w:val="004C3186"/>
    <w:rsid w:val="004C5042"/>
    <w:rsid w:val="004D5F3A"/>
    <w:rsid w:val="004E4422"/>
    <w:rsid w:val="00503998"/>
    <w:rsid w:val="0050623B"/>
    <w:rsid w:val="00515D76"/>
    <w:rsid w:val="0052082A"/>
    <w:rsid w:val="00523181"/>
    <w:rsid w:val="00524D13"/>
    <w:rsid w:val="00526B03"/>
    <w:rsid w:val="005339F6"/>
    <w:rsid w:val="00551182"/>
    <w:rsid w:val="005536AB"/>
    <w:rsid w:val="005541DC"/>
    <w:rsid w:val="00564DF3"/>
    <w:rsid w:val="00570CDE"/>
    <w:rsid w:val="005728C1"/>
    <w:rsid w:val="00576B18"/>
    <w:rsid w:val="005833EE"/>
    <w:rsid w:val="00585DDC"/>
    <w:rsid w:val="00587724"/>
    <w:rsid w:val="00590DBB"/>
    <w:rsid w:val="00591512"/>
    <w:rsid w:val="00591F43"/>
    <w:rsid w:val="00594752"/>
    <w:rsid w:val="005A341F"/>
    <w:rsid w:val="005B2D91"/>
    <w:rsid w:val="005B48B4"/>
    <w:rsid w:val="005C0F9F"/>
    <w:rsid w:val="005C6661"/>
    <w:rsid w:val="005C6E3B"/>
    <w:rsid w:val="005D2A81"/>
    <w:rsid w:val="005D3027"/>
    <w:rsid w:val="005D474B"/>
    <w:rsid w:val="005E085C"/>
    <w:rsid w:val="005E147D"/>
    <w:rsid w:val="005E22C2"/>
    <w:rsid w:val="005E3744"/>
    <w:rsid w:val="005E38D3"/>
    <w:rsid w:val="005E57BB"/>
    <w:rsid w:val="005F0017"/>
    <w:rsid w:val="006014F1"/>
    <w:rsid w:val="00604378"/>
    <w:rsid w:val="00604AB3"/>
    <w:rsid w:val="0061357B"/>
    <w:rsid w:val="00614A7D"/>
    <w:rsid w:val="006163B5"/>
    <w:rsid w:val="00631C37"/>
    <w:rsid w:val="0063631C"/>
    <w:rsid w:val="006372E0"/>
    <w:rsid w:val="0063757B"/>
    <w:rsid w:val="006377CE"/>
    <w:rsid w:val="00641383"/>
    <w:rsid w:val="00642D43"/>
    <w:rsid w:val="006537D9"/>
    <w:rsid w:val="00657812"/>
    <w:rsid w:val="00662E6A"/>
    <w:rsid w:val="00663F34"/>
    <w:rsid w:val="00664A48"/>
    <w:rsid w:val="00665DEF"/>
    <w:rsid w:val="00670DFA"/>
    <w:rsid w:val="006714CF"/>
    <w:rsid w:val="00673A25"/>
    <w:rsid w:val="00675BB1"/>
    <w:rsid w:val="006775F1"/>
    <w:rsid w:val="006804E0"/>
    <w:rsid w:val="00692AA7"/>
    <w:rsid w:val="00693302"/>
    <w:rsid w:val="006968DF"/>
    <w:rsid w:val="00697FEC"/>
    <w:rsid w:val="006A175F"/>
    <w:rsid w:val="006A2416"/>
    <w:rsid w:val="006A44F5"/>
    <w:rsid w:val="006A537C"/>
    <w:rsid w:val="006B30D9"/>
    <w:rsid w:val="006B4537"/>
    <w:rsid w:val="006B554F"/>
    <w:rsid w:val="006B5F85"/>
    <w:rsid w:val="006B6929"/>
    <w:rsid w:val="006B709B"/>
    <w:rsid w:val="006C54AF"/>
    <w:rsid w:val="006C5AD2"/>
    <w:rsid w:val="006D546E"/>
    <w:rsid w:val="006E0181"/>
    <w:rsid w:val="006E06EE"/>
    <w:rsid w:val="006E2B32"/>
    <w:rsid w:val="006E533D"/>
    <w:rsid w:val="006F541C"/>
    <w:rsid w:val="00700C0E"/>
    <w:rsid w:val="00705DAD"/>
    <w:rsid w:val="00711367"/>
    <w:rsid w:val="00720E3E"/>
    <w:rsid w:val="007247B9"/>
    <w:rsid w:val="00727D85"/>
    <w:rsid w:val="00727FE7"/>
    <w:rsid w:val="007346C7"/>
    <w:rsid w:val="00736041"/>
    <w:rsid w:val="007408C7"/>
    <w:rsid w:val="007465DA"/>
    <w:rsid w:val="00746E53"/>
    <w:rsid w:val="007501BB"/>
    <w:rsid w:val="00752C7F"/>
    <w:rsid w:val="00754B83"/>
    <w:rsid w:val="00756CAF"/>
    <w:rsid w:val="00776598"/>
    <w:rsid w:val="007775EC"/>
    <w:rsid w:val="00783B92"/>
    <w:rsid w:val="00792948"/>
    <w:rsid w:val="0079635A"/>
    <w:rsid w:val="00796589"/>
    <w:rsid w:val="00796E84"/>
    <w:rsid w:val="007A07DB"/>
    <w:rsid w:val="007A1048"/>
    <w:rsid w:val="007A28DB"/>
    <w:rsid w:val="007A3212"/>
    <w:rsid w:val="007A33E3"/>
    <w:rsid w:val="007A3ADE"/>
    <w:rsid w:val="007A5733"/>
    <w:rsid w:val="007A5774"/>
    <w:rsid w:val="007B24AE"/>
    <w:rsid w:val="007C2BE2"/>
    <w:rsid w:val="007E2B2C"/>
    <w:rsid w:val="00801E74"/>
    <w:rsid w:val="0080485E"/>
    <w:rsid w:val="00810F3D"/>
    <w:rsid w:val="008142B4"/>
    <w:rsid w:val="0081626F"/>
    <w:rsid w:val="00826055"/>
    <w:rsid w:val="00827315"/>
    <w:rsid w:val="008306E0"/>
    <w:rsid w:val="00832324"/>
    <w:rsid w:val="00835337"/>
    <w:rsid w:val="00836D7A"/>
    <w:rsid w:val="00842380"/>
    <w:rsid w:val="00846DCD"/>
    <w:rsid w:val="00851D85"/>
    <w:rsid w:val="00860CCB"/>
    <w:rsid w:val="00861B29"/>
    <w:rsid w:val="00866BE4"/>
    <w:rsid w:val="00867F76"/>
    <w:rsid w:val="00871534"/>
    <w:rsid w:val="008740A3"/>
    <w:rsid w:val="008755CB"/>
    <w:rsid w:val="00877343"/>
    <w:rsid w:val="00882FF8"/>
    <w:rsid w:val="0089297B"/>
    <w:rsid w:val="00895844"/>
    <w:rsid w:val="008B30A8"/>
    <w:rsid w:val="008B35FD"/>
    <w:rsid w:val="008B520B"/>
    <w:rsid w:val="008C36CA"/>
    <w:rsid w:val="008D4518"/>
    <w:rsid w:val="008E3F8C"/>
    <w:rsid w:val="008F6D68"/>
    <w:rsid w:val="00902FD0"/>
    <w:rsid w:val="009053D3"/>
    <w:rsid w:val="00905A97"/>
    <w:rsid w:val="0090691F"/>
    <w:rsid w:val="0091561D"/>
    <w:rsid w:val="009219D3"/>
    <w:rsid w:val="00926FF1"/>
    <w:rsid w:val="00930743"/>
    <w:rsid w:val="0093111F"/>
    <w:rsid w:val="0093357A"/>
    <w:rsid w:val="00935689"/>
    <w:rsid w:val="009479A6"/>
    <w:rsid w:val="0095303B"/>
    <w:rsid w:val="00953F15"/>
    <w:rsid w:val="009663B6"/>
    <w:rsid w:val="00967655"/>
    <w:rsid w:val="0097267A"/>
    <w:rsid w:val="00973F69"/>
    <w:rsid w:val="00974A47"/>
    <w:rsid w:val="00980286"/>
    <w:rsid w:val="00980824"/>
    <w:rsid w:val="009832D0"/>
    <w:rsid w:val="00990DCF"/>
    <w:rsid w:val="009923A7"/>
    <w:rsid w:val="009A3965"/>
    <w:rsid w:val="009A4CD6"/>
    <w:rsid w:val="009A5311"/>
    <w:rsid w:val="009A537C"/>
    <w:rsid w:val="009A6AE1"/>
    <w:rsid w:val="009C0886"/>
    <w:rsid w:val="009C08FF"/>
    <w:rsid w:val="009C0A9F"/>
    <w:rsid w:val="009C19EE"/>
    <w:rsid w:val="009C28D0"/>
    <w:rsid w:val="009C35F2"/>
    <w:rsid w:val="009C5562"/>
    <w:rsid w:val="009C7782"/>
    <w:rsid w:val="009D1ED5"/>
    <w:rsid w:val="009D4C13"/>
    <w:rsid w:val="009E21A7"/>
    <w:rsid w:val="009E6EBE"/>
    <w:rsid w:val="009E7FC3"/>
    <w:rsid w:val="009F484B"/>
    <w:rsid w:val="00A0485D"/>
    <w:rsid w:val="00A0603F"/>
    <w:rsid w:val="00A103ED"/>
    <w:rsid w:val="00A13C60"/>
    <w:rsid w:val="00A15134"/>
    <w:rsid w:val="00A15993"/>
    <w:rsid w:val="00A1618F"/>
    <w:rsid w:val="00A22625"/>
    <w:rsid w:val="00A341A3"/>
    <w:rsid w:val="00A35800"/>
    <w:rsid w:val="00A417A1"/>
    <w:rsid w:val="00A46488"/>
    <w:rsid w:val="00A52918"/>
    <w:rsid w:val="00A5389B"/>
    <w:rsid w:val="00A547B3"/>
    <w:rsid w:val="00A54B0C"/>
    <w:rsid w:val="00A6473B"/>
    <w:rsid w:val="00A70E82"/>
    <w:rsid w:val="00A74F35"/>
    <w:rsid w:val="00A84CAD"/>
    <w:rsid w:val="00A90E50"/>
    <w:rsid w:val="00A91A8D"/>
    <w:rsid w:val="00A91EA7"/>
    <w:rsid w:val="00A94530"/>
    <w:rsid w:val="00A95FA5"/>
    <w:rsid w:val="00A96D92"/>
    <w:rsid w:val="00AA0ED0"/>
    <w:rsid w:val="00AA592E"/>
    <w:rsid w:val="00AA699D"/>
    <w:rsid w:val="00AB199C"/>
    <w:rsid w:val="00AB225F"/>
    <w:rsid w:val="00AB3733"/>
    <w:rsid w:val="00AB588C"/>
    <w:rsid w:val="00AB7897"/>
    <w:rsid w:val="00AC5054"/>
    <w:rsid w:val="00AC68AA"/>
    <w:rsid w:val="00AD48B4"/>
    <w:rsid w:val="00AD7EEC"/>
    <w:rsid w:val="00AE4BAC"/>
    <w:rsid w:val="00AE66D5"/>
    <w:rsid w:val="00B01562"/>
    <w:rsid w:val="00B026E2"/>
    <w:rsid w:val="00B034FC"/>
    <w:rsid w:val="00B03D50"/>
    <w:rsid w:val="00B05310"/>
    <w:rsid w:val="00B10A0B"/>
    <w:rsid w:val="00B11AD2"/>
    <w:rsid w:val="00B17A14"/>
    <w:rsid w:val="00B20327"/>
    <w:rsid w:val="00B2091F"/>
    <w:rsid w:val="00B20F6E"/>
    <w:rsid w:val="00B248F5"/>
    <w:rsid w:val="00B249D6"/>
    <w:rsid w:val="00B30CE7"/>
    <w:rsid w:val="00B30D85"/>
    <w:rsid w:val="00B314B6"/>
    <w:rsid w:val="00B3184B"/>
    <w:rsid w:val="00B35A4A"/>
    <w:rsid w:val="00B453CF"/>
    <w:rsid w:val="00B4565F"/>
    <w:rsid w:val="00B47343"/>
    <w:rsid w:val="00B54919"/>
    <w:rsid w:val="00B63FD7"/>
    <w:rsid w:val="00B64459"/>
    <w:rsid w:val="00B66C3F"/>
    <w:rsid w:val="00B816D9"/>
    <w:rsid w:val="00B84942"/>
    <w:rsid w:val="00B90549"/>
    <w:rsid w:val="00B90E01"/>
    <w:rsid w:val="00B9120F"/>
    <w:rsid w:val="00B9216C"/>
    <w:rsid w:val="00B924A4"/>
    <w:rsid w:val="00BA31C3"/>
    <w:rsid w:val="00BA436D"/>
    <w:rsid w:val="00BA5E46"/>
    <w:rsid w:val="00BB0D1A"/>
    <w:rsid w:val="00BB1D3B"/>
    <w:rsid w:val="00BB6FBD"/>
    <w:rsid w:val="00BC35ED"/>
    <w:rsid w:val="00BC4ED6"/>
    <w:rsid w:val="00BD6135"/>
    <w:rsid w:val="00BE205A"/>
    <w:rsid w:val="00BE3802"/>
    <w:rsid w:val="00BF238E"/>
    <w:rsid w:val="00BF2F4A"/>
    <w:rsid w:val="00BF544D"/>
    <w:rsid w:val="00C0076F"/>
    <w:rsid w:val="00C01509"/>
    <w:rsid w:val="00C0301C"/>
    <w:rsid w:val="00C050B6"/>
    <w:rsid w:val="00C10F12"/>
    <w:rsid w:val="00C1312A"/>
    <w:rsid w:val="00C156B8"/>
    <w:rsid w:val="00C22D80"/>
    <w:rsid w:val="00C245EA"/>
    <w:rsid w:val="00C24ACF"/>
    <w:rsid w:val="00C256F6"/>
    <w:rsid w:val="00C302EB"/>
    <w:rsid w:val="00C3097E"/>
    <w:rsid w:val="00C35ECC"/>
    <w:rsid w:val="00C36169"/>
    <w:rsid w:val="00C361A8"/>
    <w:rsid w:val="00C41246"/>
    <w:rsid w:val="00C414C4"/>
    <w:rsid w:val="00C45E5F"/>
    <w:rsid w:val="00C46291"/>
    <w:rsid w:val="00C50856"/>
    <w:rsid w:val="00C5210B"/>
    <w:rsid w:val="00C544A5"/>
    <w:rsid w:val="00C55604"/>
    <w:rsid w:val="00C63412"/>
    <w:rsid w:val="00C638A6"/>
    <w:rsid w:val="00C64E2F"/>
    <w:rsid w:val="00C714D0"/>
    <w:rsid w:val="00C77846"/>
    <w:rsid w:val="00C856F2"/>
    <w:rsid w:val="00C90EF4"/>
    <w:rsid w:val="00C917E9"/>
    <w:rsid w:val="00C947F4"/>
    <w:rsid w:val="00C97BB7"/>
    <w:rsid w:val="00CA015A"/>
    <w:rsid w:val="00CA44D4"/>
    <w:rsid w:val="00CB060E"/>
    <w:rsid w:val="00CC1AA3"/>
    <w:rsid w:val="00CC73FB"/>
    <w:rsid w:val="00CD4486"/>
    <w:rsid w:val="00CF5E22"/>
    <w:rsid w:val="00D04019"/>
    <w:rsid w:val="00D06A44"/>
    <w:rsid w:val="00D10A1E"/>
    <w:rsid w:val="00D10F10"/>
    <w:rsid w:val="00D11698"/>
    <w:rsid w:val="00D151EB"/>
    <w:rsid w:val="00D2094A"/>
    <w:rsid w:val="00D22423"/>
    <w:rsid w:val="00D26068"/>
    <w:rsid w:val="00D300E0"/>
    <w:rsid w:val="00D31573"/>
    <w:rsid w:val="00D374CD"/>
    <w:rsid w:val="00D509CB"/>
    <w:rsid w:val="00D52D15"/>
    <w:rsid w:val="00D56873"/>
    <w:rsid w:val="00D650CE"/>
    <w:rsid w:val="00D71719"/>
    <w:rsid w:val="00D71F99"/>
    <w:rsid w:val="00D768A0"/>
    <w:rsid w:val="00D776DA"/>
    <w:rsid w:val="00D8758B"/>
    <w:rsid w:val="00D942B3"/>
    <w:rsid w:val="00D94863"/>
    <w:rsid w:val="00DA2F65"/>
    <w:rsid w:val="00DA7D09"/>
    <w:rsid w:val="00DC2630"/>
    <w:rsid w:val="00DC49E9"/>
    <w:rsid w:val="00DC55E4"/>
    <w:rsid w:val="00DC6703"/>
    <w:rsid w:val="00DC7D71"/>
    <w:rsid w:val="00DD188C"/>
    <w:rsid w:val="00DD29A3"/>
    <w:rsid w:val="00DD48EE"/>
    <w:rsid w:val="00DD5128"/>
    <w:rsid w:val="00DE0B96"/>
    <w:rsid w:val="00DE10B9"/>
    <w:rsid w:val="00DE2C45"/>
    <w:rsid w:val="00DF0B13"/>
    <w:rsid w:val="00DF2EB8"/>
    <w:rsid w:val="00DF4A94"/>
    <w:rsid w:val="00DF6003"/>
    <w:rsid w:val="00DF71F3"/>
    <w:rsid w:val="00E00095"/>
    <w:rsid w:val="00E066C3"/>
    <w:rsid w:val="00E10D8C"/>
    <w:rsid w:val="00E11899"/>
    <w:rsid w:val="00E12C57"/>
    <w:rsid w:val="00E1353A"/>
    <w:rsid w:val="00E13BCF"/>
    <w:rsid w:val="00E1564B"/>
    <w:rsid w:val="00E20109"/>
    <w:rsid w:val="00E208A0"/>
    <w:rsid w:val="00E25B49"/>
    <w:rsid w:val="00E371EA"/>
    <w:rsid w:val="00E53A24"/>
    <w:rsid w:val="00E63BD1"/>
    <w:rsid w:val="00E64429"/>
    <w:rsid w:val="00E677DD"/>
    <w:rsid w:val="00E75335"/>
    <w:rsid w:val="00E7594B"/>
    <w:rsid w:val="00E90B45"/>
    <w:rsid w:val="00EA2EC6"/>
    <w:rsid w:val="00EA5A7E"/>
    <w:rsid w:val="00EB4688"/>
    <w:rsid w:val="00EB6C07"/>
    <w:rsid w:val="00EC028D"/>
    <w:rsid w:val="00EC588A"/>
    <w:rsid w:val="00ED633B"/>
    <w:rsid w:val="00ED7C2E"/>
    <w:rsid w:val="00EE2748"/>
    <w:rsid w:val="00EE2BBB"/>
    <w:rsid w:val="00EE30D7"/>
    <w:rsid w:val="00EE3BED"/>
    <w:rsid w:val="00EE478C"/>
    <w:rsid w:val="00EF68BB"/>
    <w:rsid w:val="00F108E2"/>
    <w:rsid w:val="00F1132C"/>
    <w:rsid w:val="00F12E15"/>
    <w:rsid w:val="00F15DD5"/>
    <w:rsid w:val="00F17D4B"/>
    <w:rsid w:val="00F21F57"/>
    <w:rsid w:val="00F23139"/>
    <w:rsid w:val="00F30338"/>
    <w:rsid w:val="00F45145"/>
    <w:rsid w:val="00F52C14"/>
    <w:rsid w:val="00F52F11"/>
    <w:rsid w:val="00F57A5A"/>
    <w:rsid w:val="00F66CD5"/>
    <w:rsid w:val="00F67A9A"/>
    <w:rsid w:val="00F704CF"/>
    <w:rsid w:val="00F70F4E"/>
    <w:rsid w:val="00F71ACF"/>
    <w:rsid w:val="00F73113"/>
    <w:rsid w:val="00F75FC4"/>
    <w:rsid w:val="00F77DDD"/>
    <w:rsid w:val="00F8416E"/>
    <w:rsid w:val="00F8581B"/>
    <w:rsid w:val="00F85981"/>
    <w:rsid w:val="00F87263"/>
    <w:rsid w:val="00F91B6C"/>
    <w:rsid w:val="00F92E23"/>
    <w:rsid w:val="00F93725"/>
    <w:rsid w:val="00FA1300"/>
    <w:rsid w:val="00FA3456"/>
    <w:rsid w:val="00FA4890"/>
    <w:rsid w:val="00FA693B"/>
    <w:rsid w:val="00FB6841"/>
    <w:rsid w:val="00FB77FA"/>
    <w:rsid w:val="00FC3C70"/>
    <w:rsid w:val="00FC4A73"/>
    <w:rsid w:val="00FC559C"/>
    <w:rsid w:val="00FC7F0D"/>
    <w:rsid w:val="00FD565F"/>
    <w:rsid w:val="00FE1B4B"/>
    <w:rsid w:val="00FE6203"/>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Revision">
    <w:name w:val="Revision"/>
    <w:hidden/>
    <w:uiPriority w:val="99"/>
    <w:semiHidden/>
    <w:rsid w:val="00BD6135"/>
    <w:pPr>
      <w:spacing w:after="0" w:line="240" w:lineRule="auto"/>
    </w:pPr>
    <w:rPr>
      <w:sz w:val="24"/>
      <w:szCs w:val="24"/>
    </w:rPr>
  </w:style>
  <w:style w:type="character" w:styleId="UnresolvedMention">
    <w:name w:val="Unresolved Mention"/>
    <w:basedOn w:val="DefaultParagraphFont"/>
    <w:uiPriority w:val="99"/>
    <w:semiHidden/>
    <w:unhideWhenUsed/>
    <w:rsid w:val="009C0A9F"/>
    <w:rPr>
      <w:color w:val="605E5C"/>
      <w:shd w:val="clear" w:color="auto" w:fill="E1DFDD"/>
    </w:rPr>
  </w:style>
  <w:style w:type="table" w:customStyle="1" w:styleId="TableGrid1">
    <w:name w:val="Table Grid1"/>
    <w:basedOn w:val="TableNormal"/>
    <w:next w:val="TableGrid"/>
    <w:uiPriority w:val="39"/>
    <w:rsid w:val="00302DE7"/>
    <w:pPr>
      <w:spacing w:after="0" w:line="240" w:lineRule="auto"/>
    </w:pPr>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588A"/>
    <w:pPr>
      <w:spacing w:before="100" w:beforeAutospacing="1" w:after="100" w:afterAutospacing="1"/>
    </w:pPr>
    <w:rPr>
      <w:rFonts w:ascii="Times New Roman" w:eastAsia="Times New Roman" w:hAnsi="Times New Roman" w:cs="Times New Roman"/>
    </w:rPr>
  </w:style>
  <w:style w:type="table" w:customStyle="1" w:styleId="TableGrid2">
    <w:name w:val="Table Grid2"/>
    <w:basedOn w:val="TableNormal"/>
    <w:next w:val="TableGrid"/>
    <w:uiPriority w:val="39"/>
    <w:rsid w:val="00FE1B4B"/>
    <w:pPr>
      <w:spacing w:after="0" w:line="240" w:lineRule="auto"/>
    </w:pPr>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01AE7"/>
  </w:style>
  <w:style w:type="paragraph" w:customStyle="1" w:styleId="pf0">
    <w:name w:val="pf0"/>
    <w:basedOn w:val="Normal"/>
    <w:rsid w:val="002A5D17"/>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2A5D17"/>
    <w:rPr>
      <w:rFonts w:ascii="Segoe UI" w:hAnsi="Segoe UI" w:cs="Segoe UI" w:hint="default"/>
      <w:sz w:val="18"/>
      <w:szCs w:val="18"/>
    </w:rPr>
  </w:style>
  <w:style w:type="character" w:styleId="FollowedHyperlink">
    <w:name w:val="FollowedHyperlink"/>
    <w:basedOn w:val="DefaultParagraphFont"/>
    <w:uiPriority w:val="99"/>
    <w:semiHidden/>
    <w:unhideWhenUsed/>
    <w:rsid w:val="002030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1854">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20223502">
      <w:bodyDiv w:val="1"/>
      <w:marLeft w:val="0"/>
      <w:marRight w:val="0"/>
      <w:marTop w:val="0"/>
      <w:marBottom w:val="0"/>
      <w:divBdr>
        <w:top w:val="none" w:sz="0" w:space="0" w:color="auto"/>
        <w:left w:val="none" w:sz="0" w:space="0" w:color="auto"/>
        <w:bottom w:val="none" w:sz="0" w:space="0" w:color="auto"/>
        <w:right w:val="none" w:sz="0" w:space="0" w:color="auto"/>
      </w:divBdr>
    </w:div>
    <w:div w:id="1095706182">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439836572">
      <w:bodyDiv w:val="1"/>
      <w:marLeft w:val="0"/>
      <w:marRight w:val="0"/>
      <w:marTop w:val="0"/>
      <w:marBottom w:val="0"/>
      <w:divBdr>
        <w:top w:val="none" w:sz="0" w:space="0" w:color="auto"/>
        <w:left w:val="none" w:sz="0" w:space="0" w:color="auto"/>
        <w:bottom w:val="none" w:sz="0" w:space="0" w:color="auto"/>
        <w:right w:val="none" w:sz="0" w:space="0" w:color="auto"/>
      </w:divBdr>
    </w:div>
    <w:div w:id="1524200989">
      <w:bodyDiv w:val="1"/>
      <w:marLeft w:val="0"/>
      <w:marRight w:val="0"/>
      <w:marTop w:val="0"/>
      <w:marBottom w:val="0"/>
      <w:divBdr>
        <w:top w:val="none" w:sz="0" w:space="0" w:color="auto"/>
        <w:left w:val="none" w:sz="0" w:space="0" w:color="auto"/>
        <w:bottom w:val="none" w:sz="0" w:space="0" w:color="auto"/>
        <w:right w:val="none" w:sz="0" w:space="0" w:color="auto"/>
      </w:divBdr>
    </w:div>
    <w:div w:id="1799033030">
      <w:bodyDiv w:val="1"/>
      <w:marLeft w:val="0"/>
      <w:marRight w:val="0"/>
      <w:marTop w:val="0"/>
      <w:marBottom w:val="0"/>
      <w:divBdr>
        <w:top w:val="none" w:sz="0" w:space="0" w:color="auto"/>
        <w:left w:val="none" w:sz="0" w:space="0" w:color="auto"/>
        <w:bottom w:val="none" w:sz="0" w:space="0" w:color="auto"/>
        <w:right w:val="none" w:sz="0" w:space="0" w:color="auto"/>
      </w:divBdr>
    </w:div>
    <w:div w:id="21191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file:///\\central.health\DFSGroupData\Sites\CO1\CO\PBD\PEB\EVAL\DUSC\DUSC%20Documents\Predicted%20vs%20actual%20usage\pbs.gov.au" TargetMode="Externa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bs.gov.au/info/industry/listing/elements/pbac-meetings/psd/2023-07/molnupiravir-lagevrio-PSD-July-2023" TargetMode="External"/><Relationship Id="rId20" Type="http://schemas.openxmlformats.org/officeDocument/2006/relationships/chart" Target="charts/chart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vid19-druginteractions.org/checker" TargetMode="External"/><Relationship Id="rId24" Type="http://schemas.openxmlformats.org/officeDocument/2006/relationships/chart" Target="charts/chart8.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bs.gov.au/info/industry/listing/elements/pbac-meetings/pbac-outcomes/recommendations-made-out-of-session-by-the-pbac-between-meet"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theme" Target="theme/theme1.xml"/><Relationship Id="rId10" Type="http://schemas.openxmlformats.org/officeDocument/2006/relationships/hyperlink" Target="http://www.pbs.gov.au/pbs/home" TargetMode="External"/><Relationship Id="rId19" Type="http://schemas.openxmlformats.org/officeDocument/2006/relationships/chart" Target="charts/chart3.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hyperlink" Target="https://www.pbs.gov.au/info/industry/listing/elements/pbac-meetings/pbac-outcomes/recommendations-made-out-of-session-by-the-pbac-between-meet"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molnupiravir%20review%20270820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molnupiravir%20review%20270820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molnupiravir%20review%20270820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molnupiravir%20review%2027082024.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molnupiravir%20revie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molnupiravir%20revie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molnupiravir%20review.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molnupiravir%20review.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molnupiravir%20review%202708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molnupiravir%20review%20270820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molnupiravir%20review%20270820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molnupiravir%20review%20270820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[molnupiravir review 27082024.xlsx]molnupiravir!PivotTable10</c:name>
    <c:fmtId val="-1"/>
  </c:pivotSource>
  <c:chart>
    <c:autoTitleDeleted val="0"/>
    <c:pivotFmts>
      <c:pivotFmt>
        <c:idx val="0"/>
        <c:spPr>
          <a:solidFill>
            <a:schemeClr val="accent1"/>
          </a:solidFill>
          <a:ln w="28575" cap="rnd">
            <a:solidFill>
              <a:schemeClr val="accent1"/>
            </a:solidFill>
            <a:round/>
          </a:ln>
          <a:effectLst/>
        </c:spPr>
        <c:marker>
          <c:symbol val="circle"/>
          <c:size val="6"/>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6"/>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6"/>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molnupiravir!$S$7</c:f>
              <c:strCache>
                <c:ptCount val="1"/>
                <c:pt idx="0">
                  <c:v>Prescriptions supplied</c:v>
                </c:pt>
              </c:strCache>
            </c:strRef>
          </c:tx>
          <c:spPr>
            <a:ln w="28575" cap="rnd">
              <a:solidFill>
                <a:schemeClr val="accent1"/>
              </a:solidFill>
              <a:round/>
            </a:ln>
            <a:effectLst/>
          </c:spPr>
          <c:marker>
            <c:symbol val="circle"/>
            <c:size val="6"/>
            <c:spPr>
              <a:solidFill>
                <a:schemeClr val="accent1"/>
              </a:solidFill>
              <a:ln w="9525">
                <a:solidFill>
                  <a:schemeClr val="accent1"/>
                </a:solidFill>
              </a:ln>
              <a:effectLst/>
            </c:spPr>
          </c:marker>
          <c:cat>
            <c:strRef>
              <c:f>molnupiravir!$R$8:$R$18</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molnupiravir!$S$8:$S$18</c:f>
              <c:numCache>
                <c:formatCode>_-* #,##0_-;\-* #,##0_-;_-* "-"??_-;_-@_-</c:formatCode>
                <c:ptCount val="10"/>
                <c:pt idx="0">
                  <c:v>3684</c:v>
                </c:pt>
                <c:pt idx="1">
                  <c:v>58477</c:v>
                </c:pt>
                <c:pt idx="2">
                  <c:v>179158</c:v>
                </c:pt>
                <c:pt idx="3">
                  <c:v>220194</c:v>
                </c:pt>
                <c:pt idx="4">
                  <c:v>71627</c:v>
                </c:pt>
                <c:pt idx="5">
                  <c:v>110556</c:v>
                </c:pt>
                <c:pt idx="6">
                  <c:v>36302</c:v>
                </c:pt>
                <c:pt idx="7">
                  <c:v>116211</c:v>
                </c:pt>
                <c:pt idx="8">
                  <c:v>96061</c:v>
                </c:pt>
                <c:pt idx="9">
                  <c:v>99302</c:v>
                </c:pt>
              </c:numCache>
            </c:numRef>
          </c:val>
          <c:smooth val="0"/>
          <c:extLst>
            <c:ext xmlns:c16="http://schemas.microsoft.com/office/drawing/2014/chart" uri="{C3380CC4-5D6E-409C-BE32-E72D297353CC}">
              <c16:uniqueId val="{00000000-05E9-4803-BC35-CCBD5E360EAA}"/>
            </c:ext>
          </c:extLst>
        </c:ser>
        <c:ser>
          <c:idx val="1"/>
          <c:order val="1"/>
          <c:tx>
            <c:strRef>
              <c:f>molnupiravir!$T$7</c:f>
              <c:strCache>
                <c:ptCount val="1"/>
                <c:pt idx="0">
                  <c:v>Patients treated</c:v>
                </c:pt>
              </c:strCache>
            </c:strRef>
          </c:tx>
          <c:spPr>
            <a:ln w="28575" cap="rnd">
              <a:solidFill>
                <a:schemeClr val="accent2"/>
              </a:solidFill>
              <a:round/>
            </a:ln>
            <a:effectLst/>
          </c:spPr>
          <c:marker>
            <c:symbol val="none"/>
          </c:marker>
          <c:cat>
            <c:strRef>
              <c:f>molnupiravir!$R$8:$R$18</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molnupiravir!$T$8:$T$18</c:f>
              <c:numCache>
                <c:formatCode>_-* #,##0_-;\-* #,##0_-;_-* "-"??_-;_-@_-</c:formatCode>
                <c:ptCount val="10"/>
                <c:pt idx="0">
                  <c:v>3654</c:v>
                </c:pt>
                <c:pt idx="1">
                  <c:v>57612</c:v>
                </c:pt>
                <c:pt idx="2">
                  <c:v>175956</c:v>
                </c:pt>
                <c:pt idx="3">
                  <c:v>217575</c:v>
                </c:pt>
                <c:pt idx="4">
                  <c:v>70766</c:v>
                </c:pt>
                <c:pt idx="5">
                  <c:v>108830</c:v>
                </c:pt>
                <c:pt idx="6">
                  <c:v>35706</c:v>
                </c:pt>
                <c:pt idx="7">
                  <c:v>114226</c:v>
                </c:pt>
                <c:pt idx="8">
                  <c:v>95040</c:v>
                </c:pt>
                <c:pt idx="9">
                  <c:v>97737</c:v>
                </c:pt>
              </c:numCache>
            </c:numRef>
          </c:val>
          <c:smooth val="0"/>
          <c:extLst>
            <c:ext xmlns:c16="http://schemas.microsoft.com/office/drawing/2014/chart" uri="{C3380CC4-5D6E-409C-BE32-E72D297353CC}">
              <c16:uniqueId val="{00000001-05E9-4803-BC35-CCBD5E360EAA}"/>
            </c:ext>
          </c:extLst>
        </c:ser>
        <c:dLbls>
          <c:showLegendKey val="0"/>
          <c:showVal val="0"/>
          <c:showCatName val="0"/>
          <c:showSerName val="0"/>
          <c:showPercent val="0"/>
          <c:showBubbleSize val="0"/>
        </c:dLbls>
        <c:marker val="1"/>
        <c:smooth val="0"/>
        <c:axId val="932929152"/>
        <c:axId val="932921592"/>
      </c:lineChart>
      <c:catAx>
        <c:axId val="932929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921592"/>
        <c:crosses val="autoZero"/>
        <c:auto val="1"/>
        <c:lblAlgn val="ctr"/>
        <c:lblOffset val="100"/>
        <c:noMultiLvlLbl val="0"/>
      </c:catAx>
      <c:valAx>
        <c:axId val="932921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Quantity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92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[molnupiravir review 27082024.xlsx]market!PivotTable2</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market!$S$11:$S$12</c:f>
              <c:strCache>
                <c:ptCount val="1"/>
                <c:pt idx="0">
                  <c:v>MOLNUPIRAVIR</c:v>
                </c:pt>
              </c:strCache>
            </c:strRef>
          </c:tx>
          <c:spPr>
            <a:ln w="28575" cap="rnd">
              <a:solidFill>
                <a:schemeClr val="accent1"/>
              </a:solidFill>
              <a:round/>
            </a:ln>
            <a:effectLst/>
          </c:spPr>
          <c:marker>
            <c:symbol val="none"/>
          </c:marker>
          <c:cat>
            <c:strRef>
              <c:f>market!$R$13:$R$23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market!$S$13:$S$23</c:f>
              <c:numCache>
                <c:formatCode>_-* #,##0_-;\-* #,##0_-;_-* "-"??_-;_-@_-</c:formatCode>
                <c:ptCount val="10"/>
                <c:pt idx="0">
                  <c:v>3654</c:v>
                </c:pt>
                <c:pt idx="1">
                  <c:v>57612</c:v>
                </c:pt>
                <c:pt idx="2">
                  <c:v>175956</c:v>
                </c:pt>
                <c:pt idx="3">
                  <c:v>217575</c:v>
                </c:pt>
                <c:pt idx="4">
                  <c:v>70766</c:v>
                </c:pt>
                <c:pt idx="5">
                  <c:v>108830</c:v>
                </c:pt>
                <c:pt idx="6">
                  <c:v>35706</c:v>
                </c:pt>
                <c:pt idx="7">
                  <c:v>114226</c:v>
                </c:pt>
                <c:pt idx="8">
                  <c:v>95040</c:v>
                </c:pt>
                <c:pt idx="9">
                  <c:v>97737</c:v>
                </c:pt>
              </c:numCache>
            </c:numRef>
          </c:val>
          <c:smooth val="0"/>
          <c:extLst>
            <c:ext xmlns:c16="http://schemas.microsoft.com/office/drawing/2014/chart" uri="{C3380CC4-5D6E-409C-BE32-E72D297353CC}">
              <c16:uniqueId val="{00000000-40DA-471C-8E72-99A55C690FFC}"/>
            </c:ext>
          </c:extLst>
        </c:ser>
        <c:ser>
          <c:idx val="1"/>
          <c:order val="1"/>
          <c:tx>
            <c:strRef>
              <c:f>market!$T$11:$T$12</c:f>
              <c:strCache>
                <c:ptCount val="1"/>
                <c:pt idx="0">
                  <c:v>NIRMATRELVIR (&amp;) RITONAVIR</c:v>
                </c:pt>
              </c:strCache>
            </c:strRef>
          </c:tx>
          <c:spPr>
            <a:ln w="28575" cap="rnd">
              <a:solidFill>
                <a:schemeClr val="accent2"/>
              </a:solidFill>
              <a:round/>
            </a:ln>
            <a:effectLst/>
          </c:spPr>
          <c:marker>
            <c:symbol val="none"/>
          </c:marker>
          <c:cat>
            <c:strRef>
              <c:f>market!$R$13:$R$23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market!$T$13:$T$23</c:f>
              <c:numCache>
                <c:formatCode>_-* #,##0_-;\-* #,##0_-;_-* "-"??_-;_-@_-</c:formatCode>
                <c:ptCount val="10"/>
                <c:pt idx="1">
                  <c:v>9799</c:v>
                </c:pt>
                <c:pt idx="2">
                  <c:v>50184</c:v>
                </c:pt>
                <c:pt idx="3">
                  <c:v>102612</c:v>
                </c:pt>
                <c:pt idx="4">
                  <c:v>48626</c:v>
                </c:pt>
                <c:pt idx="5">
                  <c:v>75502</c:v>
                </c:pt>
                <c:pt idx="6">
                  <c:v>26104</c:v>
                </c:pt>
                <c:pt idx="7">
                  <c:v>80763</c:v>
                </c:pt>
                <c:pt idx="8">
                  <c:v>59830</c:v>
                </c:pt>
                <c:pt idx="9">
                  <c:v>72657</c:v>
                </c:pt>
              </c:numCache>
            </c:numRef>
          </c:val>
          <c:smooth val="0"/>
          <c:extLst>
            <c:ext xmlns:c16="http://schemas.microsoft.com/office/drawing/2014/chart" uri="{C3380CC4-5D6E-409C-BE32-E72D297353CC}">
              <c16:uniqueId val="{00000001-40DA-471C-8E72-99A55C690FFC}"/>
            </c:ext>
          </c:extLst>
        </c:ser>
        <c:ser>
          <c:idx val="2"/>
          <c:order val="2"/>
          <c:tx>
            <c:strRef>
              <c:f>market!$U$11:$U$12</c:f>
              <c:strCache>
                <c:ptCount val="1"/>
                <c:pt idx="0">
                  <c:v>OVERALL</c:v>
                </c:pt>
              </c:strCache>
            </c:strRef>
          </c:tx>
          <c:spPr>
            <a:ln w="28575" cap="rnd">
              <a:solidFill>
                <a:schemeClr val="accent3"/>
              </a:solidFill>
              <a:round/>
            </a:ln>
            <a:effectLst/>
          </c:spPr>
          <c:marker>
            <c:symbol val="none"/>
          </c:marker>
          <c:cat>
            <c:strRef>
              <c:f>market!$R$13:$R$23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market!$U$13:$U$23</c:f>
              <c:numCache>
                <c:formatCode>_-* #,##0_-;\-* #,##0_-;_-* "-"??_-;_-@_-</c:formatCode>
                <c:ptCount val="10"/>
                <c:pt idx="0">
                  <c:v>3654</c:v>
                </c:pt>
                <c:pt idx="1">
                  <c:v>67256</c:v>
                </c:pt>
                <c:pt idx="2">
                  <c:v>225446</c:v>
                </c:pt>
                <c:pt idx="3">
                  <c:v>319129</c:v>
                </c:pt>
                <c:pt idx="4">
                  <c:v>118951</c:v>
                </c:pt>
                <c:pt idx="5">
                  <c:v>183672</c:v>
                </c:pt>
                <c:pt idx="6">
                  <c:v>61578</c:v>
                </c:pt>
                <c:pt idx="7">
                  <c:v>194173</c:v>
                </c:pt>
                <c:pt idx="8">
                  <c:v>154275</c:v>
                </c:pt>
                <c:pt idx="9">
                  <c:v>169632</c:v>
                </c:pt>
              </c:numCache>
            </c:numRef>
          </c:val>
          <c:smooth val="0"/>
          <c:extLst>
            <c:ext xmlns:c16="http://schemas.microsoft.com/office/drawing/2014/chart" uri="{C3380CC4-5D6E-409C-BE32-E72D297353CC}">
              <c16:uniqueId val="{00000002-40DA-471C-8E72-99A55C690FFC}"/>
            </c:ext>
          </c:extLst>
        </c:ser>
        <c:dLbls>
          <c:showLegendKey val="0"/>
          <c:showVal val="0"/>
          <c:showCatName val="0"/>
          <c:showSerName val="0"/>
          <c:showPercent val="0"/>
          <c:showBubbleSize val="0"/>
        </c:dLbls>
        <c:smooth val="0"/>
        <c:axId val="959266352"/>
        <c:axId val="959263112"/>
      </c:lineChart>
      <c:catAx>
        <c:axId val="959266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9263112"/>
        <c:crosses val="autoZero"/>
        <c:auto val="1"/>
        <c:lblAlgn val="ctr"/>
        <c:lblOffset val="100"/>
        <c:noMultiLvlLbl val="0"/>
      </c:catAx>
      <c:valAx>
        <c:axId val="959263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r>
                  <a:rPr lang="en-AU" baseline="0"/>
                  <a:t> treated</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926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[molnupiravir review 27082024.xlsx]market!PivotTable3</c:name>
    <c:fmtId val="-1"/>
  </c:pivotSource>
  <c:chart>
    <c:autoTitleDeleted val="0"/>
    <c:pivotFmts>
      <c:pivotFmt>
        <c:idx val="0"/>
        <c:spPr>
          <a:solidFill>
            <a:schemeClr val="accent1"/>
          </a:solidFill>
          <a:ln>
            <a:noFill/>
          </a:ln>
          <a:effectLst/>
        </c:spPr>
        <c:marker>
          <c:symbol val="none"/>
        </c:marke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market!$S$31:$S$32</c:f>
              <c:strCache>
                <c:ptCount val="1"/>
                <c:pt idx="0">
                  <c:v>MOLNUPIRAVIR</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38D-49CE-BF8D-96AA67BE8A7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8D-49CE-BF8D-96AA67BE8A7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38D-49CE-BF8D-96AA67BE8A77}"/>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8D-49CE-BF8D-96AA67BE8A77}"/>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8D-49CE-BF8D-96AA67BE8A77}"/>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38D-49CE-BF8D-96AA67BE8A77}"/>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8D-49CE-BF8D-96AA67BE8A77}"/>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8D-49CE-BF8D-96AA67BE8A77}"/>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8D-49CE-BF8D-96AA67BE8A77}"/>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38D-49CE-BF8D-96AA67BE8A77}"/>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market!$R$33:$R$43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market!$S$33:$S$43</c:f>
              <c:numCache>
                <c:formatCode>0%</c:formatCode>
                <c:ptCount val="10"/>
                <c:pt idx="0">
                  <c:v>1</c:v>
                </c:pt>
                <c:pt idx="1">
                  <c:v>0.85488940543543412</c:v>
                </c:pt>
                <c:pt idx="2">
                  <c:v>0.7785145658068553</c:v>
                </c:pt>
                <c:pt idx="3">
                  <c:v>0.67920652204088305</c:v>
                </c:pt>
                <c:pt idx="4">
                  <c:v>0.59260515603799191</c:v>
                </c:pt>
                <c:pt idx="5">
                  <c:v>0.59066842619850302</c:v>
                </c:pt>
                <c:pt idx="6">
                  <c:v>0.57797449410116386</c:v>
                </c:pt>
                <c:pt idx="7">
                  <c:v>0.58606881874435801</c:v>
                </c:pt>
                <c:pt idx="8">
                  <c:v>0.61328711063441288</c:v>
                </c:pt>
                <c:pt idx="9">
                  <c:v>0.57403981779082947</c:v>
                </c:pt>
              </c:numCache>
            </c:numRef>
          </c:val>
          <c:extLst>
            <c:ext xmlns:c16="http://schemas.microsoft.com/office/drawing/2014/chart" uri="{C3380CC4-5D6E-409C-BE32-E72D297353CC}">
              <c16:uniqueId val="{0000000A-A38D-49CE-BF8D-96AA67BE8A77}"/>
            </c:ext>
          </c:extLst>
        </c:ser>
        <c:ser>
          <c:idx val="1"/>
          <c:order val="1"/>
          <c:tx>
            <c:strRef>
              <c:f>market!$T$31:$T$32</c:f>
              <c:strCache>
                <c:ptCount val="1"/>
                <c:pt idx="0">
                  <c:v>NIRMATRELVIR (&amp;) RITONAVIR</c:v>
                </c:pt>
              </c:strCache>
            </c:strRef>
          </c:tx>
          <c:spPr>
            <a:solidFill>
              <a:schemeClr val="accent2"/>
            </a:solidFill>
            <a:ln>
              <a:noFill/>
            </a:ln>
            <a:effectLst/>
          </c:spPr>
          <c:invertIfNegative val="0"/>
          <c:cat>
            <c:strRef>
              <c:f>market!$R$33:$R$43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market!$T$33:$T$43</c:f>
              <c:numCache>
                <c:formatCode>0%</c:formatCode>
                <c:ptCount val="10"/>
                <c:pt idx="0">
                  <c:v>0</c:v>
                </c:pt>
                <c:pt idx="1">
                  <c:v>0.14511059456456588</c:v>
                </c:pt>
                <c:pt idx="2">
                  <c:v>0.22148543419314468</c:v>
                </c:pt>
                <c:pt idx="3">
                  <c:v>0.32079347795911695</c:v>
                </c:pt>
                <c:pt idx="4">
                  <c:v>0.40739484396200815</c:v>
                </c:pt>
                <c:pt idx="5">
                  <c:v>0.40933157380149704</c:v>
                </c:pt>
                <c:pt idx="6">
                  <c:v>0.42202550589883614</c:v>
                </c:pt>
                <c:pt idx="7">
                  <c:v>0.41393118125564204</c:v>
                </c:pt>
                <c:pt idx="8">
                  <c:v>0.38671288936558706</c:v>
                </c:pt>
                <c:pt idx="9">
                  <c:v>0.42596018220917059</c:v>
                </c:pt>
              </c:numCache>
            </c:numRef>
          </c:val>
          <c:extLst>
            <c:ext xmlns:c16="http://schemas.microsoft.com/office/drawing/2014/chart" uri="{C3380CC4-5D6E-409C-BE32-E72D297353CC}">
              <c16:uniqueId val="{0000000B-A38D-49CE-BF8D-96AA67BE8A77}"/>
            </c:ext>
          </c:extLst>
        </c:ser>
        <c:dLbls>
          <c:showLegendKey val="0"/>
          <c:showVal val="0"/>
          <c:showCatName val="0"/>
          <c:showSerName val="0"/>
          <c:showPercent val="0"/>
          <c:showBubbleSize val="0"/>
        </c:dLbls>
        <c:gapWidth val="150"/>
        <c:overlap val="100"/>
        <c:axId val="1090485928"/>
        <c:axId val="1090487728"/>
      </c:barChart>
      <c:catAx>
        <c:axId val="1090485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0487728"/>
        <c:crosses val="autoZero"/>
        <c:auto val="1"/>
        <c:lblAlgn val="ctr"/>
        <c:lblOffset val="100"/>
        <c:noMultiLvlLbl val="0"/>
      </c:catAx>
      <c:valAx>
        <c:axId val="1090487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of prescriptions</a:t>
                </a:r>
                <a:r>
                  <a:rPr lang="en-AU" baseline="0"/>
                  <a:t> supplied</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0485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[molnupiravir review 27082024.xlsx]prescriber bag!PivotTable4</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'prescriber bag'!$S$1:$S$2</c:f>
              <c:strCache>
                <c:ptCount val="1"/>
                <c:pt idx="0">
                  <c:v>MOLNUPIRAVIR</c:v>
                </c:pt>
              </c:strCache>
            </c:strRef>
          </c:tx>
          <c:spPr>
            <a:ln w="28575" cap="rnd">
              <a:solidFill>
                <a:schemeClr val="accent1"/>
              </a:solidFill>
              <a:round/>
            </a:ln>
            <a:effectLst/>
          </c:spPr>
          <c:marker>
            <c:symbol val="none"/>
          </c:marker>
          <c:cat>
            <c:strRef>
              <c:f>'prescriber bag'!$R$3:$R$10</c:f>
              <c:strCache>
                <c:ptCount val="7"/>
                <c:pt idx="0">
                  <c:v>2022Q4</c:v>
                </c:pt>
                <c:pt idx="1">
                  <c:v>2023Q1</c:v>
                </c:pt>
                <c:pt idx="2">
                  <c:v>2023Q2</c:v>
                </c:pt>
                <c:pt idx="3">
                  <c:v>2023Q3</c:v>
                </c:pt>
                <c:pt idx="4">
                  <c:v>2023Q4</c:v>
                </c:pt>
                <c:pt idx="5">
                  <c:v>2024Q1</c:v>
                </c:pt>
                <c:pt idx="6">
                  <c:v>2024Q2</c:v>
                </c:pt>
              </c:strCache>
            </c:strRef>
          </c:cat>
          <c:val>
            <c:numRef>
              <c:f>'prescriber bag'!$S$3:$S$10</c:f>
              <c:numCache>
                <c:formatCode>_-* #,##0_-;\-* #,##0_-;_-* "-"??_-;_-@_-</c:formatCode>
                <c:ptCount val="7"/>
                <c:pt idx="0">
                  <c:v>5085</c:v>
                </c:pt>
                <c:pt idx="1">
                  <c:v>4794</c:v>
                </c:pt>
                <c:pt idx="2">
                  <c:v>4808</c:v>
                </c:pt>
                <c:pt idx="3">
                  <c:v>5107</c:v>
                </c:pt>
                <c:pt idx="4">
                  <c:v>6902</c:v>
                </c:pt>
                <c:pt idx="5">
                  <c:v>6371</c:v>
                </c:pt>
                <c:pt idx="6">
                  <c:v>5149</c:v>
                </c:pt>
              </c:numCache>
            </c:numRef>
          </c:val>
          <c:smooth val="0"/>
          <c:extLst>
            <c:ext xmlns:c16="http://schemas.microsoft.com/office/drawing/2014/chart" uri="{C3380CC4-5D6E-409C-BE32-E72D297353CC}">
              <c16:uniqueId val="{00000000-F129-4EA3-849D-CA7528466ABE}"/>
            </c:ext>
          </c:extLst>
        </c:ser>
        <c:ser>
          <c:idx val="1"/>
          <c:order val="1"/>
          <c:tx>
            <c:strRef>
              <c:f>'prescriber bag'!$T$1:$T$2</c:f>
              <c:strCache>
                <c:ptCount val="1"/>
                <c:pt idx="0">
                  <c:v>NIRMATRELVIR (&amp;) RITONAVIR</c:v>
                </c:pt>
              </c:strCache>
            </c:strRef>
          </c:tx>
          <c:spPr>
            <a:ln w="28575" cap="rnd">
              <a:solidFill>
                <a:schemeClr val="accent2"/>
              </a:solidFill>
              <a:round/>
            </a:ln>
            <a:effectLst/>
          </c:spPr>
          <c:marker>
            <c:symbol val="none"/>
          </c:marker>
          <c:cat>
            <c:strRef>
              <c:f>'prescriber bag'!$R$3:$R$10</c:f>
              <c:strCache>
                <c:ptCount val="7"/>
                <c:pt idx="0">
                  <c:v>2022Q4</c:v>
                </c:pt>
                <c:pt idx="1">
                  <c:v>2023Q1</c:v>
                </c:pt>
                <c:pt idx="2">
                  <c:v>2023Q2</c:v>
                </c:pt>
                <c:pt idx="3">
                  <c:v>2023Q3</c:v>
                </c:pt>
                <c:pt idx="4">
                  <c:v>2023Q4</c:v>
                </c:pt>
                <c:pt idx="5">
                  <c:v>2024Q1</c:v>
                </c:pt>
                <c:pt idx="6">
                  <c:v>2024Q2</c:v>
                </c:pt>
              </c:strCache>
            </c:strRef>
          </c:cat>
          <c:val>
            <c:numRef>
              <c:f>'prescriber bag'!$T$3:$T$10</c:f>
              <c:numCache>
                <c:formatCode>_-* #,##0_-;\-* #,##0_-;_-* "-"??_-;_-@_-</c:formatCode>
                <c:ptCount val="7"/>
                <c:pt idx="0">
                  <c:v>4658</c:v>
                </c:pt>
                <c:pt idx="1">
                  <c:v>5576</c:v>
                </c:pt>
                <c:pt idx="2">
                  <c:v>5460</c:v>
                </c:pt>
                <c:pt idx="3">
                  <c:v>5633</c:v>
                </c:pt>
                <c:pt idx="4">
                  <c:v>7685</c:v>
                </c:pt>
                <c:pt idx="5">
                  <c:v>7448</c:v>
                </c:pt>
                <c:pt idx="6">
                  <c:v>6253</c:v>
                </c:pt>
              </c:numCache>
            </c:numRef>
          </c:val>
          <c:smooth val="0"/>
          <c:extLst>
            <c:ext xmlns:c16="http://schemas.microsoft.com/office/drawing/2014/chart" uri="{C3380CC4-5D6E-409C-BE32-E72D297353CC}">
              <c16:uniqueId val="{00000001-F129-4EA3-849D-CA7528466ABE}"/>
            </c:ext>
          </c:extLst>
        </c:ser>
        <c:ser>
          <c:idx val="2"/>
          <c:order val="2"/>
          <c:tx>
            <c:strRef>
              <c:f>'prescriber bag'!$U$1:$U$2</c:f>
              <c:strCache>
                <c:ptCount val="1"/>
                <c:pt idx="0">
                  <c:v>OVERALL</c:v>
                </c:pt>
              </c:strCache>
            </c:strRef>
          </c:tx>
          <c:spPr>
            <a:ln w="28575" cap="rnd">
              <a:solidFill>
                <a:schemeClr val="accent3"/>
              </a:solidFill>
              <a:round/>
            </a:ln>
            <a:effectLst/>
          </c:spPr>
          <c:marker>
            <c:symbol val="none"/>
          </c:marker>
          <c:cat>
            <c:strRef>
              <c:f>'prescriber bag'!$R$3:$R$10</c:f>
              <c:strCache>
                <c:ptCount val="7"/>
                <c:pt idx="0">
                  <c:v>2022Q4</c:v>
                </c:pt>
                <c:pt idx="1">
                  <c:v>2023Q1</c:v>
                </c:pt>
                <c:pt idx="2">
                  <c:v>2023Q2</c:v>
                </c:pt>
                <c:pt idx="3">
                  <c:v>2023Q3</c:v>
                </c:pt>
                <c:pt idx="4">
                  <c:v>2023Q4</c:v>
                </c:pt>
                <c:pt idx="5">
                  <c:v>2024Q1</c:v>
                </c:pt>
                <c:pt idx="6">
                  <c:v>2024Q2</c:v>
                </c:pt>
              </c:strCache>
            </c:strRef>
          </c:cat>
          <c:val>
            <c:numRef>
              <c:f>'prescriber bag'!$U$3:$U$10</c:f>
              <c:numCache>
                <c:formatCode>_-* #,##0_-;\-* #,##0_-;_-* "-"??_-;_-@_-</c:formatCode>
                <c:ptCount val="7"/>
                <c:pt idx="0">
                  <c:v>9743</c:v>
                </c:pt>
                <c:pt idx="1">
                  <c:v>10370</c:v>
                </c:pt>
                <c:pt idx="2">
                  <c:v>10268</c:v>
                </c:pt>
                <c:pt idx="3">
                  <c:v>10740</c:v>
                </c:pt>
                <c:pt idx="4">
                  <c:v>14587</c:v>
                </c:pt>
                <c:pt idx="5">
                  <c:v>13819</c:v>
                </c:pt>
                <c:pt idx="6">
                  <c:v>11402</c:v>
                </c:pt>
              </c:numCache>
            </c:numRef>
          </c:val>
          <c:smooth val="0"/>
          <c:extLst>
            <c:ext xmlns:c16="http://schemas.microsoft.com/office/drawing/2014/chart" uri="{C3380CC4-5D6E-409C-BE32-E72D297353CC}">
              <c16:uniqueId val="{00000002-F129-4EA3-849D-CA7528466ABE}"/>
            </c:ext>
          </c:extLst>
        </c:ser>
        <c:dLbls>
          <c:showLegendKey val="0"/>
          <c:showVal val="0"/>
          <c:showCatName val="0"/>
          <c:showSerName val="0"/>
          <c:showPercent val="0"/>
          <c:showBubbleSize val="0"/>
        </c:dLbls>
        <c:smooth val="0"/>
        <c:axId val="959360672"/>
        <c:axId val="959362832"/>
      </c:lineChart>
      <c:catAx>
        <c:axId val="959360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9362832"/>
        <c:crosses val="autoZero"/>
        <c:auto val="1"/>
        <c:lblAlgn val="ctr"/>
        <c:lblOffset val="100"/>
        <c:noMultiLvlLbl val="0"/>
      </c:catAx>
      <c:valAx>
        <c:axId val="959362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 supplied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936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[molnupiravir review.xlsx]Sheet3!PivotTable8</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Sheet3!$Q$1:$Q$2</c:f>
              <c:strCache>
                <c:ptCount val="1"/>
                <c:pt idx="0">
                  <c:v>65+ years, high risk</c:v>
                </c:pt>
              </c:strCache>
            </c:strRef>
          </c:tx>
          <c:spPr>
            <a:solidFill>
              <a:schemeClr val="accent1"/>
            </a:solidFill>
            <a:ln>
              <a:noFill/>
            </a:ln>
            <a:effectLst/>
          </c:spPr>
          <c:cat>
            <c:strRef>
              <c:f>Sheet3!$P$3:$P$13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Sheet3!$Q$3:$Q$13</c:f>
              <c:numCache>
                <c:formatCode>_-* #,##0_-;\-* #,##0_-;_-* "-"??_-;_-@_-</c:formatCode>
                <c:ptCount val="10"/>
                <c:pt idx="0">
                  <c:v>2529</c:v>
                </c:pt>
                <c:pt idx="1">
                  <c:v>35126</c:v>
                </c:pt>
                <c:pt idx="2">
                  <c:v>56693</c:v>
                </c:pt>
                <c:pt idx="3">
                  <c:v>302</c:v>
                </c:pt>
                <c:pt idx="4">
                  <c:v>87</c:v>
                </c:pt>
                <c:pt idx="5">
                  <c:v>53</c:v>
                </c:pt>
                <c:pt idx="6">
                  <c:v>5</c:v>
                </c:pt>
              </c:numCache>
            </c:numRef>
          </c:val>
          <c:extLst>
            <c:ext xmlns:c16="http://schemas.microsoft.com/office/drawing/2014/chart" uri="{C3380CC4-5D6E-409C-BE32-E72D297353CC}">
              <c16:uniqueId val="{00000000-5308-4F45-85E4-96DF94528269}"/>
            </c:ext>
          </c:extLst>
        </c:ser>
        <c:ser>
          <c:idx val="1"/>
          <c:order val="1"/>
          <c:tx>
            <c:strRef>
              <c:f>Sheet3!$R$1:$R$2</c:f>
              <c:strCache>
                <c:ptCount val="1"/>
                <c:pt idx="0">
                  <c:v>50 to 69 yrs, high risk </c:v>
                </c:pt>
              </c:strCache>
            </c:strRef>
          </c:tx>
          <c:spPr>
            <a:solidFill>
              <a:schemeClr val="accent2"/>
            </a:solidFill>
            <a:ln>
              <a:noFill/>
            </a:ln>
            <a:effectLst/>
          </c:spPr>
          <c:cat>
            <c:strRef>
              <c:f>Sheet3!$P$3:$P$13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Sheet3!$R$3:$R$13</c:f>
              <c:numCache>
                <c:formatCode>_-* #,##0_-;\-* #,##0_-;_-* "-"??_-;_-@_-</c:formatCode>
                <c:ptCount val="10"/>
                <c:pt idx="1">
                  <c:v>2</c:v>
                </c:pt>
                <c:pt idx="2">
                  <c:v>15062</c:v>
                </c:pt>
                <c:pt idx="3">
                  <c:v>37637</c:v>
                </c:pt>
                <c:pt idx="4">
                  <c:v>12018</c:v>
                </c:pt>
                <c:pt idx="5">
                  <c:v>18721</c:v>
                </c:pt>
                <c:pt idx="6">
                  <c:v>6268</c:v>
                </c:pt>
                <c:pt idx="7">
                  <c:v>19563</c:v>
                </c:pt>
                <c:pt idx="8">
                  <c:v>16635</c:v>
                </c:pt>
                <c:pt idx="9">
                  <c:v>17542</c:v>
                </c:pt>
              </c:numCache>
            </c:numRef>
          </c:val>
          <c:extLst>
            <c:ext xmlns:c16="http://schemas.microsoft.com/office/drawing/2014/chart" uri="{C3380CC4-5D6E-409C-BE32-E72D297353CC}">
              <c16:uniqueId val="{00000001-5308-4F45-85E4-96DF94528269}"/>
            </c:ext>
          </c:extLst>
        </c:ser>
        <c:ser>
          <c:idx val="2"/>
          <c:order val="2"/>
          <c:tx>
            <c:strRef>
              <c:f>Sheet3!$S$1:$S$2</c:f>
              <c:strCache>
                <c:ptCount val="1"/>
                <c:pt idx="0">
                  <c:v>70+ yrs</c:v>
                </c:pt>
              </c:strCache>
            </c:strRef>
          </c:tx>
          <c:spPr>
            <a:solidFill>
              <a:schemeClr val="accent3"/>
            </a:solidFill>
            <a:ln>
              <a:noFill/>
            </a:ln>
            <a:effectLst/>
          </c:spPr>
          <c:cat>
            <c:strRef>
              <c:f>Sheet3!$P$3:$P$13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Sheet3!$S$3:$S$13</c:f>
              <c:numCache>
                <c:formatCode>_-* #,##0_-;\-* #,##0_-;_-* "-"??_-;_-@_-</c:formatCode>
                <c:ptCount val="10"/>
                <c:pt idx="1">
                  <c:v>12</c:v>
                </c:pt>
                <c:pt idx="2">
                  <c:v>44716</c:v>
                </c:pt>
                <c:pt idx="3">
                  <c:v>125379</c:v>
                </c:pt>
                <c:pt idx="4">
                  <c:v>39412</c:v>
                </c:pt>
                <c:pt idx="5">
                  <c:v>61993</c:v>
                </c:pt>
                <c:pt idx="6">
                  <c:v>20319</c:v>
                </c:pt>
                <c:pt idx="7">
                  <c:v>67380</c:v>
                </c:pt>
                <c:pt idx="8">
                  <c:v>57205</c:v>
                </c:pt>
                <c:pt idx="9">
                  <c:v>66329</c:v>
                </c:pt>
              </c:numCache>
            </c:numRef>
          </c:val>
          <c:extLst>
            <c:ext xmlns:c16="http://schemas.microsoft.com/office/drawing/2014/chart" uri="{C3380CC4-5D6E-409C-BE32-E72D297353CC}">
              <c16:uniqueId val="{00000002-5308-4F45-85E4-96DF94528269}"/>
            </c:ext>
          </c:extLst>
        </c:ser>
        <c:ser>
          <c:idx val="3"/>
          <c:order val="3"/>
          <c:tx>
            <c:strRef>
              <c:f>Sheet3!$T$1:$T$2</c:f>
              <c:strCache>
                <c:ptCount val="1"/>
                <c:pt idx="0">
                  <c:v>ATSI, high risk </c:v>
                </c:pt>
              </c:strCache>
            </c:strRef>
          </c:tx>
          <c:spPr>
            <a:solidFill>
              <a:schemeClr val="accent4"/>
            </a:solidFill>
            <a:ln>
              <a:noFill/>
            </a:ln>
            <a:effectLst/>
          </c:spPr>
          <c:cat>
            <c:strRef>
              <c:f>Sheet3!$P$3:$P$13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Sheet3!$T$3:$T$13</c:f>
              <c:numCache>
                <c:formatCode>_-* #,##0_-;\-* #,##0_-;_-* "-"??_-;_-@_-</c:formatCode>
                <c:ptCount val="10"/>
                <c:pt idx="0">
                  <c:v>342</c:v>
                </c:pt>
                <c:pt idx="1">
                  <c:v>5546</c:v>
                </c:pt>
                <c:pt idx="2">
                  <c:v>24802</c:v>
                </c:pt>
                <c:pt idx="3">
                  <c:v>11946</c:v>
                </c:pt>
                <c:pt idx="4">
                  <c:v>13275</c:v>
                </c:pt>
                <c:pt idx="5">
                  <c:v>20030</c:v>
                </c:pt>
                <c:pt idx="6">
                  <c:v>6365</c:v>
                </c:pt>
                <c:pt idx="7">
                  <c:v>19136</c:v>
                </c:pt>
                <c:pt idx="8">
                  <c:v>13713</c:v>
                </c:pt>
                <c:pt idx="9">
                  <c:v>6286</c:v>
                </c:pt>
              </c:numCache>
            </c:numRef>
          </c:val>
          <c:extLst>
            <c:ext xmlns:c16="http://schemas.microsoft.com/office/drawing/2014/chart" uri="{C3380CC4-5D6E-409C-BE32-E72D297353CC}">
              <c16:uniqueId val="{00000003-5308-4F45-85E4-96DF94528269}"/>
            </c:ext>
          </c:extLst>
        </c:ser>
        <c:ser>
          <c:idx val="4"/>
          <c:order val="4"/>
          <c:tx>
            <c:strRef>
              <c:f>Sheet3!$U$1:$U$2</c:f>
              <c:strCache>
                <c:ptCount val="1"/>
                <c:pt idx="0">
                  <c:v>Immunocompromised</c:v>
                </c:pt>
              </c:strCache>
            </c:strRef>
          </c:tx>
          <c:spPr>
            <a:solidFill>
              <a:schemeClr val="accent5"/>
            </a:solidFill>
            <a:ln>
              <a:noFill/>
            </a:ln>
            <a:effectLst/>
          </c:spPr>
          <c:cat>
            <c:strRef>
              <c:f>Sheet3!$P$3:$P$13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Sheet3!$U$3:$U$13</c:f>
              <c:numCache>
                <c:formatCode>_-* #,##0_-;\-* #,##0_-;_-* "-"??_-;_-@_-</c:formatCode>
                <c:ptCount val="10"/>
                <c:pt idx="0">
                  <c:v>812</c:v>
                </c:pt>
                <c:pt idx="1">
                  <c:v>17691</c:v>
                </c:pt>
                <c:pt idx="2">
                  <c:v>37178</c:v>
                </c:pt>
                <c:pt idx="3">
                  <c:v>44625</c:v>
                </c:pt>
                <c:pt idx="4">
                  <c:v>6592</c:v>
                </c:pt>
                <c:pt idx="5">
                  <c:v>9699</c:v>
                </c:pt>
                <c:pt idx="6">
                  <c:v>3333</c:v>
                </c:pt>
                <c:pt idx="7">
                  <c:v>10084</c:v>
                </c:pt>
                <c:pt idx="8">
                  <c:v>8343</c:v>
                </c:pt>
                <c:pt idx="9">
                  <c:v>9063</c:v>
                </c:pt>
              </c:numCache>
            </c:numRef>
          </c:val>
          <c:extLst>
            <c:ext xmlns:c16="http://schemas.microsoft.com/office/drawing/2014/chart" uri="{C3380CC4-5D6E-409C-BE32-E72D297353CC}">
              <c16:uniqueId val="{00000004-5308-4F45-85E4-96DF94528269}"/>
            </c:ext>
          </c:extLst>
        </c:ser>
        <c:dLbls>
          <c:showLegendKey val="0"/>
          <c:showVal val="0"/>
          <c:showCatName val="0"/>
          <c:showSerName val="0"/>
          <c:showPercent val="0"/>
          <c:showBubbleSize val="0"/>
        </c:dLbls>
        <c:axId val="2115325176"/>
        <c:axId val="2115327696"/>
      </c:areaChart>
      <c:catAx>
        <c:axId val="2115325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327696"/>
        <c:crosses val="autoZero"/>
        <c:auto val="1"/>
        <c:lblAlgn val="ctr"/>
        <c:lblOffset val="100"/>
        <c:noMultiLvlLbl val="0"/>
      </c:catAx>
      <c:valAx>
        <c:axId val="2115327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 supplied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53251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[molnupiravir review.xlsx]groups -broken down- qtr!PivotTable9</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'groups -broken down- qtr'!$Q$1:$Q$2</c:f>
              <c:strCache>
                <c:ptCount val="1"/>
                <c:pt idx="0">
                  <c:v>65 to 74 yrs with 2 risk factors, ≥75 years with 1 risk factor</c:v>
                </c:pt>
              </c:strCache>
            </c:strRef>
          </c:tx>
          <c:spPr>
            <a:ln w="28575" cap="rnd">
              <a:solidFill>
                <a:schemeClr val="accent1"/>
              </a:solidFill>
              <a:round/>
            </a:ln>
            <a:effectLst/>
          </c:spPr>
          <c:marker>
            <c:symbol val="none"/>
          </c:marker>
          <c:cat>
            <c:strRef>
              <c:f>'groups -broken down- qtr'!$P$3:$P$13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'groups -broken down- qtr'!$Q$3:$Q$13</c:f>
              <c:numCache>
                <c:formatCode>_-* #,##0_-;\-* #,##0_-;_-* "-"??_-;_-@_-</c:formatCode>
                <c:ptCount val="10"/>
                <c:pt idx="0">
                  <c:v>2506</c:v>
                </c:pt>
                <c:pt idx="1">
                  <c:v>34682</c:v>
                </c:pt>
                <c:pt idx="2">
                  <c:v>55809</c:v>
                </c:pt>
                <c:pt idx="3">
                  <c:v>302</c:v>
                </c:pt>
                <c:pt idx="4">
                  <c:v>87</c:v>
                </c:pt>
                <c:pt idx="5">
                  <c:v>53</c:v>
                </c:pt>
                <c:pt idx="6">
                  <c:v>5</c:v>
                </c:pt>
              </c:numCache>
            </c:numRef>
          </c:val>
          <c:smooth val="0"/>
          <c:extLst>
            <c:ext xmlns:c16="http://schemas.microsoft.com/office/drawing/2014/chart" uri="{C3380CC4-5D6E-409C-BE32-E72D297353CC}">
              <c16:uniqueId val="{00000000-AE86-4CF5-8211-075986602591}"/>
            </c:ext>
          </c:extLst>
        </c:ser>
        <c:ser>
          <c:idx val="1"/>
          <c:order val="1"/>
          <c:tx>
            <c:strRef>
              <c:f>'groups -broken down- qtr'!$R$1:$R$2</c:f>
              <c:strCache>
                <c:ptCount val="1"/>
                <c:pt idx="0">
                  <c:v>50 to 69 yrs with 1 risk factor</c:v>
                </c:pt>
              </c:strCache>
            </c:strRef>
          </c:tx>
          <c:spPr>
            <a:ln w="28575" cap="rnd">
              <a:solidFill>
                <a:schemeClr val="accent2"/>
              </a:solidFill>
              <a:round/>
            </a:ln>
            <a:effectLst/>
          </c:spPr>
          <c:marker>
            <c:symbol val="none"/>
          </c:marker>
          <c:cat>
            <c:strRef>
              <c:f>'groups -broken down- qtr'!$P$3:$P$13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'groups -broken down- qtr'!$R$3:$R$13</c:f>
              <c:numCache>
                <c:formatCode>_-* #,##0_-;\-* #,##0_-;_-* "-"??_-;_-@_-</c:formatCode>
                <c:ptCount val="10"/>
                <c:pt idx="1">
                  <c:v>2</c:v>
                </c:pt>
                <c:pt idx="2">
                  <c:v>14916</c:v>
                </c:pt>
                <c:pt idx="3">
                  <c:v>37344</c:v>
                </c:pt>
                <c:pt idx="4">
                  <c:v>11936</c:v>
                </c:pt>
                <c:pt idx="5">
                  <c:v>18583</c:v>
                </c:pt>
                <c:pt idx="6">
                  <c:v>6228</c:v>
                </c:pt>
                <c:pt idx="7">
                  <c:v>19408</c:v>
                </c:pt>
                <c:pt idx="8">
                  <c:v>16541</c:v>
                </c:pt>
                <c:pt idx="9">
                  <c:v>17377</c:v>
                </c:pt>
              </c:numCache>
            </c:numRef>
          </c:val>
          <c:smooth val="0"/>
          <c:extLst>
            <c:ext xmlns:c16="http://schemas.microsoft.com/office/drawing/2014/chart" uri="{C3380CC4-5D6E-409C-BE32-E72D297353CC}">
              <c16:uniqueId val="{00000001-AE86-4CF5-8211-075986602591}"/>
            </c:ext>
          </c:extLst>
        </c:ser>
        <c:ser>
          <c:idx val="2"/>
          <c:order val="2"/>
          <c:tx>
            <c:strRef>
              <c:f>'groups -broken down- qtr'!$S$1:$S$2</c:f>
              <c:strCache>
                <c:ptCount val="1"/>
                <c:pt idx="0">
                  <c:v>≥70 yrs</c:v>
                </c:pt>
              </c:strCache>
            </c:strRef>
          </c:tx>
          <c:spPr>
            <a:ln w="28575" cap="rnd">
              <a:solidFill>
                <a:schemeClr val="accent3"/>
              </a:solidFill>
              <a:round/>
            </a:ln>
            <a:effectLst/>
          </c:spPr>
          <c:marker>
            <c:symbol val="none"/>
          </c:marker>
          <c:cat>
            <c:strRef>
              <c:f>'groups -broken down- qtr'!$P$3:$P$13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'groups -broken down- qtr'!$S$3:$S$13</c:f>
              <c:numCache>
                <c:formatCode>_-* #,##0_-;\-* #,##0_-;_-* "-"??_-;_-@_-</c:formatCode>
                <c:ptCount val="10"/>
                <c:pt idx="1">
                  <c:v>12</c:v>
                </c:pt>
                <c:pt idx="2">
                  <c:v>44089</c:v>
                </c:pt>
                <c:pt idx="3">
                  <c:v>124007</c:v>
                </c:pt>
                <c:pt idx="4">
                  <c:v>38979</c:v>
                </c:pt>
                <c:pt idx="5">
                  <c:v>61061</c:v>
                </c:pt>
                <c:pt idx="6">
                  <c:v>20002</c:v>
                </c:pt>
                <c:pt idx="7">
                  <c:v>66271</c:v>
                </c:pt>
                <c:pt idx="8">
                  <c:v>56684</c:v>
                </c:pt>
                <c:pt idx="9">
                  <c:v>65322</c:v>
                </c:pt>
              </c:numCache>
            </c:numRef>
          </c:val>
          <c:smooth val="0"/>
          <c:extLst>
            <c:ext xmlns:c16="http://schemas.microsoft.com/office/drawing/2014/chart" uri="{C3380CC4-5D6E-409C-BE32-E72D297353CC}">
              <c16:uniqueId val="{00000002-AE86-4CF5-8211-075986602591}"/>
            </c:ext>
          </c:extLst>
        </c:ser>
        <c:dLbls>
          <c:showLegendKey val="0"/>
          <c:showVal val="0"/>
          <c:showCatName val="0"/>
          <c:showSerName val="0"/>
          <c:showPercent val="0"/>
          <c:showBubbleSize val="0"/>
        </c:dLbls>
        <c:smooth val="0"/>
        <c:axId val="1627442568"/>
        <c:axId val="1627445088"/>
      </c:lineChart>
      <c:catAx>
        <c:axId val="1627442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445088"/>
        <c:crosses val="autoZero"/>
        <c:auto val="1"/>
        <c:lblAlgn val="ctr"/>
        <c:lblOffset val="100"/>
        <c:noMultiLvlLbl val="0"/>
      </c:catAx>
      <c:valAx>
        <c:axId val="1627445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 treated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442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[molnupiravir review.xlsx]groups -broken down- qtr!PivotTable11</c:name>
    <c:fmtId val="-1"/>
  </c:pivotSource>
  <c:chart>
    <c:autoTitleDeleted val="1"/>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layout>
            <c:manualLayout>
              <c:x val="-1.6666666666666666E-2"/>
              <c:y val="-0.23148148148148151"/>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Extension of listing to patients who experienced past COVID-19 infection resulting in hospitalisation</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layout>
            <c:manualLayout>
              <c:x val="-1.6666666666666666E-2"/>
              <c:y val="-0.23148148148148151"/>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Extension of listing to patients who experienced past COVID-19 infection resulting in hospitalisation</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layout>
            <c:manualLayout>
              <c:x val="-1.6666666666666666E-2"/>
              <c:y val="-0.23148148148148151"/>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Extension of listing to patients who experienced past COVID-19 infection resulting in hospitalisation</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Lst>
        </c:dLbl>
      </c:pivotFmt>
    </c:pivotFmts>
    <c:plotArea>
      <c:layout/>
      <c:lineChart>
        <c:grouping val="standard"/>
        <c:varyColors val="0"/>
        <c:ser>
          <c:idx val="0"/>
          <c:order val="0"/>
          <c:tx>
            <c:strRef>
              <c:f>'groups -broken down- qtr'!$Q$38:$Q$39</c:f>
              <c:strCache>
                <c:ptCount val="1"/>
                <c:pt idx="0">
                  <c:v>immunocomp</c:v>
                </c:pt>
              </c:strCache>
            </c:strRef>
          </c:tx>
          <c:spPr>
            <a:ln w="28575" cap="rnd">
              <a:solidFill>
                <a:schemeClr val="accent1"/>
              </a:solidFill>
              <a:round/>
            </a:ln>
            <a:effectLst/>
          </c:spPr>
          <c:marker>
            <c:symbol val="none"/>
          </c:marker>
          <c:dLbls>
            <c:dLbl>
              <c:idx val="5"/>
              <c:layout>
                <c:manualLayout>
                  <c:x val="-1.6666666666666666E-2"/>
                  <c:y val="-0.23148148148148151"/>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Extension of listing to patients who experienced past COVID-19 infection resulting in hospitalisation</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0-6004-4198-BB7F-119EEF6029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'groups -broken down- qtr'!$P$40:$P$50</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'groups -broken down- qtr'!$Q$40:$Q$50</c:f>
              <c:numCache>
                <c:formatCode>_-* #,##0_-;\-* #,##0_-;_-* "-"??_-;_-@_-</c:formatCode>
                <c:ptCount val="10"/>
                <c:pt idx="0">
                  <c:v>810</c:v>
                </c:pt>
                <c:pt idx="1">
                  <c:v>17466</c:v>
                </c:pt>
                <c:pt idx="2">
                  <c:v>36669</c:v>
                </c:pt>
                <c:pt idx="3">
                  <c:v>44199</c:v>
                </c:pt>
                <c:pt idx="4">
                  <c:v>6549</c:v>
                </c:pt>
                <c:pt idx="5">
                  <c:v>9589</c:v>
                </c:pt>
                <c:pt idx="6">
                  <c:v>3295</c:v>
                </c:pt>
                <c:pt idx="7">
                  <c:v>9971</c:v>
                </c:pt>
                <c:pt idx="8">
                  <c:v>8294</c:v>
                </c:pt>
                <c:pt idx="9">
                  <c:v>8972</c:v>
                </c:pt>
              </c:numCache>
            </c:numRef>
          </c:val>
          <c:smooth val="0"/>
          <c:extLst>
            <c:ext xmlns:c16="http://schemas.microsoft.com/office/drawing/2014/chart" uri="{C3380CC4-5D6E-409C-BE32-E72D297353CC}">
              <c16:uniqueId val="{00000001-6004-4198-BB7F-119EEF602907}"/>
            </c:ext>
          </c:extLst>
        </c:ser>
        <c:dLbls>
          <c:showLegendKey val="0"/>
          <c:showVal val="0"/>
          <c:showCatName val="0"/>
          <c:showSerName val="0"/>
          <c:showPercent val="0"/>
          <c:showBubbleSize val="0"/>
        </c:dLbls>
        <c:smooth val="0"/>
        <c:axId val="1405239760"/>
        <c:axId val="1405242640"/>
      </c:lineChart>
      <c:catAx>
        <c:axId val="1405239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242640"/>
        <c:crosses val="autoZero"/>
        <c:auto val="1"/>
        <c:lblAlgn val="ctr"/>
        <c:lblOffset val="100"/>
        <c:noMultiLvlLbl val="0"/>
      </c:catAx>
      <c:valAx>
        <c:axId val="1405242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 treated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239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[molnupiravir review.xlsx]groups -broken down- qtr!PivotTable10</c:name>
    <c:fmtId val="-1"/>
  </c:pivotSource>
  <c:chart>
    <c:autoTitleDeleted val="1"/>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layout>
            <c:manualLayout>
              <c:x val="-6.9444444444444475E-2"/>
              <c:y val="-0.15277777777777779"/>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≥50 years,</a:t>
                </a:r>
              </a:p>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2 risk factors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Lst>
        </c:dLbl>
      </c:pivotFmt>
      <c:pivotFmt>
        <c:idx val="2"/>
        <c:spPr>
          <a:solidFill>
            <a:schemeClr val="accent1"/>
          </a:solidFill>
          <a:ln w="28575" cap="rnd">
            <a:solidFill>
              <a:schemeClr val="accent1"/>
            </a:solidFill>
            <a:round/>
          </a:ln>
          <a:effectLst/>
        </c:spPr>
        <c:marker>
          <c:symbol val="none"/>
        </c:marker>
        <c:dLbl>
          <c:idx val="0"/>
          <c:layout>
            <c:manualLayout>
              <c:x val="-6.6666666666666721E-2"/>
              <c:y val="-9.7222222222222238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≥30 years, </a:t>
                </a:r>
              </a:p>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2 risk factors</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Lst>
        </c:dLbl>
      </c:pivotFmt>
      <c:pivotFmt>
        <c:idx val="3"/>
        <c:spPr>
          <a:solidFill>
            <a:schemeClr val="accent1"/>
          </a:solidFill>
          <a:ln w="28575" cap="rnd">
            <a:solidFill>
              <a:schemeClr val="accent1"/>
            </a:solidFill>
            <a:round/>
          </a:ln>
          <a:effectLst/>
        </c:spPr>
        <c:marker>
          <c:symbol val="none"/>
        </c:marker>
        <c:dLbl>
          <c:idx val="0"/>
          <c:layout>
            <c:manualLayout>
              <c:x val="-4.166666666666672E-2"/>
              <c:y val="-0.1527777777777778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≥30 years,</a:t>
                </a:r>
              </a:p>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 1 risk factor</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layout>
            <c:manualLayout>
              <c:x val="-6.9444444444444475E-2"/>
              <c:y val="-0.15277777777777779"/>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≥50 years,</a:t>
                </a:r>
              </a:p>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2 risk factors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Lst>
        </c:dLbl>
      </c:pivotFmt>
      <c:pivotFmt>
        <c:idx val="6"/>
        <c:spPr>
          <a:solidFill>
            <a:schemeClr val="accent1"/>
          </a:solidFill>
          <a:ln w="28575" cap="rnd">
            <a:solidFill>
              <a:schemeClr val="accent1"/>
            </a:solidFill>
            <a:round/>
          </a:ln>
          <a:effectLst/>
        </c:spPr>
        <c:marker>
          <c:symbol val="none"/>
        </c:marker>
        <c:dLbl>
          <c:idx val="0"/>
          <c:layout>
            <c:manualLayout>
              <c:x val="-6.6666666666666721E-2"/>
              <c:y val="-9.7222222222222238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≥30 years, </a:t>
                </a:r>
              </a:p>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2 risk factors</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Lst>
        </c:dLbl>
      </c:pivotFmt>
      <c:pivotFmt>
        <c:idx val="7"/>
        <c:spPr>
          <a:solidFill>
            <a:schemeClr val="accent1"/>
          </a:solidFill>
          <a:ln w="28575" cap="rnd">
            <a:solidFill>
              <a:schemeClr val="accent1"/>
            </a:solidFill>
            <a:round/>
          </a:ln>
          <a:effectLst/>
        </c:spPr>
        <c:marker>
          <c:symbol val="none"/>
        </c:marker>
        <c:dLbl>
          <c:idx val="0"/>
          <c:layout>
            <c:manualLayout>
              <c:x val="-4.166666666666672E-2"/>
              <c:y val="-0.1527777777777778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≥30 years,</a:t>
                </a:r>
              </a:p>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 1 risk factor</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layout>
            <c:manualLayout>
              <c:x val="-6.9444444444444475E-2"/>
              <c:y val="-0.15277777777777779"/>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≥50 years,</a:t>
                </a:r>
              </a:p>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2 risk factors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Lst>
        </c:dLbl>
      </c:pivotFmt>
      <c:pivotFmt>
        <c:idx val="10"/>
        <c:spPr>
          <a:solidFill>
            <a:schemeClr val="accent1"/>
          </a:solidFill>
          <a:ln w="28575" cap="rnd">
            <a:solidFill>
              <a:schemeClr val="accent1"/>
            </a:solidFill>
            <a:round/>
          </a:ln>
          <a:effectLst/>
        </c:spPr>
        <c:marker>
          <c:symbol val="none"/>
        </c:marker>
        <c:dLbl>
          <c:idx val="0"/>
          <c:layout>
            <c:manualLayout>
              <c:x val="-6.6666666666666721E-2"/>
              <c:y val="-9.7222222222222238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≥30 years, </a:t>
                </a:r>
              </a:p>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2 risk factors</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Lst>
        </c:dLbl>
      </c:pivotFmt>
      <c:pivotFmt>
        <c:idx val="11"/>
        <c:spPr>
          <a:solidFill>
            <a:schemeClr val="accent1"/>
          </a:solidFill>
          <a:ln w="28575" cap="rnd">
            <a:solidFill>
              <a:schemeClr val="accent1"/>
            </a:solidFill>
            <a:round/>
          </a:ln>
          <a:effectLst/>
        </c:spPr>
        <c:marker>
          <c:symbol val="none"/>
        </c:marker>
        <c:dLbl>
          <c:idx val="0"/>
          <c:layout>
            <c:manualLayout>
              <c:x val="-4.166666666666672E-2"/>
              <c:y val="-0.1527777777777778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≥30 years,</a:t>
                </a:r>
              </a:p>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 1 risk factor</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Lst>
        </c:dLbl>
      </c:pivotFmt>
    </c:pivotFmts>
    <c:plotArea>
      <c:layout/>
      <c:lineChart>
        <c:grouping val="standard"/>
        <c:varyColors val="0"/>
        <c:ser>
          <c:idx val="0"/>
          <c:order val="0"/>
          <c:tx>
            <c:strRef>
              <c:f>'groups -broken down- qtr'!$Q$19:$Q$20</c:f>
              <c:strCache>
                <c:ptCount val="1"/>
                <c:pt idx="0">
                  <c:v>ATSI</c:v>
                </c:pt>
              </c:strCache>
            </c:strRef>
          </c:tx>
          <c:spPr>
            <a:ln w="28575" cap="rnd">
              <a:solidFill>
                <a:schemeClr val="accent1"/>
              </a:solidFill>
              <a:round/>
            </a:ln>
            <a:effectLst/>
          </c:spPr>
          <c:marker>
            <c:symbol val="none"/>
          </c:marker>
          <c:dLbls>
            <c:dLbl>
              <c:idx val="0"/>
              <c:layout>
                <c:manualLayout>
                  <c:x val="-6.9444444444444475E-2"/>
                  <c:y val="-0.15277777777777779"/>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≥50 years,</a:t>
                    </a:r>
                  </a:p>
                  <a:p>
                    <a:pPr>
                      <a:defRPr/>
                    </a:pPr>
                    <a:r>
                      <a:rPr lang="en-US" sz="900" b="0" i="0" u="none" strike="noStrike" kern="1200" baseline="0">
                        <a:solidFill>
                          <a:sysClr val="windowText" lastClr="000000">
                            <a:lumMod val="65000"/>
                            <a:lumOff val="35000"/>
                          </a:sysClr>
                        </a:solidFill>
                      </a:rPr>
                      <a:t>2 risk factors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0-DD06-4158-8D50-287DB76DC737}"/>
                </c:ext>
              </c:extLst>
            </c:dLbl>
            <c:dLbl>
              <c:idx val="2"/>
              <c:layout>
                <c:manualLayout>
                  <c:x val="-6.6666666666666721E-2"/>
                  <c:y val="-9.7222222222222238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≥30 years, </a:t>
                    </a:r>
                  </a:p>
                  <a:p>
                    <a:pPr>
                      <a:defRPr/>
                    </a:pPr>
                    <a:r>
                      <a:rPr lang="en-US" sz="900" b="0" i="0" u="none" strike="noStrike" kern="1200" baseline="0">
                        <a:solidFill>
                          <a:sysClr val="windowText" lastClr="000000">
                            <a:lumMod val="65000"/>
                            <a:lumOff val="35000"/>
                          </a:sysClr>
                        </a:solidFill>
                      </a:rPr>
                      <a:t>2 risk factors</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1-DD06-4158-8D50-287DB76DC737}"/>
                </c:ext>
              </c:extLst>
            </c:dLbl>
            <c:dLbl>
              <c:idx val="3"/>
              <c:layout>
                <c:manualLayout>
                  <c:x val="-4.166666666666672E-2"/>
                  <c:y val="-0.1527777777777778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900" b="0" i="0" u="none" strike="noStrike" kern="1200" baseline="0">
                        <a:solidFill>
                          <a:sysClr val="windowText" lastClr="000000">
                            <a:lumMod val="65000"/>
                            <a:lumOff val="35000"/>
                          </a:sysClr>
                        </a:solidFill>
                      </a:rPr>
                      <a:t>≥30 years,</a:t>
                    </a:r>
                  </a:p>
                  <a:p>
                    <a:pPr>
                      <a:defRPr/>
                    </a:pPr>
                    <a:r>
                      <a:rPr lang="en-US" sz="900" b="0" i="0" u="none" strike="noStrike" kern="1200" baseline="0">
                        <a:solidFill>
                          <a:sysClr val="windowText" lastClr="000000">
                            <a:lumMod val="65000"/>
                            <a:lumOff val="35000"/>
                          </a:sysClr>
                        </a:solidFill>
                      </a:rPr>
                      <a:t> 1 risk factor</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DataLabelsRange val="0"/>
                </c:ext>
                <c:ext xmlns:c16="http://schemas.microsoft.com/office/drawing/2014/chart" uri="{C3380CC4-5D6E-409C-BE32-E72D297353CC}">
                  <c16:uniqueId val="{00000002-DD06-4158-8D50-287DB76DC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'groups -broken down- qtr'!$P$21:$P$31</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'groups -broken down- qtr'!$Q$21:$Q$31</c:f>
              <c:numCache>
                <c:formatCode>_-* #,##0_-;\-* #,##0_-;_-* "-"??_-;_-@_-</c:formatCode>
                <c:ptCount val="10"/>
                <c:pt idx="0">
                  <c:v>340</c:v>
                </c:pt>
                <c:pt idx="1">
                  <c:v>5489</c:v>
                </c:pt>
                <c:pt idx="2">
                  <c:v>24460</c:v>
                </c:pt>
                <c:pt idx="3">
                  <c:v>11853</c:v>
                </c:pt>
                <c:pt idx="4">
                  <c:v>13176</c:v>
                </c:pt>
                <c:pt idx="5">
                  <c:v>19785</c:v>
                </c:pt>
                <c:pt idx="6">
                  <c:v>6259</c:v>
                </c:pt>
                <c:pt idx="7">
                  <c:v>18823</c:v>
                </c:pt>
                <c:pt idx="8">
                  <c:v>13607</c:v>
                </c:pt>
                <c:pt idx="9">
                  <c:v>6220</c:v>
                </c:pt>
              </c:numCache>
            </c:numRef>
          </c:val>
          <c:smooth val="0"/>
          <c:extLst>
            <c:ext xmlns:c16="http://schemas.microsoft.com/office/drawing/2014/chart" uri="{C3380CC4-5D6E-409C-BE32-E72D297353CC}">
              <c16:uniqueId val="{00000003-DD06-4158-8D50-287DB76DC737}"/>
            </c:ext>
          </c:extLst>
        </c:ser>
        <c:dLbls>
          <c:showLegendKey val="0"/>
          <c:showVal val="0"/>
          <c:showCatName val="0"/>
          <c:showSerName val="0"/>
          <c:showPercent val="0"/>
          <c:showBubbleSize val="0"/>
        </c:dLbls>
        <c:smooth val="0"/>
        <c:axId val="1217177760"/>
        <c:axId val="1217168760"/>
      </c:lineChart>
      <c:catAx>
        <c:axId val="1217177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168760"/>
        <c:crosses val="autoZero"/>
        <c:auto val="1"/>
        <c:lblAlgn val="ctr"/>
        <c:lblOffset val="100"/>
        <c:noMultiLvlLbl val="0"/>
      </c:catAx>
      <c:valAx>
        <c:axId val="1217168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 treated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177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[molnupiravir review 27082024.xlsx]overall age!PivotTable11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'overall age'!$Q$1:$Q$2</c:f>
              <c:strCache>
                <c:ptCount val="1"/>
                <c:pt idx="0">
                  <c:v>Female</c:v>
                </c:pt>
              </c:strCache>
            </c:strRef>
          </c:tx>
          <c:spPr>
            <a:solidFill>
              <a:schemeClr val="accent1"/>
            </a:solidFill>
            <a:ln>
              <a:noFill/>
            </a:ln>
            <a:effectLst/>
          </c:spPr>
          <c:invertIfNegative val="0"/>
          <c:cat>
            <c:strRef>
              <c:f>'overall age'!$P$3:$P$19</c:f>
              <c:strCache>
                <c:ptCount val="16"/>
                <c:pt idx="0">
                  <c:v>≤19 years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85-89 yrs</c:v>
                </c:pt>
                <c:pt idx="15">
                  <c:v>≥90 years</c:v>
                </c:pt>
              </c:strCache>
            </c:strRef>
          </c:cat>
          <c:val>
            <c:numRef>
              <c:f>'overall age'!$Q$3:$Q$19</c:f>
              <c:numCache>
                <c:formatCode>_-* #,##0_-;\-* #,##0_-;_-* "-"??_-;_-@_-</c:formatCode>
                <c:ptCount val="16"/>
                <c:pt idx="0">
                  <c:v>592</c:v>
                </c:pt>
                <c:pt idx="1">
                  <c:v>1719</c:v>
                </c:pt>
                <c:pt idx="2">
                  <c:v>2548</c:v>
                </c:pt>
                <c:pt idx="3">
                  <c:v>3887</c:v>
                </c:pt>
                <c:pt idx="4">
                  <c:v>5718</c:v>
                </c:pt>
                <c:pt idx="5">
                  <c:v>7948</c:v>
                </c:pt>
                <c:pt idx="6">
                  <c:v>10471</c:v>
                </c:pt>
                <c:pt idx="7">
                  <c:v>21630</c:v>
                </c:pt>
                <c:pt idx="8">
                  <c:v>25767</c:v>
                </c:pt>
                <c:pt idx="9">
                  <c:v>36613</c:v>
                </c:pt>
                <c:pt idx="10">
                  <c:v>52766</c:v>
                </c:pt>
                <c:pt idx="11">
                  <c:v>90980</c:v>
                </c:pt>
                <c:pt idx="12">
                  <c:v>87641</c:v>
                </c:pt>
                <c:pt idx="13">
                  <c:v>68076</c:v>
                </c:pt>
                <c:pt idx="14">
                  <c:v>51359</c:v>
                </c:pt>
                <c:pt idx="15">
                  <c:v>47769</c:v>
                </c:pt>
              </c:numCache>
            </c:numRef>
          </c:val>
          <c:extLst>
            <c:ext xmlns:c16="http://schemas.microsoft.com/office/drawing/2014/chart" uri="{C3380CC4-5D6E-409C-BE32-E72D297353CC}">
              <c16:uniqueId val="{00000000-090A-4623-886D-1AB11DC71F60}"/>
            </c:ext>
          </c:extLst>
        </c:ser>
        <c:ser>
          <c:idx val="1"/>
          <c:order val="1"/>
          <c:tx>
            <c:strRef>
              <c:f>'overall age'!$R$1:$R$2</c:f>
              <c:strCache>
                <c:ptCount val="1"/>
                <c:pt idx="0">
                  <c:v>Male</c:v>
                </c:pt>
              </c:strCache>
            </c:strRef>
          </c:tx>
          <c:spPr>
            <a:solidFill>
              <a:schemeClr val="accent2"/>
            </a:solidFill>
            <a:ln>
              <a:noFill/>
            </a:ln>
            <a:effectLst/>
          </c:spPr>
          <c:invertIfNegative val="0"/>
          <c:cat>
            <c:strRef>
              <c:f>'overall age'!$P$3:$P$19</c:f>
              <c:strCache>
                <c:ptCount val="16"/>
                <c:pt idx="0">
                  <c:v>≤19 years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85-89 yrs</c:v>
                </c:pt>
                <c:pt idx="15">
                  <c:v>≥90 years</c:v>
                </c:pt>
              </c:strCache>
            </c:strRef>
          </c:cat>
          <c:val>
            <c:numRef>
              <c:f>'overall age'!$R$3:$R$19</c:f>
              <c:numCache>
                <c:formatCode>_-* #,##0_-;\-* #,##0_-;_-* "-"??_-;_-@_-</c:formatCode>
                <c:ptCount val="16"/>
                <c:pt idx="0">
                  <c:v>572</c:v>
                </c:pt>
                <c:pt idx="1">
                  <c:v>1130</c:v>
                </c:pt>
                <c:pt idx="2">
                  <c:v>1584</c:v>
                </c:pt>
                <c:pt idx="3">
                  <c:v>2395</c:v>
                </c:pt>
                <c:pt idx="4">
                  <c:v>3208</c:v>
                </c:pt>
                <c:pt idx="5">
                  <c:v>4224</c:v>
                </c:pt>
                <c:pt idx="6">
                  <c:v>5985</c:v>
                </c:pt>
                <c:pt idx="7">
                  <c:v>12820</c:v>
                </c:pt>
                <c:pt idx="8">
                  <c:v>17641</c:v>
                </c:pt>
                <c:pt idx="9">
                  <c:v>27273</c:v>
                </c:pt>
                <c:pt idx="10">
                  <c:v>42516</c:v>
                </c:pt>
                <c:pt idx="11">
                  <c:v>76776</c:v>
                </c:pt>
                <c:pt idx="12">
                  <c:v>77188</c:v>
                </c:pt>
                <c:pt idx="13">
                  <c:v>56284</c:v>
                </c:pt>
                <c:pt idx="14">
                  <c:v>36344</c:v>
                </c:pt>
                <c:pt idx="15">
                  <c:v>23593</c:v>
                </c:pt>
              </c:numCache>
            </c:numRef>
          </c:val>
          <c:extLst>
            <c:ext xmlns:c16="http://schemas.microsoft.com/office/drawing/2014/chart" uri="{C3380CC4-5D6E-409C-BE32-E72D297353CC}">
              <c16:uniqueId val="{00000001-090A-4623-886D-1AB11DC71F60}"/>
            </c:ext>
          </c:extLst>
        </c:ser>
        <c:dLbls>
          <c:showLegendKey val="0"/>
          <c:showVal val="0"/>
          <c:showCatName val="0"/>
          <c:showSerName val="0"/>
          <c:showPercent val="0"/>
          <c:showBubbleSize val="0"/>
        </c:dLbls>
        <c:gapWidth val="219"/>
        <c:overlap val="-27"/>
        <c:axId val="989961680"/>
        <c:axId val="989966000"/>
      </c:barChart>
      <c:catAx>
        <c:axId val="989961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966000"/>
        <c:crosses val="autoZero"/>
        <c:auto val="1"/>
        <c:lblAlgn val="ctr"/>
        <c:lblOffset val="100"/>
        <c:noMultiLvlLbl val="0"/>
      </c:catAx>
      <c:valAx>
        <c:axId val="989966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r>
                  <a:rPr lang="en-AU" baseline="0"/>
                  <a:t> treated</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996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[molnupiravir review 27082024.xlsx]RACF!PivotTable1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RACF!$R$1:$R$2</c:f>
              <c:strCache>
                <c:ptCount val="1"/>
                <c:pt idx="0">
                  <c:v>RACF</c:v>
                </c:pt>
              </c:strCache>
            </c:strRef>
          </c:tx>
          <c:spPr>
            <a:solidFill>
              <a:schemeClr val="accent1"/>
            </a:solidFill>
            <a:ln>
              <a:noFill/>
            </a:ln>
            <a:effectLst/>
          </c:spPr>
          <c:cat>
            <c:strRef>
              <c:f>RACF!$Q$3:$Q$13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RACF!$R$3:$R$13</c:f>
              <c:numCache>
                <c:formatCode>_-* #,##0_-;\-* #,##0_-;_-* "-"??_-;_-@_-</c:formatCode>
                <c:ptCount val="10"/>
                <c:pt idx="0">
                  <c:v>557</c:v>
                </c:pt>
                <c:pt idx="1">
                  <c:v>10098</c:v>
                </c:pt>
                <c:pt idx="2">
                  <c:v>19015</c:v>
                </c:pt>
                <c:pt idx="3">
                  <c:v>19017</c:v>
                </c:pt>
                <c:pt idx="4">
                  <c:v>8544</c:v>
                </c:pt>
                <c:pt idx="5">
                  <c:v>16251</c:v>
                </c:pt>
                <c:pt idx="6">
                  <c:v>5540</c:v>
                </c:pt>
                <c:pt idx="7">
                  <c:v>14386</c:v>
                </c:pt>
                <c:pt idx="8">
                  <c:v>14126</c:v>
                </c:pt>
                <c:pt idx="9">
                  <c:v>21133</c:v>
                </c:pt>
              </c:numCache>
            </c:numRef>
          </c:val>
          <c:extLst>
            <c:ext xmlns:c16="http://schemas.microsoft.com/office/drawing/2014/chart" uri="{C3380CC4-5D6E-409C-BE32-E72D297353CC}">
              <c16:uniqueId val="{00000000-FD2D-4509-BAFF-E2FF9FBAB740}"/>
            </c:ext>
          </c:extLst>
        </c:ser>
        <c:ser>
          <c:idx val="1"/>
          <c:order val="1"/>
          <c:tx>
            <c:strRef>
              <c:f>RACF!$S$1:$S$2</c:f>
              <c:strCache>
                <c:ptCount val="1"/>
                <c:pt idx="0">
                  <c:v>Not RACF</c:v>
                </c:pt>
              </c:strCache>
            </c:strRef>
          </c:tx>
          <c:spPr>
            <a:solidFill>
              <a:schemeClr val="accent2"/>
            </a:solidFill>
            <a:ln>
              <a:noFill/>
            </a:ln>
            <a:effectLst/>
          </c:spPr>
          <c:cat>
            <c:strRef>
              <c:f>RACF!$Q$3:$Q$13</c:f>
              <c:strCache>
                <c:ptCount val="10"/>
                <c:pt idx="0">
                  <c:v>2022Q1</c:v>
                </c:pt>
                <c:pt idx="1">
                  <c:v>2022Q2</c:v>
                </c:pt>
                <c:pt idx="2">
                  <c:v>2022Q3</c:v>
                </c:pt>
                <c:pt idx="3">
                  <c:v>2022Q4</c:v>
                </c:pt>
                <c:pt idx="4">
                  <c:v>2023Q1</c:v>
                </c:pt>
                <c:pt idx="5">
                  <c:v>2023Q2</c:v>
                </c:pt>
                <c:pt idx="6">
                  <c:v>2023Q3</c:v>
                </c:pt>
                <c:pt idx="7">
                  <c:v>2023Q4</c:v>
                </c:pt>
                <c:pt idx="8">
                  <c:v>2024Q1</c:v>
                </c:pt>
                <c:pt idx="9">
                  <c:v>2024Q2</c:v>
                </c:pt>
              </c:strCache>
            </c:strRef>
          </c:cat>
          <c:val>
            <c:numRef>
              <c:f>RACF!$S$3:$S$13</c:f>
              <c:numCache>
                <c:formatCode>_-* #,##0_-;\-* #,##0_-;_-* "-"??_-;_-@_-</c:formatCode>
                <c:ptCount val="10"/>
                <c:pt idx="0">
                  <c:v>3127</c:v>
                </c:pt>
                <c:pt idx="1">
                  <c:v>48379</c:v>
                </c:pt>
                <c:pt idx="2">
                  <c:v>160143</c:v>
                </c:pt>
                <c:pt idx="3">
                  <c:v>201177</c:v>
                </c:pt>
                <c:pt idx="4">
                  <c:v>63083</c:v>
                </c:pt>
                <c:pt idx="5">
                  <c:v>94305</c:v>
                </c:pt>
                <c:pt idx="6">
                  <c:v>30762</c:v>
                </c:pt>
                <c:pt idx="7">
                  <c:v>101825</c:v>
                </c:pt>
                <c:pt idx="8">
                  <c:v>81935</c:v>
                </c:pt>
                <c:pt idx="9">
                  <c:v>78169</c:v>
                </c:pt>
              </c:numCache>
            </c:numRef>
          </c:val>
          <c:extLst>
            <c:ext xmlns:c16="http://schemas.microsoft.com/office/drawing/2014/chart" uri="{C3380CC4-5D6E-409C-BE32-E72D297353CC}">
              <c16:uniqueId val="{00000001-FD2D-4509-BAFF-E2FF9FBAB740}"/>
            </c:ext>
          </c:extLst>
        </c:ser>
        <c:dLbls>
          <c:showLegendKey val="0"/>
          <c:showVal val="0"/>
          <c:showCatName val="0"/>
          <c:showSerName val="0"/>
          <c:showPercent val="0"/>
          <c:showBubbleSize val="0"/>
        </c:dLbls>
        <c:axId val="1001231336"/>
        <c:axId val="1001229176"/>
      </c:areaChart>
      <c:catAx>
        <c:axId val="1001231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Supply</a:t>
                </a:r>
                <a:r>
                  <a:rPr lang="en-US" baseline="0"/>
                  <a:t> quarter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229176"/>
        <c:crosses val="autoZero"/>
        <c:auto val="1"/>
        <c:lblAlgn val="ctr"/>
        <c:lblOffset val="100"/>
        <c:noMultiLvlLbl val="0"/>
      </c:catAx>
      <c:valAx>
        <c:axId val="1001229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 supplied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12313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[molnupiravir review 27082024.xlsx]prescriber listing year!PivotTable5</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'prescriber listing year'!$Q$1:$Q$2</c:f>
              <c:strCache>
                <c:ptCount val="1"/>
                <c:pt idx="0">
                  <c:v>General Practitioner</c:v>
                </c:pt>
              </c:strCache>
            </c:strRef>
          </c:tx>
          <c:spPr>
            <a:solidFill>
              <a:schemeClr val="accent1"/>
            </a:solidFill>
            <a:ln>
              <a:noFill/>
            </a:ln>
            <a:effectLst/>
          </c:spPr>
          <c:invertIfNegative val="0"/>
          <c:cat>
            <c:strRef>
              <c:f>'prescriber listing year'!$P$3:$P$6</c:f>
              <c:strCache>
                <c:ptCount val="3"/>
                <c:pt idx="0">
                  <c:v>Year 3</c:v>
                </c:pt>
                <c:pt idx="1">
                  <c:v>Year 2</c:v>
                </c:pt>
                <c:pt idx="2">
                  <c:v>Year 1</c:v>
                </c:pt>
              </c:strCache>
            </c:strRef>
          </c:cat>
          <c:val>
            <c:numRef>
              <c:f>'prescriber listing year'!$Q$3:$Q$6</c:f>
              <c:numCache>
                <c:formatCode>0.00%</c:formatCode>
                <c:ptCount val="3"/>
                <c:pt idx="0">
                  <c:v>0.96824028587927125</c:v>
                </c:pt>
                <c:pt idx="1">
                  <c:v>0.97044512925393123</c:v>
                </c:pt>
                <c:pt idx="2">
                  <c:v>0.96849528236846771</c:v>
                </c:pt>
              </c:numCache>
            </c:numRef>
          </c:val>
          <c:extLst>
            <c:ext xmlns:c16="http://schemas.microsoft.com/office/drawing/2014/chart" uri="{C3380CC4-5D6E-409C-BE32-E72D297353CC}">
              <c16:uniqueId val="{00000000-8134-46C5-B53D-C45513A8F9F7}"/>
            </c:ext>
          </c:extLst>
        </c:ser>
        <c:ser>
          <c:idx val="1"/>
          <c:order val="1"/>
          <c:tx>
            <c:strRef>
              <c:f>'prescriber listing year'!$R$1:$R$2</c:f>
              <c:strCache>
                <c:ptCount val="1"/>
                <c:pt idx="0">
                  <c:v>Nurse Practitioner</c:v>
                </c:pt>
              </c:strCache>
            </c:strRef>
          </c:tx>
          <c:spPr>
            <a:solidFill>
              <a:schemeClr val="accent2"/>
            </a:solidFill>
            <a:ln>
              <a:noFill/>
            </a:ln>
            <a:effectLst/>
          </c:spPr>
          <c:invertIfNegative val="0"/>
          <c:cat>
            <c:strRef>
              <c:f>'prescriber listing year'!$P$3:$P$6</c:f>
              <c:strCache>
                <c:ptCount val="3"/>
                <c:pt idx="0">
                  <c:v>Year 3</c:v>
                </c:pt>
                <c:pt idx="1">
                  <c:v>Year 2</c:v>
                </c:pt>
                <c:pt idx="2">
                  <c:v>Year 1</c:v>
                </c:pt>
              </c:strCache>
            </c:strRef>
          </c:cat>
          <c:val>
            <c:numRef>
              <c:f>'prescriber listing year'!$R$3:$R$6</c:f>
              <c:numCache>
                <c:formatCode>0.00%</c:formatCode>
                <c:ptCount val="3"/>
                <c:pt idx="0">
                  <c:v>1.0009122025926638E-2</c:v>
                </c:pt>
                <c:pt idx="1">
                  <c:v>8.5780261369983301E-3</c:v>
                </c:pt>
                <c:pt idx="2">
                  <c:v>7.2527429235527017E-3</c:v>
                </c:pt>
              </c:numCache>
            </c:numRef>
          </c:val>
          <c:extLst>
            <c:ext xmlns:c16="http://schemas.microsoft.com/office/drawing/2014/chart" uri="{C3380CC4-5D6E-409C-BE32-E72D297353CC}">
              <c16:uniqueId val="{00000001-8134-46C5-B53D-C45513A8F9F7}"/>
            </c:ext>
          </c:extLst>
        </c:ser>
        <c:ser>
          <c:idx val="2"/>
          <c:order val="2"/>
          <c:tx>
            <c:strRef>
              <c:f>'prescriber listing year'!$S$1:$S$2</c:f>
              <c:strCache>
                <c:ptCount val="1"/>
                <c:pt idx="0">
                  <c:v>Other specialities</c:v>
                </c:pt>
              </c:strCache>
            </c:strRef>
          </c:tx>
          <c:spPr>
            <a:solidFill>
              <a:schemeClr val="accent3"/>
            </a:solidFill>
            <a:ln>
              <a:noFill/>
            </a:ln>
            <a:effectLst/>
          </c:spPr>
          <c:invertIfNegative val="0"/>
          <c:cat>
            <c:strRef>
              <c:f>'prescriber listing year'!$P$3:$P$6</c:f>
              <c:strCache>
                <c:ptCount val="3"/>
                <c:pt idx="0">
                  <c:v>Year 3</c:v>
                </c:pt>
                <c:pt idx="1">
                  <c:v>Year 2</c:v>
                </c:pt>
                <c:pt idx="2">
                  <c:v>Year 1</c:v>
                </c:pt>
              </c:strCache>
            </c:strRef>
          </c:cat>
          <c:val>
            <c:numRef>
              <c:f>'prescriber listing year'!$S$3:$S$6</c:f>
              <c:numCache>
                <c:formatCode>0.00%</c:formatCode>
                <c:ptCount val="3"/>
                <c:pt idx="0">
                  <c:v>2.175059209480212E-2</c:v>
                </c:pt>
                <c:pt idx="1">
                  <c:v>2.0976844609070421E-2</c:v>
                </c:pt>
                <c:pt idx="2">
                  <c:v>2.4251974707979594E-2</c:v>
                </c:pt>
              </c:numCache>
            </c:numRef>
          </c:val>
          <c:extLst>
            <c:ext xmlns:c16="http://schemas.microsoft.com/office/drawing/2014/chart" uri="{C3380CC4-5D6E-409C-BE32-E72D297353CC}">
              <c16:uniqueId val="{00000002-8134-46C5-B53D-C45513A8F9F7}"/>
            </c:ext>
          </c:extLst>
        </c:ser>
        <c:dLbls>
          <c:showLegendKey val="0"/>
          <c:showVal val="0"/>
          <c:showCatName val="0"/>
          <c:showSerName val="0"/>
          <c:showPercent val="0"/>
          <c:showBubbleSize val="0"/>
        </c:dLbls>
        <c:gapWidth val="150"/>
        <c:overlap val="100"/>
        <c:axId val="1643613584"/>
        <c:axId val="1643620064"/>
      </c:barChart>
      <c:catAx>
        <c:axId val="1643613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Listing year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620064"/>
        <c:crosses val="autoZero"/>
        <c:auto val="1"/>
        <c:lblAlgn val="ctr"/>
        <c:lblOffset val="100"/>
        <c:noMultiLvlLbl val="0"/>
      </c:catAx>
      <c:valAx>
        <c:axId val="1643620064"/>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of prescriptions supplied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61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[molnupiravir review 27082024.xlsx]Sheet1!PivotTable5</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Sheet1!$R$14:$R$15</c:f>
              <c:strCache>
                <c:ptCount val="1"/>
                <c:pt idx="0">
                  <c:v>ACT</c:v>
                </c:pt>
              </c:strCache>
            </c:strRef>
          </c:tx>
          <c:spPr>
            <a:ln w="28575" cap="rnd">
              <a:solidFill>
                <a:schemeClr val="accent1"/>
              </a:solidFill>
              <a:round/>
            </a:ln>
            <a:effectLst/>
          </c:spPr>
          <c:marker>
            <c:symbol val="none"/>
          </c:marker>
          <c:cat>
            <c:strRef>
              <c:f>Sheet1!$Q$16:$Q$25</c:f>
              <c:strCache>
                <c:ptCount val="10"/>
                <c:pt idx="0">
                  <c:v>2022Q1 </c:v>
                </c:pt>
                <c:pt idx="1">
                  <c:v>2022Q2 </c:v>
                </c:pt>
                <c:pt idx="2">
                  <c:v>2022Q3 </c:v>
                </c:pt>
                <c:pt idx="3">
                  <c:v>2022Q4 </c:v>
                </c:pt>
                <c:pt idx="4">
                  <c:v>2023Q1 </c:v>
                </c:pt>
                <c:pt idx="5">
                  <c:v>2023Q2 </c:v>
                </c:pt>
                <c:pt idx="6">
                  <c:v>2023Q3 </c:v>
                </c:pt>
                <c:pt idx="7">
                  <c:v>2023Q4 </c:v>
                </c:pt>
                <c:pt idx="8">
                  <c:v>2024Q1 </c:v>
                </c:pt>
                <c:pt idx="9">
                  <c:v>2024Q2 </c:v>
                </c:pt>
              </c:strCache>
            </c:strRef>
          </c:cat>
          <c:val>
            <c:numRef>
              <c:f>Sheet1!$R$16:$R$25</c:f>
              <c:numCache>
                <c:formatCode>_-* #,##0_-;\-* #,##0_-;_-* "-"??_-;_-@_-</c:formatCode>
                <c:ptCount val="10"/>
                <c:pt idx="0">
                  <c:v>24.893294473688627</c:v>
                </c:pt>
                <c:pt idx="1">
                  <c:v>579.79740540661089</c:v>
                </c:pt>
                <c:pt idx="2">
                  <c:v>942.31764741706979</c:v>
                </c:pt>
                <c:pt idx="3">
                  <c:v>837.54540493763204</c:v>
                </c:pt>
                <c:pt idx="4">
                  <c:v>279.39375382731168</c:v>
                </c:pt>
                <c:pt idx="5">
                  <c:v>498.54217889858353</c:v>
                </c:pt>
                <c:pt idx="6">
                  <c:v>178.28056498731777</c:v>
                </c:pt>
                <c:pt idx="7">
                  <c:v>443.12589513584527</c:v>
                </c:pt>
                <c:pt idx="8">
                  <c:v>427.24228164069649</c:v>
                </c:pt>
                <c:pt idx="9">
                  <c:v>516.08283169830827</c:v>
                </c:pt>
              </c:numCache>
            </c:numRef>
          </c:val>
          <c:smooth val="0"/>
          <c:extLst>
            <c:ext xmlns:c16="http://schemas.microsoft.com/office/drawing/2014/chart" uri="{C3380CC4-5D6E-409C-BE32-E72D297353CC}">
              <c16:uniqueId val="{00000000-75EA-4F92-8526-9A2CB5B2F3F4}"/>
            </c:ext>
          </c:extLst>
        </c:ser>
        <c:ser>
          <c:idx val="1"/>
          <c:order val="1"/>
          <c:tx>
            <c:strRef>
              <c:f>Sheet1!$S$14:$S$15</c:f>
              <c:strCache>
                <c:ptCount val="1"/>
                <c:pt idx="0">
                  <c:v>NSW</c:v>
                </c:pt>
              </c:strCache>
            </c:strRef>
          </c:tx>
          <c:spPr>
            <a:ln w="28575" cap="rnd">
              <a:solidFill>
                <a:schemeClr val="accent2"/>
              </a:solidFill>
              <a:round/>
            </a:ln>
            <a:effectLst/>
          </c:spPr>
          <c:marker>
            <c:symbol val="none"/>
          </c:marker>
          <c:cat>
            <c:strRef>
              <c:f>Sheet1!$Q$16:$Q$25</c:f>
              <c:strCache>
                <c:ptCount val="10"/>
                <c:pt idx="0">
                  <c:v>2022Q1 </c:v>
                </c:pt>
                <c:pt idx="1">
                  <c:v>2022Q2 </c:v>
                </c:pt>
                <c:pt idx="2">
                  <c:v>2022Q3 </c:v>
                </c:pt>
                <c:pt idx="3">
                  <c:v>2022Q4 </c:v>
                </c:pt>
                <c:pt idx="4">
                  <c:v>2023Q1 </c:v>
                </c:pt>
                <c:pt idx="5">
                  <c:v>2023Q2 </c:v>
                </c:pt>
                <c:pt idx="6">
                  <c:v>2023Q3 </c:v>
                </c:pt>
                <c:pt idx="7">
                  <c:v>2023Q4 </c:v>
                </c:pt>
                <c:pt idx="8">
                  <c:v>2024Q1 </c:v>
                </c:pt>
                <c:pt idx="9">
                  <c:v>2024Q2 </c:v>
                </c:pt>
              </c:strCache>
            </c:strRef>
          </c:cat>
          <c:val>
            <c:numRef>
              <c:f>Sheet1!$S$16:$S$25</c:f>
              <c:numCache>
                <c:formatCode>_-* #,##0_-;\-* #,##0_-;_-* "-"??_-;_-@_-</c:formatCode>
                <c:ptCount val="10"/>
                <c:pt idx="0">
                  <c:v>29.078220412910728</c:v>
                </c:pt>
                <c:pt idx="1">
                  <c:v>344.93544625034122</c:v>
                </c:pt>
                <c:pt idx="2">
                  <c:v>1056.5120133592543</c:v>
                </c:pt>
                <c:pt idx="3">
                  <c:v>1145.6426496743172</c:v>
                </c:pt>
                <c:pt idx="4">
                  <c:v>390.54037734875027</c:v>
                </c:pt>
                <c:pt idx="5">
                  <c:v>638.78078731606399</c:v>
                </c:pt>
                <c:pt idx="6">
                  <c:v>178.32849684834306</c:v>
                </c:pt>
                <c:pt idx="7">
                  <c:v>535.16039514667739</c:v>
                </c:pt>
                <c:pt idx="8">
                  <c:v>525.3490961171218</c:v>
                </c:pt>
                <c:pt idx="9">
                  <c:v>480.46730117086025</c:v>
                </c:pt>
              </c:numCache>
            </c:numRef>
          </c:val>
          <c:smooth val="0"/>
          <c:extLst>
            <c:ext xmlns:c16="http://schemas.microsoft.com/office/drawing/2014/chart" uri="{C3380CC4-5D6E-409C-BE32-E72D297353CC}">
              <c16:uniqueId val="{00000001-75EA-4F92-8526-9A2CB5B2F3F4}"/>
            </c:ext>
          </c:extLst>
        </c:ser>
        <c:ser>
          <c:idx val="2"/>
          <c:order val="2"/>
          <c:tx>
            <c:strRef>
              <c:f>Sheet1!$T$14:$T$15</c:f>
              <c:strCache>
                <c:ptCount val="1"/>
                <c:pt idx="0">
                  <c:v>NT</c:v>
                </c:pt>
              </c:strCache>
            </c:strRef>
          </c:tx>
          <c:spPr>
            <a:ln w="28575" cap="rnd">
              <a:solidFill>
                <a:schemeClr val="accent3"/>
              </a:solidFill>
              <a:round/>
            </a:ln>
            <a:effectLst/>
          </c:spPr>
          <c:marker>
            <c:symbol val="none"/>
          </c:marker>
          <c:cat>
            <c:strRef>
              <c:f>Sheet1!$Q$16:$Q$25</c:f>
              <c:strCache>
                <c:ptCount val="10"/>
                <c:pt idx="0">
                  <c:v>2022Q1 </c:v>
                </c:pt>
                <c:pt idx="1">
                  <c:v>2022Q2 </c:v>
                </c:pt>
                <c:pt idx="2">
                  <c:v>2022Q3 </c:v>
                </c:pt>
                <c:pt idx="3">
                  <c:v>2022Q4 </c:v>
                </c:pt>
                <c:pt idx="4">
                  <c:v>2023Q1 </c:v>
                </c:pt>
                <c:pt idx="5">
                  <c:v>2023Q2 </c:v>
                </c:pt>
                <c:pt idx="6">
                  <c:v>2023Q3 </c:v>
                </c:pt>
                <c:pt idx="7">
                  <c:v>2023Q4 </c:v>
                </c:pt>
                <c:pt idx="8">
                  <c:v>2024Q1 </c:v>
                </c:pt>
                <c:pt idx="9">
                  <c:v>2024Q2 </c:v>
                </c:pt>
              </c:strCache>
            </c:strRef>
          </c:cat>
          <c:val>
            <c:numRef>
              <c:f>Sheet1!$T$16:$T$25</c:f>
              <c:numCache>
                <c:formatCode>_-* #,##0_-;\-* #,##0_-;_-* "-"??_-;_-@_-</c:formatCode>
                <c:ptCount val="10"/>
                <c:pt idx="0">
                  <c:v>3.1989763275751759</c:v>
                </c:pt>
                <c:pt idx="1">
                  <c:v>59.981315554800624</c:v>
                </c:pt>
                <c:pt idx="2">
                  <c:v>254.06773022241515</c:v>
                </c:pt>
                <c:pt idx="3">
                  <c:v>233.50077218652652</c:v>
                </c:pt>
                <c:pt idx="4">
                  <c:v>92.801342211503169</c:v>
                </c:pt>
                <c:pt idx="5">
                  <c:v>111.73301031702937</c:v>
                </c:pt>
                <c:pt idx="6">
                  <c:v>27.0282913441897</c:v>
                </c:pt>
                <c:pt idx="7">
                  <c:v>92.408007309577201</c:v>
                </c:pt>
                <c:pt idx="8">
                  <c:v>78.391062380596395</c:v>
                </c:pt>
                <c:pt idx="9">
                  <c:v>73.199601295788682</c:v>
                </c:pt>
              </c:numCache>
            </c:numRef>
          </c:val>
          <c:smooth val="0"/>
          <c:extLst>
            <c:ext xmlns:c16="http://schemas.microsoft.com/office/drawing/2014/chart" uri="{C3380CC4-5D6E-409C-BE32-E72D297353CC}">
              <c16:uniqueId val="{00000002-75EA-4F92-8526-9A2CB5B2F3F4}"/>
            </c:ext>
          </c:extLst>
        </c:ser>
        <c:ser>
          <c:idx val="3"/>
          <c:order val="3"/>
          <c:tx>
            <c:strRef>
              <c:f>Sheet1!$U$14:$U$15</c:f>
              <c:strCache>
                <c:ptCount val="1"/>
                <c:pt idx="0">
                  <c:v>QLD</c:v>
                </c:pt>
              </c:strCache>
            </c:strRef>
          </c:tx>
          <c:spPr>
            <a:ln w="28575" cap="rnd">
              <a:solidFill>
                <a:schemeClr val="accent4"/>
              </a:solidFill>
              <a:round/>
            </a:ln>
            <a:effectLst/>
          </c:spPr>
          <c:marker>
            <c:symbol val="none"/>
          </c:marker>
          <c:cat>
            <c:strRef>
              <c:f>Sheet1!$Q$16:$Q$25</c:f>
              <c:strCache>
                <c:ptCount val="10"/>
                <c:pt idx="0">
                  <c:v>2022Q1 </c:v>
                </c:pt>
                <c:pt idx="1">
                  <c:v>2022Q2 </c:v>
                </c:pt>
                <c:pt idx="2">
                  <c:v>2022Q3 </c:v>
                </c:pt>
                <c:pt idx="3">
                  <c:v>2022Q4 </c:v>
                </c:pt>
                <c:pt idx="4">
                  <c:v>2023Q1 </c:v>
                </c:pt>
                <c:pt idx="5">
                  <c:v>2023Q2 </c:v>
                </c:pt>
                <c:pt idx="6">
                  <c:v>2023Q3 </c:v>
                </c:pt>
                <c:pt idx="7">
                  <c:v>2023Q4 </c:v>
                </c:pt>
                <c:pt idx="8">
                  <c:v>2024Q1 </c:v>
                </c:pt>
                <c:pt idx="9">
                  <c:v>2024Q2 </c:v>
                </c:pt>
              </c:strCache>
            </c:strRef>
          </c:cat>
          <c:val>
            <c:numRef>
              <c:f>Sheet1!$U$16:$U$25</c:f>
              <c:numCache>
                <c:formatCode>_-* #,##0_-;\-* #,##0_-;_-* "-"??_-;_-@_-</c:formatCode>
                <c:ptCount val="10"/>
                <c:pt idx="0">
                  <c:v>6.7381759660005311</c:v>
                </c:pt>
                <c:pt idx="1">
                  <c:v>120.54716028280632</c:v>
                </c:pt>
                <c:pt idx="2">
                  <c:v>613.20437275358006</c:v>
                </c:pt>
                <c:pt idx="3">
                  <c:v>689.03476245488264</c:v>
                </c:pt>
                <c:pt idx="4">
                  <c:v>340.23794343799358</c:v>
                </c:pt>
                <c:pt idx="5">
                  <c:v>364.16051801768907</c:v>
                </c:pt>
                <c:pt idx="6">
                  <c:v>122.83926986357268</c:v>
                </c:pt>
                <c:pt idx="7">
                  <c:v>404.32662458549208</c:v>
                </c:pt>
                <c:pt idx="8">
                  <c:v>397.24498794264298</c:v>
                </c:pt>
                <c:pt idx="9">
                  <c:v>279.2022315746263</c:v>
                </c:pt>
              </c:numCache>
            </c:numRef>
          </c:val>
          <c:smooth val="0"/>
          <c:extLst>
            <c:ext xmlns:c16="http://schemas.microsoft.com/office/drawing/2014/chart" uri="{C3380CC4-5D6E-409C-BE32-E72D297353CC}">
              <c16:uniqueId val="{00000003-75EA-4F92-8526-9A2CB5B2F3F4}"/>
            </c:ext>
          </c:extLst>
        </c:ser>
        <c:ser>
          <c:idx val="4"/>
          <c:order val="4"/>
          <c:tx>
            <c:strRef>
              <c:f>Sheet1!$V$14:$V$15</c:f>
              <c:strCache>
                <c:ptCount val="1"/>
                <c:pt idx="0">
                  <c:v>SA</c:v>
                </c:pt>
              </c:strCache>
            </c:strRef>
          </c:tx>
          <c:spPr>
            <a:ln w="28575" cap="rnd">
              <a:solidFill>
                <a:schemeClr val="accent5"/>
              </a:solidFill>
              <a:round/>
            </a:ln>
            <a:effectLst/>
          </c:spPr>
          <c:marker>
            <c:symbol val="none"/>
          </c:marker>
          <c:cat>
            <c:strRef>
              <c:f>Sheet1!$Q$16:$Q$25</c:f>
              <c:strCache>
                <c:ptCount val="10"/>
                <c:pt idx="0">
                  <c:v>2022Q1 </c:v>
                </c:pt>
                <c:pt idx="1">
                  <c:v>2022Q2 </c:v>
                </c:pt>
                <c:pt idx="2">
                  <c:v>2022Q3 </c:v>
                </c:pt>
                <c:pt idx="3">
                  <c:v>2022Q4 </c:v>
                </c:pt>
                <c:pt idx="4">
                  <c:v>2023Q1 </c:v>
                </c:pt>
                <c:pt idx="5">
                  <c:v>2023Q2 </c:v>
                </c:pt>
                <c:pt idx="6">
                  <c:v>2023Q3 </c:v>
                </c:pt>
                <c:pt idx="7">
                  <c:v>2023Q4 </c:v>
                </c:pt>
                <c:pt idx="8">
                  <c:v>2024Q1 </c:v>
                </c:pt>
                <c:pt idx="9">
                  <c:v>2024Q2 </c:v>
                </c:pt>
              </c:strCache>
            </c:strRef>
          </c:cat>
          <c:val>
            <c:numRef>
              <c:f>Sheet1!$V$16:$V$25</c:f>
              <c:numCache>
                <c:formatCode>_-* #,##0_-;\-* #,##0_-;_-* "-"??_-;_-@_-</c:formatCode>
                <c:ptCount val="10"/>
                <c:pt idx="0">
                  <c:v>11.305963653060898</c:v>
                </c:pt>
                <c:pt idx="1">
                  <c:v>244.38623530468797</c:v>
                </c:pt>
                <c:pt idx="2">
                  <c:v>754.27521209261499</c:v>
                </c:pt>
                <c:pt idx="3">
                  <c:v>1079.6313747835804</c:v>
                </c:pt>
                <c:pt idx="4">
                  <c:v>339.61599100708287</c:v>
                </c:pt>
                <c:pt idx="5">
                  <c:v>442.06849011446201</c:v>
                </c:pt>
                <c:pt idx="6">
                  <c:v>152.28727666106437</c:v>
                </c:pt>
                <c:pt idx="7">
                  <c:v>463.85294362785294</c:v>
                </c:pt>
                <c:pt idx="8">
                  <c:v>420.49906032978521</c:v>
                </c:pt>
                <c:pt idx="9">
                  <c:v>543.90639325265704</c:v>
                </c:pt>
              </c:numCache>
            </c:numRef>
          </c:val>
          <c:smooth val="0"/>
          <c:extLst>
            <c:ext xmlns:c16="http://schemas.microsoft.com/office/drawing/2014/chart" uri="{C3380CC4-5D6E-409C-BE32-E72D297353CC}">
              <c16:uniqueId val="{00000004-75EA-4F92-8526-9A2CB5B2F3F4}"/>
            </c:ext>
          </c:extLst>
        </c:ser>
        <c:ser>
          <c:idx val="5"/>
          <c:order val="5"/>
          <c:tx>
            <c:strRef>
              <c:f>Sheet1!$W$14:$W$15</c:f>
              <c:strCache>
                <c:ptCount val="1"/>
                <c:pt idx="0">
                  <c:v>TAS</c:v>
                </c:pt>
              </c:strCache>
            </c:strRef>
          </c:tx>
          <c:spPr>
            <a:ln w="28575" cap="rnd">
              <a:solidFill>
                <a:schemeClr val="accent6"/>
              </a:solidFill>
              <a:round/>
            </a:ln>
            <a:effectLst/>
          </c:spPr>
          <c:marker>
            <c:symbol val="none"/>
          </c:marker>
          <c:cat>
            <c:strRef>
              <c:f>Sheet1!$Q$16:$Q$25</c:f>
              <c:strCache>
                <c:ptCount val="10"/>
                <c:pt idx="0">
                  <c:v>2022Q1 </c:v>
                </c:pt>
                <c:pt idx="1">
                  <c:v>2022Q2 </c:v>
                </c:pt>
                <c:pt idx="2">
                  <c:v>2022Q3 </c:v>
                </c:pt>
                <c:pt idx="3">
                  <c:v>2022Q4 </c:v>
                </c:pt>
                <c:pt idx="4">
                  <c:v>2023Q1 </c:v>
                </c:pt>
                <c:pt idx="5">
                  <c:v>2023Q2 </c:v>
                </c:pt>
                <c:pt idx="6">
                  <c:v>2023Q3 </c:v>
                </c:pt>
                <c:pt idx="7">
                  <c:v>2023Q4 </c:v>
                </c:pt>
                <c:pt idx="8">
                  <c:v>2024Q1 </c:v>
                </c:pt>
                <c:pt idx="9">
                  <c:v>2024Q2 </c:v>
                </c:pt>
              </c:strCache>
            </c:strRef>
          </c:cat>
          <c:val>
            <c:numRef>
              <c:f>Sheet1!$W$16:$W$25</c:f>
              <c:numCache>
                <c:formatCode>_-* #,##0_-;\-* #,##0_-;_-* "-"??_-;_-@_-</c:formatCode>
                <c:ptCount val="10"/>
                <c:pt idx="0">
                  <c:v>18.228257312715634</c:v>
                </c:pt>
                <c:pt idx="1">
                  <c:v>341.85147989457204</c:v>
                </c:pt>
                <c:pt idx="2">
                  <c:v>1041.4704967787993</c:v>
                </c:pt>
                <c:pt idx="3">
                  <c:v>1360.7002505575836</c:v>
                </c:pt>
                <c:pt idx="4">
                  <c:v>373.28239947321828</c:v>
                </c:pt>
                <c:pt idx="5">
                  <c:v>503.41564574874087</c:v>
                </c:pt>
                <c:pt idx="6">
                  <c:v>166.42772141957408</c:v>
                </c:pt>
                <c:pt idx="7">
                  <c:v>523.28873519029969</c:v>
                </c:pt>
                <c:pt idx="8">
                  <c:v>515.26150334865736</c:v>
                </c:pt>
                <c:pt idx="9">
                  <c:v>490.09504676404924</c:v>
                </c:pt>
              </c:numCache>
            </c:numRef>
          </c:val>
          <c:smooth val="0"/>
          <c:extLst>
            <c:ext xmlns:c16="http://schemas.microsoft.com/office/drawing/2014/chart" uri="{C3380CC4-5D6E-409C-BE32-E72D297353CC}">
              <c16:uniqueId val="{00000005-75EA-4F92-8526-9A2CB5B2F3F4}"/>
            </c:ext>
          </c:extLst>
        </c:ser>
        <c:ser>
          <c:idx val="6"/>
          <c:order val="6"/>
          <c:tx>
            <c:strRef>
              <c:f>Sheet1!$X$14:$X$15</c:f>
              <c:strCache>
                <c:ptCount val="1"/>
                <c:pt idx="0">
                  <c:v>VIC</c:v>
                </c:pt>
              </c:strCache>
            </c:strRef>
          </c:tx>
          <c:spPr>
            <a:ln w="28575" cap="rnd">
              <a:solidFill>
                <a:schemeClr val="accent1">
                  <a:lumMod val="60000"/>
                </a:schemeClr>
              </a:solidFill>
              <a:round/>
            </a:ln>
            <a:effectLst/>
          </c:spPr>
          <c:marker>
            <c:symbol val="none"/>
          </c:marker>
          <c:cat>
            <c:strRef>
              <c:f>Sheet1!$Q$16:$Q$25</c:f>
              <c:strCache>
                <c:ptCount val="10"/>
                <c:pt idx="0">
                  <c:v>2022Q1 </c:v>
                </c:pt>
                <c:pt idx="1">
                  <c:v>2022Q2 </c:v>
                </c:pt>
                <c:pt idx="2">
                  <c:v>2022Q3 </c:v>
                </c:pt>
                <c:pt idx="3">
                  <c:v>2022Q4 </c:v>
                </c:pt>
                <c:pt idx="4">
                  <c:v>2023Q1 </c:v>
                </c:pt>
                <c:pt idx="5">
                  <c:v>2023Q2 </c:v>
                </c:pt>
                <c:pt idx="6">
                  <c:v>2023Q3 </c:v>
                </c:pt>
                <c:pt idx="7">
                  <c:v>2023Q4 </c:v>
                </c:pt>
                <c:pt idx="8">
                  <c:v>2024Q1 </c:v>
                </c:pt>
                <c:pt idx="9">
                  <c:v>2024Q2 </c:v>
                </c:pt>
              </c:strCache>
            </c:strRef>
          </c:cat>
          <c:val>
            <c:numRef>
              <c:f>Sheet1!$X$16:$X$25</c:f>
              <c:numCache>
                <c:formatCode>_-* #,##0_-;\-* #,##0_-;_-* "-"??_-;_-@_-</c:formatCode>
                <c:ptCount val="10"/>
                <c:pt idx="0">
                  <c:v>13.5801159325238</c:v>
                </c:pt>
                <c:pt idx="1">
                  <c:v>325.02542082167935</c:v>
                </c:pt>
                <c:pt idx="2">
                  <c:v>904.72956983680513</c:v>
                </c:pt>
                <c:pt idx="3">
                  <c:v>1255.5689183096608</c:v>
                </c:pt>
                <c:pt idx="4">
                  <c:v>301.58736407432383</c:v>
                </c:pt>
                <c:pt idx="5">
                  <c:v>546.86499557757998</c:v>
                </c:pt>
                <c:pt idx="6">
                  <c:v>208.58966365401247</c:v>
                </c:pt>
                <c:pt idx="7">
                  <c:v>686.35257191499852</c:v>
                </c:pt>
                <c:pt idx="8">
                  <c:v>445.281958727156</c:v>
                </c:pt>
                <c:pt idx="9">
                  <c:v>556.06147905788453</c:v>
                </c:pt>
              </c:numCache>
            </c:numRef>
          </c:val>
          <c:smooth val="0"/>
          <c:extLst>
            <c:ext xmlns:c16="http://schemas.microsoft.com/office/drawing/2014/chart" uri="{C3380CC4-5D6E-409C-BE32-E72D297353CC}">
              <c16:uniqueId val="{00000006-75EA-4F92-8526-9A2CB5B2F3F4}"/>
            </c:ext>
          </c:extLst>
        </c:ser>
        <c:ser>
          <c:idx val="7"/>
          <c:order val="7"/>
          <c:tx>
            <c:strRef>
              <c:f>Sheet1!$Y$14:$Y$15</c:f>
              <c:strCache>
                <c:ptCount val="1"/>
                <c:pt idx="0">
                  <c:v>WA</c:v>
                </c:pt>
              </c:strCache>
            </c:strRef>
          </c:tx>
          <c:spPr>
            <a:ln w="28575" cap="rnd">
              <a:solidFill>
                <a:schemeClr val="accent2">
                  <a:lumMod val="60000"/>
                </a:schemeClr>
              </a:solidFill>
              <a:round/>
            </a:ln>
            <a:effectLst/>
          </c:spPr>
          <c:marker>
            <c:symbol val="none"/>
          </c:marker>
          <c:cat>
            <c:strRef>
              <c:f>Sheet1!$Q$16:$Q$25</c:f>
              <c:strCache>
                <c:ptCount val="10"/>
                <c:pt idx="0">
                  <c:v>2022Q1 </c:v>
                </c:pt>
                <c:pt idx="1">
                  <c:v>2022Q2 </c:v>
                </c:pt>
                <c:pt idx="2">
                  <c:v>2022Q3 </c:v>
                </c:pt>
                <c:pt idx="3">
                  <c:v>2022Q4 </c:v>
                </c:pt>
                <c:pt idx="4">
                  <c:v>2023Q1 </c:v>
                </c:pt>
                <c:pt idx="5">
                  <c:v>2023Q2 </c:v>
                </c:pt>
                <c:pt idx="6">
                  <c:v>2023Q3 </c:v>
                </c:pt>
                <c:pt idx="7">
                  <c:v>2023Q4 </c:v>
                </c:pt>
                <c:pt idx="8">
                  <c:v>2024Q1 </c:v>
                </c:pt>
                <c:pt idx="9">
                  <c:v>2024Q2 </c:v>
                </c:pt>
              </c:strCache>
            </c:strRef>
          </c:cat>
          <c:val>
            <c:numRef>
              <c:f>Sheet1!$Y$16:$Y$25</c:f>
              <c:numCache>
                <c:formatCode>_-* #,##0_-;\-* #,##0_-;_-* "-"??_-;_-@_-</c:formatCode>
                <c:ptCount val="10"/>
                <c:pt idx="0">
                  <c:v>22.520338243357667</c:v>
                </c:pt>
                <c:pt idx="1">
                  <c:v>297.46894122010013</c:v>
                </c:pt>
                <c:pt idx="2">
                  <c:v>719.11992149707112</c:v>
                </c:pt>
                <c:pt idx="3">
                  <c:v>1046.9942367707692</c:v>
                </c:pt>
                <c:pt idx="4">
                  <c:v>316.14426560444116</c:v>
                </c:pt>
                <c:pt idx="5">
                  <c:v>503.39430439430305</c:v>
                </c:pt>
                <c:pt idx="6">
                  <c:v>160.90592201924767</c:v>
                </c:pt>
                <c:pt idx="7">
                  <c:v>558.48535155649859</c:v>
                </c:pt>
                <c:pt idx="8">
                  <c:v>368.94359662283824</c:v>
                </c:pt>
                <c:pt idx="9">
                  <c:v>485.61844252688394</c:v>
                </c:pt>
              </c:numCache>
            </c:numRef>
          </c:val>
          <c:smooth val="0"/>
          <c:extLst>
            <c:ext xmlns:c16="http://schemas.microsoft.com/office/drawing/2014/chart" uri="{C3380CC4-5D6E-409C-BE32-E72D297353CC}">
              <c16:uniqueId val="{00000007-75EA-4F92-8526-9A2CB5B2F3F4}"/>
            </c:ext>
          </c:extLst>
        </c:ser>
        <c:dLbls>
          <c:showLegendKey val="0"/>
          <c:showVal val="0"/>
          <c:showCatName val="0"/>
          <c:showSerName val="0"/>
          <c:showPercent val="0"/>
          <c:showBubbleSize val="0"/>
        </c:dLbls>
        <c:smooth val="0"/>
        <c:axId val="998429176"/>
        <c:axId val="998425936"/>
      </c:lineChart>
      <c:catAx>
        <c:axId val="998429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425936"/>
        <c:crosses val="autoZero"/>
        <c:auto val="1"/>
        <c:lblAlgn val="ctr"/>
        <c:lblOffset val="100"/>
        <c:noMultiLvlLbl val="0"/>
      </c:catAx>
      <c:valAx>
        <c:axId val="998425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 per age  standardised 100,000 population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429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F82B-27DE-4369-A0C3-FBA3FE91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6146</Words>
  <Characters>35034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2025-02-21T03:40:00Z</dcterms:created>
  <dcterms:modified xsi:type="dcterms:W3CDTF">2025-03-03T01:44:00Z</dcterms:modified>
</cp:coreProperties>
</file>