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C130" w14:textId="57970992" w:rsidR="00832324" w:rsidRDefault="006B55B6" w:rsidP="00F73113">
      <w:pPr>
        <w:pStyle w:val="Title"/>
      </w:pPr>
      <w:bookmarkStart w:id="0" w:name="_Hlk191624448"/>
      <w:r>
        <w:t xml:space="preserve">Utilisation analysis of </w:t>
      </w:r>
      <w:r w:rsidR="00E32ED5">
        <w:t>dasatinib</w:t>
      </w:r>
      <w:r>
        <w:t xml:space="preserve"> and </w:t>
      </w:r>
      <w:r w:rsidR="00E32ED5">
        <w:t>nilotinib</w:t>
      </w:r>
      <w:r>
        <w:t xml:space="preserve"> for </w:t>
      </w:r>
      <w:r w:rsidR="00836415">
        <w:t>c</w:t>
      </w:r>
      <w:r w:rsidR="00965C09">
        <w:t xml:space="preserve">hronic </w:t>
      </w:r>
      <w:r w:rsidR="00836415">
        <w:t>m</w:t>
      </w:r>
      <w:r w:rsidR="00965C09">
        <w:t xml:space="preserve">yeloid </w:t>
      </w:r>
      <w:r w:rsidR="00836415">
        <w:t>l</w:t>
      </w:r>
      <w:r w:rsidR="00965C09">
        <w:t>eukaemia</w:t>
      </w:r>
      <w:r w:rsidR="00E32ED5">
        <w:t xml:space="preserve"> (CML)</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17EB41B6" w:rsidR="009053D3" w:rsidRPr="00F73113" w:rsidRDefault="006B55B6" w:rsidP="00F73113">
      <w:pPr>
        <w:pStyle w:val="Meetingdate"/>
      </w:pPr>
      <w:r>
        <w:t>October</w:t>
      </w:r>
      <w:r w:rsidR="00D151EB" w:rsidRPr="00F73113">
        <w:t xml:space="preserve"> 20</w:t>
      </w:r>
      <w:r>
        <w:t>24</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1F1BD19A" w14:textId="42EBDFE7" w:rsidR="001E74D1" w:rsidRDefault="001E74D1" w:rsidP="001E74D1">
      <w:r>
        <w:t>The PBAC recommended that DUSC conduct a review on the utilisation of dasatinib and nilotinib following a reduction in restriction levels to Authority Required (Telephone) for initial treatment and Authority Required (STREAMLINED) for first and subsequent continuing treatment which was implemented in March 2022.</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56B03A81" w:rsidR="002D144A" w:rsidRDefault="003C7BD0" w:rsidP="00963005">
      <w:pPr>
        <w:pStyle w:val="ListParagraph"/>
        <w:numPr>
          <w:ilvl w:val="0"/>
          <w:numId w:val="4"/>
        </w:numPr>
      </w:pPr>
      <w:r>
        <w:t xml:space="preserve">Imatinib was first listed on the PBS for </w:t>
      </w:r>
      <w:r w:rsidR="00086408">
        <w:t>CML on 1</w:t>
      </w:r>
      <w:r w:rsidR="00086408" w:rsidRPr="00963005">
        <w:rPr>
          <w:vertAlign w:val="superscript"/>
        </w:rPr>
        <w:t>st</w:t>
      </w:r>
      <w:r w:rsidR="00086408">
        <w:t xml:space="preserve"> November 2003.</w:t>
      </w:r>
    </w:p>
    <w:p w14:paraId="77896E54" w14:textId="3080E4A3" w:rsidR="00086408" w:rsidRDefault="00086408" w:rsidP="00963005">
      <w:pPr>
        <w:pStyle w:val="ListParagraph"/>
        <w:numPr>
          <w:ilvl w:val="0"/>
          <w:numId w:val="4"/>
        </w:numPr>
      </w:pPr>
      <w:r>
        <w:t xml:space="preserve">Dasatinib was first listed on the PBS for CML on </w:t>
      </w:r>
      <w:r w:rsidR="007A1783">
        <w:t>1</w:t>
      </w:r>
      <w:r w:rsidR="007A1783" w:rsidRPr="00963005">
        <w:rPr>
          <w:vertAlign w:val="superscript"/>
        </w:rPr>
        <w:t>st</w:t>
      </w:r>
      <w:r w:rsidR="007A1783">
        <w:t xml:space="preserve"> August 2007.</w:t>
      </w:r>
    </w:p>
    <w:p w14:paraId="57F00DAC" w14:textId="07F8899B" w:rsidR="007A1783" w:rsidRDefault="007A1783" w:rsidP="00963005">
      <w:pPr>
        <w:pStyle w:val="ListParagraph"/>
        <w:numPr>
          <w:ilvl w:val="0"/>
          <w:numId w:val="4"/>
        </w:numPr>
      </w:pPr>
      <w:r>
        <w:t>Nilotinib was first listed on the PBS for CML on 1</w:t>
      </w:r>
      <w:r w:rsidRPr="00963005">
        <w:rPr>
          <w:vertAlign w:val="superscript"/>
        </w:rPr>
        <w:t>st</w:t>
      </w:r>
      <w:r>
        <w:t xml:space="preserve"> August 2008.</w:t>
      </w:r>
    </w:p>
    <w:p w14:paraId="406CD4B0" w14:textId="6A3E6103" w:rsidR="007A1783" w:rsidRPr="002D144A" w:rsidRDefault="00963005" w:rsidP="00963005">
      <w:pPr>
        <w:pStyle w:val="ListParagraph"/>
        <w:numPr>
          <w:ilvl w:val="0"/>
          <w:numId w:val="4"/>
        </w:numPr>
      </w:pPr>
      <w:r>
        <w:t>Ponatinib was first listed on the PBS for CML on 1</w:t>
      </w:r>
      <w:r w:rsidRPr="00963005">
        <w:rPr>
          <w:vertAlign w:val="superscript"/>
        </w:rPr>
        <w:t>st</w:t>
      </w:r>
      <w:r>
        <w:t xml:space="preserve"> November 2015.</w:t>
      </w:r>
    </w:p>
    <w:p w14:paraId="526743BB" w14:textId="77777777" w:rsidR="005C6661" w:rsidRDefault="005C6661" w:rsidP="00CF5E22">
      <w:pPr>
        <w:pStyle w:val="Heading3"/>
      </w:pPr>
      <w:r>
        <w:t>Data Source / methodology</w:t>
      </w:r>
    </w:p>
    <w:p w14:paraId="7E5E9953" w14:textId="77777777" w:rsidR="00FC0D14" w:rsidRDefault="00FC0D14" w:rsidP="00FC0D14">
      <w:pPr>
        <w:rPr>
          <w:b/>
          <w:i/>
        </w:rPr>
      </w:pPr>
      <w:r w:rsidRPr="00FC0D14">
        <w:t>PBS dispensing data was extracted from the PBS data maintained by the Department of Health and Aged Care, processed by Services Australia.</w:t>
      </w:r>
    </w:p>
    <w:p w14:paraId="7599E7C1" w14:textId="684A1D9A" w:rsidR="005C6661" w:rsidRDefault="005C6661" w:rsidP="00CF5E22">
      <w:pPr>
        <w:pStyle w:val="Heading3"/>
      </w:pPr>
      <w:r>
        <w:t>Key Findings</w:t>
      </w:r>
    </w:p>
    <w:p w14:paraId="0291AFAB" w14:textId="5971683B" w:rsidR="00BF042B" w:rsidRPr="00591B21" w:rsidRDefault="003F7BA8" w:rsidP="00591B21">
      <w:pPr>
        <w:pStyle w:val="ListParagraph"/>
        <w:numPr>
          <w:ilvl w:val="0"/>
          <w:numId w:val="14"/>
        </w:numPr>
      </w:pPr>
      <w:r>
        <w:t>The utilisation of nilotinib and dasatinib ha</w:t>
      </w:r>
      <w:r w:rsidR="00591B21">
        <w:t>d</w:t>
      </w:r>
      <w:r>
        <w:t xml:space="preserve"> remained </w:t>
      </w:r>
      <w:r w:rsidR="00827F83">
        <w:t>at a similar level</w:t>
      </w:r>
      <w:r>
        <w:t xml:space="preserve"> following the restriction change in 2022 relative to utilisation prior to the change.</w:t>
      </w:r>
    </w:p>
    <w:p w14:paraId="39627427" w14:textId="2B6A5A21" w:rsidR="001C5F52" w:rsidRDefault="001C5F52" w:rsidP="001C5F52">
      <w:pPr>
        <w:pStyle w:val="ListParagraph"/>
        <w:numPr>
          <w:ilvl w:val="0"/>
          <w:numId w:val="13"/>
        </w:numPr>
      </w:pPr>
      <w:r>
        <w:t xml:space="preserve">The majority of patients start on imatinib before moving primarily to dasatinib and less to nilotinib. The number of patients </w:t>
      </w:r>
      <w:r w:rsidR="00836415">
        <w:t>supplied</w:t>
      </w:r>
      <w:r>
        <w:t xml:space="preserve"> third and later line therapy </w:t>
      </w:r>
      <w:r w:rsidR="00A754FF">
        <w:t>are</w:t>
      </w:r>
      <w:r>
        <w:t xml:space="preserve"> small with nilotinib </w:t>
      </w:r>
      <w:r w:rsidR="00690C08">
        <w:t>more commonly supplied than</w:t>
      </w:r>
      <w:r>
        <w:t xml:space="preserve"> dasatinib</w:t>
      </w:r>
      <w:r w:rsidR="00690C08">
        <w:t xml:space="preserve"> in later line</w:t>
      </w:r>
      <w:r w:rsidR="00281524">
        <w:t>s of therapy</w:t>
      </w:r>
      <w:r>
        <w:t xml:space="preserve">. </w:t>
      </w:r>
    </w:p>
    <w:p w14:paraId="5A1A31C3" w14:textId="3952DE99" w:rsidR="00AD20C6" w:rsidRDefault="00AD20C6" w:rsidP="001C5F52">
      <w:pPr>
        <w:pStyle w:val="ListParagraph"/>
        <w:numPr>
          <w:ilvl w:val="0"/>
          <w:numId w:val="13"/>
        </w:numPr>
      </w:pPr>
      <w:r>
        <w:t>Expenditure for 2023 was $79 million which ha</w:t>
      </w:r>
      <w:r w:rsidR="00591B21">
        <w:t>d</w:t>
      </w:r>
      <w:r>
        <w:t xml:space="preserve"> progressively decreased from a peak of approximately $138 million in 2015. </w:t>
      </w:r>
    </w:p>
    <w:p w14:paraId="67E7D880" w14:textId="17AB24C6" w:rsidR="00AD20C6" w:rsidRDefault="00AD20C6" w:rsidP="001C5F52">
      <w:pPr>
        <w:pStyle w:val="ListParagraph"/>
        <w:numPr>
          <w:ilvl w:val="0"/>
          <w:numId w:val="13"/>
        </w:numPr>
      </w:pPr>
      <w:r>
        <w:t>Imatinib ha</w:t>
      </w:r>
      <w:r w:rsidR="00591B21">
        <w:t>d</w:t>
      </w:r>
      <w:r>
        <w:t xml:space="preserve"> resulted in a PBS expenditure of $1 billion for the CML indication since listing in 2003 followed by dasatinib at $543 million and nilotinib at $384 million.</w:t>
      </w:r>
    </w:p>
    <w:p w14:paraId="38B57ECC" w14:textId="0E9F6DAE" w:rsidR="00BB0D1A" w:rsidRPr="00965C09" w:rsidRDefault="00AD20C6" w:rsidP="00965C09">
      <w:pPr>
        <w:pStyle w:val="ListParagraph"/>
        <w:numPr>
          <w:ilvl w:val="0"/>
          <w:numId w:val="13"/>
        </w:numPr>
      </w:pPr>
      <w:r>
        <w:t xml:space="preserve">Imatinib expenditure as at 2023 </w:t>
      </w:r>
      <w:r w:rsidR="00DC1B13">
        <w:t>wa</w:t>
      </w:r>
      <w:r>
        <w:t xml:space="preserve">s </w:t>
      </w:r>
      <w:r w:rsidR="00836415">
        <w:t>lower than</w:t>
      </w:r>
      <w:r>
        <w:t xml:space="preserve"> dasatinib and nilotinib which represent</w:t>
      </w:r>
      <w:r w:rsidR="00591B21">
        <w:t>ed</w:t>
      </w:r>
      <w:r>
        <w:t xml:space="preserve"> the majority of the $79 million expenditure.</w:t>
      </w:r>
      <w:bookmarkEnd w:id="0"/>
      <w:r w:rsidR="00BB0D1A">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4CA2F775" w14:textId="153F6CE1" w:rsidR="00BA7D6E" w:rsidRDefault="00BA7D6E" w:rsidP="00BA7D6E">
      <w:r>
        <w:t>The PBAC recommended that DUSC conduct a review on the utilisation of dasatinib and nilotinib following a reduction in restriction levels to Authority Required (Telephone) for initial treatment and Authority Required (STREAMLINED) for first and subsequent continuing treatment which was implemented in March 2022.</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608E345D" w14:textId="2D580355" w:rsidR="00EE2BBB" w:rsidRDefault="001E1E4B" w:rsidP="00EE2BBB">
      <w:r>
        <w:t xml:space="preserve">Chronic myeloid leukaemia is a </w:t>
      </w:r>
      <w:r w:rsidR="00D14BF1">
        <w:t xml:space="preserve">cancer where the bone marrow produces too many granulocytes </w:t>
      </w:r>
      <w:r w:rsidR="00BD37BD">
        <w:t>which interfere with normal blood cell productio</w:t>
      </w:r>
      <w:r w:rsidR="006F5E1A">
        <w:t>n causing immune dysfunction and anaemia.</w:t>
      </w:r>
      <w:r w:rsidR="00B844AF">
        <w:rPr>
          <w:rStyle w:val="FootnoteReference"/>
        </w:rPr>
        <w:footnoteReference w:id="1"/>
      </w:r>
    </w:p>
    <w:p w14:paraId="6C5D64D3" w14:textId="6ED14CE6" w:rsidR="00282DED" w:rsidRPr="00E53077" w:rsidRDefault="00282DED" w:rsidP="00EE2BBB">
      <w:r>
        <w:t xml:space="preserve">Treatment </w:t>
      </w:r>
      <w:r w:rsidR="00852E91">
        <w:t>is dependant on the health of the person and stage of the disease however</w:t>
      </w:r>
      <w:r w:rsidR="00AC5F7F">
        <w:t xml:space="preserve"> drug therapy primarily consists of </w:t>
      </w:r>
      <w:r w:rsidR="006C4000">
        <w:t>t</w:t>
      </w:r>
      <w:r w:rsidR="00AC5F7F">
        <w:t xml:space="preserve">yrosine </w:t>
      </w:r>
      <w:r w:rsidR="006C4000">
        <w:t>k</w:t>
      </w:r>
      <w:r w:rsidR="00AC5F7F">
        <w:t xml:space="preserve">inase </w:t>
      </w:r>
      <w:r w:rsidR="006C4000">
        <w:t>i</w:t>
      </w:r>
      <w:r w:rsidR="00AC5F7F">
        <w:t>nhibitors (TKIs)</w:t>
      </w:r>
      <w:r w:rsidR="00E53077">
        <w:t>.</w:t>
      </w:r>
      <w:r w:rsidR="00E53077">
        <w:rPr>
          <w:vertAlign w:val="superscript"/>
        </w:rPr>
        <w:t>1</w:t>
      </w:r>
    </w:p>
    <w:p w14:paraId="0183A567" w14:textId="413DF87B" w:rsidR="007247B9" w:rsidRDefault="007247B9" w:rsidP="00CF5E22">
      <w:pPr>
        <w:pStyle w:val="Heading2"/>
      </w:pPr>
      <w:r>
        <w:t>Pharmacology</w:t>
      </w:r>
    </w:p>
    <w:p w14:paraId="36746E45" w14:textId="3FADC1A5" w:rsidR="0016708B" w:rsidRDefault="00134C63" w:rsidP="0016708B">
      <w:r>
        <w:t xml:space="preserve">Imatinib, dasatinib, nilotinib and ponatinib are </w:t>
      </w:r>
      <w:r w:rsidR="006C4000">
        <w:t>t</w:t>
      </w:r>
      <w:r>
        <w:t xml:space="preserve">yrosine </w:t>
      </w:r>
      <w:r w:rsidR="006C4000">
        <w:t>k</w:t>
      </w:r>
      <w:r>
        <w:t xml:space="preserve">inase </w:t>
      </w:r>
      <w:r w:rsidR="006C4000">
        <w:t>i</w:t>
      </w:r>
      <w:r>
        <w:t>nhibitors (TKIs)</w:t>
      </w:r>
      <w:r w:rsidR="00A765DD">
        <w:t xml:space="preserve">. </w:t>
      </w:r>
    </w:p>
    <w:p w14:paraId="3E8039E4" w14:textId="0025F532" w:rsidR="00994CCB" w:rsidRDefault="00A765DD" w:rsidP="0016708B">
      <w:r>
        <w:t xml:space="preserve">Imatinib inhibits the activity of the </w:t>
      </w:r>
      <w:r w:rsidR="00AB31E0">
        <w:t>breakpoint cluster region</w:t>
      </w:r>
      <w:r w:rsidR="00EF19C8">
        <w:t>-Ableson (</w:t>
      </w:r>
      <w:r>
        <w:t>BCR-ABL</w:t>
      </w:r>
      <w:r w:rsidR="00EF19C8">
        <w:t>)</w:t>
      </w:r>
      <w:r>
        <w:t xml:space="preserve"> tyrosine kinase as well as </w:t>
      </w:r>
      <w:r w:rsidR="0016708B">
        <w:t>KIT, the receptor for stem cell factor (SCF) coded for by the KIT proto-oncogene, the discoidin domain receptors, the colony stimulating factor receptor (CSF-1R) and the platelet-derived growth factor receptors alpha and beta (PDGFR-alpha and PDGFR-beta).</w:t>
      </w:r>
      <w:r w:rsidR="00437936">
        <w:rPr>
          <w:rStyle w:val="FootnoteReference"/>
        </w:rPr>
        <w:footnoteReference w:id="2"/>
      </w:r>
      <w:r>
        <w:t xml:space="preserve"> </w:t>
      </w:r>
    </w:p>
    <w:p w14:paraId="05C8F6E2" w14:textId="13E366E1" w:rsidR="00163E83" w:rsidRDefault="00994CCB" w:rsidP="0016708B">
      <w:r>
        <w:t>Dasatinib inhibits the activity of the BCR-ABL kinase and SRC-family kinases at low nanomolar or subnanomolar concentrations. Dasatinib also inhibits a number of other kinases including c-KIT, the EPHA2 receptor and the PDGFβ receptor.</w:t>
      </w:r>
      <w:r w:rsidR="000E0114">
        <w:rPr>
          <w:rStyle w:val="FootnoteReference"/>
        </w:rPr>
        <w:footnoteReference w:id="3"/>
      </w:r>
      <w:r>
        <w:t xml:space="preserve"> </w:t>
      </w:r>
    </w:p>
    <w:p w14:paraId="1C210B5F" w14:textId="31F5963E" w:rsidR="00994CCB" w:rsidRDefault="00832CD9" w:rsidP="0016708B">
      <w:r>
        <w:t>Nilotinib inhibits BCR-ABL tyrosine kinase activity in the nanomolar range by binding to the ATP-binding site.</w:t>
      </w:r>
      <w:r w:rsidR="000E0114">
        <w:rPr>
          <w:rStyle w:val="FootnoteReference"/>
        </w:rPr>
        <w:footnoteReference w:id="4"/>
      </w:r>
    </w:p>
    <w:p w14:paraId="08974C32" w14:textId="1560353B" w:rsidR="00832CD9" w:rsidRPr="007247B9" w:rsidRDefault="008F7ACB" w:rsidP="0016708B">
      <w:r>
        <w:t xml:space="preserve">Ponatinib inhibits the tyrosine kinase activity of BCR-ABL and T315I mutant </w:t>
      </w:r>
      <w:r w:rsidR="005B2AA9">
        <w:t>BCR-</w:t>
      </w:r>
      <w:r>
        <w:t>ABL. Ponatinib inhibits the in vitro activity of other kinases, including RET, FLT3, and KIT and members of the FGFR, PDGFR, VEGFR, EPH and SRC families of kinases</w:t>
      </w:r>
      <w:r w:rsidR="005B2AA9">
        <w:t>.</w:t>
      </w:r>
      <w:r w:rsidR="000E0114">
        <w:rPr>
          <w:rStyle w:val="FootnoteReference"/>
        </w:rPr>
        <w:footnoteReference w:id="5"/>
      </w:r>
    </w:p>
    <w:p w14:paraId="373EE3EB" w14:textId="77777777" w:rsidR="003345D8" w:rsidRDefault="003345D8" w:rsidP="00CF5E22">
      <w:pPr>
        <w:pStyle w:val="Heading2"/>
      </w:pPr>
    </w:p>
    <w:p w14:paraId="6AC18C88" w14:textId="1FA926B6" w:rsidR="001420B3" w:rsidRPr="005E22C2" w:rsidRDefault="00A52918" w:rsidP="00CF5E22">
      <w:pPr>
        <w:pStyle w:val="Heading2"/>
      </w:pPr>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72F46AD1" w14:textId="73301744" w:rsidR="00591B21" w:rsidRDefault="00591B21" w:rsidP="00A35800">
      <w:r>
        <w:t xml:space="preserve">Following </w:t>
      </w:r>
      <w:r w:rsidR="005A334A">
        <w:t>we</w:t>
      </w:r>
      <w:r>
        <w:t>re the approved indications for imatinib, dasatinib and nilotinib at the time of reporting.</w:t>
      </w:r>
    </w:p>
    <w:p w14:paraId="1E393897" w14:textId="6FB160FF" w:rsidR="001420B3" w:rsidRDefault="00D91862" w:rsidP="00A35800">
      <w:r>
        <w:t>Imatinib:</w:t>
      </w:r>
    </w:p>
    <w:p w14:paraId="1A882A6F" w14:textId="7A34C62B" w:rsidR="00E87DC7" w:rsidRDefault="00E87DC7" w:rsidP="009252CF">
      <w:pPr>
        <w:pStyle w:val="ListParagraph"/>
        <w:numPr>
          <w:ilvl w:val="0"/>
          <w:numId w:val="7"/>
        </w:numPr>
      </w:pPr>
      <w:r>
        <w:t>treatment of patients with CML</w:t>
      </w:r>
      <w:r w:rsidR="0050436F">
        <w:t>.</w:t>
      </w:r>
    </w:p>
    <w:p w14:paraId="4AAE2F6D" w14:textId="20D4F7CE" w:rsidR="00E87DC7" w:rsidRDefault="00E87DC7" w:rsidP="000960D5">
      <w:pPr>
        <w:pStyle w:val="ListParagraph"/>
        <w:numPr>
          <w:ilvl w:val="0"/>
          <w:numId w:val="7"/>
        </w:numPr>
      </w:pPr>
      <w:r>
        <w:t>treatment of adult and paediatric patients with newly diagnosed Philadelphia</w:t>
      </w:r>
      <w:r w:rsidR="000960D5">
        <w:t xml:space="preserve"> </w:t>
      </w:r>
      <w:r>
        <w:t>chromosome positive acute lymphoblastic leukaemia (Ph+ ALL) integrated with</w:t>
      </w:r>
      <w:r w:rsidR="000960D5">
        <w:t xml:space="preserve"> </w:t>
      </w:r>
      <w:r>
        <w:t>chemotherapy</w:t>
      </w:r>
      <w:r w:rsidR="0050436F">
        <w:t>.</w:t>
      </w:r>
    </w:p>
    <w:p w14:paraId="175E3F12" w14:textId="25334AB1" w:rsidR="00E87DC7" w:rsidRDefault="00E87DC7" w:rsidP="009252CF">
      <w:pPr>
        <w:pStyle w:val="ListParagraph"/>
        <w:numPr>
          <w:ilvl w:val="0"/>
          <w:numId w:val="7"/>
        </w:numPr>
      </w:pPr>
      <w:r>
        <w:t>treatment of adult patients with relapsed or refractory Ph+ ALL as monotherapy</w:t>
      </w:r>
      <w:r w:rsidR="0050436F">
        <w:t>.</w:t>
      </w:r>
    </w:p>
    <w:p w14:paraId="26CA95F2" w14:textId="163FD684" w:rsidR="00E87DC7" w:rsidRDefault="00E87DC7" w:rsidP="000960D5">
      <w:pPr>
        <w:pStyle w:val="ListParagraph"/>
        <w:numPr>
          <w:ilvl w:val="0"/>
          <w:numId w:val="7"/>
        </w:numPr>
      </w:pPr>
      <w:r>
        <w:t>treatment of adult patients with myelodysplastic/myeloproliferative diseases</w:t>
      </w:r>
      <w:r w:rsidR="0050436F">
        <w:t>.</w:t>
      </w:r>
      <w:r w:rsidR="000960D5">
        <w:t xml:space="preserve"> </w:t>
      </w:r>
      <w:r>
        <w:t>(MDS/MPD) associated with platelet-derived growth factor receptor (PDGFR) gene rearrangements, where conventional therapies have failed</w:t>
      </w:r>
      <w:r w:rsidR="0050436F">
        <w:t>.</w:t>
      </w:r>
    </w:p>
    <w:p w14:paraId="7559AF8D" w14:textId="2A154711" w:rsidR="00E87DC7" w:rsidRDefault="00E87DC7" w:rsidP="000960D5">
      <w:pPr>
        <w:pStyle w:val="ListParagraph"/>
        <w:numPr>
          <w:ilvl w:val="0"/>
          <w:numId w:val="7"/>
        </w:numPr>
      </w:pPr>
      <w:r>
        <w:t>treatment of adult patients with aggressive systemic mastocytosis (ASM), where</w:t>
      </w:r>
      <w:r w:rsidR="000960D5">
        <w:t xml:space="preserve"> </w:t>
      </w:r>
      <w:r>
        <w:t>conventional therapies have failed</w:t>
      </w:r>
      <w:r w:rsidR="0050436F">
        <w:t>.</w:t>
      </w:r>
    </w:p>
    <w:p w14:paraId="70AABB11" w14:textId="0D542B19" w:rsidR="00E87DC7" w:rsidRDefault="00E87DC7" w:rsidP="000960D5">
      <w:pPr>
        <w:pStyle w:val="ListParagraph"/>
        <w:numPr>
          <w:ilvl w:val="0"/>
          <w:numId w:val="7"/>
        </w:numPr>
      </w:pPr>
      <w:r>
        <w:t>treatment of adult patients with hypereosinophilic syndrome (HES) and/or chronic</w:t>
      </w:r>
      <w:r w:rsidR="000960D5">
        <w:t xml:space="preserve"> </w:t>
      </w:r>
      <w:r>
        <w:t>eosinophilic leukaemia (CEL)</w:t>
      </w:r>
      <w:r w:rsidR="0050436F">
        <w:t>.</w:t>
      </w:r>
    </w:p>
    <w:p w14:paraId="41E7D520" w14:textId="71062257" w:rsidR="00E87DC7" w:rsidRDefault="00E87DC7" w:rsidP="000960D5">
      <w:pPr>
        <w:pStyle w:val="ListParagraph"/>
        <w:numPr>
          <w:ilvl w:val="0"/>
          <w:numId w:val="7"/>
        </w:numPr>
      </w:pPr>
      <w:r>
        <w:t>treatment of patients with KIT (CD117) positive unresectable and/or metastatic</w:t>
      </w:r>
      <w:r w:rsidR="000960D5">
        <w:t xml:space="preserve"> </w:t>
      </w:r>
      <w:r>
        <w:t>malignant gastrointestinal stromal tumours (GIST)</w:t>
      </w:r>
      <w:r w:rsidR="0050436F">
        <w:t>.</w:t>
      </w:r>
    </w:p>
    <w:p w14:paraId="75E80B2E" w14:textId="13604FA8" w:rsidR="00E87DC7" w:rsidRDefault="00E87DC7" w:rsidP="009252CF">
      <w:pPr>
        <w:pStyle w:val="ListParagraph"/>
        <w:numPr>
          <w:ilvl w:val="0"/>
          <w:numId w:val="7"/>
        </w:numPr>
      </w:pPr>
      <w:r>
        <w:t>adjuvant treatment of adult patients at high risk of recurrence following complete gross</w:t>
      </w:r>
      <w:r w:rsidR="0050436F">
        <w:t>.</w:t>
      </w:r>
    </w:p>
    <w:p w14:paraId="7EE48A7E" w14:textId="70DC90CF" w:rsidR="00E87DC7" w:rsidRDefault="00E87DC7" w:rsidP="000960D5">
      <w:pPr>
        <w:pStyle w:val="ListParagraph"/>
        <w:numPr>
          <w:ilvl w:val="0"/>
          <w:numId w:val="7"/>
        </w:numPr>
      </w:pPr>
      <w:r>
        <w:t>resection of KIT (CD117)-positive primary GIST</w:t>
      </w:r>
      <w:r w:rsidR="0050436F">
        <w:t>.</w:t>
      </w:r>
      <w:r>
        <w:t xml:space="preserve"> </w:t>
      </w:r>
    </w:p>
    <w:p w14:paraId="0064EAFC" w14:textId="6CCBA90B" w:rsidR="00D91862" w:rsidRDefault="00E87DC7" w:rsidP="000960D5">
      <w:pPr>
        <w:pStyle w:val="ListParagraph"/>
        <w:numPr>
          <w:ilvl w:val="0"/>
          <w:numId w:val="7"/>
        </w:numPr>
      </w:pPr>
      <w:r>
        <w:t>treatment of adult patients with unresectable, recurrent and/or metastatic</w:t>
      </w:r>
      <w:r w:rsidR="000960D5">
        <w:t xml:space="preserve"> </w:t>
      </w:r>
      <w:r>
        <w:t>dermatofibrosarcoma protuberans (DFSP).</w:t>
      </w:r>
    </w:p>
    <w:p w14:paraId="7A6F9894" w14:textId="02E31292" w:rsidR="000960D5" w:rsidRDefault="00F64DC3" w:rsidP="000960D5">
      <w:r>
        <w:t>Dasatinib:</w:t>
      </w:r>
    </w:p>
    <w:p w14:paraId="7B1C01F6" w14:textId="6A9192AF" w:rsidR="00F64DC3" w:rsidRDefault="00F64DC3" w:rsidP="00F64DC3">
      <w:pPr>
        <w:pStyle w:val="ListParagraph"/>
        <w:numPr>
          <w:ilvl w:val="0"/>
          <w:numId w:val="8"/>
        </w:numPr>
      </w:pPr>
      <w:r>
        <w:t>newly diagnosed Philadelphia chromosome positive (Ph+) chronic myeloid leukaemia in the chronic phase.</w:t>
      </w:r>
    </w:p>
    <w:p w14:paraId="787733E6" w14:textId="5DC94AD8" w:rsidR="00F64DC3" w:rsidRDefault="00F64DC3" w:rsidP="00F64DC3">
      <w:pPr>
        <w:pStyle w:val="ListParagraph"/>
        <w:numPr>
          <w:ilvl w:val="0"/>
          <w:numId w:val="8"/>
        </w:numPr>
      </w:pPr>
      <w:r>
        <w:t>chronic, accelerated or myeloid or lymphoid blast phase chronic myeloid leukaemia with resistance or intolerance to prior therapy including imatinib.</w:t>
      </w:r>
    </w:p>
    <w:p w14:paraId="26C3D318" w14:textId="5F95558D" w:rsidR="00F64DC3" w:rsidRDefault="00F64DC3" w:rsidP="00F64DC3">
      <w:pPr>
        <w:pStyle w:val="ListParagraph"/>
        <w:numPr>
          <w:ilvl w:val="0"/>
          <w:numId w:val="8"/>
        </w:numPr>
      </w:pPr>
      <w:r>
        <w:t>newly diagnosed Philadelphia chromosome positive acute lymphoblastic leukaemia integrated with chemotherapy.</w:t>
      </w:r>
    </w:p>
    <w:p w14:paraId="32C1EA8F" w14:textId="52334B47" w:rsidR="00F64DC3" w:rsidRDefault="00F64DC3" w:rsidP="00F64DC3">
      <w:pPr>
        <w:pStyle w:val="ListParagraph"/>
        <w:numPr>
          <w:ilvl w:val="0"/>
          <w:numId w:val="8"/>
        </w:numPr>
      </w:pPr>
      <w:r>
        <w:t>Philadelphia chromosome positive acute lymphoblastic leukaemia with resistance or intolerance to prior therapy.</w:t>
      </w:r>
    </w:p>
    <w:p w14:paraId="4EE8AD1D" w14:textId="5C4C2F4C" w:rsidR="003719CC" w:rsidRDefault="003719CC" w:rsidP="003719CC">
      <w:r>
        <w:t>Nilotinib:</w:t>
      </w:r>
    </w:p>
    <w:p w14:paraId="7077E1EA" w14:textId="7791941E" w:rsidR="003719CC" w:rsidRDefault="003719CC" w:rsidP="009201EA">
      <w:pPr>
        <w:pStyle w:val="ListParagraph"/>
        <w:numPr>
          <w:ilvl w:val="0"/>
          <w:numId w:val="9"/>
        </w:numPr>
      </w:pPr>
      <w:r>
        <w:t>treatment of adult patients with newly diagnosed Philadelphia chromosome positive</w:t>
      </w:r>
      <w:r w:rsidR="009201EA">
        <w:t xml:space="preserve"> </w:t>
      </w:r>
      <w:r>
        <w:t>CML in chronic phase.</w:t>
      </w:r>
    </w:p>
    <w:p w14:paraId="2B234661" w14:textId="043B75AA" w:rsidR="0050436F" w:rsidRDefault="003719CC" w:rsidP="0065117B">
      <w:pPr>
        <w:pStyle w:val="ListParagraph"/>
        <w:numPr>
          <w:ilvl w:val="0"/>
          <w:numId w:val="9"/>
        </w:numPr>
      </w:pPr>
      <w:r>
        <w:t>treatment of adults with chronic phase and accelerated phase Philadelphia chromosome</w:t>
      </w:r>
      <w:r w:rsidR="009201EA">
        <w:t xml:space="preserve"> </w:t>
      </w:r>
      <w:r>
        <w:t>positive CML resistant to or intolerant of prior therapy</w:t>
      </w:r>
      <w:r w:rsidR="009201EA">
        <w:t xml:space="preserve"> </w:t>
      </w:r>
      <w:r>
        <w:t>including imatinib.</w:t>
      </w:r>
      <w:r>
        <w:cr/>
      </w:r>
    </w:p>
    <w:p w14:paraId="217B7E53" w14:textId="77777777" w:rsidR="0050436F" w:rsidRDefault="0050436F" w:rsidP="0050436F">
      <w:pPr>
        <w:ind w:left="360"/>
      </w:pPr>
    </w:p>
    <w:p w14:paraId="26777708" w14:textId="77777777" w:rsidR="0050436F" w:rsidRDefault="0050436F" w:rsidP="0050436F">
      <w:pPr>
        <w:ind w:left="360"/>
      </w:pPr>
    </w:p>
    <w:p w14:paraId="34A864B9" w14:textId="19A9E9B5" w:rsidR="009252CF" w:rsidRDefault="0003568B" w:rsidP="0050436F">
      <w:pPr>
        <w:ind w:left="360"/>
      </w:pPr>
      <w:r>
        <w:t>Ponatinib is approved for the following indications:</w:t>
      </w:r>
    </w:p>
    <w:p w14:paraId="1DAD11BE" w14:textId="53927267" w:rsidR="00340239" w:rsidRDefault="00340239" w:rsidP="00340239">
      <w:pPr>
        <w:pStyle w:val="ListParagraph"/>
        <w:numPr>
          <w:ilvl w:val="0"/>
          <w:numId w:val="10"/>
        </w:numPr>
      </w:pPr>
      <w:r>
        <w:t>Chronic phase (CP), accelerated phase (AP), or blast phase (BP) CML</w:t>
      </w:r>
      <w:r w:rsidR="007D24C6">
        <w:t xml:space="preserve"> </w:t>
      </w:r>
      <w:r>
        <w:t>whose disease is resistant to, or who are intolerant of at least two prior tyrosine kinase inhibitors; or where there is a T315I mutation.</w:t>
      </w:r>
    </w:p>
    <w:p w14:paraId="653FC6A5" w14:textId="70CCDAB4" w:rsidR="0003568B" w:rsidRDefault="00340239" w:rsidP="00340239">
      <w:pPr>
        <w:pStyle w:val="ListParagraph"/>
        <w:numPr>
          <w:ilvl w:val="0"/>
          <w:numId w:val="10"/>
        </w:numPr>
      </w:pPr>
      <w:r>
        <w:t>Philadelphia chromosome positive acute lymphoblastic Ieukaemia (Ph+ ALL) whose disease is resistant to, or who are intolerant of dasatinib and for whom subsequent treatment with imatinib is not clinically appropriate; or where there is a T315I mutation.</w:t>
      </w:r>
    </w:p>
    <w:p w14:paraId="08559CD9" w14:textId="12BF61B6" w:rsidR="00A35800" w:rsidRPr="00EB5D00" w:rsidRDefault="006B709B" w:rsidP="00EB5D00">
      <w:pPr>
        <w:pStyle w:val="Heading2"/>
      </w:pPr>
      <w:r>
        <w:t>Dosage and administration</w:t>
      </w:r>
    </w:p>
    <w:p w14:paraId="6682A05C" w14:textId="67992A5E" w:rsidR="00F17D4B" w:rsidRPr="002F61CA" w:rsidRDefault="00EB5D00" w:rsidP="00F17D4B">
      <w:r>
        <w:t>Dos</w:t>
      </w:r>
      <w:r w:rsidR="008C3656">
        <w:t xml:space="preserve">age varies between products based on </w:t>
      </w:r>
      <w:r w:rsidR="007016F1">
        <w:t xml:space="preserve">the </w:t>
      </w:r>
      <w:r w:rsidR="008C3656">
        <w:t xml:space="preserve">indication. </w:t>
      </w:r>
      <w:r w:rsidR="00F17D4B" w:rsidRPr="002F61CA">
        <w:t>The Product Information (PI) and Consumer Medicine Information (CMI)</w:t>
      </w:r>
      <w:r w:rsidR="008C3656">
        <w:t xml:space="preserve"> </w:t>
      </w:r>
      <w:r w:rsidR="00F17D4B" w:rsidRPr="002F61CA">
        <w:t xml:space="preserve">available from </w:t>
      </w:r>
      <w:hyperlink r:id="rId8" w:history="1">
        <w:r w:rsidR="00F17D4B">
          <w:rPr>
            <w:rStyle w:val="Hyperlink"/>
          </w:rPr>
          <w:t>the TGA (Product Information)</w:t>
        </w:r>
      </w:hyperlink>
      <w:r w:rsidR="00F17D4B">
        <w:t xml:space="preserve"> and </w:t>
      </w:r>
      <w:hyperlink r:id="rId9" w:history="1">
        <w:r w:rsidR="00F17D4B">
          <w:rPr>
            <w:rStyle w:val="Hyperlink"/>
          </w:rPr>
          <w:t>the TGA (Consumer Medicines Information)</w:t>
        </w:r>
      </w:hyperlink>
      <w:r w:rsidR="00EA2352">
        <w:t xml:space="preserve"> </w:t>
      </w:r>
      <w:r w:rsidR="00EA2352">
        <w:t xml:space="preserve">contain </w:t>
      </w:r>
      <w:r w:rsidR="00EA2352">
        <w:t xml:space="preserve">the </w:t>
      </w:r>
      <w:r w:rsidR="00EA2352">
        <w:t>dosage information</w:t>
      </w:r>
      <w:r w:rsidR="00EA2352">
        <w:t>.</w:t>
      </w:r>
    </w:p>
    <w:p w14:paraId="46E2BB42" w14:textId="507E33B4" w:rsidR="00DF0B13" w:rsidRPr="007247B9" w:rsidDel="00EE2BBB" w:rsidRDefault="00DF0B13" w:rsidP="00CF5E22">
      <w:pPr>
        <w:pStyle w:val="Heading2"/>
      </w:pPr>
      <w:r w:rsidRPr="007247B9" w:rsidDel="00EE2BBB">
        <w:t>PBS listing details</w:t>
      </w:r>
      <w:r w:rsidR="00D151EB" w:rsidDel="00EE2BBB">
        <w:t xml:space="preserve"> </w:t>
      </w:r>
    </w:p>
    <w:p w14:paraId="1183F151" w14:textId="0E7DE0AC" w:rsidR="007247B9" w:rsidRPr="00A35800" w:rsidDel="00EE2BBB" w:rsidRDefault="00DF0B13" w:rsidP="00B63269">
      <w:r w:rsidRPr="00812455" w:rsidDel="00EE2BBB">
        <w:t>Details of the PBS listing</w:t>
      </w:r>
      <w:r w:rsidR="00812455" w:rsidRPr="00812455">
        <w:t>s</w:t>
      </w:r>
      <w:r w:rsidRPr="00812455" w:rsidDel="00EE2BBB">
        <w:t xml:space="preserve"> </w:t>
      </w:r>
      <w:r w:rsidR="00B63269" w:rsidRPr="00812455">
        <w:t xml:space="preserve">are available from the </w:t>
      </w:r>
      <w:hyperlink r:id="rId10" w:anchor="l01ea" w:history="1">
        <w:r w:rsidR="00B63269" w:rsidRPr="00812455">
          <w:rPr>
            <w:rStyle w:val="Hyperlink"/>
          </w:rPr>
          <w:t>PBS Website</w:t>
        </w:r>
      </w:hyperlink>
      <w:r w:rsidR="00B63269" w:rsidRPr="00812455">
        <w:t>.</w:t>
      </w:r>
    </w:p>
    <w:p w14:paraId="509ADFEB" w14:textId="201634E9" w:rsidR="009C35F2" w:rsidRDefault="009C35F2" w:rsidP="00CF5E22">
      <w:pPr>
        <w:pStyle w:val="Heading3"/>
      </w:pPr>
      <w:r w:rsidRPr="00675BB1" w:rsidDel="00EE2BBB">
        <w:t>Date of listing on PBS</w:t>
      </w:r>
    </w:p>
    <w:p w14:paraId="7DCD127B" w14:textId="2AFD3421" w:rsidR="00B63269" w:rsidRDefault="00B63269" w:rsidP="00B63269">
      <w:pPr>
        <w:pStyle w:val="ListParagraph"/>
        <w:numPr>
          <w:ilvl w:val="0"/>
          <w:numId w:val="4"/>
        </w:numPr>
      </w:pPr>
      <w:r>
        <w:t>Imatinib was first listed on the PBS for CML on 1</w:t>
      </w:r>
      <w:r w:rsidRPr="00963005">
        <w:rPr>
          <w:vertAlign w:val="superscript"/>
        </w:rPr>
        <w:t>st</w:t>
      </w:r>
      <w:r>
        <w:t xml:space="preserve"> November 2003.</w:t>
      </w:r>
    </w:p>
    <w:p w14:paraId="3F4B01CE" w14:textId="77777777" w:rsidR="00B63269" w:rsidRDefault="00B63269" w:rsidP="00B63269">
      <w:pPr>
        <w:pStyle w:val="ListParagraph"/>
        <w:numPr>
          <w:ilvl w:val="0"/>
          <w:numId w:val="4"/>
        </w:numPr>
      </w:pPr>
      <w:r>
        <w:t>Dasatinib was first listed on the PBS for CML on 1</w:t>
      </w:r>
      <w:r w:rsidRPr="00963005">
        <w:rPr>
          <w:vertAlign w:val="superscript"/>
        </w:rPr>
        <w:t>st</w:t>
      </w:r>
      <w:r>
        <w:t xml:space="preserve"> August 2007.</w:t>
      </w:r>
    </w:p>
    <w:p w14:paraId="3B90FEE6" w14:textId="77777777" w:rsidR="00B63269" w:rsidRDefault="00B63269" w:rsidP="00B63269">
      <w:pPr>
        <w:pStyle w:val="ListParagraph"/>
        <w:numPr>
          <w:ilvl w:val="0"/>
          <w:numId w:val="4"/>
        </w:numPr>
      </w:pPr>
      <w:r>
        <w:t>Nilotinib was first listed on the PBS for CML on 1</w:t>
      </w:r>
      <w:r w:rsidRPr="00963005">
        <w:rPr>
          <w:vertAlign w:val="superscript"/>
        </w:rPr>
        <w:t>st</w:t>
      </w:r>
      <w:r>
        <w:t xml:space="preserve"> August 2008.</w:t>
      </w:r>
    </w:p>
    <w:p w14:paraId="448F86D6" w14:textId="77777777" w:rsidR="00B63269" w:rsidRPr="002D144A" w:rsidRDefault="00B63269" w:rsidP="00B63269">
      <w:pPr>
        <w:pStyle w:val="ListParagraph"/>
        <w:numPr>
          <w:ilvl w:val="0"/>
          <w:numId w:val="4"/>
        </w:numPr>
      </w:pPr>
      <w:r>
        <w:t>Ponatinib was first listed on the PBS for CML on 1</w:t>
      </w:r>
      <w:r w:rsidRPr="00963005">
        <w:rPr>
          <w:vertAlign w:val="superscript"/>
        </w:rPr>
        <w:t>st</w:t>
      </w:r>
      <w:r>
        <w:t xml:space="preserve"> November 2015.</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79C343AF" w14:textId="39D39534" w:rsidR="009C6DDD" w:rsidRDefault="009C6DDD" w:rsidP="009C6DDD">
      <w:r>
        <w:t>The PBAC considered the written authority level of the following medicines for CML: dasatinib, imatinib, nilotinib, ponatinib as part of the Review of the PBS Authority Required (Written) listings: Tranche 1 (The Review).</w:t>
      </w:r>
    </w:p>
    <w:p w14:paraId="53088C94" w14:textId="77777777" w:rsidR="009C6DDD" w:rsidRDefault="009C6DDD" w:rsidP="00661A6A">
      <w:pPr>
        <w:pStyle w:val="ListParagraph"/>
        <w:numPr>
          <w:ilvl w:val="0"/>
          <w:numId w:val="11"/>
        </w:numPr>
      </w:pPr>
      <w:r>
        <w:t>The PBAC recalled that its recommendation for Authority Required (Written) authorisation for initial therapy for dasatinib was due to the safety of the medicine. For dasatinib and nilotinib, comparative effectiveness in imatinib treatment resistant patients was of concern. For ponatinib, the PBAC recalled it was concerned with risk of leakage outside the proposed indication.</w:t>
      </w:r>
    </w:p>
    <w:p w14:paraId="0A05FB49" w14:textId="77777777" w:rsidR="009C6DDD" w:rsidRDefault="009C6DDD" w:rsidP="00661A6A">
      <w:pPr>
        <w:pStyle w:val="ListParagraph"/>
        <w:numPr>
          <w:ilvl w:val="0"/>
          <w:numId w:val="11"/>
        </w:numPr>
      </w:pPr>
      <w:r>
        <w:t>The PBAC acknowledged the administrative burden for CML was one of the highest of the Tranche 1 indications, with over 3,000 written authorisations granted in the 2019-20 financial year.</w:t>
      </w:r>
    </w:p>
    <w:p w14:paraId="2285DA1E" w14:textId="30AE6BEB" w:rsidR="009C6DDD" w:rsidRDefault="009C6DDD" w:rsidP="00661A6A">
      <w:pPr>
        <w:pStyle w:val="ListParagraph"/>
        <w:numPr>
          <w:ilvl w:val="0"/>
          <w:numId w:val="11"/>
        </w:numPr>
      </w:pPr>
      <w:r>
        <w:t xml:space="preserve">The PBAC noted that the market for CML was growing. This growth </w:t>
      </w:r>
      <w:r w:rsidR="009B6843">
        <w:t>wa</w:t>
      </w:r>
      <w:r>
        <w:t xml:space="preserve">s due to improved sensitivity of molecular diagnostic testing and emerging new clinical </w:t>
      </w:r>
      <w:r>
        <w:lastRenderedPageBreak/>
        <w:t>evidence to suggest patients should be molecular negative for five years, rather than three to four years, prolonging time on TKI therapy. Further, the overall survival rates of newly diagnosed patients with CML has improved significantly.</w:t>
      </w:r>
    </w:p>
    <w:p w14:paraId="040D6607" w14:textId="77777777" w:rsidR="009C6DDD" w:rsidRDefault="009C6DDD" w:rsidP="00661A6A">
      <w:pPr>
        <w:pStyle w:val="ListParagraph"/>
        <w:numPr>
          <w:ilvl w:val="0"/>
          <w:numId w:val="11"/>
        </w:numPr>
      </w:pPr>
      <w:r>
        <w:t>Overall, PBS expenditure on CML was declining, reflecting imatinib-associated price reductions. The PBAC noted that in 2018-19, imatinib patient numbers increased by 11%, coinciding with the September 2019 reduction in restriction level. The PBAC were concerned that a similar increase in utilisation may occur if the dasatinib and nilotinib restrictions were revised, along with a concurrent increase in expenditure (i.e. without an associated price reduction).</w:t>
      </w:r>
    </w:p>
    <w:p w14:paraId="110FC5B4" w14:textId="510745A7" w:rsidR="009C6DDD" w:rsidRDefault="009C6DDD" w:rsidP="00661A6A">
      <w:pPr>
        <w:pStyle w:val="ListParagraph"/>
        <w:numPr>
          <w:ilvl w:val="0"/>
          <w:numId w:val="11"/>
        </w:numPr>
      </w:pPr>
      <w:r>
        <w:t xml:space="preserve">The PBAC noted nilotinib and ponatinib utilisation </w:t>
      </w:r>
      <w:r w:rsidR="007D5C97">
        <w:t>wa</w:t>
      </w:r>
      <w:r>
        <w:t>s stable while dasatinib usage increased by 10% over 2018-20.</w:t>
      </w:r>
    </w:p>
    <w:p w14:paraId="252055D8" w14:textId="471B92F6" w:rsidR="009C6DDD" w:rsidRDefault="009C6DDD" w:rsidP="00661A6A">
      <w:pPr>
        <w:pStyle w:val="ListParagraph"/>
        <w:numPr>
          <w:ilvl w:val="0"/>
          <w:numId w:val="11"/>
        </w:numPr>
      </w:pPr>
      <w:r>
        <w:t>The PBAC recommended a reduction in</w:t>
      </w:r>
      <w:r w:rsidR="009B6843">
        <w:t xml:space="preserve"> the</w:t>
      </w:r>
      <w:r>
        <w:t xml:space="preserve"> restriction levels for dasatinib and nilotinib to Authority Required (Telephone) for initial treatment and Authority Required (STREAMLINED) for first and subsequent continuing treatment</w:t>
      </w:r>
      <w:r w:rsidR="00077159">
        <w:t xml:space="preserve"> which was implemented in </w:t>
      </w:r>
      <w:r w:rsidR="003E7ED5">
        <w:t>March 2022</w:t>
      </w:r>
      <w:r>
        <w:t>.</w:t>
      </w:r>
    </w:p>
    <w:p w14:paraId="648A15EF" w14:textId="77777777" w:rsidR="009C6DDD" w:rsidRDefault="009C6DDD" w:rsidP="00661A6A">
      <w:pPr>
        <w:pStyle w:val="ListParagraph"/>
        <w:numPr>
          <w:ilvl w:val="0"/>
          <w:numId w:val="11"/>
        </w:numPr>
      </w:pPr>
      <w:r>
        <w:t>The PBAC did not recommend an amendment to the restrictions for ponatinib (third-line treatment) due to the high risk of leakage into other indications and different toxicity profile to second-line treatments (dasatinib and nilotinib).</w:t>
      </w:r>
    </w:p>
    <w:p w14:paraId="70539E18" w14:textId="1596760B" w:rsidR="00D94863" w:rsidRPr="00F65F0D" w:rsidRDefault="009C6DDD" w:rsidP="00661A6A">
      <w:pPr>
        <w:pStyle w:val="ListParagraph"/>
        <w:numPr>
          <w:ilvl w:val="0"/>
          <w:numId w:val="11"/>
        </w:numPr>
      </w:pPr>
      <w:r>
        <w:t>The PBAC recommended that DUSC conduct a future review</w:t>
      </w:r>
      <w:r w:rsidR="00273F97">
        <w:t xml:space="preserve"> on</w:t>
      </w:r>
      <w:r>
        <w:t xml:space="preserve"> the utilisation of dasatinib and nilotinib.</w:t>
      </w:r>
    </w:p>
    <w:p w14:paraId="0312FFEC" w14:textId="5C6A9662" w:rsidR="00E677DD" w:rsidRPr="005E22C2" w:rsidRDefault="00E677DD" w:rsidP="00CF5E22">
      <w:pPr>
        <w:pStyle w:val="Heading1"/>
      </w:pPr>
      <w:r w:rsidRPr="005E22C2">
        <w:t>Method</w:t>
      </w:r>
      <w:r w:rsidR="001B5D37" w:rsidRPr="005E22C2">
        <w:t>s</w:t>
      </w:r>
    </w:p>
    <w:p w14:paraId="01086090" w14:textId="55E5F4C3" w:rsidR="00E53E35" w:rsidRDefault="00E53E35" w:rsidP="00A35800">
      <w:r>
        <w:t xml:space="preserve">Data from 1 </w:t>
      </w:r>
      <w:r w:rsidR="00DF1725">
        <w:t>Jan</w:t>
      </w:r>
      <w:r w:rsidR="00565AD2">
        <w:t>uary</w:t>
      </w:r>
      <w:r>
        <w:t xml:space="preserve"> 200</w:t>
      </w:r>
      <w:r w:rsidR="00DF1725">
        <w:t>4</w:t>
      </w:r>
      <w:r>
        <w:t xml:space="preserve"> to 3</w:t>
      </w:r>
      <w:r w:rsidR="00DF1725">
        <w:t>1</w:t>
      </w:r>
      <w:r>
        <w:t xml:space="preserve"> July 202</w:t>
      </w:r>
      <w:r w:rsidR="00DF1725">
        <w:t>4</w:t>
      </w:r>
      <w:r>
        <w:t xml:space="preserve"> were extracted from the PBS data maintained by Department of Health and Aged Care, processed by Services Australia on or before </w:t>
      </w:r>
      <w:r w:rsidR="007C17D2">
        <w:br/>
      </w:r>
      <w:r>
        <w:t>10 August 202</w:t>
      </w:r>
      <w:r w:rsidR="009C79B6">
        <w:t>4</w:t>
      </w:r>
      <w:r>
        <w:t xml:space="preserve"> for the PBS item codes corresponding to </w:t>
      </w:r>
      <w:r w:rsidR="009C79B6">
        <w:t xml:space="preserve">chronic myeloid leukaemia for </w:t>
      </w:r>
      <w:r w:rsidR="00622085">
        <w:t xml:space="preserve">dasatinib, imatinib, nilotinib and ponatinib. The </w:t>
      </w:r>
      <w:r>
        <w:t>PBS prescription data were used to determine the number of prescriptions supplied and the PBS expenditure based on the published list prices. These data were also used to count the number of patients, both incident (new to treatment) and prevalent (number treated in each time period, i.e. year or quarter). PBS prescription data also contains age and gender information. This information was used to perform a breakdown of patients by age and gender</w:t>
      </w:r>
      <w:r w:rsidR="00774E58">
        <w:t xml:space="preserve"> at initiation of TKI therapy</w:t>
      </w:r>
      <w:r>
        <w:t xml:space="preserve">. </w:t>
      </w:r>
    </w:p>
    <w:p w14:paraId="12EC4B57" w14:textId="6341B78E" w:rsidR="0032645A" w:rsidRDefault="00E53E35" w:rsidP="00A35800">
      <w:r>
        <w:t xml:space="preserve">The Kaplan-Meier method was used to determine the length of treatment for patients. A break in treatment was defined as a gap of more than three times the median time between supplies which was found to be </w:t>
      </w:r>
      <w:r w:rsidR="00631169">
        <w:t>30</w:t>
      </w:r>
      <w:r w:rsidR="00307CFF">
        <w:t>-33</w:t>
      </w:r>
      <w:r>
        <w:t xml:space="preserve"> days</w:t>
      </w:r>
      <w:r w:rsidR="00307CFF">
        <w:t xml:space="preserve"> depending on </w:t>
      </w:r>
      <w:r w:rsidR="00A60CE8">
        <w:t>medication</w:t>
      </w:r>
      <w:r>
        <w:t>. A patient was deemed to be continuing treatment (classified as censored in the Kaplan-Meier analysis) at the end of the data period (i.e. the end of July 202</w:t>
      </w:r>
      <w:r w:rsidR="00A60CE8">
        <w:t>4</w:t>
      </w:r>
      <w:r>
        <w:t xml:space="preserve">) if their last prescription was within three times the median time to resupply of this end date. Otherwise the patient was deemed to have ceased treatment with the treatment coverage end date being the supply date of their last prescription plus a median time to resupply. If a patient’s supply was after a gap of more than three times the median time to resupply, then the patient was deemed to have been re-treated. </w:t>
      </w:r>
    </w:p>
    <w:p w14:paraId="0BE9D51F" w14:textId="7943DF99" w:rsidR="00AC5054" w:rsidRPr="000226B3" w:rsidRDefault="00E53E35" w:rsidP="00A35800">
      <w:pPr>
        <w:rPr>
          <w:rFonts w:eastAsia="Calibri" w:cs="Times New Roman"/>
        </w:rPr>
      </w:pPr>
      <w:r>
        <w:lastRenderedPageBreak/>
        <w:t xml:space="preserve">The Sankey diagram (Figure </w:t>
      </w:r>
      <w:r w:rsidR="00395A98">
        <w:t>7</w:t>
      </w:r>
      <w:r>
        <w:t xml:space="preserve">) was created based on </w:t>
      </w:r>
      <w:r w:rsidR="005D75ED">
        <w:t>all patients as they progress through treatments</w:t>
      </w:r>
      <w:r w:rsidR="002B02B5">
        <w:t xml:space="preserve">. </w:t>
      </w:r>
    </w:p>
    <w:p w14:paraId="387399AE" w14:textId="77777777" w:rsidR="00005849" w:rsidRDefault="00005849">
      <w:pPr>
        <w:spacing w:line="276" w:lineRule="auto"/>
        <w:rPr>
          <w:rFonts w:eastAsiaTheme="majorEastAsia" w:cstheme="majorBidi"/>
          <w:b/>
          <w:bCs/>
          <w:sz w:val="32"/>
          <w:szCs w:val="32"/>
        </w:rPr>
      </w:pPr>
      <w:r>
        <w:br w:type="page"/>
      </w:r>
    </w:p>
    <w:p w14:paraId="4F91A98A" w14:textId="24ED2365"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Pr="005E22C2" w:rsidRDefault="00736041" w:rsidP="00CF5E22">
      <w:pPr>
        <w:pStyle w:val="Heading3"/>
      </w:pPr>
      <w:r w:rsidRPr="005E22C2">
        <w:t>Overall utilisation</w:t>
      </w:r>
    </w:p>
    <w:p w14:paraId="299CD064" w14:textId="273F0631" w:rsidR="007B5377" w:rsidRDefault="00AB243B" w:rsidP="00FE645A">
      <w:pPr>
        <w:pStyle w:val="Figurecaption"/>
        <w:rPr>
          <w:highlight w:val="green"/>
        </w:rPr>
      </w:pPr>
      <w:r>
        <w:rPr>
          <w:noProof/>
        </w:rPr>
        <w:drawing>
          <wp:inline distT="0" distB="0" distL="0" distR="0" wp14:anchorId="37DD4604" wp14:editId="064E55F0">
            <wp:extent cx="5687695" cy="3919855"/>
            <wp:effectExtent l="0" t="0" r="8255" b="4445"/>
            <wp:docPr id="1" name="Chart 1" descr="Figure 1: Prevalent patient numbers of TKIs for CML">
              <a:extLst xmlns:a="http://schemas.openxmlformats.org/drawingml/2006/main">
                <a:ext uri="{FF2B5EF4-FFF2-40B4-BE49-F238E27FC236}">
                  <a16:creationId xmlns:a16="http://schemas.microsoft.com/office/drawing/2014/main" id="{718BAAD8-05BD-10F7-9A43-25BD392B01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1F4684" w14:textId="2CE481AF" w:rsidR="00A35800" w:rsidRPr="009028A6" w:rsidRDefault="00E1353A" w:rsidP="00FE645A">
      <w:pPr>
        <w:pStyle w:val="Figurecaption"/>
        <w:rPr>
          <w:b/>
          <w:bCs/>
        </w:rPr>
      </w:pPr>
      <w:r w:rsidRPr="009028A6">
        <w:rPr>
          <w:b/>
          <w:bCs/>
        </w:rPr>
        <w:t xml:space="preserve">Figure 1: </w:t>
      </w:r>
      <w:r w:rsidR="00D46D6F" w:rsidRPr="009028A6">
        <w:rPr>
          <w:b/>
          <w:bCs/>
        </w:rPr>
        <w:t xml:space="preserve">Prevalent patient </w:t>
      </w:r>
      <w:r w:rsidR="00286189" w:rsidRPr="009028A6">
        <w:rPr>
          <w:b/>
          <w:bCs/>
        </w:rPr>
        <w:t>numbers</w:t>
      </w:r>
      <w:r w:rsidR="00D46D6F" w:rsidRPr="009028A6">
        <w:rPr>
          <w:b/>
          <w:bCs/>
        </w:rPr>
        <w:t xml:space="preserve"> </w:t>
      </w:r>
      <w:r w:rsidR="00286189" w:rsidRPr="009028A6">
        <w:rPr>
          <w:b/>
          <w:bCs/>
        </w:rPr>
        <w:t>of</w:t>
      </w:r>
      <w:r w:rsidR="00D46D6F" w:rsidRPr="009028A6">
        <w:rPr>
          <w:b/>
          <w:bCs/>
        </w:rPr>
        <w:t xml:space="preserve"> TKIs for CML</w:t>
      </w:r>
    </w:p>
    <w:p w14:paraId="2D882CC4" w14:textId="77777777" w:rsidR="0014748A" w:rsidRDefault="0014748A" w:rsidP="00395A98"/>
    <w:p w14:paraId="2AFCA1B4" w14:textId="2C999111" w:rsidR="00AB243B" w:rsidRDefault="005F5084" w:rsidP="00395A98">
      <w:r>
        <w:t xml:space="preserve">Figure 1 </w:t>
      </w:r>
      <w:r w:rsidR="00846160">
        <w:t>shows the overall utilisation in prevalent patient numbers for TKIs for CML. Imatinib was first listed in 20</w:t>
      </w:r>
      <w:r w:rsidR="004D04B4">
        <w:t>03 and utilisation increase</w:t>
      </w:r>
      <w:r w:rsidR="0061209B">
        <w:t>d</w:t>
      </w:r>
      <w:r w:rsidR="004D04B4">
        <w:t xml:space="preserve"> before plateauing in </w:t>
      </w:r>
      <w:r w:rsidR="009D335C">
        <w:t>2012 and beg</w:t>
      </w:r>
      <w:r w:rsidR="0061209B">
        <w:t>an</w:t>
      </w:r>
      <w:r w:rsidR="009D335C">
        <w:t xml:space="preserve"> to decrease in 2021Q3. </w:t>
      </w:r>
      <w:r w:rsidR="00BE0418">
        <w:t>Dasatinib and nilotinib were listed in 20</w:t>
      </w:r>
      <w:r w:rsidR="00FA0965">
        <w:t>07 and 2008 respectively and experienced a similar growth to that of imatinib when first listed. Nilotinib plateaued at approximately 800 prevalent patients per quarter while dasat</w:t>
      </w:r>
      <w:r w:rsidR="00AC112D">
        <w:t>inib appear</w:t>
      </w:r>
      <w:r w:rsidR="0061209B">
        <w:t>ed</w:t>
      </w:r>
      <w:r w:rsidR="00AC112D">
        <w:t xml:space="preserve"> to be nearing a plateau. </w:t>
      </w:r>
      <w:r w:rsidR="000D6CD1">
        <w:t>Ponatinib was listed in 2015 and ha</w:t>
      </w:r>
      <w:r w:rsidR="0061209B">
        <w:t>d</w:t>
      </w:r>
      <w:r w:rsidR="000D6CD1">
        <w:t xml:space="preserve"> </w:t>
      </w:r>
      <w:r w:rsidR="00430875">
        <w:t>maintained approximately 50 prevalent patients per quarter</w:t>
      </w:r>
      <w:r w:rsidR="00454F0E">
        <w:t xml:space="preserve">. </w:t>
      </w:r>
    </w:p>
    <w:p w14:paraId="6CC939B5" w14:textId="03613300" w:rsidR="00AB243B" w:rsidRDefault="00C57F4A" w:rsidP="00FE645A">
      <w:pPr>
        <w:pStyle w:val="Figurecaption"/>
      </w:pPr>
      <w:r>
        <w:rPr>
          <w:noProof/>
        </w:rPr>
        <w:lastRenderedPageBreak/>
        <w:drawing>
          <wp:inline distT="0" distB="0" distL="0" distR="0" wp14:anchorId="42EE2F63" wp14:editId="5E46B63B">
            <wp:extent cx="5687695" cy="4302125"/>
            <wp:effectExtent l="0" t="0" r="8255" b="3175"/>
            <wp:docPr id="2" name="Chart 2" descr="Figure 2: Initiating patient numbers of TKIs for CML">
              <a:extLst xmlns:a="http://schemas.openxmlformats.org/drawingml/2006/main">
                <a:ext uri="{FF2B5EF4-FFF2-40B4-BE49-F238E27FC236}">
                  <a16:creationId xmlns:a16="http://schemas.microsoft.com/office/drawing/2014/main" id="{314CC629-895F-DC5F-9574-C12E5B948D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222A30" w14:textId="24FF2D8C" w:rsidR="00286189" w:rsidRPr="009028A6" w:rsidRDefault="00286189" w:rsidP="00286189">
      <w:pPr>
        <w:pStyle w:val="Figurecaption"/>
        <w:rPr>
          <w:b/>
          <w:bCs/>
        </w:rPr>
      </w:pPr>
      <w:r w:rsidRPr="009028A6">
        <w:rPr>
          <w:b/>
          <w:bCs/>
        </w:rPr>
        <w:t>Figure 2: Initiating patient numbers of TKIs for CML</w:t>
      </w:r>
    </w:p>
    <w:p w14:paraId="65144183" w14:textId="39335684" w:rsidR="00286189" w:rsidRDefault="00D30CFE" w:rsidP="00D30CFE">
      <w:r>
        <w:t>Figure 2 shows the number of initiating patients for TKIs for CML</w:t>
      </w:r>
      <w:r w:rsidR="0078179D">
        <w:t xml:space="preserve">. In recent quarters </w:t>
      </w:r>
      <w:r w:rsidR="00883667">
        <w:t>the number of initiating patients to</w:t>
      </w:r>
      <w:r w:rsidR="0078179D">
        <w:t xml:space="preserve"> nilotinib and ponatinib remained steady at </w:t>
      </w:r>
      <w:r w:rsidR="00003D11">
        <w:t>30-40 new initiat</w:t>
      </w:r>
      <w:r w:rsidR="000B5A00">
        <w:t>ors per quarter and 5</w:t>
      </w:r>
      <w:r w:rsidR="00883667">
        <w:t>,</w:t>
      </w:r>
      <w:r w:rsidR="000B5A00">
        <w:t xml:space="preserve"> respectively. </w:t>
      </w:r>
      <w:r w:rsidR="00883667">
        <w:t>The number of i</w:t>
      </w:r>
      <w:r w:rsidR="002A006C">
        <w:t>matinib initiators reduced per quarter</w:t>
      </w:r>
      <w:r w:rsidR="00883667">
        <w:t xml:space="preserve"> from</w:t>
      </w:r>
      <w:r w:rsidR="002A006C">
        <w:t xml:space="preserve"> 2019 to </w:t>
      </w:r>
      <w:r w:rsidR="00A77036">
        <w:t xml:space="preserve">80 initiators in 2024Q2 while </w:t>
      </w:r>
      <w:r w:rsidR="00883667">
        <w:t xml:space="preserve">initiators to </w:t>
      </w:r>
      <w:r w:rsidR="00A77036">
        <w:t>dasatinib steadily increas</w:t>
      </w:r>
      <w:r w:rsidR="00883667">
        <w:t>ed</w:t>
      </w:r>
      <w:r w:rsidR="00A77036">
        <w:t xml:space="preserve"> </w:t>
      </w:r>
      <w:r w:rsidR="00883667">
        <w:t>from</w:t>
      </w:r>
      <w:r w:rsidR="00A77036">
        <w:t xml:space="preserve"> 2021Q3 from 60 to 96</w:t>
      </w:r>
      <w:r w:rsidR="00503DC6">
        <w:t xml:space="preserve"> in 2024Q2. </w:t>
      </w:r>
    </w:p>
    <w:p w14:paraId="3075D763" w14:textId="77777777" w:rsidR="00085ABA" w:rsidRDefault="00085ABA" w:rsidP="00FE645A">
      <w:pPr>
        <w:pStyle w:val="Figurecaption"/>
      </w:pPr>
    </w:p>
    <w:p w14:paraId="0369EA0D" w14:textId="06864CBE" w:rsidR="00085ABA" w:rsidRDefault="00085ABA" w:rsidP="00FE645A">
      <w:pPr>
        <w:pStyle w:val="Figurecaption"/>
      </w:pPr>
      <w:r>
        <w:rPr>
          <w:noProof/>
        </w:rPr>
        <w:lastRenderedPageBreak/>
        <w:drawing>
          <wp:inline distT="0" distB="0" distL="0" distR="0" wp14:anchorId="693ABC35" wp14:editId="57B52E42">
            <wp:extent cx="5687695" cy="3489325"/>
            <wp:effectExtent l="0" t="0" r="8255" b="15875"/>
            <wp:docPr id="3" name="Chart 3" descr="Figure 3: Prescription numbers of TKIs for CML">
              <a:extLst xmlns:a="http://schemas.openxmlformats.org/drawingml/2006/main">
                <a:ext uri="{FF2B5EF4-FFF2-40B4-BE49-F238E27FC236}">
                  <a16:creationId xmlns:a16="http://schemas.microsoft.com/office/drawing/2014/main" id="{AB1F454C-2D80-D9BB-5DC3-8EEFD58566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CB9036" w14:textId="3D92CA33" w:rsidR="00286189" w:rsidRPr="009028A6" w:rsidRDefault="00286189" w:rsidP="00286189">
      <w:pPr>
        <w:pStyle w:val="Figurecaption"/>
        <w:rPr>
          <w:b/>
          <w:bCs/>
        </w:rPr>
      </w:pPr>
      <w:r w:rsidRPr="009028A6">
        <w:rPr>
          <w:b/>
          <w:bCs/>
        </w:rPr>
        <w:t xml:space="preserve">Figure 3: </w:t>
      </w:r>
      <w:r w:rsidR="00C661E0" w:rsidRPr="009028A6">
        <w:rPr>
          <w:b/>
          <w:bCs/>
        </w:rPr>
        <w:t>Prescription</w:t>
      </w:r>
      <w:r w:rsidRPr="009028A6">
        <w:rPr>
          <w:b/>
          <w:bCs/>
        </w:rPr>
        <w:t xml:space="preserve"> numbers of TKIs for CML</w:t>
      </w:r>
    </w:p>
    <w:p w14:paraId="6E6257B4" w14:textId="37B76EDE" w:rsidR="00286189" w:rsidRDefault="008672D7" w:rsidP="0001380A">
      <w:r>
        <w:t xml:space="preserve">Figure 3 shows the number of prescriptions </w:t>
      </w:r>
      <w:r w:rsidR="004530E1">
        <w:t xml:space="preserve">supplied </w:t>
      </w:r>
      <w:r>
        <w:t xml:space="preserve">per quarter for TKIs for CML. </w:t>
      </w:r>
      <w:r w:rsidR="00D474F1">
        <w:t>The number of prescriptions per quarter largely mirror</w:t>
      </w:r>
      <w:r w:rsidR="002B6591">
        <w:t>ed</w:t>
      </w:r>
      <w:r w:rsidR="00D474F1">
        <w:t xml:space="preserve"> that of the number of prevalent patients seen in Figure 1 with a slow decline in use of imatinib while dasatinib increase</w:t>
      </w:r>
      <w:r w:rsidR="002B6591">
        <w:t>d</w:t>
      </w:r>
      <w:r w:rsidR="00C2057B">
        <w:t xml:space="preserve"> and nilotinib and ponatinib plateau</w:t>
      </w:r>
      <w:r w:rsidR="002B6591">
        <w:t>ed</w:t>
      </w:r>
      <w:r w:rsidR="00C2057B">
        <w:t xml:space="preserve">. </w:t>
      </w:r>
    </w:p>
    <w:p w14:paraId="7EC6E883" w14:textId="77777777" w:rsidR="003843F6" w:rsidRDefault="003843F6" w:rsidP="00FE645A">
      <w:pPr>
        <w:pStyle w:val="Figurecaption"/>
      </w:pPr>
    </w:p>
    <w:p w14:paraId="49C75DD6" w14:textId="75CB328E" w:rsidR="003843F6" w:rsidRDefault="003843F6" w:rsidP="00FE645A">
      <w:pPr>
        <w:pStyle w:val="Figurecaption"/>
      </w:pPr>
      <w:r>
        <w:rPr>
          <w:noProof/>
        </w:rPr>
        <w:drawing>
          <wp:inline distT="0" distB="0" distL="0" distR="0" wp14:anchorId="0F5F75D4" wp14:editId="30D6E7E2">
            <wp:extent cx="5687695" cy="3082925"/>
            <wp:effectExtent l="0" t="0" r="8255" b="3175"/>
            <wp:docPr id="13" name="Chart 13" descr="Figure 4: Prescription numbers of dasatinib and nilotinib for CML by month. Dotted line at March 2022 represents the restriction changes to Telephone and STREAMLINED for initial and continuing treatment respectively. ">
              <a:extLst xmlns:a="http://schemas.openxmlformats.org/drawingml/2006/main">
                <a:ext uri="{FF2B5EF4-FFF2-40B4-BE49-F238E27FC236}">
                  <a16:creationId xmlns:a16="http://schemas.microsoft.com/office/drawing/2014/main" id="{532A24EF-78E6-B360-C164-2B6A52708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0C0699" w14:textId="27BAD271" w:rsidR="00C661E0" w:rsidRPr="009028A6" w:rsidRDefault="00C661E0" w:rsidP="00C661E0">
      <w:pPr>
        <w:pStyle w:val="Figurecaption"/>
        <w:rPr>
          <w:b/>
          <w:bCs/>
        </w:rPr>
      </w:pPr>
      <w:r w:rsidRPr="009028A6">
        <w:rPr>
          <w:b/>
          <w:bCs/>
        </w:rPr>
        <w:t>Figure 4: Prescription numbers of dasatinib and nilotinib for CML</w:t>
      </w:r>
      <w:r w:rsidR="0001380A" w:rsidRPr="009028A6">
        <w:rPr>
          <w:b/>
          <w:bCs/>
        </w:rPr>
        <w:t xml:space="preserve"> by month</w:t>
      </w:r>
      <w:r w:rsidR="00183446" w:rsidRPr="009028A6">
        <w:rPr>
          <w:b/>
          <w:bCs/>
        </w:rPr>
        <w:t xml:space="preserve">. Dotted line at March 2022 represents the </w:t>
      </w:r>
      <w:r w:rsidR="002A5A43" w:rsidRPr="009028A6">
        <w:rPr>
          <w:b/>
          <w:bCs/>
        </w:rPr>
        <w:t>restriction change</w:t>
      </w:r>
      <w:r w:rsidR="009028A6">
        <w:rPr>
          <w:b/>
          <w:bCs/>
        </w:rPr>
        <w:t>s</w:t>
      </w:r>
      <w:r w:rsidR="002A5A43" w:rsidRPr="009028A6">
        <w:rPr>
          <w:b/>
          <w:bCs/>
        </w:rPr>
        <w:t xml:space="preserve"> </w:t>
      </w:r>
      <w:r w:rsidR="009028A6">
        <w:rPr>
          <w:b/>
          <w:bCs/>
        </w:rPr>
        <w:t>to</w:t>
      </w:r>
      <w:r w:rsidR="000F2910" w:rsidRPr="009028A6">
        <w:rPr>
          <w:b/>
          <w:bCs/>
        </w:rPr>
        <w:t xml:space="preserve"> Telephone </w:t>
      </w:r>
      <w:r w:rsidR="009028A6">
        <w:rPr>
          <w:b/>
          <w:bCs/>
        </w:rPr>
        <w:t>and</w:t>
      </w:r>
      <w:r w:rsidR="000F2910" w:rsidRPr="009028A6">
        <w:rPr>
          <w:b/>
          <w:bCs/>
        </w:rPr>
        <w:t xml:space="preserve"> STREAMLINED for</w:t>
      </w:r>
      <w:r w:rsidR="009028A6">
        <w:rPr>
          <w:b/>
          <w:bCs/>
        </w:rPr>
        <w:t xml:space="preserve"> initial and</w:t>
      </w:r>
      <w:r w:rsidR="000F2910" w:rsidRPr="009028A6">
        <w:rPr>
          <w:b/>
          <w:bCs/>
        </w:rPr>
        <w:t xml:space="preserve"> continuing treatment</w:t>
      </w:r>
      <w:r w:rsidR="009028A6">
        <w:rPr>
          <w:b/>
          <w:bCs/>
        </w:rPr>
        <w:t xml:space="preserve"> respectively</w:t>
      </w:r>
      <w:r w:rsidR="000F2910" w:rsidRPr="009028A6">
        <w:rPr>
          <w:b/>
          <w:bCs/>
        </w:rPr>
        <w:t xml:space="preserve">. </w:t>
      </w:r>
    </w:p>
    <w:p w14:paraId="0BC3203A" w14:textId="532F925D" w:rsidR="009B7931" w:rsidRDefault="00B36485" w:rsidP="009B7931">
      <w:r>
        <w:lastRenderedPageBreak/>
        <w:t>In March 2022</w:t>
      </w:r>
      <w:r w:rsidR="00E21E93">
        <w:t xml:space="preserve"> changes were made to the restriction of dasatinib and nilotinib as a result </w:t>
      </w:r>
      <w:r w:rsidR="00C00B84">
        <w:t xml:space="preserve">of recommendations from the PBAC </w:t>
      </w:r>
      <w:r w:rsidR="00F6165D">
        <w:t xml:space="preserve">following the written authority review. </w:t>
      </w:r>
      <w:r w:rsidR="000F532D">
        <w:t xml:space="preserve">The number of prescriptions per month for dasatinib and nilotinib can be seen in Figure 4 </w:t>
      </w:r>
      <w:r w:rsidR="00F55D41">
        <w:t xml:space="preserve">and indicate that the change in restriction levels </w:t>
      </w:r>
      <w:r w:rsidR="00AF6474">
        <w:t>did</w:t>
      </w:r>
      <w:r w:rsidR="00F55D41">
        <w:t xml:space="preserve"> not result in significant </w:t>
      </w:r>
      <w:r w:rsidR="00F02491">
        <w:t>changes to utilisation</w:t>
      </w:r>
      <w:r w:rsidR="000C0A09">
        <w:t xml:space="preserve">. An interrupted time series analysis was attempted however no model could be established with any </w:t>
      </w:r>
      <w:r w:rsidR="00B3324B">
        <w:t xml:space="preserve">statistical significance to suggest that the </w:t>
      </w:r>
      <w:r w:rsidR="00BE5F3C">
        <w:t>restriction change ha</w:t>
      </w:r>
      <w:r w:rsidR="00E40740">
        <w:t>d</w:t>
      </w:r>
      <w:r w:rsidR="00BE5F3C">
        <w:t xml:space="preserve"> meaningfully impacted utilisation. </w:t>
      </w:r>
    </w:p>
    <w:p w14:paraId="6869F5EA" w14:textId="77777777" w:rsidR="00C661E0" w:rsidRPr="00A35800" w:rsidRDefault="00C661E0" w:rsidP="00FE645A">
      <w:pPr>
        <w:pStyle w:val="Figurecaption"/>
      </w:pPr>
    </w:p>
    <w:p w14:paraId="09F9D349" w14:textId="7427B89F" w:rsidR="00736041" w:rsidRDefault="00736041" w:rsidP="00CF5E22">
      <w:pPr>
        <w:pStyle w:val="Heading3"/>
      </w:pPr>
      <w:r w:rsidRPr="005E22C2">
        <w:t>Utilisation by relevant sub-populations/regions</w:t>
      </w:r>
      <w:r w:rsidR="001B5D37" w:rsidRPr="005E22C2">
        <w:t xml:space="preserve"> or patient level analysis</w:t>
      </w:r>
    </w:p>
    <w:p w14:paraId="18B9085E" w14:textId="67FF1645" w:rsidR="00641AB1" w:rsidRDefault="00EE1CCA" w:rsidP="00DE5A7C">
      <w:r>
        <w:t xml:space="preserve">Figure 5 illustrates </w:t>
      </w:r>
      <w:r w:rsidR="00E152CF">
        <w:t>the</w:t>
      </w:r>
      <w:r w:rsidR="00EC28FB">
        <w:t xml:space="preserve"> distribution of the proportion of </w:t>
      </w:r>
      <w:r w:rsidR="0019161D">
        <w:t xml:space="preserve">male patients initiating onto their first TKI for CML by age. </w:t>
      </w:r>
      <w:r w:rsidR="00BA30F2">
        <w:t xml:space="preserve">The </w:t>
      </w:r>
      <w:r w:rsidR="007362CA">
        <w:t xml:space="preserve">majority of males </w:t>
      </w:r>
      <w:r w:rsidR="00B2337A">
        <w:t>initiating</w:t>
      </w:r>
      <w:r w:rsidR="007362CA">
        <w:t xml:space="preserve"> on to nilotinib, imatinib and dasatinib </w:t>
      </w:r>
      <w:r w:rsidR="00B2337A">
        <w:t xml:space="preserve">were </w:t>
      </w:r>
      <w:r w:rsidR="007362CA">
        <w:t xml:space="preserve">aged between 50-70 years old with a peak primarily seen at 60 years old. Ponatinib </w:t>
      </w:r>
      <w:r w:rsidR="00B2337A">
        <w:t>had</w:t>
      </w:r>
      <w:r w:rsidR="007362CA">
        <w:t xml:space="preserve"> peaks </w:t>
      </w:r>
      <w:r w:rsidR="003C518B">
        <w:t>at 40 years old and 65 years old</w:t>
      </w:r>
      <w:r w:rsidR="00322412">
        <w:t>,</w:t>
      </w:r>
      <w:r w:rsidR="003C518B">
        <w:t xml:space="preserve"> however it should be noted that the initiating cohort </w:t>
      </w:r>
      <w:r w:rsidR="00B2337A">
        <w:t>wa</w:t>
      </w:r>
      <w:r w:rsidR="007B5ECF">
        <w:t xml:space="preserve">s very small as the analysis </w:t>
      </w:r>
      <w:r w:rsidR="00B2337A">
        <w:t>wa</w:t>
      </w:r>
      <w:r w:rsidR="0085488C">
        <w:t xml:space="preserve">s based on first initiation so would not include patients initiating ponatinib </w:t>
      </w:r>
      <w:r w:rsidR="00F306F5">
        <w:t xml:space="preserve">as </w:t>
      </w:r>
      <w:r w:rsidR="00B2337A">
        <w:t xml:space="preserve">a </w:t>
      </w:r>
      <w:r w:rsidR="00F306F5">
        <w:t xml:space="preserve">second and subsequent line therapy. </w:t>
      </w:r>
    </w:p>
    <w:p w14:paraId="4D9EA3FE" w14:textId="709B6B3F" w:rsidR="00DE5A7C" w:rsidRDefault="00641AB1" w:rsidP="00DE5A7C">
      <w:r>
        <w:t xml:space="preserve">Figure 6 represents the same analysis as Figure 5 however shows the distributions seen in female initiators. </w:t>
      </w:r>
      <w:r w:rsidR="00654B45">
        <w:t xml:space="preserve">The trends for female initiators </w:t>
      </w:r>
      <w:r w:rsidR="00B2337A">
        <w:t>we</w:t>
      </w:r>
      <w:r w:rsidR="00654B45">
        <w:t xml:space="preserve">re similar to males and the same caveat to </w:t>
      </w:r>
      <w:r w:rsidR="009E0B65">
        <w:t>the ponatinib data from Figure 5 also applies to this analysis.</w:t>
      </w:r>
    </w:p>
    <w:p w14:paraId="61486C83" w14:textId="74D6E466" w:rsidR="00673D7B" w:rsidRDefault="008F7AFC" w:rsidP="00673D7B">
      <w:r>
        <w:rPr>
          <w:noProof/>
        </w:rPr>
        <w:lastRenderedPageBreak/>
        <w:drawing>
          <wp:inline distT="0" distB="0" distL="0" distR="0" wp14:anchorId="7305092C" wp14:editId="172ADD2B">
            <wp:extent cx="5687695" cy="7391400"/>
            <wp:effectExtent l="0" t="0" r="8255" b="0"/>
            <wp:docPr id="6" name="Picture 6" descr="Figure 5: Distribution of patient age at initiation of first TKI for CML in males since lis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5: Distribution of patient age at initiation of first TKI for CML in males since listing "/>
                    <pic:cNvPicPr/>
                  </pic:nvPicPr>
                  <pic:blipFill>
                    <a:blip r:embed="rId15"/>
                    <a:stretch>
                      <a:fillRect/>
                    </a:stretch>
                  </pic:blipFill>
                  <pic:spPr>
                    <a:xfrm>
                      <a:off x="0" y="0"/>
                      <a:ext cx="5687695" cy="7391400"/>
                    </a:xfrm>
                    <a:prstGeom prst="rect">
                      <a:avLst/>
                    </a:prstGeom>
                  </pic:spPr>
                </pic:pic>
              </a:graphicData>
            </a:graphic>
          </wp:inline>
        </w:drawing>
      </w:r>
    </w:p>
    <w:p w14:paraId="490FB8AC" w14:textId="1F97E502" w:rsidR="000F2910" w:rsidRPr="009028A6" w:rsidRDefault="000F2910" w:rsidP="000F2910">
      <w:pPr>
        <w:pStyle w:val="Figurecaption"/>
        <w:rPr>
          <w:b/>
          <w:bCs/>
        </w:rPr>
      </w:pPr>
      <w:r w:rsidRPr="009028A6">
        <w:rPr>
          <w:b/>
          <w:bCs/>
        </w:rPr>
        <w:t>Figure 5: Distr</w:t>
      </w:r>
      <w:r w:rsidR="00E54970" w:rsidRPr="009028A6">
        <w:rPr>
          <w:b/>
          <w:bCs/>
        </w:rPr>
        <w:t>ibution of patient age at initiation of first TKI for CML in males</w:t>
      </w:r>
      <w:r w:rsidR="009028A6">
        <w:rPr>
          <w:b/>
          <w:bCs/>
        </w:rPr>
        <w:t xml:space="preserve"> since listing</w:t>
      </w:r>
      <w:r w:rsidR="00E54970" w:rsidRPr="009028A6">
        <w:rPr>
          <w:b/>
          <w:bCs/>
        </w:rPr>
        <w:t xml:space="preserve"> </w:t>
      </w:r>
    </w:p>
    <w:p w14:paraId="6C7E6C5A" w14:textId="77777777" w:rsidR="000F2910" w:rsidRDefault="000F2910" w:rsidP="00673D7B"/>
    <w:p w14:paraId="3B618D66" w14:textId="281B037B" w:rsidR="005274A0" w:rsidRDefault="00E22ED0" w:rsidP="00673D7B">
      <w:r>
        <w:rPr>
          <w:noProof/>
        </w:rPr>
        <w:lastRenderedPageBreak/>
        <w:drawing>
          <wp:inline distT="0" distB="0" distL="0" distR="0" wp14:anchorId="2F615B8E" wp14:editId="7182E399">
            <wp:extent cx="5687695" cy="7391400"/>
            <wp:effectExtent l="0" t="0" r="8255" b="0"/>
            <wp:docPr id="7" name="Picture 7" descr="Figure 6: Distribution of patient age at initiation of first TKI for CML in females since lis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6: Distribution of patient age at initiation of first TKI for CML in females since listing "/>
                    <pic:cNvPicPr/>
                  </pic:nvPicPr>
                  <pic:blipFill>
                    <a:blip r:embed="rId16"/>
                    <a:stretch>
                      <a:fillRect/>
                    </a:stretch>
                  </pic:blipFill>
                  <pic:spPr>
                    <a:xfrm>
                      <a:off x="0" y="0"/>
                      <a:ext cx="5687695" cy="7391400"/>
                    </a:xfrm>
                    <a:prstGeom prst="rect">
                      <a:avLst/>
                    </a:prstGeom>
                  </pic:spPr>
                </pic:pic>
              </a:graphicData>
            </a:graphic>
          </wp:inline>
        </w:drawing>
      </w:r>
    </w:p>
    <w:p w14:paraId="6E0D2B7B" w14:textId="65AA4474" w:rsidR="00E54970" w:rsidRPr="009028A6" w:rsidRDefault="00E54970" w:rsidP="00E54970">
      <w:pPr>
        <w:pStyle w:val="Figurecaption"/>
        <w:rPr>
          <w:b/>
          <w:bCs/>
        </w:rPr>
      </w:pPr>
      <w:r w:rsidRPr="009028A6">
        <w:rPr>
          <w:b/>
          <w:bCs/>
        </w:rPr>
        <w:t>Figure 6: Distribution of patient age at initiation of first TKI for CML in females</w:t>
      </w:r>
      <w:r w:rsidR="009028A6">
        <w:rPr>
          <w:b/>
          <w:bCs/>
        </w:rPr>
        <w:t xml:space="preserve"> since listing</w:t>
      </w:r>
      <w:r w:rsidRPr="009028A6">
        <w:rPr>
          <w:b/>
          <w:bCs/>
        </w:rPr>
        <w:t xml:space="preserve"> </w:t>
      </w:r>
    </w:p>
    <w:p w14:paraId="0A54B0BE" w14:textId="77777777" w:rsidR="00E54970" w:rsidRDefault="00E54970" w:rsidP="00673D7B"/>
    <w:p w14:paraId="4DDC2BC8" w14:textId="77777777" w:rsidR="00E22ED0" w:rsidRDefault="00E22ED0" w:rsidP="00673D7B"/>
    <w:p w14:paraId="1845DD80" w14:textId="06F10647" w:rsidR="00E22ED0" w:rsidRDefault="005766BC" w:rsidP="00673D7B">
      <w:r w:rsidRPr="005766BC">
        <w:rPr>
          <w:noProof/>
        </w:rPr>
        <w:lastRenderedPageBreak/>
        <w:drawing>
          <wp:inline distT="0" distB="0" distL="0" distR="0" wp14:anchorId="678A7588" wp14:editId="179804E1">
            <wp:extent cx="5687695" cy="3264535"/>
            <wp:effectExtent l="0" t="0" r="8255" b="0"/>
            <wp:docPr id="8" name="Picture 8" descr="Figure 7: Sankey diagram of patient pathways following initiation of first TKI for CM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7: Sankey diagram of patient pathways following initiation of first TKI for CML "/>
                    <pic:cNvPicPr/>
                  </pic:nvPicPr>
                  <pic:blipFill>
                    <a:blip r:embed="rId17"/>
                    <a:stretch>
                      <a:fillRect/>
                    </a:stretch>
                  </pic:blipFill>
                  <pic:spPr>
                    <a:xfrm>
                      <a:off x="0" y="0"/>
                      <a:ext cx="5687695" cy="3264535"/>
                    </a:xfrm>
                    <a:prstGeom prst="rect">
                      <a:avLst/>
                    </a:prstGeom>
                  </pic:spPr>
                </pic:pic>
              </a:graphicData>
            </a:graphic>
          </wp:inline>
        </w:drawing>
      </w:r>
    </w:p>
    <w:p w14:paraId="1B92B8CD" w14:textId="3FD380FE" w:rsidR="00E54970" w:rsidRPr="009028A6" w:rsidRDefault="00E54970" w:rsidP="00E54970">
      <w:pPr>
        <w:pStyle w:val="Figurecaption"/>
        <w:rPr>
          <w:b/>
          <w:bCs/>
        </w:rPr>
      </w:pPr>
      <w:r w:rsidRPr="009028A6">
        <w:rPr>
          <w:b/>
          <w:bCs/>
        </w:rPr>
        <w:t xml:space="preserve">Figure 7: Sankey diagram of patient pathways following initiation of first TKI for CML </w:t>
      </w:r>
    </w:p>
    <w:p w14:paraId="6ED2C4E5" w14:textId="12C363B8" w:rsidR="0075663A" w:rsidRPr="00DE5A7C" w:rsidRDefault="0075663A" w:rsidP="0075663A">
      <w:r>
        <w:t xml:space="preserve">Figure 7 shows a Sankey diagram and illustrates patient pathways from their first initiation on to a TKI for CML. The majority of patients can be seen to start on imatinib before moving primarily to dasatinib and less to nilotinib. The number of patients </w:t>
      </w:r>
      <w:r w:rsidR="00BE29A6">
        <w:t>supplied</w:t>
      </w:r>
      <w:r>
        <w:t xml:space="preserve"> third and later line therapy </w:t>
      </w:r>
      <w:r w:rsidR="00BE29A6">
        <w:t>are</w:t>
      </w:r>
      <w:r>
        <w:t xml:space="preserve"> small with nilotinib </w:t>
      </w:r>
      <w:r w:rsidR="00506B99">
        <w:t>more commonly supplied than</w:t>
      </w:r>
      <w:r>
        <w:t xml:space="preserve"> dasatinib</w:t>
      </w:r>
      <w:r w:rsidR="00745FB0">
        <w:t xml:space="preserve"> in later line</w:t>
      </w:r>
      <w:r w:rsidR="00630930">
        <w:t>s of therapy</w:t>
      </w:r>
      <w:r>
        <w:t xml:space="preserve">. </w:t>
      </w:r>
    </w:p>
    <w:p w14:paraId="61DAA256" w14:textId="77777777" w:rsidR="00E54970" w:rsidRPr="00673D7B" w:rsidRDefault="00E54970" w:rsidP="00673D7B"/>
    <w:p w14:paraId="3DE1E64E" w14:textId="482B862A" w:rsidR="00A33B42" w:rsidRPr="009028A6" w:rsidRDefault="00377401" w:rsidP="00A33B42">
      <w:pPr>
        <w:pStyle w:val="Figurecaption"/>
        <w:rPr>
          <w:b/>
          <w:bCs/>
        </w:rPr>
      </w:pPr>
      <w:r>
        <w:rPr>
          <w:noProof/>
        </w:rPr>
        <w:lastRenderedPageBreak/>
        <w:drawing>
          <wp:inline distT="0" distB="0" distL="0" distR="0" wp14:anchorId="3E6D576E" wp14:editId="79F57DF0">
            <wp:extent cx="5687695" cy="4297045"/>
            <wp:effectExtent l="0" t="0" r="8255" b="8255"/>
            <wp:docPr id="9" name="Picture 1" descr="Figure 8: Time on treatment for TKIs for CML in days including breaks ">
              <a:extLst xmlns:a="http://schemas.openxmlformats.org/drawingml/2006/main">
                <a:ext uri="{FF2B5EF4-FFF2-40B4-BE49-F238E27FC236}">
                  <a16:creationId xmlns:a16="http://schemas.microsoft.com/office/drawing/2014/main" id="{B7067829-5900-BC4D-2FBB-A95E56A02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Figure 8: Time on treatment for TKIs for CML in days including breaks ">
                      <a:extLst>
                        <a:ext uri="{FF2B5EF4-FFF2-40B4-BE49-F238E27FC236}">
                          <a16:creationId xmlns:a16="http://schemas.microsoft.com/office/drawing/2014/main" id="{B7067829-5900-BC4D-2FBB-A95E56A02991}"/>
                        </a:ext>
                      </a:extLst>
                    </pic:cNvPr>
                    <pic:cNvPicPr>
                      <a:picLocks noChangeAspect="1"/>
                    </pic:cNvPicPr>
                  </pic:nvPicPr>
                  <pic:blipFill>
                    <a:blip r:embed="rId18"/>
                    <a:stretch>
                      <a:fillRect/>
                    </a:stretch>
                  </pic:blipFill>
                  <pic:spPr>
                    <a:xfrm>
                      <a:off x="0" y="0"/>
                      <a:ext cx="5687695" cy="4297045"/>
                    </a:xfrm>
                    <a:prstGeom prst="rect">
                      <a:avLst/>
                    </a:prstGeom>
                  </pic:spPr>
                </pic:pic>
              </a:graphicData>
            </a:graphic>
          </wp:inline>
        </w:drawing>
      </w:r>
      <w:r w:rsidR="00A33B42">
        <w:br/>
      </w:r>
      <w:r w:rsidR="00A33B42" w:rsidRPr="009028A6">
        <w:rPr>
          <w:b/>
          <w:bCs/>
        </w:rPr>
        <w:t>Figure 8: Time on treatment for TKIs for CML</w:t>
      </w:r>
      <w:r w:rsidR="00FA09EF">
        <w:rPr>
          <w:b/>
          <w:bCs/>
        </w:rPr>
        <w:t xml:space="preserve"> in days</w:t>
      </w:r>
      <w:r w:rsidR="00A33B42" w:rsidRPr="009028A6">
        <w:rPr>
          <w:b/>
          <w:bCs/>
        </w:rPr>
        <w:t xml:space="preserve"> including breaks </w:t>
      </w:r>
    </w:p>
    <w:p w14:paraId="3A99C525" w14:textId="632C3EE1" w:rsidR="00A33B42" w:rsidRPr="00A33B42" w:rsidRDefault="00EA2B9F" w:rsidP="0075663A">
      <w:r>
        <w:t xml:space="preserve">Figure 8 shows the time on treatment </w:t>
      </w:r>
      <w:r w:rsidR="00B75C3A">
        <w:t xml:space="preserve">in days </w:t>
      </w:r>
      <w:r>
        <w:t>for TKIs for CML including treatment breaks</w:t>
      </w:r>
      <w:r w:rsidR="00657EED">
        <w:t>. This analysis use</w:t>
      </w:r>
      <w:r w:rsidR="00387161">
        <w:t>d</w:t>
      </w:r>
      <w:r w:rsidR="00657EED">
        <w:t xml:space="preserve"> </w:t>
      </w:r>
      <w:r w:rsidR="00DC78E8">
        <w:t xml:space="preserve">prescription data at any line of therapy. </w:t>
      </w:r>
      <w:r w:rsidR="00895CDF">
        <w:t xml:space="preserve">The </w:t>
      </w:r>
      <w:r w:rsidR="002F2C76">
        <w:t xml:space="preserve">time on treatment curves </w:t>
      </w:r>
      <w:r w:rsidR="00387161">
        <w:t>we</w:t>
      </w:r>
      <w:r w:rsidR="002F2C76">
        <w:t xml:space="preserve">re </w:t>
      </w:r>
      <w:r w:rsidR="00501A03">
        <w:t>similar for all TKIs however dasatinib and nilotinib show</w:t>
      </w:r>
      <w:r w:rsidR="00387161">
        <w:t>ed</w:t>
      </w:r>
      <w:r w:rsidR="00501A03">
        <w:t xml:space="preserve"> l</w:t>
      </w:r>
      <w:r w:rsidR="006D78BC">
        <w:t xml:space="preserve">ess cessation initially </w:t>
      </w:r>
      <w:r w:rsidR="00E52EE6">
        <w:t xml:space="preserve">while imatinib </w:t>
      </w:r>
      <w:r w:rsidR="001B7FA1">
        <w:t>maintain</w:t>
      </w:r>
      <w:r w:rsidR="00387161">
        <w:t>ed</w:t>
      </w:r>
      <w:r w:rsidR="001B7FA1">
        <w:t xml:space="preserve"> a long tail of use. </w:t>
      </w:r>
      <w:r w:rsidR="00DC78E8">
        <w:t>The median treatment duration for dasatinib was 1303 days</w:t>
      </w:r>
      <w:r w:rsidR="00895CDF">
        <w:t xml:space="preserve"> with 37% of patients censored. For imatinib the med</w:t>
      </w:r>
      <w:r w:rsidR="001B7FA1">
        <w:t xml:space="preserve">ian was 993 </w:t>
      </w:r>
      <w:r w:rsidR="00AE05CC">
        <w:t xml:space="preserve">days </w:t>
      </w:r>
      <w:r w:rsidR="001B7FA1">
        <w:t>with 21%</w:t>
      </w:r>
      <w:r w:rsidR="00AE05CC">
        <w:t xml:space="preserve"> </w:t>
      </w:r>
      <w:r w:rsidR="001B7FA1">
        <w:t>censored</w:t>
      </w:r>
      <w:r w:rsidR="00AE05CC">
        <w:t xml:space="preserve">. For nilotinib it was 1693 days with 35% censored and for ponatinib it was 409 days with 25% censored. </w:t>
      </w:r>
    </w:p>
    <w:p w14:paraId="433313A0" w14:textId="77777777" w:rsidR="00377401" w:rsidRDefault="00377401" w:rsidP="00377401"/>
    <w:p w14:paraId="63026E34" w14:textId="7680D9B7" w:rsidR="00A33B42" w:rsidRDefault="00BD6C9B" w:rsidP="00A33B42">
      <w:pPr>
        <w:pStyle w:val="Figurecaption"/>
      </w:pPr>
      <w:r>
        <w:rPr>
          <w:noProof/>
        </w:rPr>
        <w:lastRenderedPageBreak/>
        <w:drawing>
          <wp:inline distT="0" distB="0" distL="0" distR="0" wp14:anchorId="5EE092D9" wp14:editId="6C389C20">
            <wp:extent cx="5687695" cy="4283710"/>
            <wp:effectExtent l="0" t="0" r="8255" b="2540"/>
            <wp:docPr id="10" name="Picture 2" descr="Figure 9: Time on treatment for TKIs for CML excluding breaks ">
              <a:extLst xmlns:a="http://schemas.openxmlformats.org/drawingml/2006/main">
                <a:ext uri="{FF2B5EF4-FFF2-40B4-BE49-F238E27FC236}">
                  <a16:creationId xmlns:a16="http://schemas.microsoft.com/office/drawing/2014/main" id="{EAD44C73-3E5F-2B90-CD26-675813807C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Figure 9: Time on treatment for TKIs for CML excluding breaks ">
                      <a:extLst>
                        <a:ext uri="{FF2B5EF4-FFF2-40B4-BE49-F238E27FC236}">
                          <a16:creationId xmlns:a16="http://schemas.microsoft.com/office/drawing/2014/main" id="{EAD44C73-3E5F-2B90-CD26-675813807CE6}"/>
                        </a:ext>
                      </a:extLst>
                    </pic:cNvPr>
                    <pic:cNvPicPr>
                      <a:picLocks noChangeAspect="1"/>
                    </pic:cNvPicPr>
                  </pic:nvPicPr>
                  <pic:blipFill>
                    <a:blip r:embed="rId19"/>
                    <a:stretch>
                      <a:fillRect/>
                    </a:stretch>
                  </pic:blipFill>
                  <pic:spPr>
                    <a:xfrm>
                      <a:off x="0" y="0"/>
                      <a:ext cx="5687695" cy="4283710"/>
                    </a:xfrm>
                    <a:prstGeom prst="rect">
                      <a:avLst/>
                    </a:prstGeom>
                  </pic:spPr>
                </pic:pic>
              </a:graphicData>
            </a:graphic>
          </wp:inline>
        </w:drawing>
      </w:r>
      <w:r w:rsidR="00A33B42">
        <w:br/>
      </w:r>
      <w:r w:rsidR="00A33B42" w:rsidRPr="009028A6">
        <w:rPr>
          <w:b/>
          <w:bCs/>
        </w:rPr>
        <w:t>Figure 9: Time on treatment for TKIs for CML excluding breaks</w:t>
      </w:r>
      <w:r w:rsidR="00A33B42">
        <w:t xml:space="preserve"> </w:t>
      </w:r>
    </w:p>
    <w:p w14:paraId="1E5E05BD" w14:textId="4FB69431" w:rsidR="00A33B42" w:rsidRDefault="00624E85" w:rsidP="00377401">
      <w:r>
        <w:t xml:space="preserve">Figure 9 shows the time on treatment for TKIs for CML excluding treatment breaks. The trends largely mirror Figure 8 </w:t>
      </w:r>
      <w:r w:rsidR="000F5DC3">
        <w:t>with nilotinib and dasatinib having the highest median t</w:t>
      </w:r>
      <w:r w:rsidR="00D703DB">
        <w:t xml:space="preserve">reatment durations of 656 and 521 respectively with 20% of patients censored. Imatinib had a median treatment duration of 334 days with 7% censored however maintained the same </w:t>
      </w:r>
      <w:r w:rsidR="003D7575">
        <w:t>lengthy tail</w:t>
      </w:r>
      <w:r w:rsidR="00E56812">
        <w:t xml:space="preserve"> for supply</w:t>
      </w:r>
      <w:r w:rsidR="003D7575">
        <w:t>.</w:t>
      </w:r>
    </w:p>
    <w:p w14:paraId="36F4DCCC" w14:textId="77777777" w:rsidR="002631EA" w:rsidRDefault="002631EA" w:rsidP="00377401"/>
    <w:p w14:paraId="6D339F4A" w14:textId="77777777" w:rsidR="00BD6C9B" w:rsidRPr="00377401" w:rsidRDefault="00BD6C9B" w:rsidP="00377401"/>
    <w:p w14:paraId="1F928CF3" w14:textId="77777777" w:rsidR="00D52030" w:rsidRDefault="00D52030">
      <w:pPr>
        <w:spacing w:line="276" w:lineRule="auto"/>
        <w:rPr>
          <w:b/>
          <w:sz w:val="28"/>
        </w:rPr>
      </w:pPr>
      <w:r>
        <w:br w:type="page"/>
      </w:r>
    </w:p>
    <w:p w14:paraId="4F8723A6" w14:textId="7EA51E91" w:rsidR="00736041" w:rsidRDefault="001B5D37" w:rsidP="00F73113">
      <w:pPr>
        <w:pStyle w:val="Heading2"/>
      </w:pPr>
      <w:r w:rsidRPr="005E22C2">
        <w:lastRenderedPageBreak/>
        <w:t xml:space="preserve">Analysis </w:t>
      </w:r>
      <w:r w:rsidR="00481108" w:rsidRPr="005E22C2">
        <w:t xml:space="preserve">of </w:t>
      </w:r>
      <w:r w:rsidR="0063631C">
        <w:t>e</w:t>
      </w:r>
      <w:r w:rsidR="00736041" w:rsidRPr="005E22C2">
        <w:t>xpenditure</w:t>
      </w:r>
    </w:p>
    <w:p w14:paraId="5784005F" w14:textId="6BECCA52" w:rsidR="00A33B42" w:rsidRDefault="00795402" w:rsidP="00A33B42">
      <w:pPr>
        <w:pStyle w:val="Figurecaption"/>
      </w:pPr>
      <w:r>
        <w:rPr>
          <w:noProof/>
        </w:rPr>
        <w:drawing>
          <wp:inline distT="0" distB="0" distL="0" distR="0" wp14:anchorId="46BA313C" wp14:editId="5717B3CD">
            <wp:extent cx="5687695" cy="5558790"/>
            <wp:effectExtent l="0" t="0" r="8255" b="3810"/>
            <wp:docPr id="12" name="Picture 12" descr="Figure 10: Overall expenditure for all TKIs for CML since lis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0: Overall expenditure for all TKIs for CML since listing "/>
                    <pic:cNvPicPr/>
                  </pic:nvPicPr>
                  <pic:blipFill>
                    <a:blip r:embed="rId20"/>
                    <a:stretch>
                      <a:fillRect/>
                    </a:stretch>
                  </pic:blipFill>
                  <pic:spPr>
                    <a:xfrm>
                      <a:off x="0" y="0"/>
                      <a:ext cx="5687695" cy="5558790"/>
                    </a:xfrm>
                    <a:prstGeom prst="rect">
                      <a:avLst/>
                    </a:prstGeom>
                  </pic:spPr>
                </pic:pic>
              </a:graphicData>
            </a:graphic>
          </wp:inline>
        </w:drawing>
      </w:r>
      <w:r w:rsidR="00A33B42">
        <w:br/>
      </w:r>
      <w:r w:rsidR="00A33B42" w:rsidRPr="009028A6">
        <w:rPr>
          <w:b/>
          <w:bCs/>
        </w:rPr>
        <w:t xml:space="preserve">Figure 10: Overall expenditure for all </w:t>
      </w:r>
      <w:r w:rsidR="00583F55" w:rsidRPr="009028A6">
        <w:rPr>
          <w:b/>
          <w:bCs/>
        </w:rPr>
        <w:t>TKIs for CML since listing</w:t>
      </w:r>
      <w:r w:rsidR="00A33B42">
        <w:t xml:space="preserve"> </w:t>
      </w:r>
    </w:p>
    <w:p w14:paraId="15DB4E3E" w14:textId="6CE236E6" w:rsidR="00BD6C9B" w:rsidRPr="00BD6C9B" w:rsidRDefault="0060525A" w:rsidP="00BD6C9B">
      <w:r>
        <w:t>Figure 10 shows the overall expenditure for TKIs for CML since listing</w:t>
      </w:r>
      <w:r w:rsidR="0094450D">
        <w:t xml:space="preserve"> based on the published prices</w:t>
      </w:r>
      <w:r w:rsidR="0055771A">
        <w:t>. Expenditure for 2023 was $79 million which ha</w:t>
      </w:r>
      <w:r w:rsidR="00387161">
        <w:t xml:space="preserve">d </w:t>
      </w:r>
      <w:r w:rsidR="0055771A">
        <w:t>progressively decreased from a peak of approximately $138 million in 2015</w:t>
      </w:r>
      <w:r w:rsidR="004D3522">
        <w:t>. Imatinib ha</w:t>
      </w:r>
      <w:r w:rsidR="00387161">
        <w:t xml:space="preserve">d </w:t>
      </w:r>
      <w:r w:rsidR="004D3522">
        <w:t xml:space="preserve">a PBS expenditure of $1 billion for the CML indication since listing in </w:t>
      </w:r>
      <w:r w:rsidR="00FB1A57">
        <w:t xml:space="preserve">2003 followed by dasatinib at $543 million and nilotinib at $384 million. </w:t>
      </w:r>
      <w:r w:rsidR="004E1791">
        <w:t xml:space="preserve">Imatinib expenditure </w:t>
      </w:r>
      <w:r w:rsidR="000977EC">
        <w:t xml:space="preserve">as at 2023 </w:t>
      </w:r>
      <w:r w:rsidR="00387161">
        <w:t>wa</w:t>
      </w:r>
      <w:r w:rsidR="000977EC">
        <w:t xml:space="preserve">s </w:t>
      </w:r>
      <w:r w:rsidR="00387161">
        <w:t>lower than</w:t>
      </w:r>
      <w:r w:rsidR="00FF5AE4">
        <w:t xml:space="preserve"> dasatinib and nilotinib which represent</w:t>
      </w:r>
      <w:r w:rsidR="00387161">
        <w:t>ed</w:t>
      </w:r>
      <w:r w:rsidR="00FF5AE4">
        <w:t xml:space="preserve"> the majority of the $79 million expenditure. </w:t>
      </w:r>
    </w:p>
    <w:p w14:paraId="0FB48A03" w14:textId="77777777" w:rsidR="00FF5AE4" w:rsidRDefault="00FF5AE4">
      <w:pPr>
        <w:spacing w:line="276" w:lineRule="auto"/>
        <w:rPr>
          <w:rFonts w:eastAsiaTheme="majorEastAsia" w:cstheme="majorBidi"/>
          <w:b/>
          <w:bCs/>
          <w:sz w:val="32"/>
          <w:szCs w:val="32"/>
        </w:rPr>
      </w:pPr>
      <w:r>
        <w:br w:type="page"/>
      </w:r>
    </w:p>
    <w:p w14:paraId="3555DFBA" w14:textId="3C2EB7E5" w:rsidR="00591512" w:rsidRPr="00685DC4" w:rsidRDefault="00AB3733" w:rsidP="00F73113">
      <w:pPr>
        <w:pStyle w:val="Heading1"/>
        <w:rPr>
          <w:i/>
          <w:iCs/>
        </w:rPr>
      </w:pPr>
      <w:r>
        <w:lastRenderedPageBreak/>
        <w:t>D</w:t>
      </w:r>
      <w:r w:rsidR="007346C7" w:rsidRPr="005E22C2">
        <w:t>iscussion</w:t>
      </w:r>
      <w:r w:rsidR="00685DC4">
        <w:t xml:space="preserve"> and </w:t>
      </w:r>
      <w:r w:rsidR="00685DC4" w:rsidRPr="00231068">
        <w:t>DUSC Consideration</w:t>
      </w:r>
    </w:p>
    <w:p w14:paraId="5BF71D93" w14:textId="116C5821" w:rsidR="00FC4ACB" w:rsidRDefault="00B928B6" w:rsidP="00FC4ACB">
      <w:r>
        <w:t xml:space="preserve">The </w:t>
      </w:r>
      <w:r w:rsidR="00E677F3">
        <w:t>utilisation of nilotinib and dasatinib ha</w:t>
      </w:r>
      <w:r w:rsidR="00387161">
        <w:t>d</w:t>
      </w:r>
      <w:r w:rsidR="00E677F3">
        <w:t xml:space="preserve"> remained largely the same following the restriction change in 2022 relative to utilisation prior to the change. </w:t>
      </w:r>
      <w:r w:rsidR="00FC4ACB">
        <w:t>The PBAC recommended a reduction in restriction levels for dasatinib and nilotinib to Authority Required (Telephone) for initial treatment and Authority Required (STREAMLINED) for first and subsequent continuing treatment which was implemented in March 2022.</w:t>
      </w:r>
      <w:r w:rsidR="004F13F3">
        <w:t xml:space="preserve"> This change appeared to result in an increase in initiators on to dasatinib however </w:t>
      </w:r>
      <w:r w:rsidR="00944285">
        <w:t>the number of prescriptions per month ha</w:t>
      </w:r>
      <w:r w:rsidR="00387161">
        <w:t>d</w:t>
      </w:r>
      <w:r w:rsidR="00944285">
        <w:t xml:space="preserve"> not changed</w:t>
      </w:r>
      <w:r w:rsidR="008E4FDA">
        <w:t xml:space="preserve"> substantively</w:t>
      </w:r>
      <w:r w:rsidR="00944285">
        <w:t xml:space="preserve"> and expenditure remain</w:t>
      </w:r>
      <w:r w:rsidR="00387161">
        <w:t>ed</w:t>
      </w:r>
      <w:r w:rsidR="00944285">
        <w:t xml:space="preserve"> similar. </w:t>
      </w:r>
    </w:p>
    <w:p w14:paraId="44CAD4EF" w14:textId="694CB7F6" w:rsidR="00685DC4" w:rsidRPr="00231068" w:rsidRDefault="00685DC4" w:rsidP="00685DC4">
      <w:r w:rsidRPr="00231068">
        <w:t xml:space="preserve">DUSC considered the slight increase in dasatinib utilisation over nilotinib was likely due to the more favourable safety profile with clinicians preferring to use nilotinib in younger patients. </w:t>
      </w:r>
    </w:p>
    <w:p w14:paraId="069CF41E" w14:textId="77777777" w:rsidR="00F04840" w:rsidRDefault="00F04840" w:rsidP="00FC4ACB"/>
    <w:p w14:paraId="7AB64BBC" w14:textId="77777777" w:rsidR="00FF5AE4" w:rsidRDefault="00FF5AE4">
      <w:pPr>
        <w:spacing w:line="276" w:lineRule="auto"/>
        <w:rPr>
          <w:rFonts w:eastAsiaTheme="majorEastAsia" w:cstheme="majorBidi"/>
          <w:b/>
          <w:bCs/>
          <w:sz w:val="32"/>
          <w:szCs w:val="32"/>
        </w:rPr>
      </w:pPr>
      <w:r>
        <w:br w:type="page"/>
      </w:r>
    </w:p>
    <w:p w14:paraId="4D21258E" w14:textId="77777777" w:rsidR="00685DC4" w:rsidRDefault="00685DC4" w:rsidP="00685DC4">
      <w:pPr>
        <w:pStyle w:val="Heading1"/>
      </w:pPr>
      <w:r>
        <w:lastRenderedPageBreak/>
        <w:t>DUSC actions</w:t>
      </w:r>
    </w:p>
    <w:p w14:paraId="0BAA9739" w14:textId="77777777" w:rsidR="00685DC4" w:rsidRPr="007A33E3" w:rsidRDefault="00685DC4" w:rsidP="00685DC4">
      <w:pPr>
        <w:rPr>
          <w:highlight w:val="yellow"/>
        </w:rPr>
      </w:pPr>
      <w:r w:rsidRPr="007A33E3">
        <w:rPr>
          <w:rFonts w:eastAsia="Calibri"/>
          <w:kern w:val="2"/>
          <w14:ligatures w14:val="standardContextual"/>
        </w:rPr>
        <w:t>DUSC requested that the report be provided to the PBAC for consideration.</w:t>
      </w:r>
    </w:p>
    <w:p w14:paraId="2A7828FF" w14:textId="77777777" w:rsidR="00685DC4" w:rsidRDefault="00685DC4" w:rsidP="00685DC4">
      <w:pPr>
        <w:pStyle w:val="Heading1"/>
      </w:pPr>
      <w:r w:rsidRPr="0092516A">
        <w:t>Context for analysis</w:t>
      </w:r>
    </w:p>
    <w:p w14:paraId="5EC97675" w14:textId="77777777" w:rsidR="00685DC4" w:rsidRDefault="00685DC4" w:rsidP="00685DC4">
      <w:r>
        <w:t>The DUSC is a Sub Committee of the Pharmaceutical Benefits Advisory Committee (PBAC). The DUSC assesses estimates on projected usage and financial cost of medicines.</w:t>
      </w:r>
    </w:p>
    <w:p w14:paraId="71D24CB4" w14:textId="77777777" w:rsidR="00685DC4" w:rsidRDefault="00685DC4" w:rsidP="00685DC4">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2BD58C4E" w14:textId="77777777" w:rsidR="00685DC4" w:rsidRDefault="00685DC4" w:rsidP="00685DC4">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A744A01" w14:textId="77777777" w:rsidR="00685DC4" w:rsidRDefault="00685DC4" w:rsidP="00685DC4">
      <w:r>
        <w:t>The utilisation analysis report was provided to the pharmaceutical sponsors of each drug and comments on the report were provided to DUSC prior to its consideration of the analysis.</w:t>
      </w:r>
    </w:p>
    <w:p w14:paraId="25D65B04" w14:textId="2250B4EC" w:rsidR="00FE645A" w:rsidRDefault="00685DC4" w:rsidP="00685DC4">
      <w:pPr>
        <w:pStyle w:val="Heading1"/>
      </w:pPr>
      <w:r>
        <w:t>Sponsor</w:t>
      </w:r>
      <w:r w:rsidRPr="0092516A">
        <w:t>s</w:t>
      </w:r>
      <w:r>
        <w:t>’</w:t>
      </w:r>
      <w:r w:rsidRPr="0092516A">
        <w:t xml:space="preserve"> comments</w:t>
      </w:r>
    </w:p>
    <w:p w14:paraId="7E9AFB01" w14:textId="171D9B68" w:rsidR="00673FC6" w:rsidRDefault="00673FC6" w:rsidP="00673FC6">
      <w:r>
        <w:t>Alphapharm Pty Ltd:</w:t>
      </w:r>
      <w:r w:rsidR="00402F6F">
        <w:t xml:space="preserve"> The sponsor ha</w:t>
      </w:r>
      <w:r w:rsidR="005B21CB">
        <w:t>d</w:t>
      </w:r>
      <w:r w:rsidR="00402F6F">
        <w:t xml:space="preserve"> no comment.</w:t>
      </w:r>
    </w:p>
    <w:p w14:paraId="1A9C617B" w14:textId="4F341E63" w:rsidR="00673FC6" w:rsidRDefault="00673FC6" w:rsidP="00673FC6">
      <w:r>
        <w:t>Bristol-Myers Squibb Australia Pty Ltd:</w:t>
      </w:r>
      <w:r w:rsidR="00402F6F">
        <w:t xml:space="preserve"> The sponsor ha</w:t>
      </w:r>
      <w:r w:rsidR="005B21CB">
        <w:t>d</w:t>
      </w:r>
      <w:r w:rsidR="00402F6F">
        <w:t xml:space="preserve"> no comment.</w:t>
      </w:r>
    </w:p>
    <w:p w14:paraId="7C5478EE" w14:textId="1E11BCD1" w:rsidR="00673FC6" w:rsidRDefault="00673FC6" w:rsidP="00673FC6">
      <w:r>
        <w:t>Dr Reddy's Laboratories (Australia) Pty Ltd:</w:t>
      </w:r>
      <w:r w:rsidR="00402F6F">
        <w:t xml:space="preserve"> The sponsor ha</w:t>
      </w:r>
      <w:r w:rsidR="005B21CB">
        <w:t>d</w:t>
      </w:r>
      <w:r w:rsidR="00402F6F">
        <w:t xml:space="preserve"> no comment.</w:t>
      </w:r>
    </w:p>
    <w:p w14:paraId="4FB04D14" w14:textId="7F2B3910" w:rsidR="00673FC6" w:rsidRDefault="00673FC6" w:rsidP="00673FC6">
      <w:r>
        <w:t>Novartis Pharmaceuticals Australia Pty Limited:</w:t>
      </w:r>
      <w:r w:rsidR="00402F6F">
        <w:t xml:space="preserve"> The sponsor ha</w:t>
      </w:r>
      <w:r w:rsidR="005B21CB">
        <w:t>d</w:t>
      </w:r>
      <w:r w:rsidR="00402F6F">
        <w:t xml:space="preserve"> no comment.</w:t>
      </w:r>
    </w:p>
    <w:p w14:paraId="3989D39B" w14:textId="017DBDD3" w:rsidR="00673FC6" w:rsidRDefault="00673FC6" w:rsidP="00673FC6">
      <w:r>
        <w:t>Sandoz Pty Ltd:</w:t>
      </w:r>
      <w:r w:rsidR="00402F6F">
        <w:t xml:space="preserve"> The sponsor ha</w:t>
      </w:r>
      <w:r w:rsidR="005B21CB">
        <w:t>d</w:t>
      </w:r>
      <w:r w:rsidR="00402F6F">
        <w:t xml:space="preserve"> no comment.</w:t>
      </w:r>
    </w:p>
    <w:p w14:paraId="5F273C1E" w14:textId="129F86E5" w:rsidR="00685DC4" w:rsidRPr="00685DC4" w:rsidRDefault="00673FC6" w:rsidP="00685DC4">
      <w:r>
        <w:t>Sun Pharma Anz Pty Ltd:</w:t>
      </w:r>
      <w:r w:rsidR="00402F6F">
        <w:t xml:space="preserve"> The sponsor ha</w:t>
      </w:r>
      <w:r w:rsidR="005B21CB">
        <w:t>d</w:t>
      </w:r>
      <w:r w:rsidR="00402F6F">
        <w:t xml:space="preserve"> no comment.</w:t>
      </w:r>
    </w:p>
    <w:p w14:paraId="6EAF2D59" w14:textId="77777777" w:rsidR="00685DC4" w:rsidRDefault="00685DC4" w:rsidP="00685DC4">
      <w:pPr>
        <w:pStyle w:val="Heading1"/>
      </w:pPr>
      <w:r w:rsidRPr="00A4020E">
        <w:t>Disclaimer</w:t>
      </w:r>
    </w:p>
    <w:p w14:paraId="516BB262" w14:textId="77777777" w:rsidR="00685DC4" w:rsidRDefault="00685DC4" w:rsidP="00685DC4">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2BA7279A" w14:textId="77777777" w:rsidR="00685DC4" w:rsidRDefault="00685DC4" w:rsidP="00685DC4">
      <w:r>
        <w:lastRenderedPageBreak/>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46A71C28" w14:textId="77777777" w:rsidR="00685DC4" w:rsidRDefault="00685DC4" w:rsidP="00685DC4">
      <w:r>
        <w:t xml:space="preserve">To the extent provided by law, the Department of Health and Aged Care makes no warranties or representations as to accuracy or completeness of information contained in this report. </w:t>
      </w:r>
    </w:p>
    <w:p w14:paraId="13F002E0" w14:textId="77777777" w:rsidR="00685DC4" w:rsidRDefault="00685DC4" w:rsidP="00685DC4">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79AB04C4" w14:textId="77777777" w:rsidR="00685DC4" w:rsidRPr="0003046A" w:rsidRDefault="00685DC4" w:rsidP="00685DC4"/>
    <w:p w14:paraId="73B3A35C" w14:textId="77777777" w:rsidR="00685DC4" w:rsidRPr="00685DC4" w:rsidRDefault="00685DC4" w:rsidP="00685DC4"/>
    <w:sectPr w:rsidR="00685DC4" w:rsidRPr="00685DC4" w:rsidSect="00DD188C">
      <w:footerReference w:type="even" r:id="rId21"/>
      <w:footerReference w:type="default" r:id="rId22"/>
      <w:footerReference w:type="first" r:id="rId23"/>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4A91" w14:textId="77777777" w:rsidR="0019159A" w:rsidRDefault="0019159A" w:rsidP="00A35800">
      <w:r>
        <w:separator/>
      </w:r>
    </w:p>
  </w:endnote>
  <w:endnote w:type="continuationSeparator" w:id="0">
    <w:p w14:paraId="4A153A87" w14:textId="77777777" w:rsidR="0019159A" w:rsidRDefault="0019159A"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425F005C" w14:textId="77777777" w:rsidR="00685DC4" w:rsidRPr="000E72C6" w:rsidRDefault="00685DC4" w:rsidP="00685DC4">
            <w:pPr>
              <w:pStyle w:val="Footer"/>
              <w:jc w:val="center"/>
              <w:rPr>
                <w:i/>
                <w:sz w:val="20"/>
              </w:rPr>
            </w:pPr>
            <w:r>
              <w:rPr>
                <w:i/>
                <w:sz w:val="20"/>
              </w:rPr>
              <w:t>Public Release Document, October 2024 DUSC Meeting</w:t>
            </w:r>
          </w:p>
          <w:p w14:paraId="10292A9A" w14:textId="519DADE7"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FA1BA3">
              <w:rPr>
                <w:bCs/>
                <w:i/>
                <w:noProof/>
                <w:sz w:val="20"/>
              </w:rPr>
              <w:t>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FA1BA3">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01B82" w14:textId="77777777" w:rsidR="0019159A" w:rsidRDefault="0019159A" w:rsidP="00A35800">
      <w:r>
        <w:separator/>
      </w:r>
    </w:p>
  </w:footnote>
  <w:footnote w:type="continuationSeparator" w:id="0">
    <w:p w14:paraId="1E35D02B" w14:textId="77777777" w:rsidR="0019159A" w:rsidRDefault="0019159A" w:rsidP="00A35800">
      <w:r>
        <w:continuationSeparator/>
      </w:r>
    </w:p>
  </w:footnote>
  <w:footnote w:id="1">
    <w:p w14:paraId="24849C09" w14:textId="7C3528B0" w:rsidR="00B844AF" w:rsidRDefault="00B844AF">
      <w:pPr>
        <w:pStyle w:val="FootnoteText"/>
      </w:pPr>
      <w:r>
        <w:rPr>
          <w:rStyle w:val="FootnoteReference"/>
        </w:rPr>
        <w:footnoteRef/>
      </w:r>
      <w:r>
        <w:t xml:space="preserve"> Chronic Myeloid Leukaemia</w:t>
      </w:r>
      <w:r w:rsidR="00CA5358">
        <w:t xml:space="preserve"> [revised 2024, May]</w:t>
      </w:r>
      <w:r w:rsidR="00282DED">
        <w:t xml:space="preserve"> Leukaemia Foundation.</w:t>
      </w:r>
      <w:r w:rsidR="00CA5358">
        <w:t xml:space="preserve"> Available from </w:t>
      </w:r>
      <w:r w:rsidR="00CA5358" w:rsidRPr="00CA5358">
        <w:t>https://www.leukaemia.org.au/blood-cancer/types-of-blood-cancer/leukaemia/chronic-myeloid-leukaemia/</w:t>
      </w:r>
    </w:p>
  </w:footnote>
  <w:footnote w:id="2">
    <w:p w14:paraId="247FCF79" w14:textId="4ABB70CE" w:rsidR="00437936" w:rsidRDefault="00437936">
      <w:pPr>
        <w:pStyle w:val="FootnoteText"/>
      </w:pPr>
      <w:r>
        <w:rPr>
          <w:rStyle w:val="FootnoteReference"/>
        </w:rPr>
        <w:footnoteRef/>
      </w:r>
      <w:r>
        <w:t xml:space="preserve"> </w:t>
      </w:r>
      <w:r w:rsidR="0016602D">
        <w:t xml:space="preserve">Product Information </w:t>
      </w:r>
      <w:r w:rsidR="000E0114">
        <w:t>imatinib (tga.gov.au)</w:t>
      </w:r>
    </w:p>
  </w:footnote>
  <w:footnote w:id="3">
    <w:p w14:paraId="15EE89A0" w14:textId="6AC56661" w:rsidR="000E0114" w:rsidRDefault="000E0114">
      <w:pPr>
        <w:pStyle w:val="FootnoteText"/>
      </w:pPr>
      <w:r>
        <w:rPr>
          <w:rStyle w:val="FootnoteReference"/>
        </w:rPr>
        <w:footnoteRef/>
      </w:r>
      <w:r>
        <w:t xml:space="preserve"> Product Information dasatinib (tga.gov.au)</w:t>
      </w:r>
    </w:p>
  </w:footnote>
  <w:footnote w:id="4">
    <w:p w14:paraId="35919DDE" w14:textId="38D31883" w:rsidR="000E0114" w:rsidRDefault="000E0114">
      <w:pPr>
        <w:pStyle w:val="FootnoteText"/>
      </w:pPr>
      <w:r>
        <w:rPr>
          <w:rStyle w:val="FootnoteReference"/>
        </w:rPr>
        <w:footnoteRef/>
      </w:r>
      <w:r>
        <w:t xml:space="preserve"> Product Information nilotinib (tga.gov.au)</w:t>
      </w:r>
    </w:p>
  </w:footnote>
  <w:footnote w:id="5">
    <w:p w14:paraId="26E6D188" w14:textId="7192FAC6" w:rsidR="000E0114" w:rsidRDefault="000E0114">
      <w:pPr>
        <w:pStyle w:val="FootnoteText"/>
      </w:pPr>
      <w:r>
        <w:rPr>
          <w:rStyle w:val="FootnoteReference"/>
        </w:rPr>
        <w:footnoteRef/>
      </w:r>
      <w:r>
        <w:t xml:space="preserve"> Product Information </w:t>
      </w:r>
      <w:r w:rsidR="00D91862">
        <w:t>ponatinib (tga.gov.au)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21D3"/>
    <w:multiLevelType w:val="hybridMultilevel"/>
    <w:tmpl w:val="45508F70"/>
    <w:lvl w:ilvl="0" w:tplc="0C090001">
      <w:start w:val="1"/>
      <w:numFmt w:val="bullet"/>
      <w:lvlText w:val=""/>
      <w:lvlJc w:val="left"/>
      <w:pPr>
        <w:ind w:left="720" w:hanging="360"/>
      </w:pPr>
      <w:rPr>
        <w:rFonts w:ascii="Symbol" w:hAnsi="Symbol" w:hint="default"/>
      </w:rPr>
    </w:lvl>
    <w:lvl w:ilvl="1" w:tplc="35BE45FE">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6548F"/>
    <w:multiLevelType w:val="hybridMultilevel"/>
    <w:tmpl w:val="15AA8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E5DFB"/>
    <w:multiLevelType w:val="hybridMultilevel"/>
    <w:tmpl w:val="528C1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C2007"/>
    <w:multiLevelType w:val="hybridMultilevel"/>
    <w:tmpl w:val="C166D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1E55A7"/>
    <w:multiLevelType w:val="hybridMultilevel"/>
    <w:tmpl w:val="3B1C1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55335B"/>
    <w:multiLevelType w:val="hybridMultilevel"/>
    <w:tmpl w:val="BFD4D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D4658C"/>
    <w:multiLevelType w:val="hybridMultilevel"/>
    <w:tmpl w:val="F3B4EF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1508BB"/>
    <w:multiLevelType w:val="hybridMultilevel"/>
    <w:tmpl w:val="3576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CF8475C"/>
    <w:multiLevelType w:val="hybridMultilevel"/>
    <w:tmpl w:val="05CA6920"/>
    <w:lvl w:ilvl="0" w:tplc="35BE45FE">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E07CC6"/>
    <w:multiLevelType w:val="hybridMultilevel"/>
    <w:tmpl w:val="15CC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95B7BB7"/>
    <w:multiLevelType w:val="hybridMultilevel"/>
    <w:tmpl w:val="B8763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1895675">
    <w:abstractNumId w:val="12"/>
  </w:num>
  <w:num w:numId="2" w16cid:durableId="273484188">
    <w:abstractNumId w:val="9"/>
  </w:num>
  <w:num w:numId="3" w16cid:durableId="1434401649">
    <w:abstractNumId w:val="4"/>
  </w:num>
  <w:num w:numId="4" w16cid:durableId="1748728869">
    <w:abstractNumId w:val="11"/>
  </w:num>
  <w:num w:numId="5" w16cid:durableId="1295677197">
    <w:abstractNumId w:val="2"/>
  </w:num>
  <w:num w:numId="6" w16cid:durableId="650914919">
    <w:abstractNumId w:val="7"/>
  </w:num>
  <w:num w:numId="7" w16cid:durableId="1715692121">
    <w:abstractNumId w:val="6"/>
  </w:num>
  <w:num w:numId="8" w16cid:durableId="1575359852">
    <w:abstractNumId w:val="0"/>
  </w:num>
  <w:num w:numId="9" w16cid:durableId="1023482675">
    <w:abstractNumId w:val="5"/>
  </w:num>
  <w:num w:numId="10" w16cid:durableId="516231270">
    <w:abstractNumId w:val="8"/>
  </w:num>
  <w:num w:numId="11" w16cid:durableId="814876785">
    <w:abstractNumId w:val="3"/>
  </w:num>
  <w:num w:numId="12" w16cid:durableId="827358506">
    <w:abstractNumId w:val="13"/>
  </w:num>
  <w:num w:numId="13" w16cid:durableId="1549367697">
    <w:abstractNumId w:val="1"/>
  </w:num>
  <w:num w:numId="14" w16cid:durableId="158992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3D11"/>
    <w:rsid w:val="00005849"/>
    <w:rsid w:val="00007E85"/>
    <w:rsid w:val="00013465"/>
    <w:rsid w:val="0001380A"/>
    <w:rsid w:val="000226B3"/>
    <w:rsid w:val="00024549"/>
    <w:rsid w:val="0003235E"/>
    <w:rsid w:val="0003568B"/>
    <w:rsid w:val="000544B6"/>
    <w:rsid w:val="000604AF"/>
    <w:rsid w:val="0007647E"/>
    <w:rsid w:val="00077159"/>
    <w:rsid w:val="00085ABA"/>
    <w:rsid w:val="00086408"/>
    <w:rsid w:val="00086C11"/>
    <w:rsid w:val="00094DCF"/>
    <w:rsid w:val="000960D5"/>
    <w:rsid w:val="000977EC"/>
    <w:rsid w:val="000A6CFD"/>
    <w:rsid w:val="000B0982"/>
    <w:rsid w:val="000B5A00"/>
    <w:rsid w:val="000B796C"/>
    <w:rsid w:val="000C0A09"/>
    <w:rsid w:val="000C46BB"/>
    <w:rsid w:val="000C4D9D"/>
    <w:rsid w:val="000C7C4B"/>
    <w:rsid w:val="000C7D8B"/>
    <w:rsid w:val="000D3162"/>
    <w:rsid w:val="000D6CD1"/>
    <w:rsid w:val="000E0114"/>
    <w:rsid w:val="000E485D"/>
    <w:rsid w:val="000E72C6"/>
    <w:rsid w:val="000E78D9"/>
    <w:rsid w:val="000F17B7"/>
    <w:rsid w:val="000F1893"/>
    <w:rsid w:val="000F2910"/>
    <w:rsid w:val="000F2AF5"/>
    <w:rsid w:val="000F2F51"/>
    <w:rsid w:val="000F532D"/>
    <w:rsid w:val="000F5DC3"/>
    <w:rsid w:val="00113CF8"/>
    <w:rsid w:val="00113D74"/>
    <w:rsid w:val="00117C5C"/>
    <w:rsid w:val="001310AE"/>
    <w:rsid w:val="00134C63"/>
    <w:rsid w:val="001420B3"/>
    <w:rsid w:val="001460C4"/>
    <w:rsid w:val="0014748A"/>
    <w:rsid w:val="001518F9"/>
    <w:rsid w:val="0015691C"/>
    <w:rsid w:val="00160FFD"/>
    <w:rsid w:val="001621F7"/>
    <w:rsid w:val="001624D7"/>
    <w:rsid w:val="00163E83"/>
    <w:rsid w:val="0016602D"/>
    <w:rsid w:val="0016708B"/>
    <w:rsid w:val="00177B86"/>
    <w:rsid w:val="00182585"/>
    <w:rsid w:val="00183446"/>
    <w:rsid w:val="00191182"/>
    <w:rsid w:val="0019159A"/>
    <w:rsid w:val="0019161D"/>
    <w:rsid w:val="0019664D"/>
    <w:rsid w:val="001A6103"/>
    <w:rsid w:val="001B5D37"/>
    <w:rsid w:val="001B7FA1"/>
    <w:rsid w:val="001C2940"/>
    <w:rsid w:val="001C4016"/>
    <w:rsid w:val="001C548D"/>
    <w:rsid w:val="001C5F52"/>
    <w:rsid w:val="001C6A5D"/>
    <w:rsid w:val="001E1E4B"/>
    <w:rsid w:val="001E31A6"/>
    <w:rsid w:val="001E42C7"/>
    <w:rsid w:val="001E4CAB"/>
    <w:rsid w:val="001E74D1"/>
    <w:rsid w:val="001E75BE"/>
    <w:rsid w:val="001F0A4E"/>
    <w:rsid w:val="001F2F3E"/>
    <w:rsid w:val="001F4906"/>
    <w:rsid w:val="001F5DE2"/>
    <w:rsid w:val="001F7C4A"/>
    <w:rsid w:val="0020578A"/>
    <w:rsid w:val="00207631"/>
    <w:rsid w:val="00214013"/>
    <w:rsid w:val="00220FC1"/>
    <w:rsid w:val="00222E9A"/>
    <w:rsid w:val="00227622"/>
    <w:rsid w:val="00231068"/>
    <w:rsid w:val="0023179D"/>
    <w:rsid w:val="002338C3"/>
    <w:rsid w:val="0025389D"/>
    <w:rsid w:val="00254E02"/>
    <w:rsid w:val="0026265F"/>
    <w:rsid w:val="002631EA"/>
    <w:rsid w:val="00273F97"/>
    <w:rsid w:val="00281524"/>
    <w:rsid w:val="002818C2"/>
    <w:rsid w:val="00282DED"/>
    <w:rsid w:val="00286189"/>
    <w:rsid w:val="00286C3A"/>
    <w:rsid w:val="002930F5"/>
    <w:rsid w:val="002A006C"/>
    <w:rsid w:val="002A06B7"/>
    <w:rsid w:val="002A5A43"/>
    <w:rsid w:val="002B02B5"/>
    <w:rsid w:val="002B6591"/>
    <w:rsid w:val="002C6E0C"/>
    <w:rsid w:val="002D144A"/>
    <w:rsid w:val="002E19A3"/>
    <w:rsid w:val="002E212B"/>
    <w:rsid w:val="002E3337"/>
    <w:rsid w:val="002E6D03"/>
    <w:rsid w:val="002F2C76"/>
    <w:rsid w:val="002F49A8"/>
    <w:rsid w:val="002F5E66"/>
    <w:rsid w:val="002F61CA"/>
    <w:rsid w:val="0030010D"/>
    <w:rsid w:val="00307CFF"/>
    <w:rsid w:val="00321185"/>
    <w:rsid w:val="00322412"/>
    <w:rsid w:val="0032645A"/>
    <w:rsid w:val="003345D8"/>
    <w:rsid w:val="0033504C"/>
    <w:rsid w:val="00336816"/>
    <w:rsid w:val="003370D0"/>
    <w:rsid w:val="00337355"/>
    <w:rsid w:val="00340239"/>
    <w:rsid w:val="003402E4"/>
    <w:rsid w:val="00340F95"/>
    <w:rsid w:val="003531ED"/>
    <w:rsid w:val="00357A3C"/>
    <w:rsid w:val="00360B9A"/>
    <w:rsid w:val="003719CC"/>
    <w:rsid w:val="00377401"/>
    <w:rsid w:val="003843F6"/>
    <w:rsid w:val="00384418"/>
    <w:rsid w:val="00387161"/>
    <w:rsid w:val="0039017F"/>
    <w:rsid w:val="00394AEE"/>
    <w:rsid w:val="00395A98"/>
    <w:rsid w:val="003A6143"/>
    <w:rsid w:val="003C2D98"/>
    <w:rsid w:val="003C518B"/>
    <w:rsid w:val="003C7BD0"/>
    <w:rsid w:val="003D3A96"/>
    <w:rsid w:val="003D3B9C"/>
    <w:rsid w:val="003D7575"/>
    <w:rsid w:val="003E7ED5"/>
    <w:rsid w:val="003F7BA8"/>
    <w:rsid w:val="00402F6F"/>
    <w:rsid w:val="00404F03"/>
    <w:rsid w:val="00412051"/>
    <w:rsid w:val="00423B94"/>
    <w:rsid w:val="00430875"/>
    <w:rsid w:val="00437936"/>
    <w:rsid w:val="004530E1"/>
    <w:rsid w:val="00454F0E"/>
    <w:rsid w:val="00463731"/>
    <w:rsid w:val="0046400A"/>
    <w:rsid w:val="00467B25"/>
    <w:rsid w:val="00481108"/>
    <w:rsid w:val="0049042B"/>
    <w:rsid w:val="00495361"/>
    <w:rsid w:val="00495473"/>
    <w:rsid w:val="004A458E"/>
    <w:rsid w:val="004B23E7"/>
    <w:rsid w:val="004B306F"/>
    <w:rsid w:val="004C3186"/>
    <w:rsid w:val="004C5042"/>
    <w:rsid w:val="004D04B4"/>
    <w:rsid w:val="004D3522"/>
    <w:rsid w:val="004D491A"/>
    <w:rsid w:val="004E00E0"/>
    <w:rsid w:val="004E1791"/>
    <w:rsid w:val="004E4422"/>
    <w:rsid w:val="004F13F3"/>
    <w:rsid w:val="00501A03"/>
    <w:rsid w:val="00503998"/>
    <w:rsid w:val="00503DC6"/>
    <w:rsid w:val="0050436F"/>
    <w:rsid w:val="0050623B"/>
    <w:rsid w:val="00506B99"/>
    <w:rsid w:val="0051508F"/>
    <w:rsid w:val="00523181"/>
    <w:rsid w:val="00524D13"/>
    <w:rsid w:val="005274A0"/>
    <w:rsid w:val="005339F6"/>
    <w:rsid w:val="0055771A"/>
    <w:rsid w:val="00565AD2"/>
    <w:rsid w:val="005766BC"/>
    <w:rsid w:val="00576B18"/>
    <w:rsid w:val="00583F55"/>
    <w:rsid w:val="00587724"/>
    <w:rsid w:val="00591512"/>
    <w:rsid w:val="00591B21"/>
    <w:rsid w:val="005A334A"/>
    <w:rsid w:val="005B21CB"/>
    <w:rsid w:val="005B2AA9"/>
    <w:rsid w:val="005B2D91"/>
    <w:rsid w:val="005B48B4"/>
    <w:rsid w:val="005C54AE"/>
    <w:rsid w:val="005C6661"/>
    <w:rsid w:val="005C6E3B"/>
    <w:rsid w:val="005D474B"/>
    <w:rsid w:val="005D75ED"/>
    <w:rsid w:val="005E085C"/>
    <w:rsid w:val="005E147D"/>
    <w:rsid w:val="005E22C2"/>
    <w:rsid w:val="005E57BB"/>
    <w:rsid w:val="005F0017"/>
    <w:rsid w:val="005F5084"/>
    <w:rsid w:val="006014F1"/>
    <w:rsid w:val="0060525A"/>
    <w:rsid w:val="0061209B"/>
    <w:rsid w:val="0061357B"/>
    <w:rsid w:val="00613612"/>
    <w:rsid w:val="00614A7D"/>
    <w:rsid w:val="00622085"/>
    <w:rsid w:val="00624E85"/>
    <w:rsid w:val="00630930"/>
    <w:rsid w:val="00631169"/>
    <w:rsid w:val="00635B8A"/>
    <w:rsid w:val="0063631C"/>
    <w:rsid w:val="0063757B"/>
    <w:rsid w:val="006377CE"/>
    <w:rsid w:val="00641AB1"/>
    <w:rsid w:val="00644A6C"/>
    <w:rsid w:val="00646AC0"/>
    <w:rsid w:val="006537D9"/>
    <w:rsid w:val="00654B45"/>
    <w:rsid w:val="00657EED"/>
    <w:rsid w:val="00661A6A"/>
    <w:rsid w:val="00664A48"/>
    <w:rsid w:val="00665DEF"/>
    <w:rsid w:val="006734B6"/>
    <w:rsid w:val="00673D7B"/>
    <w:rsid w:val="00673FC6"/>
    <w:rsid w:val="00675BB1"/>
    <w:rsid w:val="006775F1"/>
    <w:rsid w:val="00681B32"/>
    <w:rsid w:val="00685DC4"/>
    <w:rsid w:val="00690C08"/>
    <w:rsid w:val="00692AA7"/>
    <w:rsid w:val="00697FEC"/>
    <w:rsid w:val="006A175F"/>
    <w:rsid w:val="006A44F5"/>
    <w:rsid w:val="006B05A5"/>
    <w:rsid w:val="006B4537"/>
    <w:rsid w:val="006B4619"/>
    <w:rsid w:val="006B55B6"/>
    <w:rsid w:val="006B5F85"/>
    <w:rsid w:val="006B6929"/>
    <w:rsid w:val="006B709B"/>
    <w:rsid w:val="006C0F96"/>
    <w:rsid w:val="006C4000"/>
    <w:rsid w:val="006C54AF"/>
    <w:rsid w:val="006C65F1"/>
    <w:rsid w:val="006C72B2"/>
    <w:rsid w:val="006D78BC"/>
    <w:rsid w:val="006E0181"/>
    <w:rsid w:val="006F14D5"/>
    <w:rsid w:val="006F5E1A"/>
    <w:rsid w:val="00700C0E"/>
    <w:rsid w:val="007016F1"/>
    <w:rsid w:val="00705DAD"/>
    <w:rsid w:val="00710412"/>
    <w:rsid w:val="007144CE"/>
    <w:rsid w:val="007247B9"/>
    <w:rsid w:val="00727D85"/>
    <w:rsid w:val="007346C7"/>
    <w:rsid w:val="00736041"/>
    <w:rsid w:val="007362CA"/>
    <w:rsid w:val="007408C7"/>
    <w:rsid w:val="00745FB0"/>
    <w:rsid w:val="007465DA"/>
    <w:rsid w:val="00752C7F"/>
    <w:rsid w:val="0075663A"/>
    <w:rsid w:val="00760A67"/>
    <w:rsid w:val="00774E58"/>
    <w:rsid w:val="00776598"/>
    <w:rsid w:val="0078179D"/>
    <w:rsid w:val="0079099C"/>
    <w:rsid w:val="00792948"/>
    <w:rsid w:val="00795402"/>
    <w:rsid w:val="00796E84"/>
    <w:rsid w:val="007A1783"/>
    <w:rsid w:val="007A3ADE"/>
    <w:rsid w:val="007A5733"/>
    <w:rsid w:val="007A5774"/>
    <w:rsid w:val="007B5377"/>
    <w:rsid w:val="007B5ECF"/>
    <w:rsid w:val="007C17D2"/>
    <w:rsid w:val="007D24C6"/>
    <w:rsid w:val="007D5C97"/>
    <w:rsid w:val="00801E74"/>
    <w:rsid w:val="0080485E"/>
    <w:rsid w:val="00812455"/>
    <w:rsid w:val="008142B4"/>
    <w:rsid w:val="00820E7F"/>
    <w:rsid w:val="008213BC"/>
    <w:rsid w:val="00827F83"/>
    <w:rsid w:val="00832324"/>
    <w:rsid w:val="00832CD9"/>
    <w:rsid w:val="00835337"/>
    <w:rsid w:val="00836415"/>
    <w:rsid w:val="00841A69"/>
    <w:rsid w:val="00846160"/>
    <w:rsid w:val="00846DCD"/>
    <w:rsid w:val="0085114A"/>
    <w:rsid w:val="00851D85"/>
    <w:rsid w:val="00852E91"/>
    <w:rsid w:val="0085488C"/>
    <w:rsid w:val="00855FE7"/>
    <w:rsid w:val="00860CCB"/>
    <w:rsid w:val="00861B29"/>
    <w:rsid w:val="008672D7"/>
    <w:rsid w:val="008740A3"/>
    <w:rsid w:val="00883667"/>
    <w:rsid w:val="00890811"/>
    <w:rsid w:val="0089297B"/>
    <w:rsid w:val="00895CDF"/>
    <w:rsid w:val="008A3BAF"/>
    <w:rsid w:val="008C3656"/>
    <w:rsid w:val="008C36CA"/>
    <w:rsid w:val="008E3F8C"/>
    <w:rsid w:val="008E4FDA"/>
    <w:rsid w:val="008F7ACB"/>
    <w:rsid w:val="008F7AFC"/>
    <w:rsid w:val="009028A6"/>
    <w:rsid w:val="00902FD0"/>
    <w:rsid w:val="009053D3"/>
    <w:rsid w:val="0090691F"/>
    <w:rsid w:val="009201EA"/>
    <w:rsid w:val="009252CF"/>
    <w:rsid w:val="0093111F"/>
    <w:rsid w:val="00935689"/>
    <w:rsid w:val="00944285"/>
    <w:rsid w:val="0094450D"/>
    <w:rsid w:val="0095303B"/>
    <w:rsid w:val="00963005"/>
    <w:rsid w:val="00965C09"/>
    <w:rsid w:val="009663B6"/>
    <w:rsid w:val="00974A47"/>
    <w:rsid w:val="00980286"/>
    <w:rsid w:val="00990DCF"/>
    <w:rsid w:val="00994CCB"/>
    <w:rsid w:val="009A4CD6"/>
    <w:rsid w:val="009A537C"/>
    <w:rsid w:val="009B1FB7"/>
    <w:rsid w:val="009B6843"/>
    <w:rsid w:val="009B73E8"/>
    <w:rsid w:val="009B7931"/>
    <w:rsid w:val="009C0886"/>
    <w:rsid w:val="009C19EE"/>
    <w:rsid w:val="009C28D0"/>
    <w:rsid w:val="009C35F2"/>
    <w:rsid w:val="009C6DDD"/>
    <w:rsid w:val="009C7782"/>
    <w:rsid w:val="009C79B6"/>
    <w:rsid w:val="009D1ED5"/>
    <w:rsid w:val="009D335C"/>
    <w:rsid w:val="009D4C13"/>
    <w:rsid w:val="009E0B65"/>
    <w:rsid w:val="009E21A7"/>
    <w:rsid w:val="00A103ED"/>
    <w:rsid w:val="00A13C60"/>
    <w:rsid w:val="00A15134"/>
    <w:rsid w:val="00A15265"/>
    <w:rsid w:val="00A15F5E"/>
    <w:rsid w:val="00A33B42"/>
    <w:rsid w:val="00A341A3"/>
    <w:rsid w:val="00A35800"/>
    <w:rsid w:val="00A52918"/>
    <w:rsid w:val="00A547B3"/>
    <w:rsid w:val="00A60CE8"/>
    <w:rsid w:val="00A70E82"/>
    <w:rsid w:val="00A754FF"/>
    <w:rsid w:val="00A765DD"/>
    <w:rsid w:val="00A77036"/>
    <w:rsid w:val="00A84B1A"/>
    <w:rsid w:val="00A84CAD"/>
    <w:rsid w:val="00A90E50"/>
    <w:rsid w:val="00A95FA5"/>
    <w:rsid w:val="00A96D92"/>
    <w:rsid w:val="00AA65F5"/>
    <w:rsid w:val="00AB199C"/>
    <w:rsid w:val="00AB243B"/>
    <w:rsid w:val="00AB31E0"/>
    <w:rsid w:val="00AB3733"/>
    <w:rsid w:val="00AB588C"/>
    <w:rsid w:val="00AB7897"/>
    <w:rsid w:val="00AC112D"/>
    <w:rsid w:val="00AC5054"/>
    <w:rsid w:val="00AC5F7F"/>
    <w:rsid w:val="00AD20C6"/>
    <w:rsid w:val="00AE05CC"/>
    <w:rsid w:val="00AE4BAC"/>
    <w:rsid w:val="00AF6474"/>
    <w:rsid w:val="00B034FC"/>
    <w:rsid w:val="00B05310"/>
    <w:rsid w:val="00B10A0B"/>
    <w:rsid w:val="00B2337A"/>
    <w:rsid w:val="00B30D85"/>
    <w:rsid w:val="00B3324B"/>
    <w:rsid w:val="00B33375"/>
    <w:rsid w:val="00B35A4A"/>
    <w:rsid w:val="00B36485"/>
    <w:rsid w:val="00B453CF"/>
    <w:rsid w:val="00B54550"/>
    <w:rsid w:val="00B613AF"/>
    <w:rsid w:val="00B63269"/>
    <w:rsid w:val="00B63FD7"/>
    <w:rsid w:val="00B75A69"/>
    <w:rsid w:val="00B75C3A"/>
    <w:rsid w:val="00B816D9"/>
    <w:rsid w:val="00B844AF"/>
    <w:rsid w:val="00B9120F"/>
    <w:rsid w:val="00B9216C"/>
    <w:rsid w:val="00B924A4"/>
    <w:rsid w:val="00B928B6"/>
    <w:rsid w:val="00BA30F2"/>
    <w:rsid w:val="00BA7D6E"/>
    <w:rsid w:val="00BB0D1A"/>
    <w:rsid w:val="00BB1D3B"/>
    <w:rsid w:val="00BC35ED"/>
    <w:rsid w:val="00BD354B"/>
    <w:rsid w:val="00BD37BD"/>
    <w:rsid w:val="00BD6C9B"/>
    <w:rsid w:val="00BE0418"/>
    <w:rsid w:val="00BE205A"/>
    <w:rsid w:val="00BE29A6"/>
    <w:rsid w:val="00BE3802"/>
    <w:rsid w:val="00BE5F3C"/>
    <w:rsid w:val="00BF042B"/>
    <w:rsid w:val="00BF12BE"/>
    <w:rsid w:val="00BF238E"/>
    <w:rsid w:val="00BF2F4A"/>
    <w:rsid w:val="00BF544D"/>
    <w:rsid w:val="00C0076F"/>
    <w:rsid w:val="00C00B84"/>
    <w:rsid w:val="00C0301C"/>
    <w:rsid w:val="00C050B6"/>
    <w:rsid w:val="00C10F12"/>
    <w:rsid w:val="00C2057B"/>
    <w:rsid w:val="00C245EA"/>
    <w:rsid w:val="00C256F6"/>
    <w:rsid w:val="00C3097E"/>
    <w:rsid w:val="00C35ECC"/>
    <w:rsid w:val="00C361A8"/>
    <w:rsid w:val="00C41246"/>
    <w:rsid w:val="00C42C2E"/>
    <w:rsid w:val="00C45E5F"/>
    <w:rsid w:val="00C46291"/>
    <w:rsid w:val="00C57F4A"/>
    <w:rsid w:val="00C63412"/>
    <w:rsid w:val="00C659B9"/>
    <w:rsid w:val="00C661E0"/>
    <w:rsid w:val="00C714D0"/>
    <w:rsid w:val="00C76B26"/>
    <w:rsid w:val="00C90ABA"/>
    <w:rsid w:val="00C90EF4"/>
    <w:rsid w:val="00CA015A"/>
    <w:rsid w:val="00CA5358"/>
    <w:rsid w:val="00CC1AA3"/>
    <w:rsid w:val="00CD4486"/>
    <w:rsid w:val="00CF5E22"/>
    <w:rsid w:val="00D06A44"/>
    <w:rsid w:val="00D14BF1"/>
    <w:rsid w:val="00D151EB"/>
    <w:rsid w:val="00D300E0"/>
    <w:rsid w:val="00D30CFE"/>
    <w:rsid w:val="00D374CD"/>
    <w:rsid w:val="00D46D6F"/>
    <w:rsid w:val="00D474F1"/>
    <w:rsid w:val="00D52030"/>
    <w:rsid w:val="00D650CE"/>
    <w:rsid w:val="00D703DB"/>
    <w:rsid w:val="00D71719"/>
    <w:rsid w:val="00D776DA"/>
    <w:rsid w:val="00D8758B"/>
    <w:rsid w:val="00D91862"/>
    <w:rsid w:val="00D942B3"/>
    <w:rsid w:val="00D94863"/>
    <w:rsid w:val="00DA0981"/>
    <w:rsid w:val="00DA7D09"/>
    <w:rsid w:val="00DC1B13"/>
    <w:rsid w:val="00DC1FFD"/>
    <w:rsid w:val="00DC2630"/>
    <w:rsid w:val="00DC49E9"/>
    <w:rsid w:val="00DC55E4"/>
    <w:rsid w:val="00DC78E8"/>
    <w:rsid w:val="00DC7D71"/>
    <w:rsid w:val="00DD021F"/>
    <w:rsid w:val="00DD188C"/>
    <w:rsid w:val="00DD29A3"/>
    <w:rsid w:val="00DD48EE"/>
    <w:rsid w:val="00DE0B96"/>
    <w:rsid w:val="00DE10B9"/>
    <w:rsid w:val="00DE5A7C"/>
    <w:rsid w:val="00DF0B13"/>
    <w:rsid w:val="00DF1725"/>
    <w:rsid w:val="00DF2EB8"/>
    <w:rsid w:val="00DF4A94"/>
    <w:rsid w:val="00DF6003"/>
    <w:rsid w:val="00E00095"/>
    <w:rsid w:val="00E00335"/>
    <w:rsid w:val="00E066C3"/>
    <w:rsid w:val="00E10D8C"/>
    <w:rsid w:val="00E1353A"/>
    <w:rsid w:val="00E152CF"/>
    <w:rsid w:val="00E1564B"/>
    <w:rsid w:val="00E208A0"/>
    <w:rsid w:val="00E21E93"/>
    <w:rsid w:val="00E22ED0"/>
    <w:rsid w:val="00E25B49"/>
    <w:rsid w:val="00E32ED5"/>
    <w:rsid w:val="00E371EA"/>
    <w:rsid w:val="00E40740"/>
    <w:rsid w:val="00E52EE6"/>
    <w:rsid w:val="00E53077"/>
    <w:rsid w:val="00E53E35"/>
    <w:rsid w:val="00E54970"/>
    <w:rsid w:val="00E56812"/>
    <w:rsid w:val="00E64429"/>
    <w:rsid w:val="00E677DD"/>
    <w:rsid w:val="00E677F3"/>
    <w:rsid w:val="00E7594B"/>
    <w:rsid w:val="00E8221A"/>
    <w:rsid w:val="00E87964"/>
    <w:rsid w:val="00E87DC7"/>
    <w:rsid w:val="00EA2352"/>
    <w:rsid w:val="00EA2B9F"/>
    <w:rsid w:val="00EB4688"/>
    <w:rsid w:val="00EB5D00"/>
    <w:rsid w:val="00EB6C07"/>
    <w:rsid w:val="00EC028D"/>
    <w:rsid w:val="00EC2523"/>
    <w:rsid w:val="00EC28FB"/>
    <w:rsid w:val="00ED633B"/>
    <w:rsid w:val="00EE1CCA"/>
    <w:rsid w:val="00EE2BBB"/>
    <w:rsid w:val="00EE478C"/>
    <w:rsid w:val="00EF1893"/>
    <w:rsid w:val="00EF19C8"/>
    <w:rsid w:val="00EF39BE"/>
    <w:rsid w:val="00F02491"/>
    <w:rsid w:val="00F03F2F"/>
    <w:rsid w:val="00F04840"/>
    <w:rsid w:val="00F04AFE"/>
    <w:rsid w:val="00F1132C"/>
    <w:rsid w:val="00F14916"/>
    <w:rsid w:val="00F15DD5"/>
    <w:rsid w:val="00F17D4B"/>
    <w:rsid w:val="00F23139"/>
    <w:rsid w:val="00F25958"/>
    <w:rsid w:val="00F306F5"/>
    <w:rsid w:val="00F34897"/>
    <w:rsid w:val="00F36F2C"/>
    <w:rsid w:val="00F55D41"/>
    <w:rsid w:val="00F6165D"/>
    <w:rsid w:val="00F64DC3"/>
    <w:rsid w:val="00F65D54"/>
    <w:rsid w:val="00F66CD5"/>
    <w:rsid w:val="00F67A9A"/>
    <w:rsid w:val="00F70F4E"/>
    <w:rsid w:val="00F73113"/>
    <w:rsid w:val="00F75FC4"/>
    <w:rsid w:val="00F85981"/>
    <w:rsid w:val="00F87263"/>
    <w:rsid w:val="00F93725"/>
    <w:rsid w:val="00FA0965"/>
    <w:rsid w:val="00FA09EF"/>
    <w:rsid w:val="00FA1BA3"/>
    <w:rsid w:val="00FA4890"/>
    <w:rsid w:val="00FB1A57"/>
    <w:rsid w:val="00FB3DCD"/>
    <w:rsid w:val="00FB77FA"/>
    <w:rsid w:val="00FC0D14"/>
    <w:rsid w:val="00FC3C70"/>
    <w:rsid w:val="00FC4A73"/>
    <w:rsid w:val="00FC4ACB"/>
    <w:rsid w:val="00FC559C"/>
    <w:rsid w:val="00FC7F0D"/>
    <w:rsid w:val="00FE120A"/>
    <w:rsid w:val="00FE192A"/>
    <w:rsid w:val="00FE645A"/>
    <w:rsid w:val="00FE6CC8"/>
    <w:rsid w:val="00FF5AE4"/>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Revision">
    <w:name w:val="Revision"/>
    <w:hidden/>
    <w:uiPriority w:val="99"/>
    <w:semiHidden/>
    <w:rsid w:val="00495361"/>
    <w:pPr>
      <w:spacing w:after="0" w:line="240" w:lineRule="auto"/>
    </w:pPr>
    <w:rPr>
      <w:sz w:val="24"/>
      <w:szCs w:val="24"/>
    </w:rPr>
  </w:style>
  <w:style w:type="character" w:styleId="UnresolvedMention">
    <w:name w:val="Unresolved Mention"/>
    <w:basedOn w:val="DefaultParagraphFont"/>
    <w:uiPriority w:val="99"/>
    <w:semiHidden/>
    <w:unhideWhenUsed/>
    <w:rsid w:val="00B63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999191253">
      <w:bodyDiv w:val="1"/>
      <w:marLeft w:val="0"/>
      <w:marRight w:val="0"/>
      <w:marTop w:val="0"/>
      <w:marBottom w:val="0"/>
      <w:divBdr>
        <w:top w:val="none" w:sz="0" w:space="0" w:color="auto"/>
        <w:left w:val="none" w:sz="0" w:space="0" w:color="auto"/>
        <w:bottom w:val="none" w:sz="0" w:space="0" w:color="auto"/>
        <w:right w:val="none" w:sz="0" w:space="0" w:color="auto"/>
      </w:divBdr>
    </w:div>
    <w:div w:id="1077435296">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74367413">
      <w:bodyDiv w:val="1"/>
      <w:marLeft w:val="0"/>
      <w:marRight w:val="0"/>
      <w:marTop w:val="0"/>
      <w:marBottom w:val="0"/>
      <w:divBdr>
        <w:top w:val="none" w:sz="0" w:space="0" w:color="auto"/>
        <w:left w:val="none" w:sz="0" w:space="0" w:color="auto"/>
        <w:bottom w:val="none" w:sz="0" w:space="0" w:color="auto"/>
        <w:right w:val="none" w:sz="0" w:space="0" w:color="auto"/>
      </w:divBdr>
    </w:div>
    <w:div w:id="14692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chart" Target="charts/chart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https://www.pbs.gov.au/browse/body-system?depth=4&amp;codes=l01ea"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chart" Target="charts/chart4.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healthgov-my.sharepoint.com/personal/shahid_hasan_health_gov_au/Documents/Desktop/CML/CML%20TK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healthgov-my.sharepoint.com/personal/shahid_hasan_health_gov_au/Documents/Desktop/CML/CML%20TK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healthgov-my.sharepoint.com/personal/shahid_hasan_health_gov_au/Documents/Desktop/CML/CML%20TK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healthgov-my.sharepoint.com/personal/shahid_hasan_health_gov_au/Documents/Desktop/CML/das-nil%20us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[CML%20TKI(1).xlsx]Qtr!PivotTable5</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Qtr!$J$1:$J$2</c:f>
              <c:strCache>
                <c:ptCount val="1"/>
                <c:pt idx="0">
                  <c:v>DASATINIB</c:v>
                </c:pt>
              </c:strCache>
            </c:strRef>
          </c:tx>
          <c:spPr>
            <a:ln w="28575" cap="rnd">
              <a:solidFill>
                <a:schemeClr val="accent1"/>
              </a:solidFill>
              <a:round/>
            </a:ln>
            <a:effectLst/>
          </c:spPr>
          <c:marker>
            <c:symbol val="none"/>
          </c:marker>
          <c:cat>
            <c:strRef>
              <c:f>Qtr!$I$3:$I$85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Qtr!$J$3:$J$85</c:f>
              <c:numCache>
                <c:formatCode>General</c:formatCode>
                <c:ptCount val="82"/>
                <c:pt idx="14">
                  <c:v>86</c:v>
                </c:pt>
                <c:pt idx="15">
                  <c:v>121</c:v>
                </c:pt>
                <c:pt idx="16">
                  <c:v>134</c:v>
                </c:pt>
                <c:pt idx="17">
                  <c:v>138</c:v>
                </c:pt>
                <c:pt idx="18">
                  <c:v>148</c:v>
                </c:pt>
                <c:pt idx="19">
                  <c:v>157</c:v>
                </c:pt>
                <c:pt idx="20">
                  <c:v>166</c:v>
                </c:pt>
                <c:pt idx="21">
                  <c:v>164</c:v>
                </c:pt>
                <c:pt idx="22">
                  <c:v>154</c:v>
                </c:pt>
                <c:pt idx="23">
                  <c:v>157</c:v>
                </c:pt>
                <c:pt idx="24">
                  <c:v>159</c:v>
                </c:pt>
                <c:pt idx="25">
                  <c:v>163</c:v>
                </c:pt>
                <c:pt idx="26">
                  <c:v>174</c:v>
                </c:pt>
                <c:pt idx="27">
                  <c:v>189</c:v>
                </c:pt>
                <c:pt idx="28">
                  <c:v>195</c:v>
                </c:pt>
                <c:pt idx="29">
                  <c:v>210</c:v>
                </c:pt>
                <c:pt idx="30">
                  <c:v>232</c:v>
                </c:pt>
                <c:pt idx="31">
                  <c:v>234</c:v>
                </c:pt>
                <c:pt idx="32">
                  <c:v>239</c:v>
                </c:pt>
                <c:pt idx="33">
                  <c:v>287</c:v>
                </c:pt>
                <c:pt idx="34">
                  <c:v>346</c:v>
                </c:pt>
                <c:pt idx="35">
                  <c:v>410</c:v>
                </c:pt>
                <c:pt idx="36">
                  <c:v>449</c:v>
                </c:pt>
                <c:pt idx="37">
                  <c:v>497</c:v>
                </c:pt>
                <c:pt idx="38">
                  <c:v>535</c:v>
                </c:pt>
                <c:pt idx="39">
                  <c:v>579</c:v>
                </c:pt>
                <c:pt idx="40">
                  <c:v>604</c:v>
                </c:pt>
                <c:pt idx="41">
                  <c:v>614</c:v>
                </c:pt>
                <c:pt idx="42">
                  <c:v>677</c:v>
                </c:pt>
                <c:pt idx="43">
                  <c:v>695</c:v>
                </c:pt>
                <c:pt idx="44">
                  <c:v>722</c:v>
                </c:pt>
                <c:pt idx="45">
                  <c:v>754</c:v>
                </c:pt>
                <c:pt idx="46">
                  <c:v>773</c:v>
                </c:pt>
                <c:pt idx="47">
                  <c:v>809</c:v>
                </c:pt>
                <c:pt idx="48">
                  <c:v>808</c:v>
                </c:pt>
                <c:pt idx="49">
                  <c:v>858</c:v>
                </c:pt>
                <c:pt idx="50">
                  <c:v>888</c:v>
                </c:pt>
                <c:pt idx="51">
                  <c:v>910</c:v>
                </c:pt>
                <c:pt idx="52">
                  <c:v>924</c:v>
                </c:pt>
                <c:pt idx="53">
                  <c:v>978</c:v>
                </c:pt>
                <c:pt idx="54">
                  <c:v>1000</c:v>
                </c:pt>
                <c:pt idx="55">
                  <c:v>1002</c:v>
                </c:pt>
                <c:pt idx="56">
                  <c:v>1038</c:v>
                </c:pt>
                <c:pt idx="57">
                  <c:v>1080</c:v>
                </c:pt>
                <c:pt idx="58">
                  <c:v>1100</c:v>
                </c:pt>
                <c:pt idx="59">
                  <c:v>1149</c:v>
                </c:pt>
                <c:pt idx="60">
                  <c:v>1159</c:v>
                </c:pt>
                <c:pt idx="61">
                  <c:v>1198</c:v>
                </c:pt>
                <c:pt idx="62">
                  <c:v>1244</c:v>
                </c:pt>
                <c:pt idx="63">
                  <c:v>1255</c:v>
                </c:pt>
                <c:pt idx="64">
                  <c:v>1292</c:v>
                </c:pt>
                <c:pt idx="65">
                  <c:v>1252</c:v>
                </c:pt>
                <c:pt idx="66">
                  <c:v>1307</c:v>
                </c:pt>
                <c:pt idx="67">
                  <c:v>1332</c:v>
                </c:pt>
                <c:pt idx="68">
                  <c:v>1331</c:v>
                </c:pt>
                <c:pt idx="69">
                  <c:v>1380</c:v>
                </c:pt>
                <c:pt idx="70">
                  <c:v>1374</c:v>
                </c:pt>
                <c:pt idx="71">
                  <c:v>1381</c:v>
                </c:pt>
                <c:pt idx="72">
                  <c:v>1363</c:v>
                </c:pt>
                <c:pt idx="73">
                  <c:v>1373</c:v>
                </c:pt>
                <c:pt idx="74">
                  <c:v>1407</c:v>
                </c:pt>
                <c:pt idx="75">
                  <c:v>1411</c:v>
                </c:pt>
                <c:pt idx="76">
                  <c:v>1430</c:v>
                </c:pt>
                <c:pt idx="77">
                  <c:v>1440</c:v>
                </c:pt>
                <c:pt idx="78">
                  <c:v>1480</c:v>
                </c:pt>
                <c:pt idx="79">
                  <c:v>1462</c:v>
                </c:pt>
                <c:pt idx="80">
                  <c:v>1504</c:v>
                </c:pt>
                <c:pt idx="81">
                  <c:v>1486</c:v>
                </c:pt>
              </c:numCache>
            </c:numRef>
          </c:val>
          <c:smooth val="0"/>
          <c:extLst>
            <c:ext xmlns:c16="http://schemas.microsoft.com/office/drawing/2014/chart" uri="{C3380CC4-5D6E-409C-BE32-E72D297353CC}">
              <c16:uniqueId val="{00000000-D49F-4EF8-91F1-7C58A437F2D1}"/>
            </c:ext>
          </c:extLst>
        </c:ser>
        <c:ser>
          <c:idx val="1"/>
          <c:order val="1"/>
          <c:tx>
            <c:strRef>
              <c:f>Qtr!$K$1:$K$2</c:f>
              <c:strCache>
                <c:ptCount val="1"/>
                <c:pt idx="0">
                  <c:v>IMATINIB</c:v>
                </c:pt>
              </c:strCache>
            </c:strRef>
          </c:tx>
          <c:spPr>
            <a:ln w="28575" cap="rnd">
              <a:solidFill>
                <a:schemeClr val="accent2"/>
              </a:solidFill>
              <a:round/>
            </a:ln>
            <a:effectLst/>
          </c:spPr>
          <c:marker>
            <c:symbol val="none"/>
          </c:marker>
          <c:cat>
            <c:strRef>
              <c:f>Qtr!$I$3:$I$85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Qtr!$K$3:$K$85</c:f>
              <c:numCache>
                <c:formatCode>General</c:formatCode>
                <c:ptCount val="82"/>
                <c:pt idx="0">
                  <c:v>631</c:v>
                </c:pt>
                <c:pt idx="1">
                  <c:v>667</c:v>
                </c:pt>
                <c:pt idx="2">
                  <c:v>650</c:v>
                </c:pt>
                <c:pt idx="3">
                  <c:v>765</c:v>
                </c:pt>
                <c:pt idx="4">
                  <c:v>843</c:v>
                </c:pt>
                <c:pt idx="5">
                  <c:v>934</c:v>
                </c:pt>
                <c:pt idx="6">
                  <c:v>982</c:v>
                </c:pt>
                <c:pt idx="7">
                  <c:v>1013</c:v>
                </c:pt>
                <c:pt idx="8">
                  <c:v>1038</c:v>
                </c:pt>
                <c:pt idx="9">
                  <c:v>1041</c:v>
                </c:pt>
                <c:pt idx="10">
                  <c:v>1058</c:v>
                </c:pt>
                <c:pt idx="11">
                  <c:v>1087</c:v>
                </c:pt>
                <c:pt idx="12">
                  <c:v>1115</c:v>
                </c:pt>
                <c:pt idx="13">
                  <c:v>1154</c:v>
                </c:pt>
                <c:pt idx="14">
                  <c:v>1152</c:v>
                </c:pt>
                <c:pt idx="15">
                  <c:v>1189</c:v>
                </c:pt>
                <c:pt idx="16">
                  <c:v>1213</c:v>
                </c:pt>
                <c:pt idx="17">
                  <c:v>1262</c:v>
                </c:pt>
                <c:pt idx="18">
                  <c:v>1281</c:v>
                </c:pt>
                <c:pt idx="19">
                  <c:v>1322</c:v>
                </c:pt>
                <c:pt idx="20">
                  <c:v>1355</c:v>
                </c:pt>
                <c:pt idx="21">
                  <c:v>1405</c:v>
                </c:pt>
                <c:pt idx="22">
                  <c:v>1427</c:v>
                </c:pt>
                <c:pt idx="23">
                  <c:v>1460</c:v>
                </c:pt>
                <c:pt idx="24">
                  <c:v>1488</c:v>
                </c:pt>
                <c:pt idx="25">
                  <c:v>1544</c:v>
                </c:pt>
                <c:pt idx="26">
                  <c:v>1605</c:v>
                </c:pt>
                <c:pt idx="27">
                  <c:v>1634</c:v>
                </c:pt>
                <c:pt idx="28">
                  <c:v>1642</c:v>
                </c:pt>
                <c:pt idx="29">
                  <c:v>1687</c:v>
                </c:pt>
                <c:pt idx="30">
                  <c:v>1697</c:v>
                </c:pt>
                <c:pt idx="31">
                  <c:v>1717</c:v>
                </c:pt>
                <c:pt idx="32">
                  <c:v>1718</c:v>
                </c:pt>
                <c:pt idx="33">
                  <c:v>1722</c:v>
                </c:pt>
                <c:pt idx="34">
                  <c:v>1677</c:v>
                </c:pt>
                <c:pt idx="35">
                  <c:v>1657</c:v>
                </c:pt>
                <c:pt idx="36">
                  <c:v>1614</c:v>
                </c:pt>
                <c:pt idx="37">
                  <c:v>1603</c:v>
                </c:pt>
                <c:pt idx="38">
                  <c:v>1603</c:v>
                </c:pt>
                <c:pt idx="39">
                  <c:v>1599</c:v>
                </c:pt>
                <c:pt idx="40">
                  <c:v>1575</c:v>
                </c:pt>
                <c:pt idx="41">
                  <c:v>1611</c:v>
                </c:pt>
                <c:pt idx="42">
                  <c:v>1592</c:v>
                </c:pt>
                <c:pt idx="43">
                  <c:v>1584</c:v>
                </c:pt>
                <c:pt idx="44">
                  <c:v>1585</c:v>
                </c:pt>
                <c:pt idx="45">
                  <c:v>1573</c:v>
                </c:pt>
                <c:pt idx="46">
                  <c:v>1557</c:v>
                </c:pt>
                <c:pt idx="47">
                  <c:v>1564</c:v>
                </c:pt>
                <c:pt idx="48">
                  <c:v>1583</c:v>
                </c:pt>
                <c:pt idx="49">
                  <c:v>1559</c:v>
                </c:pt>
                <c:pt idx="50">
                  <c:v>1565</c:v>
                </c:pt>
                <c:pt idx="51">
                  <c:v>1558</c:v>
                </c:pt>
                <c:pt idx="52">
                  <c:v>1584</c:v>
                </c:pt>
                <c:pt idx="53">
                  <c:v>1585</c:v>
                </c:pt>
                <c:pt idx="54">
                  <c:v>1573</c:v>
                </c:pt>
                <c:pt idx="55">
                  <c:v>1533</c:v>
                </c:pt>
                <c:pt idx="56">
                  <c:v>1517</c:v>
                </c:pt>
                <c:pt idx="57">
                  <c:v>1539</c:v>
                </c:pt>
                <c:pt idx="58">
                  <c:v>1521</c:v>
                </c:pt>
                <c:pt idx="59">
                  <c:v>1517</c:v>
                </c:pt>
                <c:pt idx="60">
                  <c:v>1545</c:v>
                </c:pt>
                <c:pt idx="61">
                  <c:v>1554</c:v>
                </c:pt>
                <c:pt idx="62">
                  <c:v>1571</c:v>
                </c:pt>
                <c:pt idx="63">
                  <c:v>1521</c:v>
                </c:pt>
                <c:pt idx="64">
                  <c:v>1572</c:v>
                </c:pt>
                <c:pt idx="65">
                  <c:v>1478</c:v>
                </c:pt>
                <c:pt idx="66">
                  <c:v>1579</c:v>
                </c:pt>
                <c:pt idx="67">
                  <c:v>1589</c:v>
                </c:pt>
                <c:pt idx="68">
                  <c:v>1550</c:v>
                </c:pt>
                <c:pt idx="69">
                  <c:v>1572</c:v>
                </c:pt>
                <c:pt idx="70">
                  <c:v>1535</c:v>
                </c:pt>
                <c:pt idx="71">
                  <c:v>1555</c:v>
                </c:pt>
                <c:pt idx="72">
                  <c:v>1502</c:v>
                </c:pt>
                <c:pt idx="73">
                  <c:v>1441</c:v>
                </c:pt>
                <c:pt idx="74">
                  <c:v>1363</c:v>
                </c:pt>
                <c:pt idx="75">
                  <c:v>1418</c:v>
                </c:pt>
                <c:pt idx="76">
                  <c:v>1388</c:v>
                </c:pt>
                <c:pt idx="77">
                  <c:v>1370</c:v>
                </c:pt>
                <c:pt idx="78">
                  <c:v>1332</c:v>
                </c:pt>
                <c:pt idx="79">
                  <c:v>1373</c:v>
                </c:pt>
                <c:pt idx="80">
                  <c:v>1390</c:v>
                </c:pt>
                <c:pt idx="81">
                  <c:v>1372</c:v>
                </c:pt>
              </c:numCache>
            </c:numRef>
          </c:val>
          <c:smooth val="0"/>
          <c:extLst>
            <c:ext xmlns:c16="http://schemas.microsoft.com/office/drawing/2014/chart" uri="{C3380CC4-5D6E-409C-BE32-E72D297353CC}">
              <c16:uniqueId val="{00000001-D49F-4EF8-91F1-7C58A437F2D1}"/>
            </c:ext>
          </c:extLst>
        </c:ser>
        <c:ser>
          <c:idx val="2"/>
          <c:order val="2"/>
          <c:tx>
            <c:strRef>
              <c:f>Qtr!$L$1:$L$2</c:f>
              <c:strCache>
                <c:ptCount val="1"/>
                <c:pt idx="0">
                  <c:v>NILOTINIB</c:v>
                </c:pt>
              </c:strCache>
            </c:strRef>
          </c:tx>
          <c:spPr>
            <a:ln w="28575" cap="rnd">
              <a:solidFill>
                <a:schemeClr val="accent3"/>
              </a:solidFill>
              <a:round/>
            </a:ln>
            <a:effectLst/>
          </c:spPr>
          <c:marker>
            <c:symbol val="none"/>
          </c:marker>
          <c:cat>
            <c:strRef>
              <c:f>Qtr!$I$3:$I$85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Qtr!$L$3:$L$85</c:f>
              <c:numCache>
                <c:formatCode>General</c:formatCode>
                <c:ptCount val="82"/>
                <c:pt idx="18">
                  <c:v>20</c:v>
                </c:pt>
                <c:pt idx="19">
                  <c:v>50</c:v>
                </c:pt>
                <c:pt idx="20">
                  <c:v>63</c:v>
                </c:pt>
                <c:pt idx="21">
                  <c:v>74</c:v>
                </c:pt>
                <c:pt idx="22">
                  <c:v>77</c:v>
                </c:pt>
                <c:pt idx="23">
                  <c:v>87</c:v>
                </c:pt>
                <c:pt idx="24">
                  <c:v>96</c:v>
                </c:pt>
                <c:pt idx="25">
                  <c:v>102</c:v>
                </c:pt>
                <c:pt idx="26">
                  <c:v>118</c:v>
                </c:pt>
                <c:pt idx="27">
                  <c:v>126</c:v>
                </c:pt>
                <c:pt idx="28">
                  <c:v>135</c:v>
                </c:pt>
                <c:pt idx="29">
                  <c:v>146</c:v>
                </c:pt>
                <c:pt idx="30">
                  <c:v>154</c:v>
                </c:pt>
                <c:pt idx="31">
                  <c:v>166</c:v>
                </c:pt>
                <c:pt idx="32">
                  <c:v>178</c:v>
                </c:pt>
                <c:pt idx="33">
                  <c:v>233</c:v>
                </c:pt>
                <c:pt idx="34">
                  <c:v>325</c:v>
                </c:pt>
                <c:pt idx="35">
                  <c:v>378</c:v>
                </c:pt>
                <c:pt idx="36">
                  <c:v>397</c:v>
                </c:pt>
                <c:pt idx="37">
                  <c:v>422</c:v>
                </c:pt>
                <c:pt idx="38">
                  <c:v>450</c:v>
                </c:pt>
                <c:pt idx="39">
                  <c:v>475</c:v>
                </c:pt>
                <c:pt idx="40">
                  <c:v>484</c:v>
                </c:pt>
                <c:pt idx="41">
                  <c:v>528</c:v>
                </c:pt>
                <c:pt idx="42">
                  <c:v>532</c:v>
                </c:pt>
                <c:pt idx="43">
                  <c:v>549</c:v>
                </c:pt>
                <c:pt idx="44">
                  <c:v>564</c:v>
                </c:pt>
                <c:pt idx="45">
                  <c:v>594</c:v>
                </c:pt>
                <c:pt idx="46">
                  <c:v>615</c:v>
                </c:pt>
                <c:pt idx="47">
                  <c:v>640</c:v>
                </c:pt>
                <c:pt idx="48">
                  <c:v>649</c:v>
                </c:pt>
                <c:pt idx="49">
                  <c:v>663</c:v>
                </c:pt>
                <c:pt idx="50">
                  <c:v>686</c:v>
                </c:pt>
                <c:pt idx="51">
                  <c:v>676</c:v>
                </c:pt>
                <c:pt idx="52">
                  <c:v>701</c:v>
                </c:pt>
                <c:pt idx="53">
                  <c:v>707</c:v>
                </c:pt>
                <c:pt idx="54">
                  <c:v>719</c:v>
                </c:pt>
                <c:pt idx="55">
                  <c:v>734</c:v>
                </c:pt>
                <c:pt idx="56">
                  <c:v>734</c:v>
                </c:pt>
                <c:pt idx="57">
                  <c:v>738</c:v>
                </c:pt>
                <c:pt idx="58">
                  <c:v>754</c:v>
                </c:pt>
                <c:pt idx="59">
                  <c:v>759</c:v>
                </c:pt>
                <c:pt idx="60">
                  <c:v>781</c:v>
                </c:pt>
                <c:pt idx="61">
                  <c:v>767</c:v>
                </c:pt>
                <c:pt idx="62">
                  <c:v>782</c:v>
                </c:pt>
                <c:pt idx="63">
                  <c:v>787</c:v>
                </c:pt>
                <c:pt idx="64">
                  <c:v>781</c:v>
                </c:pt>
                <c:pt idx="65">
                  <c:v>765</c:v>
                </c:pt>
                <c:pt idx="66">
                  <c:v>805</c:v>
                </c:pt>
                <c:pt idx="67">
                  <c:v>817</c:v>
                </c:pt>
                <c:pt idx="68">
                  <c:v>810</c:v>
                </c:pt>
                <c:pt idx="69">
                  <c:v>814</c:v>
                </c:pt>
                <c:pt idx="70">
                  <c:v>821</c:v>
                </c:pt>
                <c:pt idx="71">
                  <c:v>826</c:v>
                </c:pt>
                <c:pt idx="72">
                  <c:v>820</c:v>
                </c:pt>
                <c:pt idx="73">
                  <c:v>818</c:v>
                </c:pt>
                <c:pt idx="74">
                  <c:v>820</c:v>
                </c:pt>
                <c:pt idx="75">
                  <c:v>815</c:v>
                </c:pt>
                <c:pt idx="76">
                  <c:v>795</c:v>
                </c:pt>
                <c:pt idx="77">
                  <c:v>783</c:v>
                </c:pt>
                <c:pt idx="78">
                  <c:v>770</c:v>
                </c:pt>
                <c:pt idx="79">
                  <c:v>776</c:v>
                </c:pt>
                <c:pt idx="80">
                  <c:v>754</c:v>
                </c:pt>
                <c:pt idx="81">
                  <c:v>762</c:v>
                </c:pt>
              </c:numCache>
            </c:numRef>
          </c:val>
          <c:smooth val="0"/>
          <c:extLst>
            <c:ext xmlns:c16="http://schemas.microsoft.com/office/drawing/2014/chart" uri="{C3380CC4-5D6E-409C-BE32-E72D297353CC}">
              <c16:uniqueId val="{00000002-D49F-4EF8-91F1-7C58A437F2D1}"/>
            </c:ext>
          </c:extLst>
        </c:ser>
        <c:ser>
          <c:idx val="3"/>
          <c:order val="3"/>
          <c:tx>
            <c:strRef>
              <c:f>Qtr!$M$1:$M$2</c:f>
              <c:strCache>
                <c:ptCount val="1"/>
                <c:pt idx="0">
                  <c:v>PONATINIB</c:v>
                </c:pt>
              </c:strCache>
            </c:strRef>
          </c:tx>
          <c:spPr>
            <a:ln w="28575" cap="rnd">
              <a:solidFill>
                <a:schemeClr val="accent4"/>
              </a:solidFill>
              <a:round/>
            </a:ln>
            <a:effectLst/>
          </c:spPr>
          <c:marker>
            <c:symbol val="none"/>
          </c:marker>
          <c:cat>
            <c:strRef>
              <c:f>Qtr!$I$3:$I$85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Qtr!$M$3:$M$85</c:f>
              <c:numCache>
                <c:formatCode>General</c:formatCode>
                <c:ptCount val="82"/>
                <c:pt idx="47">
                  <c:v>17</c:v>
                </c:pt>
                <c:pt idx="48">
                  <c:v>23</c:v>
                </c:pt>
                <c:pt idx="49">
                  <c:v>26</c:v>
                </c:pt>
                <c:pt idx="50">
                  <c:v>27</c:v>
                </c:pt>
                <c:pt idx="51">
                  <c:v>30</c:v>
                </c:pt>
                <c:pt idx="52">
                  <c:v>31</c:v>
                </c:pt>
                <c:pt idx="53">
                  <c:v>31</c:v>
                </c:pt>
                <c:pt idx="54">
                  <c:v>35</c:v>
                </c:pt>
                <c:pt idx="55">
                  <c:v>35</c:v>
                </c:pt>
                <c:pt idx="56">
                  <c:v>37</c:v>
                </c:pt>
                <c:pt idx="57">
                  <c:v>31</c:v>
                </c:pt>
                <c:pt idx="58">
                  <c:v>31</c:v>
                </c:pt>
                <c:pt idx="59">
                  <c:v>35</c:v>
                </c:pt>
                <c:pt idx="60">
                  <c:v>38</c:v>
                </c:pt>
                <c:pt idx="61">
                  <c:v>44</c:v>
                </c:pt>
                <c:pt idx="62">
                  <c:v>46</c:v>
                </c:pt>
                <c:pt idx="63">
                  <c:v>46</c:v>
                </c:pt>
                <c:pt idx="64">
                  <c:v>46</c:v>
                </c:pt>
                <c:pt idx="65">
                  <c:v>47</c:v>
                </c:pt>
                <c:pt idx="66">
                  <c:v>48</c:v>
                </c:pt>
                <c:pt idx="67">
                  <c:v>49</c:v>
                </c:pt>
                <c:pt idx="68">
                  <c:v>52</c:v>
                </c:pt>
                <c:pt idx="69">
                  <c:v>51</c:v>
                </c:pt>
                <c:pt idx="70">
                  <c:v>57</c:v>
                </c:pt>
                <c:pt idx="71">
                  <c:v>57</c:v>
                </c:pt>
                <c:pt idx="72">
                  <c:v>46</c:v>
                </c:pt>
                <c:pt idx="73">
                  <c:v>52</c:v>
                </c:pt>
                <c:pt idx="74">
                  <c:v>51</c:v>
                </c:pt>
                <c:pt idx="75">
                  <c:v>48</c:v>
                </c:pt>
                <c:pt idx="76">
                  <c:v>47</c:v>
                </c:pt>
                <c:pt idx="77">
                  <c:v>51</c:v>
                </c:pt>
                <c:pt idx="78">
                  <c:v>53</c:v>
                </c:pt>
                <c:pt idx="79">
                  <c:v>46</c:v>
                </c:pt>
                <c:pt idx="80">
                  <c:v>44</c:v>
                </c:pt>
                <c:pt idx="81">
                  <c:v>42</c:v>
                </c:pt>
              </c:numCache>
            </c:numRef>
          </c:val>
          <c:smooth val="0"/>
          <c:extLst>
            <c:ext xmlns:c16="http://schemas.microsoft.com/office/drawing/2014/chart" uri="{C3380CC4-5D6E-409C-BE32-E72D297353CC}">
              <c16:uniqueId val="{00000003-D49F-4EF8-91F1-7C58A437F2D1}"/>
            </c:ext>
          </c:extLst>
        </c:ser>
        <c:dLbls>
          <c:showLegendKey val="0"/>
          <c:showVal val="0"/>
          <c:showCatName val="0"/>
          <c:showSerName val="0"/>
          <c:showPercent val="0"/>
          <c:showBubbleSize val="0"/>
        </c:dLbls>
        <c:smooth val="0"/>
        <c:axId val="815754408"/>
        <c:axId val="815755128"/>
      </c:lineChart>
      <c:catAx>
        <c:axId val="815754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755128"/>
        <c:crosses val="autoZero"/>
        <c:auto val="1"/>
        <c:lblAlgn val="ctr"/>
        <c:lblOffset val="100"/>
        <c:noMultiLvlLbl val="0"/>
      </c:catAx>
      <c:valAx>
        <c:axId val="815755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754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[CML TKI.xlsx]Qtr!PivotTable6</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Qtr!$V$1:$V$2</c:f>
              <c:strCache>
                <c:ptCount val="1"/>
                <c:pt idx="0">
                  <c:v>DASATINIB</c:v>
                </c:pt>
              </c:strCache>
            </c:strRef>
          </c:tx>
          <c:spPr>
            <a:ln w="28575" cap="rnd">
              <a:solidFill>
                <a:schemeClr val="accent1"/>
              </a:solidFill>
              <a:round/>
            </a:ln>
            <a:effectLst/>
          </c:spPr>
          <c:marker>
            <c:symbol val="none"/>
          </c:marker>
          <c:cat>
            <c:strRef>
              <c:f>Qtr!$U$3:$U$85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Qtr!$V$3:$V$85</c:f>
              <c:numCache>
                <c:formatCode>General</c:formatCode>
                <c:ptCount val="82"/>
                <c:pt idx="14">
                  <c:v>86</c:v>
                </c:pt>
                <c:pt idx="15">
                  <c:v>40</c:v>
                </c:pt>
                <c:pt idx="16">
                  <c:v>25</c:v>
                </c:pt>
                <c:pt idx="17">
                  <c:v>16</c:v>
                </c:pt>
                <c:pt idx="18">
                  <c:v>21</c:v>
                </c:pt>
                <c:pt idx="19">
                  <c:v>20</c:v>
                </c:pt>
                <c:pt idx="20">
                  <c:v>18</c:v>
                </c:pt>
                <c:pt idx="21">
                  <c:v>17</c:v>
                </c:pt>
                <c:pt idx="22">
                  <c:v>9</c:v>
                </c:pt>
                <c:pt idx="23">
                  <c:v>12</c:v>
                </c:pt>
                <c:pt idx="24">
                  <c:v>16</c:v>
                </c:pt>
                <c:pt idx="25">
                  <c:v>16</c:v>
                </c:pt>
                <c:pt idx="26">
                  <c:v>18</c:v>
                </c:pt>
                <c:pt idx="27">
                  <c:v>22</c:v>
                </c:pt>
                <c:pt idx="28">
                  <c:v>18</c:v>
                </c:pt>
                <c:pt idx="29">
                  <c:v>22</c:v>
                </c:pt>
                <c:pt idx="30">
                  <c:v>33</c:v>
                </c:pt>
                <c:pt idx="31">
                  <c:v>17</c:v>
                </c:pt>
                <c:pt idx="32">
                  <c:v>21</c:v>
                </c:pt>
                <c:pt idx="33">
                  <c:v>84</c:v>
                </c:pt>
                <c:pt idx="34">
                  <c:v>70</c:v>
                </c:pt>
                <c:pt idx="35">
                  <c:v>76</c:v>
                </c:pt>
                <c:pt idx="36">
                  <c:v>68</c:v>
                </c:pt>
                <c:pt idx="37">
                  <c:v>63</c:v>
                </c:pt>
                <c:pt idx="38">
                  <c:v>67</c:v>
                </c:pt>
                <c:pt idx="39">
                  <c:v>71</c:v>
                </c:pt>
                <c:pt idx="40">
                  <c:v>50</c:v>
                </c:pt>
                <c:pt idx="41">
                  <c:v>62</c:v>
                </c:pt>
                <c:pt idx="42">
                  <c:v>74</c:v>
                </c:pt>
                <c:pt idx="43">
                  <c:v>58</c:v>
                </c:pt>
                <c:pt idx="44">
                  <c:v>60</c:v>
                </c:pt>
                <c:pt idx="45">
                  <c:v>59</c:v>
                </c:pt>
                <c:pt idx="46">
                  <c:v>68</c:v>
                </c:pt>
                <c:pt idx="47">
                  <c:v>53</c:v>
                </c:pt>
                <c:pt idx="48">
                  <c:v>55</c:v>
                </c:pt>
                <c:pt idx="49">
                  <c:v>70</c:v>
                </c:pt>
                <c:pt idx="50">
                  <c:v>69</c:v>
                </c:pt>
                <c:pt idx="51">
                  <c:v>59</c:v>
                </c:pt>
                <c:pt idx="52">
                  <c:v>62</c:v>
                </c:pt>
                <c:pt idx="53">
                  <c:v>67</c:v>
                </c:pt>
                <c:pt idx="54">
                  <c:v>67</c:v>
                </c:pt>
                <c:pt idx="55">
                  <c:v>53</c:v>
                </c:pt>
                <c:pt idx="56">
                  <c:v>73</c:v>
                </c:pt>
                <c:pt idx="57">
                  <c:v>72</c:v>
                </c:pt>
                <c:pt idx="58">
                  <c:v>72</c:v>
                </c:pt>
                <c:pt idx="59">
                  <c:v>75</c:v>
                </c:pt>
                <c:pt idx="60">
                  <c:v>77</c:v>
                </c:pt>
                <c:pt idx="61">
                  <c:v>69</c:v>
                </c:pt>
                <c:pt idx="62">
                  <c:v>91</c:v>
                </c:pt>
                <c:pt idx="63">
                  <c:v>71</c:v>
                </c:pt>
                <c:pt idx="64">
                  <c:v>79</c:v>
                </c:pt>
                <c:pt idx="65">
                  <c:v>63</c:v>
                </c:pt>
                <c:pt idx="66">
                  <c:v>84</c:v>
                </c:pt>
                <c:pt idx="67">
                  <c:v>79</c:v>
                </c:pt>
                <c:pt idx="68">
                  <c:v>67</c:v>
                </c:pt>
                <c:pt idx="69">
                  <c:v>73</c:v>
                </c:pt>
                <c:pt idx="70">
                  <c:v>55</c:v>
                </c:pt>
                <c:pt idx="71">
                  <c:v>73</c:v>
                </c:pt>
                <c:pt idx="72">
                  <c:v>64</c:v>
                </c:pt>
                <c:pt idx="73">
                  <c:v>73</c:v>
                </c:pt>
                <c:pt idx="74">
                  <c:v>93</c:v>
                </c:pt>
                <c:pt idx="75">
                  <c:v>83</c:v>
                </c:pt>
                <c:pt idx="76">
                  <c:v>95</c:v>
                </c:pt>
                <c:pt idx="77">
                  <c:v>100</c:v>
                </c:pt>
                <c:pt idx="78">
                  <c:v>102</c:v>
                </c:pt>
                <c:pt idx="79">
                  <c:v>96</c:v>
                </c:pt>
                <c:pt idx="80">
                  <c:v>120</c:v>
                </c:pt>
                <c:pt idx="81">
                  <c:v>96</c:v>
                </c:pt>
              </c:numCache>
            </c:numRef>
          </c:val>
          <c:smooth val="0"/>
          <c:extLst>
            <c:ext xmlns:c16="http://schemas.microsoft.com/office/drawing/2014/chart" uri="{C3380CC4-5D6E-409C-BE32-E72D297353CC}">
              <c16:uniqueId val="{00000000-FD41-455F-AB07-3B07589D5569}"/>
            </c:ext>
          </c:extLst>
        </c:ser>
        <c:ser>
          <c:idx val="1"/>
          <c:order val="1"/>
          <c:tx>
            <c:strRef>
              <c:f>Qtr!$W$1:$W$2</c:f>
              <c:strCache>
                <c:ptCount val="1"/>
                <c:pt idx="0">
                  <c:v>IMATINIB</c:v>
                </c:pt>
              </c:strCache>
            </c:strRef>
          </c:tx>
          <c:spPr>
            <a:ln w="28575" cap="rnd">
              <a:solidFill>
                <a:schemeClr val="accent2"/>
              </a:solidFill>
              <a:round/>
            </a:ln>
            <a:effectLst/>
          </c:spPr>
          <c:marker>
            <c:symbol val="none"/>
          </c:marker>
          <c:cat>
            <c:strRef>
              <c:f>Qtr!$U$3:$U$85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Qtr!$W$3:$W$85</c:f>
              <c:numCache>
                <c:formatCode>General</c:formatCode>
                <c:ptCount val="82"/>
                <c:pt idx="0">
                  <c:v>134</c:v>
                </c:pt>
                <c:pt idx="1">
                  <c:v>92</c:v>
                </c:pt>
                <c:pt idx="2">
                  <c:v>72</c:v>
                </c:pt>
                <c:pt idx="3">
                  <c:v>121</c:v>
                </c:pt>
                <c:pt idx="4">
                  <c:v>131</c:v>
                </c:pt>
                <c:pt idx="5">
                  <c:v>108</c:v>
                </c:pt>
                <c:pt idx="6">
                  <c:v>90</c:v>
                </c:pt>
                <c:pt idx="7">
                  <c:v>63</c:v>
                </c:pt>
                <c:pt idx="8">
                  <c:v>88</c:v>
                </c:pt>
                <c:pt idx="9">
                  <c:v>53</c:v>
                </c:pt>
                <c:pt idx="10">
                  <c:v>63</c:v>
                </c:pt>
                <c:pt idx="11">
                  <c:v>65</c:v>
                </c:pt>
                <c:pt idx="12">
                  <c:v>74</c:v>
                </c:pt>
                <c:pt idx="13">
                  <c:v>91</c:v>
                </c:pt>
                <c:pt idx="14">
                  <c:v>83</c:v>
                </c:pt>
                <c:pt idx="15">
                  <c:v>88</c:v>
                </c:pt>
                <c:pt idx="16">
                  <c:v>76</c:v>
                </c:pt>
                <c:pt idx="17">
                  <c:v>83</c:v>
                </c:pt>
                <c:pt idx="18">
                  <c:v>69</c:v>
                </c:pt>
                <c:pt idx="19">
                  <c:v>71</c:v>
                </c:pt>
                <c:pt idx="20">
                  <c:v>75</c:v>
                </c:pt>
                <c:pt idx="21">
                  <c:v>79</c:v>
                </c:pt>
                <c:pt idx="22">
                  <c:v>74</c:v>
                </c:pt>
                <c:pt idx="23">
                  <c:v>67</c:v>
                </c:pt>
                <c:pt idx="24">
                  <c:v>79</c:v>
                </c:pt>
                <c:pt idx="25">
                  <c:v>108</c:v>
                </c:pt>
                <c:pt idx="26">
                  <c:v>108</c:v>
                </c:pt>
                <c:pt idx="27">
                  <c:v>83</c:v>
                </c:pt>
                <c:pt idx="28">
                  <c:v>80</c:v>
                </c:pt>
                <c:pt idx="29">
                  <c:v>96</c:v>
                </c:pt>
                <c:pt idx="30">
                  <c:v>70</c:v>
                </c:pt>
                <c:pt idx="31">
                  <c:v>62</c:v>
                </c:pt>
                <c:pt idx="32">
                  <c:v>57</c:v>
                </c:pt>
                <c:pt idx="33">
                  <c:v>42</c:v>
                </c:pt>
                <c:pt idx="34">
                  <c:v>31</c:v>
                </c:pt>
                <c:pt idx="35">
                  <c:v>59</c:v>
                </c:pt>
                <c:pt idx="36">
                  <c:v>29</c:v>
                </c:pt>
                <c:pt idx="37">
                  <c:v>46</c:v>
                </c:pt>
                <c:pt idx="38">
                  <c:v>38</c:v>
                </c:pt>
                <c:pt idx="39">
                  <c:v>43</c:v>
                </c:pt>
                <c:pt idx="40">
                  <c:v>53</c:v>
                </c:pt>
                <c:pt idx="41">
                  <c:v>53</c:v>
                </c:pt>
                <c:pt idx="42">
                  <c:v>46</c:v>
                </c:pt>
                <c:pt idx="43">
                  <c:v>36</c:v>
                </c:pt>
                <c:pt idx="44">
                  <c:v>33</c:v>
                </c:pt>
                <c:pt idx="45">
                  <c:v>49</c:v>
                </c:pt>
                <c:pt idx="46">
                  <c:v>36</c:v>
                </c:pt>
                <c:pt idx="47">
                  <c:v>47</c:v>
                </c:pt>
                <c:pt idx="48">
                  <c:v>53</c:v>
                </c:pt>
                <c:pt idx="49">
                  <c:v>41</c:v>
                </c:pt>
                <c:pt idx="50">
                  <c:v>48</c:v>
                </c:pt>
                <c:pt idx="51">
                  <c:v>55</c:v>
                </c:pt>
                <c:pt idx="52">
                  <c:v>50</c:v>
                </c:pt>
                <c:pt idx="53">
                  <c:v>50</c:v>
                </c:pt>
                <c:pt idx="54">
                  <c:v>47</c:v>
                </c:pt>
                <c:pt idx="55">
                  <c:v>42</c:v>
                </c:pt>
                <c:pt idx="56">
                  <c:v>46</c:v>
                </c:pt>
                <c:pt idx="57">
                  <c:v>57</c:v>
                </c:pt>
                <c:pt idx="58">
                  <c:v>55</c:v>
                </c:pt>
                <c:pt idx="59">
                  <c:v>58</c:v>
                </c:pt>
                <c:pt idx="60">
                  <c:v>51</c:v>
                </c:pt>
                <c:pt idx="61">
                  <c:v>60</c:v>
                </c:pt>
                <c:pt idx="62">
                  <c:v>72</c:v>
                </c:pt>
                <c:pt idx="63">
                  <c:v>118</c:v>
                </c:pt>
                <c:pt idx="64">
                  <c:v>111</c:v>
                </c:pt>
                <c:pt idx="65">
                  <c:v>101</c:v>
                </c:pt>
                <c:pt idx="66">
                  <c:v>106</c:v>
                </c:pt>
                <c:pt idx="67">
                  <c:v>102</c:v>
                </c:pt>
                <c:pt idx="68">
                  <c:v>80</c:v>
                </c:pt>
                <c:pt idx="69">
                  <c:v>78</c:v>
                </c:pt>
                <c:pt idx="70">
                  <c:v>64</c:v>
                </c:pt>
                <c:pt idx="71">
                  <c:v>86</c:v>
                </c:pt>
                <c:pt idx="72">
                  <c:v>60</c:v>
                </c:pt>
                <c:pt idx="73">
                  <c:v>65</c:v>
                </c:pt>
                <c:pt idx="74">
                  <c:v>74</c:v>
                </c:pt>
                <c:pt idx="75">
                  <c:v>93</c:v>
                </c:pt>
                <c:pt idx="76">
                  <c:v>75</c:v>
                </c:pt>
                <c:pt idx="77">
                  <c:v>72</c:v>
                </c:pt>
                <c:pt idx="78">
                  <c:v>63</c:v>
                </c:pt>
                <c:pt idx="79">
                  <c:v>72</c:v>
                </c:pt>
                <c:pt idx="80">
                  <c:v>72</c:v>
                </c:pt>
                <c:pt idx="81">
                  <c:v>79</c:v>
                </c:pt>
              </c:numCache>
            </c:numRef>
          </c:val>
          <c:smooth val="0"/>
          <c:extLst>
            <c:ext xmlns:c16="http://schemas.microsoft.com/office/drawing/2014/chart" uri="{C3380CC4-5D6E-409C-BE32-E72D297353CC}">
              <c16:uniqueId val="{00000001-FD41-455F-AB07-3B07589D5569}"/>
            </c:ext>
          </c:extLst>
        </c:ser>
        <c:ser>
          <c:idx val="2"/>
          <c:order val="2"/>
          <c:tx>
            <c:strRef>
              <c:f>Qtr!$X$1:$X$2</c:f>
              <c:strCache>
                <c:ptCount val="1"/>
                <c:pt idx="0">
                  <c:v>NILOTINIB</c:v>
                </c:pt>
              </c:strCache>
            </c:strRef>
          </c:tx>
          <c:spPr>
            <a:ln w="28575" cap="rnd">
              <a:solidFill>
                <a:schemeClr val="accent3"/>
              </a:solidFill>
              <a:round/>
            </a:ln>
            <a:effectLst/>
          </c:spPr>
          <c:marker>
            <c:symbol val="none"/>
          </c:marker>
          <c:cat>
            <c:strRef>
              <c:f>Qtr!$U$3:$U$85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Qtr!$X$3:$X$85</c:f>
              <c:numCache>
                <c:formatCode>General</c:formatCode>
                <c:ptCount val="82"/>
                <c:pt idx="18">
                  <c:v>20</c:v>
                </c:pt>
                <c:pt idx="19">
                  <c:v>31</c:v>
                </c:pt>
                <c:pt idx="20">
                  <c:v>20</c:v>
                </c:pt>
                <c:pt idx="21">
                  <c:v>17</c:v>
                </c:pt>
                <c:pt idx="22">
                  <c:v>11</c:v>
                </c:pt>
                <c:pt idx="23">
                  <c:v>13</c:v>
                </c:pt>
                <c:pt idx="24">
                  <c:v>13</c:v>
                </c:pt>
                <c:pt idx="25">
                  <c:v>10</c:v>
                </c:pt>
                <c:pt idx="26">
                  <c:v>20</c:v>
                </c:pt>
                <c:pt idx="27">
                  <c:v>18</c:v>
                </c:pt>
                <c:pt idx="28">
                  <c:v>21</c:v>
                </c:pt>
                <c:pt idx="29">
                  <c:v>22</c:v>
                </c:pt>
                <c:pt idx="30">
                  <c:v>17</c:v>
                </c:pt>
                <c:pt idx="31">
                  <c:v>22</c:v>
                </c:pt>
                <c:pt idx="32">
                  <c:v>19</c:v>
                </c:pt>
                <c:pt idx="33">
                  <c:v>61</c:v>
                </c:pt>
                <c:pt idx="34">
                  <c:v>111</c:v>
                </c:pt>
                <c:pt idx="35">
                  <c:v>68</c:v>
                </c:pt>
                <c:pt idx="36">
                  <c:v>54</c:v>
                </c:pt>
                <c:pt idx="37">
                  <c:v>40</c:v>
                </c:pt>
                <c:pt idx="38">
                  <c:v>51</c:v>
                </c:pt>
                <c:pt idx="39">
                  <c:v>34</c:v>
                </c:pt>
                <c:pt idx="40">
                  <c:v>41</c:v>
                </c:pt>
                <c:pt idx="41">
                  <c:v>51</c:v>
                </c:pt>
                <c:pt idx="42">
                  <c:v>41</c:v>
                </c:pt>
                <c:pt idx="43">
                  <c:v>42</c:v>
                </c:pt>
                <c:pt idx="44">
                  <c:v>38</c:v>
                </c:pt>
                <c:pt idx="45">
                  <c:v>39</c:v>
                </c:pt>
                <c:pt idx="46">
                  <c:v>49</c:v>
                </c:pt>
                <c:pt idx="47">
                  <c:v>41</c:v>
                </c:pt>
                <c:pt idx="48">
                  <c:v>34</c:v>
                </c:pt>
                <c:pt idx="49">
                  <c:v>39</c:v>
                </c:pt>
                <c:pt idx="50">
                  <c:v>55</c:v>
                </c:pt>
                <c:pt idx="51">
                  <c:v>32</c:v>
                </c:pt>
                <c:pt idx="52">
                  <c:v>39</c:v>
                </c:pt>
                <c:pt idx="53">
                  <c:v>34</c:v>
                </c:pt>
                <c:pt idx="54">
                  <c:v>38</c:v>
                </c:pt>
                <c:pt idx="55">
                  <c:v>28</c:v>
                </c:pt>
                <c:pt idx="56">
                  <c:v>36</c:v>
                </c:pt>
                <c:pt idx="57">
                  <c:v>36</c:v>
                </c:pt>
                <c:pt idx="58">
                  <c:v>33</c:v>
                </c:pt>
                <c:pt idx="59">
                  <c:v>34</c:v>
                </c:pt>
                <c:pt idx="60">
                  <c:v>30</c:v>
                </c:pt>
                <c:pt idx="61">
                  <c:v>38</c:v>
                </c:pt>
                <c:pt idx="62">
                  <c:v>38</c:v>
                </c:pt>
                <c:pt idx="63">
                  <c:v>35</c:v>
                </c:pt>
                <c:pt idx="64">
                  <c:v>34</c:v>
                </c:pt>
                <c:pt idx="65">
                  <c:v>35</c:v>
                </c:pt>
                <c:pt idx="66">
                  <c:v>38</c:v>
                </c:pt>
                <c:pt idx="67">
                  <c:v>41</c:v>
                </c:pt>
                <c:pt idx="68">
                  <c:v>28</c:v>
                </c:pt>
                <c:pt idx="69">
                  <c:v>35</c:v>
                </c:pt>
                <c:pt idx="70">
                  <c:v>34</c:v>
                </c:pt>
                <c:pt idx="71">
                  <c:v>25</c:v>
                </c:pt>
                <c:pt idx="72">
                  <c:v>30</c:v>
                </c:pt>
                <c:pt idx="73">
                  <c:v>29</c:v>
                </c:pt>
                <c:pt idx="74">
                  <c:v>42</c:v>
                </c:pt>
                <c:pt idx="75">
                  <c:v>23</c:v>
                </c:pt>
                <c:pt idx="76">
                  <c:v>32</c:v>
                </c:pt>
                <c:pt idx="77">
                  <c:v>28</c:v>
                </c:pt>
                <c:pt idx="78">
                  <c:v>37</c:v>
                </c:pt>
                <c:pt idx="79">
                  <c:v>41</c:v>
                </c:pt>
                <c:pt idx="80">
                  <c:v>40</c:v>
                </c:pt>
                <c:pt idx="81">
                  <c:v>38</c:v>
                </c:pt>
              </c:numCache>
            </c:numRef>
          </c:val>
          <c:smooth val="0"/>
          <c:extLst>
            <c:ext xmlns:c16="http://schemas.microsoft.com/office/drawing/2014/chart" uri="{C3380CC4-5D6E-409C-BE32-E72D297353CC}">
              <c16:uniqueId val="{00000002-FD41-455F-AB07-3B07589D5569}"/>
            </c:ext>
          </c:extLst>
        </c:ser>
        <c:ser>
          <c:idx val="3"/>
          <c:order val="3"/>
          <c:tx>
            <c:strRef>
              <c:f>Qtr!$Y$1:$Y$2</c:f>
              <c:strCache>
                <c:ptCount val="1"/>
                <c:pt idx="0">
                  <c:v>PONATINIB</c:v>
                </c:pt>
              </c:strCache>
            </c:strRef>
          </c:tx>
          <c:spPr>
            <a:ln w="28575" cap="rnd">
              <a:solidFill>
                <a:schemeClr val="accent4"/>
              </a:solidFill>
              <a:round/>
            </a:ln>
            <a:effectLst/>
          </c:spPr>
          <c:marker>
            <c:symbol val="none"/>
          </c:marker>
          <c:cat>
            <c:strRef>
              <c:f>Qtr!$U$3:$U$85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Qtr!$Y$3:$Y$85</c:f>
              <c:numCache>
                <c:formatCode>General</c:formatCode>
                <c:ptCount val="82"/>
                <c:pt idx="47">
                  <c:v>17</c:v>
                </c:pt>
                <c:pt idx="48">
                  <c:v>6</c:v>
                </c:pt>
                <c:pt idx="49">
                  <c:v>8</c:v>
                </c:pt>
                <c:pt idx="50">
                  <c:v>5</c:v>
                </c:pt>
                <c:pt idx="51">
                  <c:v>6</c:v>
                </c:pt>
                <c:pt idx="52">
                  <c:v>5</c:v>
                </c:pt>
                <c:pt idx="53">
                  <c:v>5</c:v>
                </c:pt>
                <c:pt idx="54">
                  <c:v>6</c:v>
                </c:pt>
                <c:pt idx="55">
                  <c:v>5</c:v>
                </c:pt>
                <c:pt idx="56">
                  <c:v>5</c:v>
                </c:pt>
                <c:pt idx="57">
                  <c:v>5</c:v>
                </c:pt>
                <c:pt idx="58">
                  <c:v>5</c:v>
                </c:pt>
                <c:pt idx="59">
                  <c:v>8</c:v>
                </c:pt>
                <c:pt idx="60">
                  <c:v>5</c:v>
                </c:pt>
                <c:pt idx="61">
                  <c:v>7</c:v>
                </c:pt>
                <c:pt idx="62">
                  <c:v>5</c:v>
                </c:pt>
                <c:pt idx="63">
                  <c:v>6</c:v>
                </c:pt>
                <c:pt idx="64">
                  <c:v>5</c:v>
                </c:pt>
                <c:pt idx="65">
                  <c:v>5</c:v>
                </c:pt>
                <c:pt idx="66">
                  <c:v>5</c:v>
                </c:pt>
                <c:pt idx="67">
                  <c:v>7</c:v>
                </c:pt>
                <c:pt idx="68">
                  <c:v>7</c:v>
                </c:pt>
                <c:pt idx="69">
                  <c:v>6</c:v>
                </c:pt>
                <c:pt idx="70">
                  <c:v>5</c:v>
                </c:pt>
                <c:pt idx="71">
                  <c:v>5</c:v>
                </c:pt>
                <c:pt idx="72">
                  <c:v>5</c:v>
                </c:pt>
                <c:pt idx="73">
                  <c:v>5</c:v>
                </c:pt>
                <c:pt idx="74">
                  <c:v>5</c:v>
                </c:pt>
                <c:pt idx="75">
                  <c:v>5</c:v>
                </c:pt>
                <c:pt idx="76">
                  <c:v>5</c:v>
                </c:pt>
                <c:pt idx="77">
                  <c:v>8</c:v>
                </c:pt>
                <c:pt idx="78">
                  <c:v>5</c:v>
                </c:pt>
                <c:pt idx="79">
                  <c:v>5</c:v>
                </c:pt>
                <c:pt idx="80">
                  <c:v>5</c:v>
                </c:pt>
                <c:pt idx="81">
                  <c:v>5</c:v>
                </c:pt>
              </c:numCache>
            </c:numRef>
          </c:val>
          <c:smooth val="0"/>
          <c:extLst>
            <c:ext xmlns:c16="http://schemas.microsoft.com/office/drawing/2014/chart" uri="{C3380CC4-5D6E-409C-BE32-E72D297353CC}">
              <c16:uniqueId val="{00000003-FD41-455F-AB07-3B07589D5569}"/>
            </c:ext>
          </c:extLst>
        </c:ser>
        <c:dLbls>
          <c:showLegendKey val="0"/>
          <c:showVal val="0"/>
          <c:showCatName val="0"/>
          <c:showSerName val="0"/>
          <c:showPercent val="0"/>
          <c:showBubbleSize val="0"/>
        </c:dLbls>
        <c:smooth val="0"/>
        <c:axId val="816965224"/>
        <c:axId val="816965944"/>
      </c:lineChart>
      <c:catAx>
        <c:axId val="816965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965944"/>
        <c:crosses val="autoZero"/>
        <c:auto val="1"/>
        <c:lblAlgn val="ctr"/>
        <c:lblOffset val="100"/>
        <c:noMultiLvlLbl val="0"/>
      </c:catAx>
      <c:valAx>
        <c:axId val="816965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965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[CML%20TKI(2).xlsx]Qtr!PivotTable7</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Qtr!$AD$1:$AD$2</c:f>
              <c:strCache>
                <c:ptCount val="1"/>
                <c:pt idx="0">
                  <c:v>DASATINIB</c:v>
                </c:pt>
              </c:strCache>
            </c:strRef>
          </c:tx>
          <c:spPr>
            <a:ln w="28575" cap="rnd">
              <a:solidFill>
                <a:schemeClr val="accent1"/>
              </a:solidFill>
              <a:round/>
            </a:ln>
            <a:effectLst/>
          </c:spPr>
          <c:marker>
            <c:symbol val="none"/>
          </c:marker>
          <c:cat>
            <c:strRef>
              <c:f>Qtr!$AC$3:$AC$85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Qtr!$AD$3:$AD$85</c:f>
              <c:numCache>
                <c:formatCode>General</c:formatCode>
                <c:ptCount val="82"/>
                <c:pt idx="14">
                  <c:v>141</c:v>
                </c:pt>
                <c:pt idx="15">
                  <c:v>299</c:v>
                </c:pt>
                <c:pt idx="16">
                  <c:v>313</c:v>
                </c:pt>
                <c:pt idx="17">
                  <c:v>329</c:v>
                </c:pt>
                <c:pt idx="18">
                  <c:v>337</c:v>
                </c:pt>
                <c:pt idx="19">
                  <c:v>394</c:v>
                </c:pt>
                <c:pt idx="20">
                  <c:v>356</c:v>
                </c:pt>
                <c:pt idx="21">
                  <c:v>378</c:v>
                </c:pt>
                <c:pt idx="22">
                  <c:v>378</c:v>
                </c:pt>
                <c:pt idx="23">
                  <c:v>379</c:v>
                </c:pt>
                <c:pt idx="24">
                  <c:v>359</c:v>
                </c:pt>
                <c:pt idx="25">
                  <c:v>359</c:v>
                </c:pt>
                <c:pt idx="26">
                  <c:v>388</c:v>
                </c:pt>
                <c:pt idx="27">
                  <c:v>445</c:v>
                </c:pt>
                <c:pt idx="28">
                  <c:v>428</c:v>
                </c:pt>
                <c:pt idx="29">
                  <c:v>480</c:v>
                </c:pt>
                <c:pt idx="30">
                  <c:v>521</c:v>
                </c:pt>
                <c:pt idx="31">
                  <c:v>559</c:v>
                </c:pt>
                <c:pt idx="32">
                  <c:v>548</c:v>
                </c:pt>
                <c:pt idx="33">
                  <c:v>603</c:v>
                </c:pt>
                <c:pt idx="34">
                  <c:v>828</c:v>
                </c:pt>
                <c:pt idx="35">
                  <c:v>1026</c:v>
                </c:pt>
                <c:pt idx="36">
                  <c:v>1051</c:v>
                </c:pt>
                <c:pt idx="37">
                  <c:v>1236</c:v>
                </c:pt>
                <c:pt idx="38">
                  <c:v>1285</c:v>
                </c:pt>
                <c:pt idx="39">
                  <c:v>1485</c:v>
                </c:pt>
                <c:pt idx="40">
                  <c:v>1484</c:v>
                </c:pt>
                <c:pt idx="41">
                  <c:v>1529</c:v>
                </c:pt>
                <c:pt idx="42">
                  <c:v>1663</c:v>
                </c:pt>
                <c:pt idx="43">
                  <c:v>1771</c:v>
                </c:pt>
                <c:pt idx="44">
                  <c:v>1747</c:v>
                </c:pt>
                <c:pt idx="45">
                  <c:v>1848</c:v>
                </c:pt>
                <c:pt idx="46">
                  <c:v>1912</c:v>
                </c:pt>
                <c:pt idx="47">
                  <c:v>2016</c:v>
                </c:pt>
                <c:pt idx="48">
                  <c:v>1974</c:v>
                </c:pt>
                <c:pt idx="49">
                  <c:v>2065</c:v>
                </c:pt>
                <c:pt idx="50">
                  <c:v>2258</c:v>
                </c:pt>
                <c:pt idx="51">
                  <c:v>2274</c:v>
                </c:pt>
                <c:pt idx="52">
                  <c:v>2240</c:v>
                </c:pt>
                <c:pt idx="53">
                  <c:v>2374</c:v>
                </c:pt>
                <c:pt idx="54">
                  <c:v>2435</c:v>
                </c:pt>
                <c:pt idx="55">
                  <c:v>2501</c:v>
                </c:pt>
                <c:pt idx="56">
                  <c:v>2459</c:v>
                </c:pt>
                <c:pt idx="57">
                  <c:v>2647</c:v>
                </c:pt>
                <c:pt idx="58">
                  <c:v>2714</c:v>
                </c:pt>
                <c:pt idx="59">
                  <c:v>2810</c:v>
                </c:pt>
                <c:pt idx="60">
                  <c:v>2715</c:v>
                </c:pt>
                <c:pt idx="61">
                  <c:v>2866</c:v>
                </c:pt>
                <c:pt idx="62">
                  <c:v>3007</c:v>
                </c:pt>
                <c:pt idx="63">
                  <c:v>3026</c:v>
                </c:pt>
                <c:pt idx="64">
                  <c:v>3291</c:v>
                </c:pt>
                <c:pt idx="65">
                  <c:v>2773</c:v>
                </c:pt>
                <c:pt idx="66">
                  <c:v>3119</c:v>
                </c:pt>
                <c:pt idx="67">
                  <c:v>3150</c:v>
                </c:pt>
                <c:pt idx="68">
                  <c:v>3107</c:v>
                </c:pt>
                <c:pt idx="69">
                  <c:v>3184</c:v>
                </c:pt>
                <c:pt idx="70">
                  <c:v>3243</c:v>
                </c:pt>
                <c:pt idx="71">
                  <c:v>3361</c:v>
                </c:pt>
                <c:pt idx="72">
                  <c:v>3010</c:v>
                </c:pt>
                <c:pt idx="73">
                  <c:v>3238</c:v>
                </c:pt>
                <c:pt idx="74">
                  <c:v>3302</c:v>
                </c:pt>
                <c:pt idx="75">
                  <c:v>3321</c:v>
                </c:pt>
                <c:pt idx="76">
                  <c:v>3318</c:v>
                </c:pt>
                <c:pt idx="77">
                  <c:v>3269</c:v>
                </c:pt>
                <c:pt idx="78">
                  <c:v>3546</c:v>
                </c:pt>
                <c:pt idx="79">
                  <c:v>3435</c:v>
                </c:pt>
                <c:pt idx="80">
                  <c:v>3488</c:v>
                </c:pt>
                <c:pt idx="81">
                  <c:v>3339</c:v>
                </c:pt>
              </c:numCache>
            </c:numRef>
          </c:val>
          <c:smooth val="0"/>
          <c:extLst>
            <c:ext xmlns:c16="http://schemas.microsoft.com/office/drawing/2014/chart" uri="{C3380CC4-5D6E-409C-BE32-E72D297353CC}">
              <c16:uniqueId val="{00000000-3145-43CD-94FA-A436ABC38506}"/>
            </c:ext>
          </c:extLst>
        </c:ser>
        <c:ser>
          <c:idx val="1"/>
          <c:order val="1"/>
          <c:tx>
            <c:strRef>
              <c:f>Qtr!$AE$1:$AE$2</c:f>
              <c:strCache>
                <c:ptCount val="1"/>
                <c:pt idx="0">
                  <c:v>IMATINIB</c:v>
                </c:pt>
              </c:strCache>
            </c:strRef>
          </c:tx>
          <c:spPr>
            <a:ln w="28575" cap="rnd">
              <a:solidFill>
                <a:schemeClr val="accent2"/>
              </a:solidFill>
              <a:round/>
            </a:ln>
            <a:effectLst/>
          </c:spPr>
          <c:marker>
            <c:symbol val="none"/>
          </c:marker>
          <c:cat>
            <c:strRef>
              <c:f>Qtr!$AC$3:$AC$85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Qtr!$AE$3:$AE$85</c:f>
              <c:numCache>
                <c:formatCode>General</c:formatCode>
                <c:ptCount val="82"/>
                <c:pt idx="0">
                  <c:v>1427</c:v>
                </c:pt>
                <c:pt idx="1">
                  <c:v>1478</c:v>
                </c:pt>
                <c:pt idx="2">
                  <c:v>1415</c:v>
                </c:pt>
                <c:pt idx="3">
                  <c:v>1825</c:v>
                </c:pt>
                <c:pt idx="4">
                  <c:v>2082</c:v>
                </c:pt>
                <c:pt idx="5">
                  <c:v>2476</c:v>
                </c:pt>
                <c:pt idx="6">
                  <c:v>2709</c:v>
                </c:pt>
                <c:pt idx="7">
                  <c:v>2922</c:v>
                </c:pt>
                <c:pt idx="8">
                  <c:v>2809</c:v>
                </c:pt>
                <c:pt idx="9">
                  <c:v>3006</c:v>
                </c:pt>
                <c:pt idx="10">
                  <c:v>2962</c:v>
                </c:pt>
                <c:pt idx="11">
                  <c:v>3119</c:v>
                </c:pt>
                <c:pt idx="12">
                  <c:v>3033</c:v>
                </c:pt>
                <c:pt idx="13">
                  <c:v>3246</c:v>
                </c:pt>
                <c:pt idx="14">
                  <c:v>3253</c:v>
                </c:pt>
                <c:pt idx="15">
                  <c:v>3548</c:v>
                </c:pt>
                <c:pt idx="16">
                  <c:v>3474</c:v>
                </c:pt>
                <c:pt idx="17">
                  <c:v>3764</c:v>
                </c:pt>
                <c:pt idx="18">
                  <c:v>3807</c:v>
                </c:pt>
                <c:pt idx="19">
                  <c:v>4059</c:v>
                </c:pt>
                <c:pt idx="20">
                  <c:v>3839</c:v>
                </c:pt>
                <c:pt idx="21">
                  <c:v>4153</c:v>
                </c:pt>
                <c:pt idx="22">
                  <c:v>4300</c:v>
                </c:pt>
                <c:pt idx="23">
                  <c:v>4462</c:v>
                </c:pt>
                <c:pt idx="24">
                  <c:v>4301</c:v>
                </c:pt>
                <c:pt idx="25">
                  <c:v>4489</c:v>
                </c:pt>
                <c:pt idx="26">
                  <c:v>4783</c:v>
                </c:pt>
                <c:pt idx="27">
                  <c:v>5021</c:v>
                </c:pt>
                <c:pt idx="28">
                  <c:v>4703</c:v>
                </c:pt>
                <c:pt idx="29">
                  <c:v>5046</c:v>
                </c:pt>
                <c:pt idx="30">
                  <c:v>5110</c:v>
                </c:pt>
                <c:pt idx="31">
                  <c:v>5240</c:v>
                </c:pt>
                <c:pt idx="32">
                  <c:v>5084</c:v>
                </c:pt>
                <c:pt idx="33">
                  <c:v>5191</c:v>
                </c:pt>
                <c:pt idx="34">
                  <c:v>4921</c:v>
                </c:pt>
                <c:pt idx="35">
                  <c:v>5103</c:v>
                </c:pt>
                <c:pt idx="36">
                  <c:v>4642</c:v>
                </c:pt>
                <c:pt idx="37">
                  <c:v>4723</c:v>
                </c:pt>
                <c:pt idx="38">
                  <c:v>4714</c:v>
                </c:pt>
                <c:pt idx="39">
                  <c:v>4831</c:v>
                </c:pt>
                <c:pt idx="40">
                  <c:v>4450</c:v>
                </c:pt>
                <c:pt idx="41">
                  <c:v>4667</c:v>
                </c:pt>
                <c:pt idx="42">
                  <c:v>4730</c:v>
                </c:pt>
                <c:pt idx="43">
                  <c:v>4775</c:v>
                </c:pt>
                <c:pt idx="44">
                  <c:v>4468</c:v>
                </c:pt>
                <c:pt idx="45">
                  <c:v>4584</c:v>
                </c:pt>
                <c:pt idx="46">
                  <c:v>4589</c:v>
                </c:pt>
                <c:pt idx="47">
                  <c:v>4748</c:v>
                </c:pt>
                <c:pt idx="48">
                  <c:v>4507</c:v>
                </c:pt>
                <c:pt idx="49">
                  <c:v>4556</c:v>
                </c:pt>
                <c:pt idx="50">
                  <c:v>4714</c:v>
                </c:pt>
                <c:pt idx="51">
                  <c:v>4663</c:v>
                </c:pt>
                <c:pt idx="52">
                  <c:v>4457</c:v>
                </c:pt>
                <c:pt idx="53">
                  <c:v>4622</c:v>
                </c:pt>
                <c:pt idx="54">
                  <c:v>4711</c:v>
                </c:pt>
                <c:pt idx="55">
                  <c:v>4445</c:v>
                </c:pt>
                <c:pt idx="56">
                  <c:v>4275</c:v>
                </c:pt>
                <c:pt idx="57">
                  <c:v>4486</c:v>
                </c:pt>
                <c:pt idx="58">
                  <c:v>4682</c:v>
                </c:pt>
                <c:pt idx="59">
                  <c:v>4380</c:v>
                </c:pt>
                <c:pt idx="60">
                  <c:v>4297</c:v>
                </c:pt>
                <c:pt idx="61">
                  <c:v>4521</c:v>
                </c:pt>
                <c:pt idx="62">
                  <c:v>4831</c:v>
                </c:pt>
                <c:pt idx="63">
                  <c:v>4257</c:v>
                </c:pt>
                <c:pt idx="64">
                  <c:v>4704</c:v>
                </c:pt>
                <c:pt idx="65">
                  <c:v>3756</c:v>
                </c:pt>
                <c:pt idx="66">
                  <c:v>4408</c:v>
                </c:pt>
                <c:pt idx="67">
                  <c:v>4469</c:v>
                </c:pt>
                <c:pt idx="68">
                  <c:v>4210</c:v>
                </c:pt>
                <c:pt idx="69">
                  <c:v>4244</c:v>
                </c:pt>
                <c:pt idx="70">
                  <c:v>4410</c:v>
                </c:pt>
                <c:pt idx="71">
                  <c:v>4273</c:v>
                </c:pt>
                <c:pt idx="72">
                  <c:v>3920</c:v>
                </c:pt>
                <c:pt idx="73">
                  <c:v>3862</c:v>
                </c:pt>
                <c:pt idx="74">
                  <c:v>3655</c:v>
                </c:pt>
                <c:pt idx="75">
                  <c:v>3890</c:v>
                </c:pt>
                <c:pt idx="76">
                  <c:v>3651</c:v>
                </c:pt>
                <c:pt idx="77">
                  <c:v>3584</c:v>
                </c:pt>
                <c:pt idx="78">
                  <c:v>3589</c:v>
                </c:pt>
                <c:pt idx="79">
                  <c:v>3781</c:v>
                </c:pt>
                <c:pt idx="80">
                  <c:v>3711</c:v>
                </c:pt>
                <c:pt idx="81">
                  <c:v>3635</c:v>
                </c:pt>
              </c:numCache>
            </c:numRef>
          </c:val>
          <c:smooth val="0"/>
          <c:extLst>
            <c:ext xmlns:c16="http://schemas.microsoft.com/office/drawing/2014/chart" uri="{C3380CC4-5D6E-409C-BE32-E72D297353CC}">
              <c16:uniqueId val="{00000001-3145-43CD-94FA-A436ABC38506}"/>
            </c:ext>
          </c:extLst>
        </c:ser>
        <c:ser>
          <c:idx val="2"/>
          <c:order val="2"/>
          <c:tx>
            <c:strRef>
              <c:f>Qtr!$AF$1:$AF$2</c:f>
              <c:strCache>
                <c:ptCount val="1"/>
                <c:pt idx="0">
                  <c:v>NILOTINIB</c:v>
                </c:pt>
              </c:strCache>
            </c:strRef>
          </c:tx>
          <c:spPr>
            <a:ln w="28575" cap="rnd">
              <a:solidFill>
                <a:schemeClr val="accent3"/>
              </a:solidFill>
              <a:round/>
            </a:ln>
            <a:effectLst/>
          </c:spPr>
          <c:marker>
            <c:symbol val="none"/>
          </c:marker>
          <c:cat>
            <c:strRef>
              <c:f>Qtr!$AC$3:$AC$85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Qtr!$AF$3:$AF$85</c:f>
              <c:numCache>
                <c:formatCode>General</c:formatCode>
                <c:ptCount val="82"/>
                <c:pt idx="18">
                  <c:v>25</c:v>
                </c:pt>
                <c:pt idx="19">
                  <c:v>113</c:v>
                </c:pt>
                <c:pt idx="20">
                  <c:v>132</c:v>
                </c:pt>
                <c:pt idx="21">
                  <c:v>165</c:v>
                </c:pt>
                <c:pt idx="22">
                  <c:v>195</c:v>
                </c:pt>
                <c:pt idx="23">
                  <c:v>219</c:v>
                </c:pt>
                <c:pt idx="24">
                  <c:v>214</c:v>
                </c:pt>
                <c:pt idx="25">
                  <c:v>234</c:v>
                </c:pt>
                <c:pt idx="26">
                  <c:v>266</c:v>
                </c:pt>
                <c:pt idx="27">
                  <c:v>307</c:v>
                </c:pt>
                <c:pt idx="28">
                  <c:v>311</c:v>
                </c:pt>
                <c:pt idx="29">
                  <c:v>362</c:v>
                </c:pt>
                <c:pt idx="30">
                  <c:v>377</c:v>
                </c:pt>
                <c:pt idx="31">
                  <c:v>413</c:v>
                </c:pt>
                <c:pt idx="32">
                  <c:v>428</c:v>
                </c:pt>
                <c:pt idx="33">
                  <c:v>515</c:v>
                </c:pt>
                <c:pt idx="34">
                  <c:v>744</c:v>
                </c:pt>
                <c:pt idx="35">
                  <c:v>936</c:v>
                </c:pt>
                <c:pt idx="36">
                  <c:v>921</c:v>
                </c:pt>
                <c:pt idx="37">
                  <c:v>1044</c:v>
                </c:pt>
                <c:pt idx="38">
                  <c:v>1108</c:v>
                </c:pt>
                <c:pt idx="39">
                  <c:v>1198</c:v>
                </c:pt>
                <c:pt idx="40">
                  <c:v>1158</c:v>
                </c:pt>
                <c:pt idx="41">
                  <c:v>1305</c:v>
                </c:pt>
                <c:pt idx="42">
                  <c:v>1318</c:v>
                </c:pt>
                <c:pt idx="43">
                  <c:v>1426</c:v>
                </c:pt>
                <c:pt idx="44">
                  <c:v>1354</c:v>
                </c:pt>
                <c:pt idx="45">
                  <c:v>1502</c:v>
                </c:pt>
                <c:pt idx="46">
                  <c:v>1564</c:v>
                </c:pt>
                <c:pt idx="47">
                  <c:v>1625</c:v>
                </c:pt>
                <c:pt idx="48">
                  <c:v>1625</c:v>
                </c:pt>
                <c:pt idx="49">
                  <c:v>1612</c:v>
                </c:pt>
                <c:pt idx="50">
                  <c:v>1692</c:v>
                </c:pt>
                <c:pt idx="51">
                  <c:v>1762</c:v>
                </c:pt>
                <c:pt idx="52">
                  <c:v>1699</c:v>
                </c:pt>
                <c:pt idx="53">
                  <c:v>1793</c:v>
                </c:pt>
                <c:pt idx="54">
                  <c:v>1825</c:v>
                </c:pt>
                <c:pt idx="55">
                  <c:v>1881</c:v>
                </c:pt>
                <c:pt idx="56">
                  <c:v>1802</c:v>
                </c:pt>
                <c:pt idx="57">
                  <c:v>1864</c:v>
                </c:pt>
                <c:pt idx="58">
                  <c:v>1896</c:v>
                </c:pt>
                <c:pt idx="59">
                  <c:v>2040</c:v>
                </c:pt>
                <c:pt idx="60">
                  <c:v>1956</c:v>
                </c:pt>
                <c:pt idx="61">
                  <c:v>1954</c:v>
                </c:pt>
                <c:pt idx="62">
                  <c:v>1976</c:v>
                </c:pt>
                <c:pt idx="63">
                  <c:v>2058</c:v>
                </c:pt>
                <c:pt idx="64">
                  <c:v>2103</c:v>
                </c:pt>
                <c:pt idx="65">
                  <c:v>1806</c:v>
                </c:pt>
                <c:pt idx="66">
                  <c:v>2066</c:v>
                </c:pt>
                <c:pt idx="67">
                  <c:v>2082</c:v>
                </c:pt>
                <c:pt idx="68">
                  <c:v>1944</c:v>
                </c:pt>
                <c:pt idx="69">
                  <c:v>1986</c:v>
                </c:pt>
                <c:pt idx="70">
                  <c:v>2056</c:v>
                </c:pt>
                <c:pt idx="71">
                  <c:v>2069</c:v>
                </c:pt>
                <c:pt idx="72">
                  <c:v>1958</c:v>
                </c:pt>
                <c:pt idx="73">
                  <c:v>2005</c:v>
                </c:pt>
                <c:pt idx="74">
                  <c:v>2026</c:v>
                </c:pt>
                <c:pt idx="75">
                  <c:v>2035</c:v>
                </c:pt>
                <c:pt idx="76">
                  <c:v>1921</c:v>
                </c:pt>
                <c:pt idx="77">
                  <c:v>1886</c:v>
                </c:pt>
                <c:pt idx="78">
                  <c:v>1896</c:v>
                </c:pt>
                <c:pt idx="79">
                  <c:v>1891</c:v>
                </c:pt>
                <c:pt idx="80">
                  <c:v>1803</c:v>
                </c:pt>
                <c:pt idx="81">
                  <c:v>1862</c:v>
                </c:pt>
              </c:numCache>
            </c:numRef>
          </c:val>
          <c:smooth val="0"/>
          <c:extLst>
            <c:ext xmlns:c16="http://schemas.microsoft.com/office/drawing/2014/chart" uri="{C3380CC4-5D6E-409C-BE32-E72D297353CC}">
              <c16:uniqueId val="{00000002-3145-43CD-94FA-A436ABC38506}"/>
            </c:ext>
          </c:extLst>
        </c:ser>
        <c:ser>
          <c:idx val="3"/>
          <c:order val="3"/>
          <c:tx>
            <c:strRef>
              <c:f>Qtr!$AG$1:$AG$2</c:f>
              <c:strCache>
                <c:ptCount val="1"/>
                <c:pt idx="0">
                  <c:v>PONATINIB</c:v>
                </c:pt>
              </c:strCache>
            </c:strRef>
          </c:tx>
          <c:spPr>
            <a:ln w="28575" cap="rnd">
              <a:solidFill>
                <a:schemeClr val="accent4"/>
              </a:solidFill>
              <a:round/>
            </a:ln>
            <a:effectLst/>
          </c:spPr>
          <c:marker>
            <c:symbol val="none"/>
          </c:marker>
          <c:cat>
            <c:strRef>
              <c:f>Qtr!$AC$3:$AC$85</c:f>
              <c:strCache>
                <c:ptCount val="82"/>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pt idx="43">
                  <c:v>2014Q4</c:v>
                </c:pt>
                <c:pt idx="44">
                  <c:v>2015Q1</c:v>
                </c:pt>
                <c:pt idx="45">
                  <c:v>2015Q2</c:v>
                </c:pt>
                <c:pt idx="46">
                  <c:v>2015Q3</c:v>
                </c:pt>
                <c:pt idx="47">
                  <c:v>2015Q4</c:v>
                </c:pt>
                <c:pt idx="48">
                  <c:v>2016Q1</c:v>
                </c:pt>
                <c:pt idx="49">
                  <c:v>2016Q2</c:v>
                </c:pt>
                <c:pt idx="50">
                  <c:v>2016Q3</c:v>
                </c:pt>
                <c:pt idx="51">
                  <c:v>2016Q4</c:v>
                </c:pt>
                <c:pt idx="52">
                  <c:v>2017Q1</c:v>
                </c:pt>
                <c:pt idx="53">
                  <c:v>2017Q2</c:v>
                </c:pt>
                <c:pt idx="54">
                  <c:v>2017Q3</c:v>
                </c:pt>
                <c:pt idx="55">
                  <c:v>2017Q4</c:v>
                </c:pt>
                <c:pt idx="56">
                  <c:v>2018Q1</c:v>
                </c:pt>
                <c:pt idx="57">
                  <c:v>2018Q2</c:v>
                </c:pt>
                <c:pt idx="58">
                  <c:v>2018Q3</c:v>
                </c:pt>
                <c:pt idx="59">
                  <c:v>2018Q4</c:v>
                </c:pt>
                <c:pt idx="60">
                  <c:v>2019Q1</c:v>
                </c:pt>
                <c:pt idx="61">
                  <c:v>2019Q2</c:v>
                </c:pt>
                <c:pt idx="62">
                  <c:v>2019Q3</c:v>
                </c:pt>
                <c:pt idx="63">
                  <c:v>2019Q4</c:v>
                </c:pt>
                <c:pt idx="64">
                  <c:v>2020Q1</c:v>
                </c:pt>
                <c:pt idx="65">
                  <c:v>2020Q2</c:v>
                </c:pt>
                <c:pt idx="66">
                  <c:v>2020Q3</c:v>
                </c:pt>
                <c:pt idx="67">
                  <c:v>2020Q4</c:v>
                </c:pt>
                <c:pt idx="68">
                  <c:v>2021Q1</c:v>
                </c:pt>
                <c:pt idx="69">
                  <c:v>2021Q2</c:v>
                </c:pt>
                <c:pt idx="70">
                  <c:v>2021Q3</c:v>
                </c:pt>
                <c:pt idx="71">
                  <c:v>2021Q4</c:v>
                </c:pt>
                <c:pt idx="72">
                  <c:v>2022Q1</c:v>
                </c:pt>
                <c:pt idx="73">
                  <c:v>2022Q2</c:v>
                </c:pt>
                <c:pt idx="74">
                  <c:v>2022Q3</c:v>
                </c:pt>
                <c:pt idx="75">
                  <c:v>2022Q4</c:v>
                </c:pt>
                <c:pt idx="76">
                  <c:v>2023Q1</c:v>
                </c:pt>
                <c:pt idx="77">
                  <c:v>2023Q2</c:v>
                </c:pt>
                <c:pt idx="78">
                  <c:v>2023Q3</c:v>
                </c:pt>
                <c:pt idx="79">
                  <c:v>2023Q4</c:v>
                </c:pt>
                <c:pt idx="80">
                  <c:v>2024Q1</c:v>
                </c:pt>
                <c:pt idx="81">
                  <c:v>2024Q2</c:v>
                </c:pt>
              </c:strCache>
            </c:strRef>
          </c:cat>
          <c:val>
            <c:numRef>
              <c:f>Qtr!$AG$3:$AG$85</c:f>
              <c:numCache>
                <c:formatCode>General</c:formatCode>
                <c:ptCount val="82"/>
                <c:pt idx="47">
                  <c:v>25</c:v>
                </c:pt>
                <c:pt idx="48">
                  <c:v>55</c:v>
                </c:pt>
                <c:pt idx="49">
                  <c:v>62</c:v>
                </c:pt>
                <c:pt idx="50">
                  <c:v>60</c:v>
                </c:pt>
                <c:pt idx="51">
                  <c:v>74</c:v>
                </c:pt>
                <c:pt idx="52">
                  <c:v>71</c:v>
                </c:pt>
                <c:pt idx="53">
                  <c:v>70</c:v>
                </c:pt>
                <c:pt idx="54">
                  <c:v>81</c:v>
                </c:pt>
                <c:pt idx="55">
                  <c:v>83</c:v>
                </c:pt>
                <c:pt idx="56">
                  <c:v>71</c:v>
                </c:pt>
                <c:pt idx="57">
                  <c:v>62</c:v>
                </c:pt>
                <c:pt idx="58">
                  <c:v>66</c:v>
                </c:pt>
                <c:pt idx="59">
                  <c:v>96</c:v>
                </c:pt>
                <c:pt idx="60">
                  <c:v>88</c:v>
                </c:pt>
                <c:pt idx="61">
                  <c:v>94</c:v>
                </c:pt>
                <c:pt idx="62">
                  <c:v>115</c:v>
                </c:pt>
                <c:pt idx="63">
                  <c:v>128</c:v>
                </c:pt>
                <c:pt idx="64">
                  <c:v>106</c:v>
                </c:pt>
                <c:pt idx="65">
                  <c:v>104</c:v>
                </c:pt>
                <c:pt idx="66">
                  <c:v>110</c:v>
                </c:pt>
                <c:pt idx="67">
                  <c:v>120</c:v>
                </c:pt>
                <c:pt idx="68">
                  <c:v>117</c:v>
                </c:pt>
                <c:pt idx="69">
                  <c:v>117</c:v>
                </c:pt>
                <c:pt idx="70">
                  <c:v>132</c:v>
                </c:pt>
                <c:pt idx="71">
                  <c:v>129</c:v>
                </c:pt>
                <c:pt idx="72">
                  <c:v>106</c:v>
                </c:pt>
                <c:pt idx="73">
                  <c:v>104</c:v>
                </c:pt>
                <c:pt idx="74">
                  <c:v>110</c:v>
                </c:pt>
                <c:pt idx="75">
                  <c:v>106</c:v>
                </c:pt>
                <c:pt idx="76">
                  <c:v>105</c:v>
                </c:pt>
                <c:pt idx="77">
                  <c:v>114</c:v>
                </c:pt>
                <c:pt idx="78">
                  <c:v>116</c:v>
                </c:pt>
                <c:pt idx="79">
                  <c:v>108</c:v>
                </c:pt>
                <c:pt idx="80">
                  <c:v>87</c:v>
                </c:pt>
                <c:pt idx="81">
                  <c:v>89</c:v>
                </c:pt>
              </c:numCache>
            </c:numRef>
          </c:val>
          <c:smooth val="0"/>
          <c:extLst>
            <c:ext xmlns:c16="http://schemas.microsoft.com/office/drawing/2014/chart" uri="{C3380CC4-5D6E-409C-BE32-E72D297353CC}">
              <c16:uniqueId val="{00000003-3145-43CD-94FA-A436ABC38506}"/>
            </c:ext>
          </c:extLst>
        </c:ser>
        <c:dLbls>
          <c:showLegendKey val="0"/>
          <c:showVal val="0"/>
          <c:showCatName val="0"/>
          <c:showSerName val="0"/>
          <c:showPercent val="0"/>
          <c:showBubbleSize val="0"/>
        </c:dLbls>
        <c:smooth val="0"/>
        <c:axId val="493893888"/>
        <c:axId val="493894248"/>
      </c:lineChart>
      <c:catAx>
        <c:axId val="49389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894248"/>
        <c:crosses val="autoZero"/>
        <c:auto val="1"/>
        <c:lblAlgn val="ctr"/>
        <c:lblOffset val="100"/>
        <c:noMultiLvlLbl val="0"/>
      </c:catAx>
      <c:valAx>
        <c:axId val="493894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89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Sheet3!$B$1</c:f>
              <c:strCache>
                <c:ptCount val="1"/>
                <c:pt idx="0">
                  <c:v>DASATINIB</c:v>
                </c:pt>
              </c:strCache>
            </c:strRef>
          </c:tx>
          <c:spPr>
            <a:ln w="28575" cap="rnd">
              <a:solidFill>
                <a:schemeClr val="accent1"/>
              </a:solidFill>
              <a:round/>
            </a:ln>
            <a:effectLst/>
          </c:spPr>
          <c:marker>
            <c:symbol val="none"/>
          </c:marker>
          <c:dLbls>
            <c:delete val="1"/>
          </c:dLbls>
          <c:cat>
            <c:strRef>
              <c:f>Sheet3!$A$2:$A$53</c:f>
              <c:strCache>
                <c:ptCount val="52"/>
                <c:pt idx="0">
                  <c:v>202004</c:v>
                </c:pt>
                <c:pt idx="1">
                  <c:v>202005</c:v>
                </c:pt>
                <c:pt idx="2">
                  <c:v>202006</c:v>
                </c:pt>
                <c:pt idx="3">
                  <c:v>202007</c:v>
                </c:pt>
                <c:pt idx="4">
                  <c:v>202008</c:v>
                </c:pt>
                <c:pt idx="5">
                  <c:v>202009</c:v>
                </c:pt>
                <c:pt idx="6">
                  <c:v>202010</c:v>
                </c:pt>
                <c:pt idx="7">
                  <c:v>202011</c:v>
                </c:pt>
                <c:pt idx="8">
                  <c:v>202012</c:v>
                </c:pt>
                <c:pt idx="9">
                  <c:v>202101</c:v>
                </c:pt>
                <c:pt idx="10">
                  <c:v>202102</c:v>
                </c:pt>
                <c:pt idx="11">
                  <c:v>202103</c:v>
                </c:pt>
                <c:pt idx="12">
                  <c:v>202104</c:v>
                </c:pt>
                <c:pt idx="13">
                  <c:v>202105</c:v>
                </c:pt>
                <c:pt idx="14">
                  <c:v>202106</c:v>
                </c:pt>
                <c:pt idx="15">
                  <c:v>202107</c:v>
                </c:pt>
                <c:pt idx="16">
                  <c:v>202108</c:v>
                </c:pt>
                <c:pt idx="17">
                  <c:v>202109</c:v>
                </c:pt>
                <c:pt idx="18">
                  <c:v>202110</c:v>
                </c:pt>
                <c:pt idx="19">
                  <c:v>202111</c:v>
                </c:pt>
                <c:pt idx="20">
                  <c:v>202112</c:v>
                </c:pt>
                <c:pt idx="21">
                  <c:v>202201</c:v>
                </c:pt>
                <c:pt idx="22">
                  <c:v>202202</c:v>
                </c:pt>
                <c:pt idx="23">
                  <c:v>202203</c:v>
                </c:pt>
                <c:pt idx="24">
                  <c:v>202204</c:v>
                </c:pt>
                <c:pt idx="25">
                  <c:v>202205</c:v>
                </c:pt>
                <c:pt idx="26">
                  <c:v>202206</c:v>
                </c:pt>
                <c:pt idx="27">
                  <c:v>202207</c:v>
                </c:pt>
                <c:pt idx="28">
                  <c:v>202208</c:v>
                </c:pt>
                <c:pt idx="29">
                  <c:v>202209</c:v>
                </c:pt>
                <c:pt idx="30">
                  <c:v>202210</c:v>
                </c:pt>
                <c:pt idx="31">
                  <c:v>202211</c:v>
                </c:pt>
                <c:pt idx="32">
                  <c:v>202212</c:v>
                </c:pt>
                <c:pt idx="33">
                  <c:v>202301</c:v>
                </c:pt>
                <c:pt idx="34">
                  <c:v>202302</c:v>
                </c:pt>
                <c:pt idx="35">
                  <c:v>202303</c:v>
                </c:pt>
                <c:pt idx="36">
                  <c:v>202304</c:v>
                </c:pt>
                <c:pt idx="37">
                  <c:v>202305</c:v>
                </c:pt>
                <c:pt idx="38">
                  <c:v>202306</c:v>
                </c:pt>
                <c:pt idx="39">
                  <c:v>202307</c:v>
                </c:pt>
                <c:pt idx="40">
                  <c:v>202308</c:v>
                </c:pt>
                <c:pt idx="41">
                  <c:v>202309</c:v>
                </c:pt>
                <c:pt idx="42">
                  <c:v>202310</c:v>
                </c:pt>
                <c:pt idx="43">
                  <c:v>202311</c:v>
                </c:pt>
                <c:pt idx="44">
                  <c:v>202312</c:v>
                </c:pt>
                <c:pt idx="45">
                  <c:v>202401</c:v>
                </c:pt>
                <c:pt idx="46">
                  <c:v>202402</c:v>
                </c:pt>
                <c:pt idx="47">
                  <c:v>202403</c:v>
                </c:pt>
                <c:pt idx="48">
                  <c:v>202404</c:v>
                </c:pt>
                <c:pt idx="49">
                  <c:v>202405</c:v>
                </c:pt>
                <c:pt idx="50">
                  <c:v>202406</c:v>
                </c:pt>
                <c:pt idx="51">
                  <c:v>202407</c:v>
                </c:pt>
              </c:strCache>
            </c:strRef>
          </c:cat>
          <c:val>
            <c:numRef>
              <c:f>Sheet3!$B$2:$B$53</c:f>
              <c:numCache>
                <c:formatCode>General</c:formatCode>
                <c:ptCount val="52"/>
                <c:pt idx="0">
                  <c:v>868</c:v>
                </c:pt>
                <c:pt idx="1">
                  <c:v>900</c:v>
                </c:pt>
                <c:pt idx="2">
                  <c:v>1010</c:v>
                </c:pt>
                <c:pt idx="3">
                  <c:v>1037</c:v>
                </c:pt>
                <c:pt idx="4">
                  <c:v>1022</c:v>
                </c:pt>
                <c:pt idx="5">
                  <c:v>1066</c:v>
                </c:pt>
                <c:pt idx="6">
                  <c:v>1004</c:v>
                </c:pt>
                <c:pt idx="7">
                  <c:v>1027</c:v>
                </c:pt>
                <c:pt idx="8">
                  <c:v>1128</c:v>
                </c:pt>
                <c:pt idx="9">
                  <c:v>961</c:v>
                </c:pt>
                <c:pt idx="10">
                  <c:v>1009</c:v>
                </c:pt>
                <c:pt idx="11">
                  <c:v>1142</c:v>
                </c:pt>
                <c:pt idx="12">
                  <c:v>994</c:v>
                </c:pt>
                <c:pt idx="13">
                  <c:v>1119</c:v>
                </c:pt>
                <c:pt idx="14">
                  <c:v>1078</c:v>
                </c:pt>
                <c:pt idx="15">
                  <c:v>1078</c:v>
                </c:pt>
                <c:pt idx="16">
                  <c:v>1090</c:v>
                </c:pt>
                <c:pt idx="17">
                  <c:v>1082</c:v>
                </c:pt>
                <c:pt idx="18">
                  <c:v>1041</c:v>
                </c:pt>
                <c:pt idx="19">
                  <c:v>1178</c:v>
                </c:pt>
                <c:pt idx="20">
                  <c:v>1150</c:v>
                </c:pt>
                <c:pt idx="21">
                  <c:v>926</c:v>
                </c:pt>
                <c:pt idx="22">
                  <c:v>973</c:v>
                </c:pt>
                <c:pt idx="23">
                  <c:v>1117</c:v>
                </c:pt>
                <c:pt idx="24">
                  <c:v>1064</c:v>
                </c:pt>
                <c:pt idx="25">
                  <c:v>1083</c:v>
                </c:pt>
                <c:pt idx="26">
                  <c:v>1102</c:v>
                </c:pt>
                <c:pt idx="27">
                  <c:v>1057</c:v>
                </c:pt>
                <c:pt idx="28">
                  <c:v>1152</c:v>
                </c:pt>
                <c:pt idx="29">
                  <c:v>1109</c:v>
                </c:pt>
                <c:pt idx="30">
                  <c:v>1032</c:v>
                </c:pt>
                <c:pt idx="31">
                  <c:v>1170</c:v>
                </c:pt>
                <c:pt idx="32">
                  <c:v>1127</c:v>
                </c:pt>
                <c:pt idx="33">
                  <c:v>1049</c:v>
                </c:pt>
                <c:pt idx="34">
                  <c:v>1052</c:v>
                </c:pt>
                <c:pt idx="35">
                  <c:v>1223</c:v>
                </c:pt>
                <c:pt idx="36">
                  <c:v>1001</c:v>
                </c:pt>
                <c:pt idx="37">
                  <c:v>1147</c:v>
                </c:pt>
                <c:pt idx="38">
                  <c:v>1134</c:v>
                </c:pt>
                <c:pt idx="39">
                  <c:v>1149</c:v>
                </c:pt>
                <c:pt idx="40">
                  <c:v>1165</c:v>
                </c:pt>
                <c:pt idx="41">
                  <c:v>1247</c:v>
                </c:pt>
                <c:pt idx="42">
                  <c:v>1164</c:v>
                </c:pt>
                <c:pt idx="43">
                  <c:v>1128</c:v>
                </c:pt>
                <c:pt idx="44">
                  <c:v>1159</c:v>
                </c:pt>
                <c:pt idx="45">
                  <c:v>1079</c:v>
                </c:pt>
                <c:pt idx="46">
                  <c:v>1079</c:v>
                </c:pt>
                <c:pt idx="47">
                  <c:v>1344</c:v>
                </c:pt>
                <c:pt idx="48">
                  <c:v>1094</c:v>
                </c:pt>
                <c:pt idx="49">
                  <c:v>1179</c:v>
                </c:pt>
                <c:pt idx="50">
                  <c:v>1089</c:v>
                </c:pt>
                <c:pt idx="51">
                  <c:v>1116</c:v>
                </c:pt>
              </c:numCache>
            </c:numRef>
          </c:val>
          <c:smooth val="0"/>
          <c:extLst>
            <c:ext xmlns:c16="http://schemas.microsoft.com/office/drawing/2014/chart" uri="{C3380CC4-5D6E-409C-BE32-E72D297353CC}">
              <c16:uniqueId val="{00000000-1A01-4658-AE98-3CF0218DE994}"/>
            </c:ext>
          </c:extLst>
        </c:ser>
        <c:ser>
          <c:idx val="1"/>
          <c:order val="1"/>
          <c:tx>
            <c:strRef>
              <c:f>Sheet3!$C$1</c:f>
              <c:strCache>
                <c:ptCount val="1"/>
                <c:pt idx="0">
                  <c:v>NILOTINIB</c:v>
                </c:pt>
              </c:strCache>
            </c:strRef>
          </c:tx>
          <c:spPr>
            <a:ln w="28575" cap="rnd">
              <a:solidFill>
                <a:schemeClr val="accent2"/>
              </a:solidFill>
              <a:round/>
            </a:ln>
            <a:effectLst/>
          </c:spPr>
          <c:marker>
            <c:symbol val="none"/>
          </c:marker>
          <c:dLbls>
            <c:delete val="1"/>
          </c:dLbls>
          <c:cat>
            <c:strRef>
              <c:f>Sheet3!$A$2:$A$53</c:f>
              <c:strCache>
                <c:ptCount val="52"/>
                <c:pt idx="0">
                  <c:v>202004</c:v>
                </c:pt>
                <c:pt idx="1">
                  <c:v>202005</c:v>
                </c:pt>
                <c:pt idx="2">
                  <c:v>202006</c:v>
                </c:pt>
                <c:pt idx="3">
                  <c:v>202007</c:v>
                </c:pt>
                <c:pt idx="4">
                  <c:v>202008</c:v>
                </c:pt>
                <c:pt idx="5">
                  <c:v>202009</c:v>
                </c:pt>
                <c:pt idx="6">
                  <c:v>202010</c:v>
                </c:pt>
                <c:pt idx="7">
                  <c:v>202011</c:v>
                </c:pt>
                <c:pt idx="8">
                  <c:v>202012</c:v>
                </c:pt>
                <c:pt idx="9">
                  <c:v>202101</c:v>
                </c:pt>
                <c:pt idx="10">
                  <c:v>202102</c:v>
                </c:pt>
                <c:pt idx="11">
                  <c:v>202103</c:v>
                </c:pt>
                <c:pt idx="12">
                  <c:v>202104</c:v>
                </c:pt>
                <c:pt idx="13">
                  <c:v>202105</c:v>
                </c:pt>
                <c:pt idx="14">
                  <c:v>202106</c:v>
                </c:pt>
                <c:pt idx="15">
                  <c:v>202107</c:v>
                </c:pt>
                <c:pt idx="16">
                  <c:v>202108</c:v>
                </c:pt>
                <c:pt idx="17">
                  <c:v>202109</c:v>
                </c:pt>
                <c:pt idx="18">
                  <c:v>202110</c:v>
                </c:pt>
                <c:pt idx="19">
                  <c:v>202111</c:v>
                </c:pt>
                <c:pt idx="20">
                  <c:v>202112</c:v>
                </c:pt>
                <c:pt idx="21">
                  <c:v>202201</c:v>
                </c:pt>
                <c:pt idx="22">
                  <c:v>202202</c:v>
                </c:pt>
                <c:pt idx="23">
                  <c:v>202203</c:v>
                </c:pt>
                <c:pt idx="24">
                  <c:v>202204</c:v>
                </c:pt>
                <c:pt idx="25">
                  <c:v>202205</c:v>
                </c:pt>
                <c:pt idx="26">
                  <c:v>202206</c:v>
                </c:pt>
                <c:pt idx="27">
                  <c:v>202207</c:v>
                </c:pt>
                <c:pt idx="28">
                  <c:v>202208</c:v>
                </c:pt>
                <c:pt idx="29">
                  <c:v>202209</c:v>
                </c:pt>
                <c:pt idx="30">
                  <c:v>202210</c:v>
                </c:pt>
                <c:pt idx="31">
                  <c:v>202211</c:v>
                </c:pt>
                <c:pt idx="32">
                  <c:v>202212</c:v>
                </c:pt>
                <c:pt idx="33">
                  <c:v>202301</c:v>
                </c:pt>
                <c:pt idx="34">
                  <c:v>202302</c:v>
                </c:pt>
                <c:pt idx="35">
                  <c:v>202303</c:v>
                </c:pt>
                <c:pt idx="36">
                  <c:v>202304</c:v>
                </c:pt>
                <c:pt idx="37">
                  <c:v>202305</c:v>
                </c:pt>
                <c:pt idx="38">
                  <c:v>202306</c:v>
                </c:pt>
                <c:pt idx="39">
                  <c:v>202307</c:v>
                </c:pt>
                <c:pt idx="40">
                  <c:v>202308</c:v>
                </c:pt>
                <c:pt idx="41">
                  <c:v>202309</c:v>
                </c:pt>
                <c:pt idx="42">
                  <c:v>202310</c:v>
                </c:pt>
                <c:pt idx="43">
                  <c:v>202311</c:v>
                </c:pt>
                <c:pt idx="44">
                  <c:v>202312</c:v>
                </c:pt>
                <c:pt idx="45">
                  <c:v>202401</c:v>
                </c:pt>
                <c:pt idx="46">
                  <c:v>202402</c:v>
                </c:pt>
                <c:pt idx="47">
                  <c:v>202403</c:v>
                </c:pt>
                <c:pt idx="48">
                  <c:v>202404</c:v>
                </c:pt>
                <c:pt idx="49">
                  <c:v>202405</c:v>
                </c:pt>
                <c:pt idx="50">
                  <c:v>202406</c:v>
                </c:pt>
                <c:pt idx="51">
                  <c:v>202407</c:v>
                </c:pt>
              </c:strCache>
            </c:strRef>
          </c:cat>
          <c:val>
            <c:numRef>
              <c:f>Sheet3!$C$2:$C$53</c:f>
              <c:numCache>
                <c:formatCode>General</c:formatCode>
                <c:ptCount val="52"/>
                <c:pt idx="0">
                  <c:v>595</c:v>
                </c:pt>
                <c:pt idx="1">
                  <c:v>588</c:v>
                </c:pt>
                <c:pt idx="2">
                  <c:v>631</c:v>
                </c:pt>
                <c:pt idx="3">
                  <c:v>705</c:v>
                </c:pt>
                <c:pt idx="4">
                  <c:v>690</c:v>
                </c:pt>
                <c:pt idx="5">
                  <c:v>677</c:v>
                </c:pt>
                <c:pt idx="6">
                  <c:v>688</c:v>
                </c:pt>
                <c:pt idx="7">
                  <c:v>651</c:v>
                </c:pt>
                <c:pt idx="8">
                  <c:v>748</c:v>
                </c:pt>
                <c:pt idx="9">
                  <c:v>643</c:v>
                </c:pt>
                <c:pt idx="10">
                  <c:v>574</c:v>
                </c:pt>
                <c:pt idx="11">
                  <c:v>730</c:v>
                </c:pt>
                <c:pt idx="12">
                  <c:v>640</c:v>
                </c:pt>
                <c:pt idx="13">
                  <c:v>680</c:v>
                </c:pt>
                <c:pt idx="14">
                  <c:v>669</c:v>
                </c:pt>
                <c:pt idx="15">
                  <c:v>683</c:v>
                </c:pt>
                <c:pt idx="16">
                  <c:v>702</c:v>
                </c:pt>
                <c:pt idx="17">
                  <c:v>679</c:v>
                </c:pt>
                <c:pt idx="18">
                  <c:v>678</c:v>
                </c:pt>
                <c:pt idx="19">
                  <c:v>661</c:v>
                </c:pt>
                <c:pt idx="20">
                  <c:v>746</c:v>
                </c:pt>
                <c:pt idx="21">
                  <c:v>662</c:v>
                </c:pt>
                <c:pt idx="22">
                  <c:v>583</c:v>
                </c:pt>
                <c:pt idx="23">
                  <c:v>718</c:v>
                </c:pt>
                <c:pt idx="24">
                  <c:v>671</c:v>
                </c:pt>
                <c:pt idx="25">
                  <c:v>670</c:v>
                </c:pt>
                <c:pt idx="26">
                  <c:v>675</c:v>
                </c:pt>
                <c:pt idx="27">
                  <c:v>654</c:v>
                </c:pt>
                <c:pt idx="28">
                  <c:v>704</c:v>
                </c:pt>
                <c:pt idx="29">
                  <c:v>692</c:v>
                </c:pt>
                <c:pt idx="30">
                  <c:v>638</c:v>
                </c:pt>
                <c:pt idx="31">
                  <c:v>715</c:v>
                </c:pt>
                <c:pt idx="32">
                  <c:v>696</c:v>
                </c:pt>
                <c:pt idx="33">
                  <c:v>613</c:v>
                </c:pt>
                <c:pt idx="34">
                  <c:v>648</c:v>
                </c:pt>
                <c:pt idx="35">
                  <c:v>673</c:v>
                </c:pt>
                <c:pt idx="36">
                  <c:v>598</c:v>
                </c:pt>
                <c:pt idx="37">
                  <c:v>672</c:v>
                </c:pt>
                <c:pt idx="38">
                  <c:v>637</c:v>
                </c:pt>
                <c:pt idx="39">
                  <c:v>624</c:v>
                </c:pt>
                <c:pt idx="40">
                  <c:v>683</c:v>
                </c:pt>
                <c:pt idx="41">
                  <c:v>610</c:v>
                </c:pt>
                <c:pt idx="42">
                  <c:v>630</c:v>
                </c:pt>
                <c:pt idx="43">
                  <c:v>624</c:v>
                </c:pt>
                <c:pt idx="44">
                  <c:v>656</c:v>
                </c:pt>
                <c:pt idx="45">
                  <c:v>570</c:v>
                </c:pt>
                <c:pt idx="46">
                  <c:v>596</c:v>
                </c:pt>
                <c:pt idx="47">
                  <c:v>647</c:v>
                </c:pt>
                <c:pt idx="48">
                  <c:v>642</c:v>
                </c:pt>
                <c:pt idx="49">
                  <c:v>618</c:v>
                </c:pt>
                <c:pt idx="50">
                  <c:v>617</c:v>
                </c:pt>
                <c:pt idx="51">
                  <c:v>660</c:v>
                </c:pt>
              </c:numCache>
            </c:numRef>
          </c:val>
          <c:smooth val="0"/>
          <c:extLst>
            <c:ext xmlns:c16="http://schemas.microsoft.com/office/drawing/2014/chart" uri="{C3380CC4-5D6E-409C-BE32-E72D297353CC}">
              <c16:uniqueId val="{00000001-1A01-4658-AE98-3CF0218DE994}"/>
            </c:ext>
          </c:extLst>
        </c:ser>
        <c:ser>
          <c:idx val="2"/>
          <c:order val="2"/>
          <c:tx>
            <c:strRef>
              <c:f>Sheet3!$D$1</c:f>
              <c:strCache>
                <c:ptCount val="1"/>
                <c:pt idx="0">
                  <c:v>Change</c:v>
                </c:pt>
              </c:strCache>
            </c:strRef>
          </c:tx>
          <c:spPr>
            <a:ln w="28575" cap="rnd">
              <a:solidFill>
                <a:schemeClr val="accent3"/>
              </a:solidFill>
              <a:round/>
            </a:ln>
            <a:effectLst/>
          </c:spPr>
          <c:marker>
            <c:symbol val="none"/>
          </c:marker>
          <c:dLbls>
            <c:dLbl>
              <c:idx val="0"/>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2-1A01-4658-AE98-3CF0218DE994}"/>
                </c:ext>
              </c:extLst>
            </c:dLbl>
            <c:dLbl>
              <c:idx val="1"/>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3-1A01-4658-AE98-3CF0218DE994}"/>
                </c:ext>
              </c:extLst>
            </c:dLbl>
            <c:dLbl>
              <c:idx val="2"/>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4-1A01-4658-AE98-3CF0218DE994}"/>
                </c:ext>
              </c:extLst>
            </c:dLbl>
            <c:dLbl>
              <c:idx val="3"/>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5-1A01-4658-AE98-3CF0218DE994}"/>
                </c:ext>
              </c:extLst>
            </c:dLbl>
            <c:dLbl>
              <c:idx val="4"/>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6-1A01-4658-AE98-3CF0218DE994}"/>
                </c:ext>
              </c:extLst>
            </c:dLbl>
            <c:dLbl>
              <c:idx val="5"/>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7-1A01-4658-AE98-3CF0218DE994}"/>
                </c:ext>
              </c:extLst>
            </c:dLbl>
            <c:dLbl>
              <c:idx val="6"/>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8-1A01-4658-AE98-3CF0218DE994}"/>
                </c:ext>
              </c:extLst>
            </c:dLbl>
            <c:dLbl>
              <c:idx val="7"/>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9-1A01-4658-AE98-3CF0218DE994}"/>
                </c:ext>
              </c:extLst>
            </c:dLbl>
            <c:dLbl>
              <c:idx val="8"/>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A-1A01-4658-AE98-3CF0218DE994}"/>
                </c:ext>
              </c:extLst>
            </c:dLbl>
            <c:dLbl>
              <c:idx val="9"/>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B-1A01-4658-AE98-3CF0218DE994}"/>
                </c:ext>
              </c:extLst>
            </c:dLbl>
            <c:dLbl>
              <c:idx val="10"/>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C-1A01-4658-AE98-3CF0218DE994}"/>
                </c:ext>
              </c:extLst>
            </c:dLbl>
            <c:dLbl>
              <c:idx val="11"/>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D-1A01-4658-AE98-3CF0218DE994}"/>
                </c:ext>
              </c:extLst>
            </c:dLbl>
            <c:dLbl>
              <c:idx val="12"/>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E-1A01-4658-AE98-3CF0218DE994}"/>
                </c:ext>
              </c:extLst>
            </c:dLbl>
            <c:dLbl>
              <c:idx val="13"/>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F-1A01-4658-AE98-3CF0218DE994}"/>
                </c:ext>
              </c:extLst>
            </c:dLbl>
            <c:dLbl>
              <c:idx val="14"/>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0-1A01-4658-AE98-3CF0218DE994}"/>
                </c:ext>
              </c:extLst>
            </c:dLbl>
            <c:dLbl>
              <c:idx val="15"/>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1-1A01-4658-AE98-3CF0218DE994}"/>
                </c:ext>
              </c:extLst>
            </c:dLbl>
            <c:dLbl>
              <c:idx val="16"/>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2-1A01-4658-AE98-3CF0218DE994}"/>
                </c:ext>
              </c:extLst>
            </c:dLbl>
            <c:dLbl>
              <c:idx val="17"/>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3-1A01-4658-AE98-3CF0218DE994}"/>
                </c:ext>
              </c:extLst>
            </c:dLbl>
            <c:dLbl>
              <c:idx val="18"/>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4-1A01-4658-AE98-3CF0218DE994}"/>
                </c:ext>
              </c:extLst>
            </c:dLbl>
            <c:dLbl>
              <c:idx val="19"/>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5-1A01-4658-AE98-3CF0218DE994}"/>
                </c:ext>
              </c:extLst>
            </c:dLbl>
            <c:dLbl>
              <c:idx val="20"/>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6-1A01-4658-AE98-3CF0218DE994}"/>
                </c:ext>
              </c:extLst>
            </c:dLbl>
            <c:dLbl>
              <c:idx val="21"/>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7-1A01-4658-AE98-3CF0218DE994}"/>
                </c:ext>
              </c:extLst>
            </c:dLbl>
            <c:dLbl>
              <c:idx val="22"/>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8-1A01-4658-AE98-3CF0218DE994}"/>
                </c:ext>
              </c:extLst>
            </c:dLbl>
            <c:dLbl>
              <c:idx val="23"/>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9-1A01-4658-AE98-3CF0218DE994}"/>
                </c:ext>
              </c:extLst>
            </c:dLbl>
            <c:dLbl>
              <c:idx val="24"/>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A-1A01-4658-AE98-3CF0218DE994}"/>
                </c:ext>
              </c:extLst>
            </c:dLbl>
            <c:dLbl>
              <c:idx val="25"/>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B-1A01-4658-AE98-3CF0218DE994}"/>
                </c:ext>
              </c:extLst>
            </c:dLbl>
            <c:dLbl>
              <c:idx val="26"/>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C-1A01-4658-AE98-3CF0218DE994}"/>
                </c:ext>
              </c:extLst>
            </c:dLbl>
            <c:dLbl>
              <c:idx val="27"/>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D-1A01-4658-AE98-3CF0218DE994}"/>
                </c:ext>
              </c:extLst>
            </c:dLbl>
            <c:dLbl>
              <c:idx val="28"/>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E-1A01-4658-AE98-3CF0218DE994}"/>
                </c:ext>
              </c:extLst>
            </c:dLbl>
            <c:dLbl>
              <c:idx val="29"/>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F-1A01-4658-AE98-3CF0218DE994}"/>
                </c:ext>
              </c:extLst>
            </c:dLbl>
            <c:dLbl>
              <c:idx val="30"/>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0-1A01-4658-AE98-3CF0218DE994}"/>
                </c:ext>
              </c:extLst>
            </c:dLbl>
            <c:dLbl>
              <c:idx val="31"/>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1-1A01-4658-AE98-3CF0218DE994}"/>
                </c:ext>
              </c:extLst>
            </c:dLbl>
            <c:dLbl>
              <c:idx val="32"/>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2-1A01-4658-AE98-3CF0218DE994}"/>
                </c:ext>
              </c:extLst>
            </c:dLbl>
            <c:dLbl>
              <c:idx val="33"/>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3-1A01-4658-AE98-3CF0218DE994}"/>
                </c:ext>
              </c:extLst>
            </c:dLbl>
            <c:dLbl>
              <c:idx val="34"/>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4-1A01-4658-AE98-3CF0218DE994}"/>
                </c:ext>
              </c:extLst>
            </c:dLbl>
            <c:dLbl>
              <c:idx val="35"/>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5-1A01-4658-AE98-3CF0218DE994}"/>
                </c:ext>
              </c:extLst>
            </c:dLbl>
            <c:dLbl>
              <c:idx val="36"/>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6-1A01-4658-AE98-3CF0218DE994}"/>
                </c:ext>
              </c:extLst>
            </c:dLbl>
            <c:dLbl>
              <c:idx val="37"/>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7-1A01-4658-AE98-3CF0218DE994}"/>
                </c:ext>
              </c:extLst>
            </c:dLbl>
            <c:dLbl>
              <c:idx val="38"/>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8-1A01-4658-AE98-3CF0218DE994}"/>
                </c:ext>
              </c:extLst>
            </c:dLbl>
            <c:dLbl>
              <c:idx val="39"/>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9-1A01-4658-AE98-3CF0218DE994}"/>
                </c:ext>
              </c:extLst>
            </c:dLbl>
            <c:dLbl>
              <c:idx val="40"/>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A-1A01-4658-AE98-3CF0218DE994}"/>
                </c:ext>
              </c:extLst>
            </c:dLbl>
            <c:dLbl>
              <c:idx val="41"/>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B-1A01-4658-AE98-3CF0218DE994}"/>
                </c:ext>
              </c:extLst>
            </c:dLbl>
            <c:dLbl>
              <c:idx val="42"/>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C-1A01-4658-AE98-3CF0218DE994}"/>
                </c:ext>
              </c:extLst>
            </c:dLbl>
            <c:dLbl>
              <c:idx val="43"/>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D-1A01-4658-AE98-3CF0218DE994}"/>
                </c:ext>
              </c:extLst>
            </c:dLbl>
            <c:dLbl>
              <c:idx val="44"/>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E-1A01-4658-AE98-3CF0218DE994}"/>
                </c:ext>
              </c:extLst>
            </c:dLbl>
            <c:dLbl>
              <c:idx val="45"/>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2F-1A01-4658-AE98-3CF0218DE994}"/>
                </c:ext>
              </c:extLst>
            </c:dLbl>
            <c:dLbl>
              <c:idx val="46"/>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30-1A01-4658-AE98-3CF0218DE994}"/>
                </c:ext>
              </c:extLst>
            </c:dLbl>
            <c:dLbl>
              <c:idx val="47"/>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31-1A01-4658-AE98-3CF0218DE994}"/>
                </c:ext>
              </c:extLst>
            </c:dLbl>
            <c:dLbl>
              <c:idx val="48"/>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32-1A01-4658-AE98-3CF0218DE994}"/>
                </c:ext>
              </c:extLst>
            </c:dLbl>
            <c:dLbl>
              <c:idx val="49"/>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33-1A01-4658-AE98-3CF0218DE994}"/>
                </c:ext>
              </c:extLst>
            </c:dLbl>
            <c:dLbl>
              <c:idx val="50"/>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34-1A01-4658-AE98-3CF0218DE994}"/>
                </c:ext>
              </c:extLst>
            </c:dLbl>
            <c:dLbl>
              <c:idx val="51"/>
              <c:tx>
                <c:rich>
                  <a:bodyPr/>
                  <a:lstStyle/>
                  <a:p>
                    <a:endParaRPr lang="en-AU"/>
                  </a:p>
                </c:rich>
              </c:tx>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35-1A01-4658-AE98-3CF0218DE9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Dir val="y"/>
            <c:errBarType val="both"/>
            <c:errValType val="fixedVal"/>
            <c:noEndCap val="1"/>
            <c:val val="700"/>
            <c:spPr>
              <a:noFill/>
              <a:ln w="9525" cap="sq" cmpd="sng" algn="ctr">
                <a:solidFill>
                  <a:schemeClr val="accent1"/>
                </a:solidFill>
                <a:prstDash val="dash"/>
                <a:round/>
              </a:ln>
              <a:effectLst/>
            </c:spPr>
          </c:errBars>
          <c:cat>
            <c:strRef>
              <c:f>Sheet3!$A$2:$A$53</c:f>
              <c:strCache>
                <c:ptCount val="52"/>
                <c:pt idx="0">
                  <c:v>202004</c:v>
                </c:pt>
                <c:pt idx="1">
                  <c:v>202005</c:v>
                </c:pt>
                <c:pt idx="2">
                  <c:v>202006</c:v>
                </c:pt>
                <c:pt idx="3">
                  <c:v>202007</c:v>
                </c:pt>
                <c:pt idx="4">
                  <c:v>202008</c:v>
                </c:pt>
                <c:pt idx="5">
                  <c:v>202009</c:v>
                </c:pt>
                <c:pt idx="6">
                  <c:v>202010</c:v>
                </c:pt>
                <c:pt idx="7">
                  <c:v>202011</c:v>
                </c:pt>
                <c:pt idx="8">
                  <c:v>202012</c:v>
                </c:pt>
                <c:pt idx="9">
                  <c:v>202101</c:v>
                </c:pt>
                <c:pt idx="10">
                  <c:v>202102</c:v>
                </c:pt>
                <c:pt idx="11">
                  <c:v>202103</c:v>
                </c:pt>
                <c:pt idx="12">
                  <c:v>202104</c:v>
                </c:pt>
                <c:pt idx="13">
                  <c:v>202105</c:v>
                </c:pt>
                <c:pt idx="14">
                  <c:v>202106</c:v>
                </c:pt>
                <c:pt idx="15">
                  <c:v>202107</c:v>
                </c:pt>
                <c:pt idx="16">
                  <c:v>202108</c:v>
                </c:pt>
                <c:pt idx="17">
                  <c:v>202109</c:v>
                </c:pt>
                <c:pt idx="18">
                  <c:v>202110</c:v>
                </c:pt>
                <c:pt idx="19">
                  <c:v>202111</c:v>
                </c:pt>
                <c:pt idx="20">
                  <c:v>202112</c:v>
                </c:pt>
                <c:pt idx="21">
                  <c:v>202201</c:v>
                </c:pt>
                <c:pt idx="22">
                  <c:v>202202</c:v>
                </c:pt>
                <c:pt idx="23">
                  <c:v>202203</c:v>
                </c:pt>
                <c:pt idx="24">
                  <c:v>202204</c:v>
                </c:pt>
                <c:pt idx="25">
                  <c:v>202205</c:v>
                </c:pt>
                <c:pt idx="26">
                  <c:v>202206</c:v>
                </c:pt>
                <c:pt idx="27">
                  <c:v>202207</c:v>
                </c:pt>
                <c:pt idx="28">
                  <c:v>202208</c:v>
                </c:pt>
                <c:pt idx="29">
                  <c:v>202209</c:v>
                </c:pt>
                <c:pt idx="30">
                  <c:v>202210</c:v>
                </c:pt>
                <c:pt idx="31">
                  <c:v>202211</c:v>
                </c:pt>
                <c:pt idx="32">
                  <c:v>202212</c:v>
                </c:pt>
                <c:pt idx="33">
                  <c:v>202301</c:v>
                </c:pt>
                <c:pt idx="34">
                  <c:v>202302</c:v>
                </c:pt>
                <c:pt idx="35">
                  <c:v>202303</c:v>
                </c:pt>
                <c:pt idx="36">
                  <c:v>202304</c:v>
                </c:pt>
                <c:pt idx="37">
                  <c:v>202305</c:v>
                </c:pt>
                <c:pt idx="38">
                  <c:v>202306</c:v>
                </c:pt>
                <c:pt idx="39">
                  <c:v>202307</c:v>
                </c:pt>
                <c:pt idx="40">
                  <c:v>202308</c:v>
                </c:pt>
                <c:pt idx="41">
                  <c:v>202309</c:v>
                </c:pt>
                <c:pt idx="42">
                  <c:v>202310</c:v>
                </c:pt>
                <c:pt idx="43">
                  <c:v>202311</c:v>
                </c:pt>
                <c:pt idx="44">
                  <c:v>202312</c:v>
                </c:pt>
                <c:pt idx="45">
                  <c:v>202401</c:v>
                </c:pt>
                <c:pt idx="46">
                  <c:v>202402</c:v>
                </c:pt>
                <c:pt idx="47">
                  <c:v>202403</c:v>
                </c:pt>
                <c:pt idx="48">
                  <c:v>202404</c:v>
                </c:pt>
                <c:pt idx="49">
                  <c:v>202405</c:v>
                </c:pt>
                <c:pt idx="50">
                  <c:v>202406</c:v>
                </c:pt>
                <c:pt idx="51">
                  <c:v>202407</c:v>
                </c:pt>
              </c:strCache>
            </c:strRef>
          </c:cat>
          <c:val>
            <c:numRef>
              <c:f>Sheet3!$D$2:$D$53</c:f>
              <c:numCache>
                <c:formatCode>General</c:formatCode>
                <c:ptCount val="52"/>
                <c:pt idx="23">
                  <c:v>718</c:v>
                </c:pt>
              </c:numCache>
            </c:numRef>
          </c:val>
          <c:smooth val="0"/>
          <c:extLst>
            <c:ext xmlns:c15="http://schemas.microsoft.com/office/drawing/2012/chart" uri="{02D57815-91ED-43cb-92C2-25804820EDAC}">
              <c15:datalabelsRange>
                <c15:f>Sheet3!#REF!</c15:f>
              </c15:datalabelsRange>
            </c:ext>
            <c:ext xmlns:c16="http://schemas.microsoft.com/office/drawing/2014/chart" uri="{C3380CC4-5D6E-409C-BE32-E72D297353CC}">
              <c16:uniqueId val="{00000036-1A01-4658-AE98-3CF0218DE994}"/>
            </c:ext>
          </c:extLst>
        </c:ser>
        <c:dLbls>
          <c:showLegendKey val="0"/>
          <c:showVal val="1"/>
          <c:showCatName val="0"/>
          <c:showSerName val="0"/>
          <c:showPercent val="0"/>
          <c:showBubbleSize val="0"/>
        </c:dLbls>
        <c:smooth val="0"/>
        <c:axId val="793882192"/>
        <c:axId val="793879672"/>
      </c:lineChart>
      <c:catAx>
        <c:axId val="79388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879672"/>
        <c:crosses val="autoZero"/>
        <c:auto val="1"/>
        <c:lblAlgn val="ctr"/>
        <c:lblOffset val="100"/>
        <c:noMultiLvlLbl val="0"/>
      </c:catAx>
      <c:valAx>
        <c:axId val="793879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88219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5B47-A335-4C95-B55D-022B0F0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2025-02-27T21:36:00Z</dcterms:created>
  <dcterms:modified xsi:type="dcterms:W3CDTF">2025-03-03T01:31:00Z</dcterms:modified>
</cp:coreProperties>
</file>