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3C130" w14:textId="5B37BF3D" w:rsidR="00832324" w:rsidRDefault="00410333" w:rsidP="00F73113">
      <w:pPr>
        <w:pStyle w:val="Title"/>
      </w:pPr>
      <w:bookmarkStart w:id="0" w:name="_Hlk164721534"/>
      <w:bookmarkEnd w:id="0"/>
      <w:r>
        <w:t>Brentuximab vedotin</w:t>
      </w:r>
      <w:r w:rsidR="00137229">
        <w:t xml:space="preserve"> for</w:t>
      </w:r>
      <w:r w:rsidR="00D2265D">
        <w:t xml:space="preserve"> CD30 positive</w:t>
      </w:r>
      <w:r w:rsidR="00137229">
        <w:t xml:space="preserve"> cutaneous and peripheral T-cell lymphoma </w:t>
      </w:r>
      <w:r w:rsidR="001C4016">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10B2F937" w:rsidR="009053D3" w:rsidRPr="00D64A66" w:rsidRDefault="00410333" w:rsidP="00763004">
      <w:pPr>
        <w:rPr>
          <w:b/>
          <w:bCs/>
          <w:i/>
          <w:iCs/>
        </w:rPr>
      </w:pPr>
      <w:r w:rsidRPr="00D64A66">
        <w:rPr>
          <w:b/>
          <w:bCs/>
          <w:i/>
          <w:iCs/>
        </w:rPr>
        <w:t>June</w:t>
      </w:r>
      <w:r w:rsidR="00D151EB" w:rsidRPr="00D64A66">
        <w:rPr>
          <w:b/>
          <w:bCs/>
          <w:i/>
          <w:iCs/>
        </w:rPr>
        <w:t xml:space="preserve"> 20</w:t>
      </w:r>
      <w:r w:rsidRPr="00D64A66">
        <w:rPr>
          <w:b/>
          <w:bCs/>
          <w:i/>
          <w:iCs/>
        </w:rPr>
        <w:t>24</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26826E19" w14:textId="10B0AD5B" w:rsidR="00AA400B" w:rsidRDefault="00AA400B" w:rsidP="00AA400B">
      <w:pPr>
        <w:pStyle w:val="NoSpacing"/>
      </w:pPr>
      <w:r>
        <w:t xml:space="preserve">At its February 2024 meeting, DUSC requested a review of brentuximab vedotin for </w:t>
      </w:r>
      <w:r w:rsidR="00D64A66">
        <w:rPr>
          <w:color w:val="000000"/>
        </w:rPr>
        <w:t>CD30 positive</w:t>
      </w:r>
      <w:r w:rsidR="00D64A66" w:rsidRPr="002A7F85">
        <w:rPr>
          <w:color w:val="000000"/>
        </w:rPr>
        <w:t xml:space="preserve"> cutaneous T-cell lymphoma (CTCL)</w:t>
      </w:r>
      <w:r w:rsidR="00D64A66">
        <w:rPr>
          <w:color w:val="000000"/>
        </w:rPr>
        <w:t xml:space="preserve"> and</w:t>
      </w:r>
      <w:r w:rsidR="00D64A66" w:rsidRPr="002A7F85">
        <w:rPr>
          <w:color w:val="000000"/>
        </w:rPr>
        <w:t xml:space="preserve"> </w:t>
      </w:r>
      <w:r>
        <w:t xml:space="preserve">previously untreated CD30 positive peripheral T-cell lymphoma (PTCL).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2C4B1F6E" w14:textId="2E8C7CD8" w:rsidR="00F42D0A" w:rsidRPr="002D144A" w:rsidRDefault="00F42D0A" w:rsidP="002D144A">
      <w:r>
        <w:t>Brentuximab</w:t>
      </w:r>
      <w:r w:rsidR="00A84CEE">
        <w:t xml:space="preserve"> vedotin</w:t>
      </w:r>
      <w:r>
        <w:t xml:space="preserve"> for</w:t>
      </w:r>
      <w:r w:rsidR="00DA728E">
        <w:t xml:space="preserve"> CD30 positive</w:t>
      </w:r>
      <w:r w:rsidR="00D64A66">
        <w:t xml:space="preserve"> </w:t>
      </w:r>
      <w:r>
        <w:t xml:space="preserve">CTCL was </w:t>
      </w:r>
      <w:r w:rsidR="00D64A66">
        <w:t xml:space="preserve">PBS </w:t>
      </w:r>
      <w:r>
        <w:t xml:space="preserve">listed on 1 April 2019. </w:t>
      </w:r>
      <w:r w:rsidR="00A84CEE">
        <w:t>Brentuximab vedotin for</w:t>
      </w:r>
      <w:r w:rsidR="00407626">
        <w:t xml:space="preserve"> </w:t>
      </w:r>
      <w:r w:rsidR="00FD3405">
        <w:t>previously untreated</w:t>
      </w:r>
      <w:r w:rsidR="00407626">
        <w:t xml:space="preserve"> CD30 positive</w:t>
      </w:r>
      <w:r w:rsidR="00A84CEE">
        <w:t xml:space="preserve"> PTCL was PBS listed on</w:t>
      </w:r>
      <w:r>
        <w:t xml:space="preserve"> 1 September 2021</w:t>
      </w:r>
      <w:r w:rsidR="00A84CEE">
        <w:t xml:space="preserve">. </w:t>
      </w:r>
    </w:p>
    <w:p w14:paraId="526743BB" w14:textId="77777777" w:rsidR="005C6661" w:rsidRDefault="005C6661" w:rsidP="00CF5E22">
      <w:pPr>
        <w:pStyle w:val="Heading3"/>
      </w:pPr>
      <w:r>
        <w:t>Data Source / methodology</w:t>
      </w:r>
    </w:p>
    <w:p w14:paraId="3C74AB36" w14:textId="4168B40E" w:rsidR="006804E0" w:rsidRDefault="006804E0" w:rsidP="005C6661">
      <w:pPr>
        <w:pStyle w:val="NoSpacing"/>
      </w:pPr>
      <w:r w:rsidRPr="006804E0">
        <w:t xml:space="preserve">Data extracted from the PBS </w:t>
      </w:r>
      <w:r w:rsidR="00931C42">
        <w:t xml:space="preserve">and Authorities </w:t>
      </w:r>
      <w:r w:rsidRPr="006804E0">
        <w:t>database maintained by Department of Health and Aged Care, processed by Services Australia were used for the analyses.</w:t>
      </w:r>
    </w:p>
    <w:p w14:paraId="7599E7C1" w14:textId="77777777" w:rsidR="005C6661" w:rsidRDefault="005C6661" w:rsidP="00CF5E22">
      <w:pPr>
        <w:pStyle w:val="Heading3"/>
      </w:pPr>
      <w:r>
        <w:t>Key Findings</w:t>
      </w:r>
    </w:p>
    <w:p w14:paraId="3DA6FB54" w14:textId="468BB749" w:rsidR="00A27E7A" w:rsidRDefault="00A27E7A" w:rsidP="00A27E7A">
      <w:pPr>
        <w:pStyle w:val="NoSpacing"/>
        <w:numPr>
          <w:ilvl w:val="0"/>
          <w:numId w:val="1"/>
        </w:numPr>
      </w:pPr>
      <w:r>
        <w:t>In the 2022</w:t>
      </w:r>
      <w:r w:rsidR="004A259B">
        <w:t>-</w:t>
      </w:r>
      <w:r>
        <w:t xml:space="preserve">23 financial year, there were 25 written authority approvals and 36 patients were supplied 207 prescriptions for brentuximab vedotin for </w:t>
      </w:r>
      <w:r w:rsidR="00AA0E53">
        <w:t xml:space="preserve">CD30 positive </w:t>
      </w:r>
      <w:r>
        <w:t xml:space="preserve">CTCL. </w:t>
      </w:r>
    </w:p>
    <w:p w14:paraId="4A04A2F3" w14:textId="0C779862" w:rsidR="00A27E7A" w:rsidRDefault="00A27E7A" w:rsidP="00A27E7A">
      <w:pPr>
        <w:pStyle w:val="NoSpacing"/>
        <w:numPr>
          <w:ilvl w:val="0"/>
          <w:numId w:val="1"/>
        </w:numPr>
      </w:pPr>
      <w:r>
        <w:t>In the 2022</w:t>
      </w:r>
      <w:r w:rsidR="004A259B">
        <w:t>-</w:t>
      </w:r>
      <w:r>
        <w:t xml:space="preserve">23 financial year, there were 113 written authority approvals and 113 patients were supplied 428 prescriptions for brentuximab vedotin for </w:t>
      </w:r>
      <w:r w:rsidR="00AA0E53">
        <w:t xml:space="preserve">CD 30 positive </w:t>
      </w:r>
      <w:r>
        <w:t xml:space="preserve">PTCL. </w:t>
      </w:r>
      <w:r w:rsidR="0055723A">
        <w:t xml:space="preserve">Utilisation of brentuximab vedotin for </w:t>
      </w:r>
      <w:r w:rsidR="00AA0E53">
        <w:t xml:space="preserve">CD30 positive </w:t>
      </w:r>
      <w:r w:rsidR="0055723A">
        <w:t xml:space="preserve">PTCL has been increasing over time. </w:t>
      </w:r>
    </w:p>
    <w:p w14:paraId="24422CE4" w14:textId="4893F26F" w:rsidR="003B02E8" w:rsidRPr="000263BF" w:rsidRDefault="003B02E8" w:rsidP="003B02E8">
      <w:pPr>
        <w:pStyle w:val="NoSpacing"/>
        <w:numPr>
          <w:ilvl w:val="0"/>
          <w:numId w:val="1"/>
        </w:numPr>
      </w:pPr>
      <w:r w:rsidRPr="000263BF">
        <w:t>Utilisation of brentuximab vedotin for the treatment of PTCL was different from estimated</w:t>
      </w:r>
      <w:r>
        <w:t>.</w:t>
      </w:r>
    </w:p>
    <w:p w14:paraId="38B57ECC" w14:textId="55691847" w:rsidR="00BB0D1A" w:rsidRPr="00FD3405" w:rsidRDefault="00A27E7A" w:rsidP="00FD3405">
      <w:pPr>
        <w:pStyle w:val="NoSpacing"/>
        <w:numPr>
          <w:ilvl w:val="0"/>
          <w:numId w:val="1"/>
        </w:numPr>
      </w:pPr>
      <w:r w:rsidRPr="000263BF">
        <w:t xml:space="preserve">The median age of patients </w:t>
      </w:r>
      <w:r>
        <w:t>initiating treatment with PTCL was 62 years.</w:t>
      </w:r>
      <w:r w:rsidR="00120A2F">
        <w:t xml:space="preserve"> The median age for males was 61 years, whereas for females this was 66 years.</w:t>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50FE5CE6" w14:textId="09858F49" w:rsidR="006F454E" w:rsidRDefault="00CD58B5" w:rsidP="002A7F85">
      <w:pPr>
        <w:pStyle w:val="NoSpacing"/>
      </w:pPr>
      <w:r>
        <w:t xml:space="preserve">At its February 2024 meeting, DUSC requested a </w:t>
      </w:r>
      <w:r w:rsidR="00DF6068">
        <w:t xml:space="preserve">24 month predicted versus actual </w:t>
      </w:r>
      <w:r>
        <w:t xml:space="preserve">review of </w:t>
      </w:r>
      <w:r w:rsidR="00171C69">
        <w:t xml:space="preserve">brentuximab vedotin for </w:t>
      </w:r>
      <w:r w:rsidR="00B02DF1">
        <w:t xml:space="preserve">previously untreated </w:t>
      </w:r>
      <w:r w:rsidR="001E20D8">
        <w:t>CD30 positive peripheral T-cell lymphoma</w:t>
      </w:r>
      <w:r w:rsidR="00086EC5">
        <w:t xml:space="preserve"> (PTC</w:t>
      </w:r>
      <w:r w:rsidR="0083565D">
        <w:t>L</w:t>
      </w:r>
      <w:r w:rsidR="00CA10B9">
        <w:t>)</w:t>
      </w:r>
      <w:r w:rsidR="00DF6068">
        <w:t>.</w:t>
      </w:r>
      <w:r w:rsidR="002A7F85">
        <w:t xml:space="preserve"> </w:t>
      </w:r>
    </w:p>
    <w:p w14:paraId="653D2ECD" w14:textId="77777777" w:rsidR="00F45C84" w:rsidRDefault="00F45C84" w:rsidP="002A7F85">
      <w:pPr>
        <w:pStyle w:val="NoSpacing"/>
        <w:rPr>
          <w:color w:val="000000"/>
        </w:rPr>
      </w:pPr>
    </w:p>
    <w:p w14:paraId="711B573C" w14:textId="28A43659" w:rsidR="00F45C84" w:rsidRPr="00687DE2" w:rsidRDefault="00DD4DF5" w:rsidP="002A7F85">
      <w:pPr>
        <w:pStyle w:val="NoSpacing"/>
        <w:rPr>
          <w:color w:val="000000"/>
        </w:rPr>
      </w:pPr>
      <w:r>
        <w:rPr>
          <w:color w:val="000000"/>
        </w:rPr>
        <w:t xml:space="preserve">As </w:t>
      </w:r>
      <w:r w:rsidR="000910D7">
        <w:rPr>
          <w:color w:val="000000"/>
        </w:rPr>
        <w:t xml:space="preserve">a subtype of PTCL, </w:t>
      </w:r>
      <w:r>
        <w:rPr>
          <w:color w:val="000000"/>
        </w:rPr>
        <w:t>u</w:t>
      </w:r>
      <w:r w:rsidR="00CA0EE4">
        <w:rPr>
          <w:color w:val="000000"/>
        </w:rPr>
        <w:t xml:space="preserve">tilisation of brentuximab for </w:t>
      </w:r>
      <w:r>
        <w:rPr>
          <w:color w:val="000000"/>
        </w:rPr>
        <w:t xml:space="preserve">CD30 positive </w:t>
      </w:r>
      <w:r w:rsidR="000910D7">
        <w:rPr>
          <w:color w:val="000000"/>
        </w:rPr>
        <w:t>systemic</w:t>
      </w:r>
      <w:r>
        <w:rPr>
          <w:color w:val="000000"/>
        </w:rPr>
        <w:t xml:space="preserve"> anaplastic large </w:t>
      </w:r>
      <w:r w:rsidR="007A0A1D">
        <w:rPr>
          <w:color w:val="000000"/>
        </w:rPr>
        <w:t xml:space="preserve">cell lymphoma </w:t>
      </w:r>
      <w:r w:rsidR="00AE6A9C">
        <w:rPr>
          <w:color w:val="000000"/>
        </w:rPr>
        <w:t xml:space="preserve">(sALCL) </w:t>
      </w:r>
      <w:r w:rsidR="007A0A1D">
        <w:rPr>
          <w:color w:val="000000"/>
        </w:rPr>
        <w:t xml:space="preserve">will be </w:t>
      </w:r>
      <w:r w:rsidR="00391B28">
        <w:rPr>
          <w:color w:val="000000"/>
        </w:rPr>
        <w:t>included as</w:t>
      </w:r>
      <w:r w:rsidR="000910D7" w:rsidRPr="000910D7">
        <w:rPr>
          <w:color w:val="000000"/>
        </w:rPr>
        <w:t xml:space="preserve"> </w:t>
      </w:r>
      <w:r w:rsidR="000910D7">
        <w:rPr>
          <w:color w:val="000000"/>
        </w:rPr>
        <w:t xml:space="preserve">part of this review. </w:t>
      </w:r>
    </w:p>
    <w:p w14:paraId="0A7F0B57" w14:textId="034D22D5" w:rsidR="006537D9" w:rsidRPr="005E22C2" w:rsidRDefault="00736041" w:rsidP="00CF5E22">
      <w:pPr>
        <w:pStyle w:val="Heading1"/>
      </w:pPr>
      <w:r w:rsidRPr="005E22C2">
        <w:t>Background</w:t>
      </w:r>
    </w:p>
    <w:p w14:paraId="5F81B559" w14:textId="584DEF38" w:rsidR="006B2C80" w:rsidRDefault="00EE2BBB" w:rsidP="00D87AF2">
      <w:pPr>
        <w:pStyle w:val="Heading2"/>
      </w:pPr>
      <w:r w:rsidRPr="007247B9">
        <w:t>Clinical situation</w:t>
      </w:r>
    </w:p>
    <w:p w14:paraId="3492B14C" w14:textId="4D595670" w:rsidR="003472BE" w:rsidRDefault="00B5745B" w:rsidP="003472BE">
      <w:r>
        <w:t xml:space="preserve">Peripheral </w:t>
      </w:r>
      <w:r w:rsidR="008B659B">
        <w:t xml:space="preserve">T-Cell Lymphoma </w:t>
      </w:r>
      <w:r w:rsidR="006B2C80">
        <w:t>is a</w:t>
      </w:r>
      <w:r w:rsidR="001F6110">
        <w:t xml:space="preserve"> </w:t>
      </w:r>
      <w:r w:rsidR="00E65871">
        <w:t xml:space="preserve">rare </w:t>
      </w:r>
      <w:r w:rsidR="006B2C80">
        <w:t>type of non</w:t>
      </w:r>
      <w:r w:rsidR="00A643D0">
        <w:t>-</w:t>
      </w:r>
      <w:r w:rsidR="006B2C80">
        <w:t>Hodgkin Lymphoma</w:t>
      </w:r>
      <w:r w:rsidR="00085317">
        <w:t xml:space="preserve"> (NHL)</w:t>
      </w:r>
      <w:r w:rsidR="006B2C80">
        <w:t xml:space="preserve"> found in the lymph nodes and/or throughout other parts of the body.</w:t>
      </w:r>
      <w:r w:rsidR="001F6110">
        <w:t xml:space="preserve"> </w:t>
      </w:r>
    </w:p>
    <w:p w14:paraId="7AA87F8B" w14:textId="498B744A" w:rsidR="003472BE" w:rsidRDefault="003472BE" w:rsidP="003472BE">
      <w:r>
        <w:t xml:space="preserve">There are </w:t>
      </w:r>
      <w:r w:rsidR="001C28A9">
        <w:t>various types</w:t>
      </w:r>
      <w:r>
        <w:t xml:space="preserve"> of PTCL</w:t>
      </w:r>
      <w:r w:rsidR="00E65871">
        <w:t>,</w:t>
      </w:r>
      <w:r w:rsidR="001C28A9">
        <w:t xml:space="preserve"> which</w:t>
      </w:r>
      <w:r>
        <w:t xml:space="preserve"> include</w:t>
      </w:r>
      <w:r w:rsidR="001C28A9">
        <w:rPr>
          <w:rStyle w:val="FootnoteReference"/>
        </w:rPr>
        <w:footnoteReference w:id="2"/>
      </w:r>
      <w:r>
        <w:t xml:space="preserve">: </w:t>
      </w:r>
    </w:p>
    <w:p w14:paraId="2D31F245" w14:textId="77777777" w:rsidR="003472BE" w:rsidRDefault="003472BE" w:rsidP="003472BE">
      <w:pPr>
        <w:pStyle w:val="ListParagraph"/>
        <w:numPr>
          <w:ilvl w:val="0"/>
          <w:numId w:val="1"/>
        </w:numPr>
      </w:pPr>
      <w:r>
        <w:t xml:space="preserve">Nodal: angioimmunoblastic T-cell lymphoma (AITL), follicular T-cell lymphoma, and peripheral T-cell lymphoma, PTCL not otherwise specified (PTCL-NOS); anaplastic large cell lymphomas (ALCLs; including sALCL). </w:t>
      </w:r>
    </w:p>
    <w:p w14:paraId="7027F92F" w14:textId="77777777" w:rsidR="003472BE" w:rsidRDefault="003472BE" w:rsidP="003472BE">
      <w:pPr>
        <w:pStyle w:val="ListParagraph"/>
        <w:numPr>
          <w:ilvl w:val="0"/>
          <w:numId w:val="1"/>
        </w:numPr>
      </w:pPr>
      <w:r>
        <w:t xml:space="preserve">Extra-nodal: nasal natural killer (NK)/T-cell lymphoma (NKTCL), hepatosplenic TCL, enteropathy-associated TCL (EATL); monomorphic epitheliotropic intestinal TCL (MEITL). </w:t>
      </w:r>
    </w:p>
    <w:p w14:paraId="0D97C5E6" w14:textId="77777777" w:rsidR="00E65871" w:rsidRDefault="003472BE" w:rsidP="00E65871">
      <w:pPr>
        <w:pStyle w:val="ListParagraph"/>
        <w:numPr>
          <w:ilvl w:val="0"/>
          <w:numId w:val="1"/>
        </w:numPr>
      </w:pPr>
      <w:r>
        <w:t xml:space="preserve">Leukaemic: adult T-cell leukaemia/lymphoma (ATLL); T-cell lymphoblastic lymphoma (LL). </w:t>
      </w:r>
    </w:p>
    <w:p w14:paraId="74619A34" w14:textId="3F8BCD1A" w:rsidR="007A6287" w:rsidRDefault="00E65871" w:rsidP="00E65871">
      <w:pPr>
        <w:pStyle w:val="ListParagraph"/>
        <w:numPr>
          <w:ilvl w:val="0"/>
          <w:numId w:val="1"/>
        </w:numPr>
      </w:pPr>
      <w:r>
        <w:t>CTCL (</w:t>
      </w:r>
      <w:r w:rsidR="002F7A89">
        <w:t xml:space="preserve">T-cell </w:t>
      </w:r>
      <w:r>
        <w:t xml:space="preserve">lymphomas which primarily affect the skin).  </w:t>
      </w:r>
    </w:p>
    <w:p w14:paraId="0183A567" w14:textId="413DF87B" w:rsidR="007247B9" w:rsidRDefault="007247B9" w:rsidP="00CF5E22">
      <w:pPr>
        <w:pStyle w:val="Heading2"/>
      </w:pPr>
      <w:r>
        <w:t>Pharmacology</w:t>
      </w:r>
    </w:p>
    <w:p w14:paraId="70FC93C1" w14:textId="427F3C2B" w:rsidR="00C70005" w:rsidRDefault="00C70005" w:rsidP="00AE4BAC">
      <w:pPr>
        <w:rPr>
          <w:vertAlign w:val="superscript"/>
        </w:rPr>
      </w:pPr>
      <w:r>
        <w:t xml:space="preserve">Brentuximab vedotin belongs to a group of medicines known as </w:t>
      </w:r>
      <w:r w:rsidR="006F16F5">
        <w:t>antibody-drug conjugates</w:t>
      </w:r>
      <w:r w:rsidR="00002C32">
        <w:t>,</w:t>
      </w:r>
      <w:r w:rsidR="006F16F5">
        <w:t xml:space="preserve"> which </w:t>
      </w:r>
      <w:r w:rsidR="00F91E7E">
        <w:t>work</w:t>
      </w:r>
      <w:r w:rsidR="006F16F5">
        <w:t xml:space="preserve"> </w:t>
      </w:r>
      <w:r w:rsidR="00F91E7E">
        <w:t xml:space="preserve">differently from </w:t>
      </w:r>
      <w:r>
        <w:t xml:space="preserve">traditional anticancer agents (chemotherapy). </w:t>
      </w:r>
      <w:r w:rsidR="006F16F5">
        <w:t>C</w:t>
      </w:r>
      <w:r>
        <w:t xml:space="preserve">hemotherapy enters the blood and kills both cancer cells and healthy cells that divide rapidly. </w:t>
      </w:r>
      <w:r w:rsidR="00F91E7E">
        <w:t>Whereas brentuximab vedotin</w:t>
      </w:r>
      <w:r>
        <w:t xml:space="preserve"> is made up of a monoclonal antibody</w:t>
      </w:r>
      <w:r w:rsidR="00612C80">
        <w:t xml:space="preserve"> (protein which recognises certain cancer cells)</w:t>
      </w:r>
      <w:r>
        <w:t xml:space="preserve"> </w:t>
      </w:r>
      <w:r w:rsidR="0089364A">
        <w:t xml:space="preserve">and a </w:t>
      </w:r>
      <w:r>
        <w:t>substance intended to kill cancer cells</w:t>
      </w:r>
      <w:r w:rsidR="00B32BA6">
        <w:t xml:space="preserve"> that express CD30.</w:t>
      </w:r>
      <w:r w:rsidR="00F91E7E">
        <w:rPr>
          <w:rStyle w:val="FootnoteReference"/>
        </w:rPr>
        <w:footnoteReference w:id="3"/>
      </w:r>
      <w:r w:rsidR="00453B5E">
        <w:rPr>
          <w:vertAlign w:val="superscript"/>
        </w:rPr>
        <w:t>,</w:t>
      </w:r>
      <w:r w:rsidR="0004278B">
        <w:rPr>
          <w:rStyle w:val="FootnoteReference"/>
        </w:rPr>
        <w:footnoteReference w:id="4"/>
      </w:r>
    </w:p>
    <w:p w14:paraId="2CA1D723" w14:textId="77777777" w:rsidR="00104AF4" w:rsidRPr="007247B9" w:rsidRDefault="00104AF4" w:rsidP="00AE4BAC"/>
    <w:p w14:paraId="6AC18C88" w14:textId="7A398934" w:rsidR="001420B3" w:rsidRPr="005E22C2" w:rsidRDefault="00A52918" w:rsidP="00CF5E22">
      <w:pPr>
        <w:pStyle w:val="Heading2"/>
      </w:pPr>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C78DE81" w14:textId="77777777" w:rsidR="00E439CE" w:rsidRDefault="00E439CE" w:rsidP="002A382B">
      <w:pPr>
        <w:pStyle w:val="COMexecsumnumberedpara"/>
        <w:numPr>
          <w:ilvl w:val="0"/>
          <w:numId w:val="0"/>
        </w:numPr>
        <w:ind w:left="720" w:hanging="720"/>
        <w:jc w:val="left"/>
      </w:pPr>
      <w:r w:rsidRPr="00A54814">
        <w:t>Brentuximab vedotin is TGA-approved for the following indications:</w:t>
      </w:r>
    </w:p>
    <w:p w14:paraId="1352A0EC" w14:textId="77777777" w:rsidR="00E439CE" w:rsidRDefault="00E439CE" w:rsidP="002A382B">
      <w:pPr>
        <w:pStyle w:val="COMexecsummbulletlist"/>
        <w:numPr>
          <w:ilvl w:val="0"/>
          <w:numId w:val="11"/>
        </w:numPr>
        <w:spacing w:after="0"/>
        <w:jc w:val="left"/>
      </w:pPr>
      <w:r>
        <w:t>Hodgkin lymphoma</w:t>
      </w:r>
    </w:p>
    <w:p w14:paraId="7B8BBA10" w14:textId="24C58D34" w:rsidR="00CB280C" w:rsidRDefault="00CB280C" w:rsidP="002A382B">
      <w:pPr>
        <w:pStyle w:val="COMexecsummbulletlist"/>
        <w:numPr>
          <w:ilvl w:val="0"/>
          <w:numId w:val="12"/>
        </w:numPr>
        <w:spacing w:after="0"/>
        <w:jc w:val="left"/>
      </w:pPr>
      <w:r>
        <w:t xml:space="preserve">Treatment of patients with previously untreated </w:t>
      </w:r>
      <w:r w:rsidR="00025FFB">
        <w:t xml:space="preserve">CD30 positive Stage III or Stage IV Hodgkin lymphoma in combination with doxorubicin, vinblastine, and dacarbazine. </w:t>
      </w:r>
    </w:p>
    <w:p w14:paraId="723A146F" w14:textId="150BAA2A" w:rsidR="00E439CE" w:rsidRPr="006A7B52" w:rsidRDefault="00E439CE" w:rsidP="002A382B">
      <w:pPr>
        <w:pStyle w:val="COMexecsummbulletlist"/>
        <w:numPr>
          <w:ilvl w:val="0"/>
          <w:numId w:val="12"/>
        </w:numPr>
        <w:spacing w:after="0"/>
        <w:jc w:val="left"/>
      </w:pPr>
      <w:r w:rsidRPr="006A7B52">
        <w:t>Treatment of adult patients with CD30</w:t>
      </w:r>
      <w:r w:rsidR="00951B98">
        <w:t xml:space="preserve"> positive</w:t>
      </w:r>
      <w:r w:rsidRPr="006A7B52">
        <w:t xml:space="preserve"> Hodgkin lymphoma at higher risk of relapse or progression following </w:t>
      </w:r>
      <w:r w:rsidR="0078770B">
        <w:t>autologous stem cell transplant (</w:t>
      </w:r>
      <w:r w:rsidRPr="006A7B52">
        <w:t>ASCT</w:t>
      </w:r>
      <w:r w:rsidR="0078770B">
        <w:t>)</w:t>
      </w:r>
      <w:r w:rsidRPr="006A7B52">
        <w:t>.</w:t>
      </w:r>
    </w:p>
    <w:p w14:paraId="392EE7CD" w14:textId="4892385B" w:rsidR="00E439CE" w:rsidRPr="006A7B52" w:rsidRDefault="00E439CE" w:rsidP="002A382B">
      <w:pPr>
        <w:pStyle w:val="ListParagraph"/>
        <w:numPr>
          <w:ilvl w:val="1"/>
          <w:numId w:val="9"/>
        </w:numPr>
        <w:spacing w:after="0"/>
        <w:ind w:hanging="357"/>
        <w:contextualSpacing w:val="0"/>
      </w:pPr>
      <w:r w:rsidRPr="006A7B52">
        <w:t>Treatment of adult patients with relapsed or refractory CD30</w:t>
      </w:r>
      <w:r w:rsidR="00951B98">
        <w:t xml:space="preserve"> positive</w:t>
      </w:r>
      <w:r w:rsidRPr="006A7B52">
        <w:t xml:space="preserve"> Hodgkin lymphoma following ASCT; or following at least 2 prior therapies when ASCT or multi-agent chemotherapy is not a treatment option.</w:t>
      </w:r>
    </w:p>
    <w:p w14:paraId="577F7884" w14:textId="77777777" w:rsidR="00E439CE" w:rsidRPr="006A7B52" w:rsidRDefault="00E439CE" w:rsidP="002A382B">
      <w:pPr>
        <w:pStyle w:val="COMexecsummbulletlist"/>
        <w:numPr>
          <w:ilvl w:val="0"/>
          <w:numId w:val="11"/>
        </w:numPr>
        <w:spacing w:after="0"/>
        <w:jc w:val="left"/>
      </w:pPr>
      <w:r w:rsidRPr="006A7B52">
        <w:t>Peripheral T-cell lymphoma</w:t>
      </w:r>
    </w:p>
    <w:p w14:paraId="503F4003" w14:textId="68983051" w:rsidR="00E439CE" w:rsidRPr="006A7B52" w:rsidRDefault="00E439CE" w:rsidP="002A382B">
      <w:pPr>
        <w:pStyle w:val="ListParagraph"/>
        <w:numPr>
          <w:ilvl w:val="1"/>
          <w:numId w:val="9"/>
        </w:numPr>
        <w:spacing w:after="0"/>
        <w:contextualSpacing w:val="0"/>
      </w:pPr>
      <w:r w:rsidRPr="006A7B52">
        <w:t>Treatment of adult patients with previously untreated CD30</w:t>
      </w:r>
      <w:r w:rsidR="00951B98">
        <w:t xml:space="preserve"> positive</w:t>
      </w:r>
      <w:r w:rsidRPr="006A7B52">
        <w:t xml:space="preserve"> peripheral T-cell lymphoma in combination with cyclophosphamide, doxorubicin and prednisone</w:t>
      </w:r>
      <w:r w:rsidR="0029207A">
        <w:t xml:space="preserve"> (CHP)</w:t>
      </w:r>
      <w:r w:rsidRPr="006A7B52">
        <w:t>.</w:t>
      </w:r>
    </w:p>
    <w:p w14:paraId="258787B0" w14:textId="77777777" w:rsidR="00E439CE" w:rsidRPr="006A7B52" w:rsidRDefault="00E439CE" w:rsidP="002A382B">
      <w:pPr>
        <w:pStyle w:val="ListParagraph"/>
        <w:numPr>
          <w:ilvl w:val="1"/>
          <w:numId w:val="9"/>
        </w:numPr>
        <w:spacing w:after="0"/>
        <w:contextualSpacing w:val="0"/>
      </w:pPr>
      <w:r w:rsidRPr="006A7B52">
        <w:t>Treatment of adult patients with relapsed or refractory systemic anaplastic large cell lymphoma.</w:t>
      </w:r>
    </w:p>
    <w:p w14:paraId="5B6D212F" w14:textId="77777777" w:rsidR="00E439CE" w:rsidRPr="006A7B52" w:rsidRDefault="00E439CE" w:rsidP="002A382B">
      <w:pPr>
        <w:pStyle w:val="COMexecsummbulletlist"/>
        <w:numPr>
          <w:ilvl w:val="0"/>
          <w:numId w:val="11"/>
        </w:numPr>
        <w:spacing w:after="0"/>
        <w:jc w:val="left"/>
      </w:pPr>
      <w:r w:rsidRPr="006A7B52">
        <w:t>Cutaneous T-cell lymphoma</w:t>
      </w:r>
    </w:p>
    <w:p w14:paraId="049EF566" w14:textId="6D8B6422" w:rsidR="00E439CE" w:rsidRDefault="00E439CE" w:rsidP="002A382B">
      <w:pPr>
        <w:pStyle w:val="ListParagraph"/>
        <w:numPr>
          <w:ilvl w:val="1"/>
          <w:numId w:val="9"/>
        </w:numPr>
        <w:spacing w:after="120"/>
        <w:contextualSpacing w:val="0"/>
      </w:pPr>
      <w:r w:rsidRPr="006A7B52">
        <w:t>Treatment of adult patients with CD30</w:t>
      </w:r>
      <w:r w:rsidR="00951B98">
        <w:t xml:space="preserve"> positive</w:t>
      </w:r>
      <w:r w:rsidRPr="006A7B52">
        <w:t xml:space="preserve"> cutaneous T-cell lymphoma after at least 1 prior systemic therapy.</w:t>
      </w:r>
    </w:p>
    <w:p w14:paraId="15E919C1" w14:textId="1B3BA560" w:rsidR="006B709B" w:rsidRDefault="006B709B" w:rsidP="00CF5E22">
      <w:pPr>
        <w:pStyle w:val="Heading2"/>
      </w:pPr>
      <w:r>
        <w:t>Dosage and administration</w:t>
      </w:r>
    </w:p>
    <w:p w14:paraId="4A70DD90" w14:textId="0B106BB5" w:rsidR="003D356A" w:rsidRDefault="00943811" w:rsidP="002A382B">
      <w:r>
        <w:t>Brentuximab vedotin</w:t>
      </w:r>
      <w:r w:rsidR="0057451E">
        <w:t xml:space="preserve"> is </w:t>
      </w:r>
      <w:r w:rsidR="00953EB2">
        <w:t>administered</w:t>
      </w:r>
      <w:r w:rsidR="0057451E">
        <w:t xml:space="preserve"> by intravenous infusion over 30 minutes </w:t>
      </w:r>
      <w:r w:rsidR="00953EB2">
        <w:t xml:space="preserve">under the </w:t>
      </w:r>
      <w:r w:rsidR="00E83669">
        <w:t>supervision</w:t>
      </w:r>
      <w:r w:rsidR="00953EB2">
        <w:t xml:space="preserve"> of a physician experienced in the use of anti-cancer agents</w:t>
      </w:r>
      <w:r w:rsidR="0057451E">
        <w:t xml:space="preserve">. </w:t>
      </w:r>
    </w:p>
    <w:p w14:paraId="59E1F880" w14:textId="29AB3B7E" w:rsidR="0057451E" w:rsidRDefault="00A0065F" w:rsidP="002A382B">
      <w:r>
        <w:t xml:space="preserve">CD30 positive </w:t>
      </w:r>
      <w:r w:rsidR="00E041A3">
        <w:t>CTCL</w:t>
      </w:r>
      <w:r>
        <w:t xml:space="preserve">: </w:t>
      </w:r>
      <w:r w:rsidR="00A57501">
        <w:t>Th</w:t>
      </w:r>
      <w:r w:rsidR="0057451E">
        <w:t>e recommended dose when it is given alone is 1.8 mg/kg, given every 3 weeks</w:t>
      </w:r>
      <w:r w:rsidR="00A57501">
        <w:t xml:space="preserve">, up to 16 cycles. </w:t>
      </w:r>
    </w:p>
    <w:p w14:paraId="63C1AB2E" w14:textId="77777777" w:rsidR="00CD5ED4" w:rsidRDefault="00CD5ED4" w:rsidP="00CD5ED4">
      <w:r>
        <w:t>Previously untreated CD30 positive PTCL: The recommended dose in in combination with chemotherapy – CHP is 1.8 mg/kg given every 3 weeks for 6 to 8 cycles.</w:t>
      </w:r>
    </w:p>
    <w:p w14:paraId="74EDC55F" w14:textId="69E68404" w:rsidR="00C16160"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0D0C630D" w14:textId="77777777" w:rsidR="00104AF4" w:rsidRDefault="00104AF4" w:rsidP="00F17D4B"/>
    <w:p w14:paraId="5C31E6D4" w14:textId="77777777" w:rsidR="00104AF4" w:rsidRDefault="00104AF4" w:rsidP="00F17D4B"/>
    <w:p w14:paraId="6FB2A9A1" w14:textId="77777777" w:rsidR="00104AF4" w:rsidRDefault="00104AF4" w:rsidP="00F17D4B"/>
    <w:p w14:paraId="2BB79148" w14:textId="77777777" w:rsidR="00104AF4" w:rsidRDefault="00104AF4" w:rsidP="00F17D4B"/>
    <w:p w14:paraId="78FEA849" w14:textId="77777777" w:rsidR="00104AF4" w:rsidRPr="002F61CA" w:rsidRDefault="00104AF4" w:rsidP="00F17D4B"/>
    <w:p w14:paraId="46E2BB42" w14:textId="7CCFA3D2" w:rsidR="00DF0B13" w:rsidRDefault="00DF0B13" w:rsidP="00CF5E22">
      <w:pPr>
        <w:pStyle w:val="Heading2"/>
      </w:pPr>
      <w:r w:rsidRPr="007247B9" w:rsidDel="00EE2BBB">
        <w:lastRenderedPageBreak/>
        <w:t>PBS listing details</w:t>
      </w:r>
      <w:r w:rsidR="00D151EB" w:rsidDel="00EE2BBB">
        <w:t xml:space="preserve"> (as at </w:t>
      </w:r>
      <w:r w:rsidR="002317D4">
        <w:t>April</w:t>
      </w:r>
      <w:r w:rsidR="00FC70BD">
        <w:t xml:space="preserve"> 2024)</w:t>
      </w:r>
    </w:p>
    <w:p w14:paraId="01593916" w14:textId="4C726DA9" w:rsidR="005C225D" w:rsidRPr="001420B3" w:rsidDel="00EE2BBB" w:rsidRDefault="005C225D" w:rsidP="005C225D">
      <w:pPr>
        <w:pStyle w:val="Tabletitle"/>
      </w:pPr>
      <w:r w:rsidRPr="001420B3" w:rsidDel="00EE2BBB">
        <w:t xml:space="preserve">Table </w:t>
      </w:r>
      <w:r w:rsidR="000B35EA">
        <w:t>1</w:t>
      </w:r>
      <w:r w:rsidRPr="001420B3" w:rsidDel="00EE2BBB">
        <w:t xml:space="preserve">: </w:t>
      </w:r>
      <w:r w:rsidDel="00EE2BBB">
        <w:t xml:space="preserve">PBS listing of </w:t>
      </w:r>
      <w:r w:rsidR="00FC70BD">
        <w:t xml:space="preserve">brentuximab vedotin for </w:t>
      </w:r>
      <w:r w:rsidR="00E855B4">
        <w:t xml:space="preserve">CD30 positive </w:t>
      </w:r>
      <w:r w:rsidR="00FC70BD">
        <w:t>CTCL</w:t>
      </w:r>
      <w:r w:rsidDel="00EE2BBB">
        <w:t xml:space="preserve"> </w:t>
      </w:r>
    </w:p>
    <w:tbl>
      <w:tblPr>
        <w:tblStyle w:val="TableGrid"/>
        <w:tblW w:w="9064" w:type="dxa"/>
        <w:tblLayout w:type="fixed"/>
        <w:tblLook w:val="04A0" w:firstRow="1" w:lastRow="0" w:firstColumn="1" w:lastColumn="0" w:noHBand="0" w:noVBand="1"/>
      </w:tblPr>
      <w:tblGrid>
        <w:gridCol w:w="969"/>
        <w:gridCol w:w="3137"/>
        <w:gridCol w:w="964"/>
        <w:gridCol w:w="850"/>
        <w:gridCol w:w="1163"/>
        <w:gridCol w:w="1981"/>
      </w:tblGrid>
      <w:tr w:rsidR="005C225D" w:rsidRPr="0071119E" w:rsidDel="00EE2BBB" w14:paraId="400FB7AC" w14:textId="77777777" w:rsidTr="0071119E">
        <w:trPr>
          <w:trHeight w:val="694"/>
          <w:tblHeader/>
        </w:trPr>
        <w:tc>
          <w:tcPr>
            <w:tcW w:w="969" w:type="dxa"/>
            <w:shd w:val="clear" w:color="auto" w:fill="BFBFBF" w:themeFill="background1" w:themeFillShade="BF"/>
          </w:tcPr>
          <w:p w14:paraId="56EFC03B" w14:textId="76246A68" w:rsidR="005C225D" w:rsidRPr="0071119E" w:rsidDel="00EE2BBB" w:rsidRDefault="005C225D" w:rsidP="004E73BB">
            <w:pPr>
              <w:pStyle w:val="Tableheading"/>
              <w:rPr>
                <w:rFonts w:cstheme="minorHAnsi"/>
                <w:sz w:val="20"/>
                <w:szCs w:val="20"/>
              </w:rPr>
            </w:pPr>
            <w:r w:rsidRPr="0071119E" w:rsidDel="00EE2BBB">
              <w:rPr>
                <w:rFonts w:cstheme="minorHAnsi"/>
                <w:sz w:val="20"/>
                <w:szCs w:val="20"/>
              </w:rPr>
              <w:t>Item</w:t>
            </w:r>
            <w:r w:rsidR="00FC70BD">
              <w:rPr>
                <w:rFonts w:cstheme="minorHAnsi"/>
                <w:sz w:val="20"/>
                <w:szCs w:val="20"/>
              </w:rPr>
              <w:t xml:space="preserve"> code</w:t>
            </w:r>
          </w:p>
        </w:tc>
        <w:tc>
          <w:tcPr>
            <w:tcW w:w="3137" w:type="dxa"/>
            <w:shd w:val="clear" w:color="auto" w:fill="BFBFBF" w:themeFill="background1" w:themeFillShade="BF"/>
          </w:tcPr>
          <w:p w14:paraId="46AE7CF6" w14:textId="77777777" w:rsidR="005C225D" w:rsidRPr="0071119E" w:rsidDel="00EE2BBB" w:rsidRDefault="005C225D" w:rsidP="004E73BB">
            <w:pPr>
              <w:pStyle w:val="Tableheading"/>
              <w:rPr>
                <w:rFonts w:cstheme="minorHAnsi"/>
                <w:sz w:val="20"/>
                <w:szCs w:val="20"/>
              </w:rPr>
            </w:pPr>
            <w:r w:rsidRPr="0071119E" w:rsidDel="00EE2BBB">
              <w:rPr>
                <w:rFonts w:cstheme="minorHAnsi"/>
                <w:sz w:val="20"/>
                <w:szCs w:val="20"/>
              </w:rPr>
              <w:t>Name, form &amp; strength, pack size</w:t>
            </w:r>
          </w:p>
        </w:tc>
        <w:tc>
          <w:tcPr>
            <w:tcW w:w="964" w:type="dxa"/>
            <w:shd w:val="clear" w:color="auto" w:fill="BFBFBF" w:themeFill="background1" w:themeFillShade="BF"/>
          </w:tcPr>
          <w:p w14:paraId="2EFCD364" w14:textId="3C2C5C9A" w:rsidR="005C225D" w:rsidRPr="0071119E" w:rsidDel="00EE2BBB" w:rsidRDefault="005C225D" w:rsidP="004E73BB">
            <w:pPr>
              <w:pStyle w:val="Tableheading"/>
              <w:rPr>
                <w:rFonts w:cstheme="minorHAnsi"/>
                <w:sz w:val="20"/>
                <w:szCs w:val="20"/>
              </w:rPr>
            </w:pPr>
            <w:r w:rsidRPr="0071119E" w:rsidDel="00EE2BBB">
              <w:rPr>
                <w:rFonts w:cstheme="minorHAnsi"/>
                <w:sz w:val="20"/>
                <w:szCs w:val="20"/>
              </w:rPr>
              <w:t xml:space="preserve">Max. </w:t>
            </w:r>
            <w:r w:rsidR="009925F3" w:rsidRPr="0071119E">
              <w:rPr>
                <w:rFonts w:cstheme="minorHAnsi"/>
                <w:sz w:val="20"/>
                <w:szCs w:val="20"/>
              </w:rPr>
              <w:t>amt</w:t>
            </w:r>
            <w:r w:rsidRPr="0071119E" w:rsidDel="00EE2BBB">
              <w:rPr>
                <w:rFonts w:cstheme="minorHAnsi"/>
                <w:sz w:val="20"/>
                <w:szCs w:val="20"/>
              </w:rPr>
              <w:t>.</w:t>
            </w:r>
          </w:p>
        </w:tc>
        <w:tc>
          <w:tcPr>
            <w:tcW w:w="850" w:type="dxa"/>
            <w:shd w:val="clear" w:color="auto" w:fill="BFBFBF" w:themeFill="background1" w:themeFillShade="BF"/>
          </w:tcPr>
          <w:p w14:paraId="34467DFE" w14:textId="49B83DEC" w:rsidR="005C225D" w:rsidRPr="0071119E" w:rsidDel="00EE2BBB" w:rsidRDefault="005C225D" w:rsidP="004E73BB">
            <w:pPr>
              <w:pStyle w:val="Tableheading"/>
              <w:rPr>
                <w:rFonts w:cstheme="minorHAnsi"/>
                <w:sz w:val="20"/>
                <w:szCs w:val="20"/>
              </w:rPr>
            </w:pPr>
            <w:r w:rsidRPr="0071119E" w:rsidDel="00EE2BBB">
              <w:rPr>
                <w:rFonts w:cstheme="minorHAnsi"/>
                <w:sz w:val="20"/>
                <w:szCs w:val="20"/>
              </w:rPr>
              <w:t>Rpts</w:t>
            </w:r>
          </w:p>
        </w:tc>
        <w:tc>
          <w:tcPr>
            <w:tcW w:w="1163" w:type="dxa"/>
            <w:shd w:val="clear" w:color="auto" w:fill="BFBFBF" w:themeFill="background1" w:themeFillShade="BF"/>
          </w:tcPr>
          <w:p w14:paraId="0F5C4AE0" w14:textId="6D01F061" w:rsidR="005C225D" w:rsidRPr="0071119E" w:rsidDel="00EE2BBB" w:rsidRDefault="005C225D" w:rsidP="004E73BB">
            <w:pPr>
              <w:pStyle w:val="Tableheading"/>
              <w:rPr>
                <w:rFonts w:cstheme="minorHAnsi"/>
                <w:sz w:val="20"/>
                <w:szCs w:val="20"/>
              </w:rPr>
            </w:pPr>
            <w:r w:rsidRPr="0071119E" w:rsidDel="00EE2BBB">
              <w:rPr>
                <w:rFonts w:cstheme="minorHAnsi"/>
                <w:sz w:val="20"/>
                <w:szCs w:val="20"/>
              </w:rPr>
              <w:t>DPM</w:t>
            </w:r>
            <w:r w:rsidR="009925F3" w:rsidRPr="0071119E">
              <w:rPr>
                <w:rFonts w:cstheme="minorHAnsi"/>
                <w:sz w:val="20"/>
                <w:szCs w:val="20"/>
              </w:rPr>
              <w:t>A</w:t>
            </w:r>
          </w:p>
        </w:tc>
        <w:tc>
          <w:tcPr>
            <w:tcW w:w="1981" w:type="dxa"/>
            <w:shd w:val="clear" w:color="auto" w:fill="BFBFBF" w:themeFill="background1" w:themeFillShade="BF"/>
          </w:tcPr>
          <w:p w14:paraId="62B11F6E" w14:textId="77777777" w:rsidR="005C225D" w:rsidRPr="0071119E" w:rsidDel="00EE2BBB" w:rsidRDefault="005C225D" w:rsidP="004E73BB">
            <w:pPr>
              <w:pStyle w:val="Tableheading"/>
              <w:rPr>
                <w:rFonts w:cstheme="minorHAnsi"/>
                <w:sz w:val="20"/>
                <w:szCs w:val="20"/>
              </w:rPr>
            </w:pPr>
            <w:r w:rsidRPr="0071119E" w:rsidDel="00EE2BBB">
              <w:rPr>
                <w:rFonts w:cstheme="minorHAnsi"/>
                <w:sz w:val="20"/>
                <w:szCs w:val="20"/>
              </w:rPr>
              <w:t>Brand name and manufacturer</w:t>
            </w:r>
          </w:p>
        </w:tc>
      </w:tr>
      <w:tr w:rsidR="007F1DE8" w:rsidRPr="0071119E" w:rsidDel="00EE2BBB" w14:paraId="7419458A" w14:textId="77777777" w:rsidTr="0071119E">
        <w:trPr>
          <w:trHeight w:val="552"/>
          <w:tblHeader/>
        </w:trPr>
        <w:tc>
          <w:tcPr>
            <w:tcW w:w="969" w:type="dxa"/>
            <w:shd w:val="clear" w:color="auto" w:fill="auto"/>
          </w:tcPr>
          <w:p w14:paraId="36060CDD" w14:textId="207E23E4" w:rsidR="007F1DE8" w:rsidRPr="0071119E" w:rsidDel="00EE2BBB" w:rsidRDefault="007F1DE8" w:rsidP="004E73BB">
            <w:pPr>
              <w:pStyle w:val="Tablewriting"/>
              <w:jc w:val="center"/>
              <w:rPr>
                <w:rFonts w:cstheme="minorHAnsi"/>
              </w:rPr>
            </w:pPr>
            <w:r w:rsidRPr="0071119E">
              <w:rPr>
                <w:rFonts w:cstheme="minorHAnsi"/>
              </w:rPr>
              <w:t>11651F</w:t>
            </w:r>
          </w:p>
        </w:tc>
        <w:tc>
          <w:tcPr>
            <w:tcW w:w="3137" w:type="dxa"/>
            <w:shd w:val="clear" w:color="auto" w:fill="auto"/>
          </w:tcPr>
          <w:p w14:paraId="212849C9" w14:textId="768246D9" w:rsidR="007F1DE8" w:rsidRPr="0071119E" w:rsidDel="00EE2BBB" w:rsidRDefault="007F1DE8" w:rsidP="004E73BB">
            <w:pPr>
              <w:pStyle w:val="Tablewriting"/>
              <w:rPr>
                <w:rFonts w:cstheme="minorHAnsi"/>
              </w:rPr>
            </w:pPr>
            <w:r w:rsidRPr="0071119E">
              <w:rPr>
                <w:rFonts w:cstheme="minorHAnsi"/>
                <w:color w:val="222222"/>
                <w:shd w:val="clear" w:color="auto" w:fill="FFFFFF"/>
              </w:rPr>
              <w:t>brentuximab vedotin 50 mg injection, 1 vial</w:t>
            </w:r>
          </w:p>
        </w:tc>
        <w:tc>
          <w:tcPr>
            <w:tcW w:w="964" w:type="dxa"/>
            <w:shd w:val="clear" w:color="auto" w:fill="auto"/>
          </w:tcPr>
          <w:p w14:paraId="21A37325" w14:textId="0CE95FEF" w:rsidR="007F1DE8" w:rsidRPr="0071119E" w:rsidDel="00EE2BBB" w:rsidRDefault="007F1DE8" w:rsidP="004E73BB">
            <w:pPr>
              <w:pStyle w:val="Tablewriting"/>
              <w:jc w:val="center"/>
              <w:rPr>
                <w:rFonts w:cstheme="minorHAnsi"/>
              </w:rPr>
            </w:pPr>
            <w:r w:rsidRPr="0071119E">
              <w:rPr>
                <w:rFonts w:cstheme="minorHAnsi"/>
              </w:rPr>
              <w:t>180 mg</w:t>
            </w:r>
          </w:p>
        </w:tc>
        <w:tc>
          <w:tcPr>
            <w:tcW w:w="850" w:type="dxa"/>
            <w:shd w:val="clear" w:color="auto" w:fill="auto"/>
          </w:tcPr>
          <w:p w14:paraId="16852517" w14:textId="046E38AA" w:rsidR="007F1DE8" w:rsidRPr="0071119E" w:rsidDel="00EE2BBB" w:rsidRDefault="007F1DE8" w:rsidP="004E73BB">
            <w:pPr>
              <w:pStyle w:val="Tablewriting"/>
              <w:jc w:val="center"/>
              <w:rPr>
                <w:rFonts w:cstheme="minorHAnsi"/>
              </w:rPr>
            </w:pPr>
            <w:r w:rsidRPr="0071119E">
              <w:rPr>
                <w:rFonts w:cstheme="minorHAnsi"/>
              </w:rPr>
              <w:t>3</w:t>
            </w:r>
          </w:p>
        </w:tc>
        <w:tc>
          <w:tcPr>
            <w:tcW w:w="1163" w:type="dxa"/>
            <w:shd w:val="clear" w:color="auto" w:fill="auto"/>
          </w:tcPr>
          <w:p w14:paraId="0CECA43F" w14:textId="6D8F3726" w:rsidR="007F1DE8" w:rsidRPr="0071119E" w:rsidDel="00EE2BBB" w:rsidRDefault="007F1DE8" w:rsidP="004E73BB">
            <w:pPr>
              <w:pStyle w:val="Tablewriting"/>
              <w:jc w:val="center"/>
              <w:rPr>
                <w:rFonts w:cstheme="minorHAnsi"/>
              </w:rPr>
            </w:pPr>
            <w:r w:rsidRPr="0071119E">
              <w:rPr>
                <w:rFonts w:cstheme="minorHAnsi"/>
              </w:rPr>
              <w:t>$19,012.59</w:t>
            </w:r>
          </w:p>
        </w:tc>
        <w:tc>
          <w:tcPr>
            <w:tcW w:w="1981" w:type="dxa"/>
            <w:vMerge w:val="restart"/>
            <w:shd w:val="clear" w:color="auto" w:fill="auto"/>
          </w:tcPr>
          <w:p w14:paraId="5858984F" w14:textId="77777777" w:rsidR="007F1DE8" w:rsidRDefault="007F1DE8" w:rsidP="004E73BB">
            <w:pPr>
              <w:pStyle w:val="Tablewriting"/>
              <w:rPr>
                <w:rFonts w:cstheme="minorHAnsi"/>
              </w:rPr>
            </w:pPr>
            <w:r w:rsidRPr="0071119E">
              <w:rPr>
                <w:rFonts w:cstheme="minorHAnsi"/>
              </w:rPr>
              <w:t>Adcetris®</w:t>
            </w:r>
          </w:p>
          <w:p w14:paraId="6D65C3E6" w14:textId="392DA8EC" w:rsidR="007F1DE8" w:rsidRPr="0071119E" w:rsidDel="00EE2BBB" w:rsidRDefault="007F1DE8" w:rsidP="004E73BB">
            <w:pPr>
              <w:pStyle w:val="Tablewriting"/>
              <w:rPr>
                <w:rFonts w:cstheme="minorHAnsi"/>
              </w:rPr>
            </w:pPr>
            <w:r>
              <w:rPr>
                <w:rFonts w:cstheme="minorHAnsi"/>
              </w:rPr>
              <w:t xml:space="preserve">Takeda Pharmaceuticals Australia Pty. Ltd. </w:t>
            </w:r>
          </w:p>
        </w:tc>
      </w:tr>
      <w:tr w:rsidR="007F1DE8" w:rsidRPr="0071119E" w:rsidDel="00EE2BBB" w14:paraId="5A2FAEC2" w14:textId="77777777" w:rsidTr="0071119E">
        <w:trPr>
          <w:trHeight w:val="546"/>
          <w:tblHeader/>
        </w:trPr>
        <w:tc>
          <w:tcPr>
            <w:tcW w:w="969" w:type="dxa"/>
            <w:shd w:val="clear" w:color="auto" w:fill="auto"/>
          </w:tcPr>
          <w:p w14:paraId="088DAA0F" w14:textId="6AC229F7" w:rsidR="007F1DE8" w:rsidRPr="0071119E" w:rsidDel="00EE2BBB" w:rsidRDefault="007F1DE8" w:rsidP="004E73BB">
            <w:pPr>
              <w:pStyle w:val="Tablewriting"/>
              <w:jc w:val="center"/>
              <w:rPr>
                <w:rFonts w:cstheme="minorHAnsi"/>
              </w:rPr>
            </w:pPr>
            <w:r w:rsidRPr="0071119E">
              <w:rPr>
                <w:rFonts w:cstheme="minorHAnsi"/>
              </w:rPr>
              <w:t>11660Q</w:t>
            </w:r>
          </w:p>
        </w:tc>
        <w:tc>
          <w:tcPr>
            <w:tcW w:w="3137" w:type="dxa"/>
            <w:shd w:val="clear" w:color="auto" w:fill="auto"/>
          </w:tcPr>
          <w:p w14:paraId="3DC1BCB8" w14:textId="6884F642" w:rsidR="007F1DE8" w:rsidRPr="0071119E" w:rsidDel="00EE2BBB" w:rsidRDefault="007F1DE8" w:rsidP="004E73BB">
            <w:pPr>
              <w:pStyle w:val="Tablewriting"/>
              <w:rPr>
                <w:rFonts w:cstheme="minorHAnsi"/>
              </w:rPr>
            </w:pPr>
            <w:r w:rsidRPr="0071119E">
              <w:rPr>
                <w:rFonts w:cstheme="minorHAnsi"/>
                <w:color w:val="222222"/>
                <w:shd w:val="clear" w:color="auto" w:fill="FFFFFF"/>
              </w:rPr>
              <w:t>brentuximab vedotin 50 mg injection, 1 vial</w:t>
            </w:r>
          </w:p>
        </w:tc>
        <w:tc>
          <w:tcPr>
            <w:tcW w:w="964" w:type="dxa"/>
            <w:shd w:val="clear" w:color="auto" w:fill="auto"/>
          </w:tcPr>
          <w:p w14:paraId="4C71AC52" w14:textId="7011FB16" w:rsidR="007F1DE8" w:rsidRPr="0071119E" w:rsidDel="00EE2BBB" w:rsidRDefault="007F1DE8" w:rsidP="004E73BB">
            <w:pPr>
              <w:pStyle w:val="Tablewriting"/>
              <w:jc w:val="center"/>
              <w:rPr>
                <w:rFonts w:cstheme="minorHAnsi"/>
              </w:rPr>
            </w:pPr>
            <w:r w:rsidRPr="0071119E">
              <w:rPr>
                <w:rFonts w:cstheme="minorHAnsi"/>
              </w:rPr>
              <w:t>180 mg</w:t>
            </w:r>
          </w:p>
        </w:tc>
        <w:tc>
          <w:tcPr>
            <w:tcW w:w="850" w:type="dxa"/>
            <w:shd w:val="clear" w:color="auto" w:fill="auto"/>
          </w:tcPr>
          <w:p w14:paraId="3FEC9896" w14:textId="56473EE2" w:rsidR="007F1DE8" w:rsidRPr="0071119E" w:rsidDel="00EE2BBB" w:rsidRDefault="007F1DE8" w:rsidP="004E73BB">
            <w:pPr>
              <w:pStyle w:val="Tablewriting"/>
              <w:jc w:val="center"/>
              <w:rPr>
                <w:rFonts w:cstheme="minorHAnsi"/>
              </w:rPr>
            </w:pPr>
            <w:r w:rsidRPr="0071119E">
              <w:rPr>
                <w:rFonts w:cstheme="minorHAnsi"/>
              </w:rPr>
              <w:t>3</w:t>
            </w:r>
          </w:p>
        </w:tc>
        <w:tc>
          <w:tcPr>
            <w:tcW w:w="1163" w:type="dxa"/>
            <w:shd w:val="clear" w:color="auto" w:fill="auto"/>
          </w:tcPr>
          <w:p w14:paraId="72A68150" w14:textId="03FD88DD" w:rsidR="007F1DE8" w:rsidRPr="0071119E" w:rsidDel="00EE2BBB" w:rsidRDefault="007F1DE8" w:rsidP="004E73BB">
            <w:pPr>
              <w:pStyle w:val="Tablewriting"/>
              <w:jc w:val="center"/>
              <w:rPr>
                <w:rFonts w:cstheme="minorHAnsi"/>
              </w:rPr>
            </w:pPr>
            <w:r w:rsidRPr="0071119E">
              <w:rPr>
                <w:rFonts w:cstheme="minorHAnsi"/>
              </w:rPr>
              <w:t>$18,708.62</w:t>
            </w:r>
          </w:p>
        </w:tc>
        <w:tc>
          <w:tcPr>
            <w:tcW w:w="1981" w:type="dxa"/>
            <w:vMerge/>
            <w:shd w:val="clear" w:color="auto" w:fill="auto"/>
          </w:tcPr>
          <w:p w14:paraId="78BBDD8F" w14:textId="77777777" w:rsidR="007F1DE8" w:rsidRPr="0071119E" w:rsidDel="00EE2BBB" w:rsidRDefault="007F1DE8" w:rsidP="004E73BB">
            <w:pPr>
              <w:pStyle w:val="Tablewriting"/>
              <w:rPr>
                <w:rFonts w:cstheme="minorHAnsi"/>
              </w:rPr>
            </w:pPr>
          </w:p>
        </w:tc>
      </w:tr>
      <w:tr w:rsidR="007F1DE8" w:rsidRPr="0071119E" w:rsidDel="00EE2BBB" w14:paraId="4E41CA69" w14:textId="77777777" w:rsidTr="0071119E">
        <w:trPr>
          <w:trHeight w:val="546"/>
          <w:tblHeader/>
        </w:trPr>
        <w:tc>
          <w:tcPr>
            <w:tcW w:w="969" w:type="dxa"/>
            <w:shd w:val="clear" w:color="auto" w:fill="auto"/>
          </w:tcPr>
          <w:p w14:paraId="2AA5EA56" w14:textId="31B49881" w:rsidR="007F1DE8" w:rsidRPr="0071119E" w:rsidRDefault="007F1DE8" w:rsidP="004E73BB">
            <w:pPr>
              <w:pStyle w:val="Tablewriting"/>
              <w:jc w:val="center"/>
              <w:rPr>
                <w:rFonts w:cstheme="minorHAnsi"/>
              </w:rPr>
            </w:pPr>
            <w:r w:rsidRPr="0071119E">
              <w:rPr>
                <w:rFonts w:cstheme="minorHAnsi"/>
              </w:rPr>
              <w:t>11661R</w:t>
            </w:r>
          </w:p>
        </w:tc>
        <w:tc>
          <w:tcPr>
            <w:tcW w:w="3137" w:type="dxa"/>
            <w:shd w:val="clear" w:color="auto" w:fill="auto"/>
          </w:tcPr>
          <w:p w14:paraId="3A1BBD82" w14:textId="7C6E956B" w:rsidR="007F1DE8" w:rsidRPr="0071119E" w:rsidRDefault="007F1DE8" w:rsidP="004E73BB">
            <w:pPr>
              <w:pStyle w:val="Tablewriting"/>
              <w:rPr>
                <w:rFonts w:cstheme="minorHAnsi"/>
                <w:color w:val="222222"/>
                <w:shd w:val="clear" w:color="auto" w:fill="FFFFFF"/>
              </w:rPr>
            </w:pPr>
            <w:r w:rsidRPr="0071119E">
              <w:rPr>
                <w:rFonts w:cstheme="minorHAnsi"/>
                <w:color w:val="222222"/>
                <w:shd w:val="clear" w:color="auto" w:fill="FFFFFF"/>
              </w:rPr>
              <w:t>brentuximab vedotin 50 mg injection, 1 vial</w:t>
            </w:r>
          </w:p>
        </w:tc>
        <w:tc>
          <w:tcPr>
            <w:tcW w:w="964" w:type="dxa"/>
            <w:shd w:val="clear" w:color="auto" w:fill="auto"/>
          </w:tcPr>
          <w:p w14:paraId="5541FD04" w14:textId="7CDA5BB9" w:rsidR="007F1DE8" w:rsidRPr="0071119E" w:rsidRDefault="007F1DE8" w:rsidP="004E73BB">
            <w:pPr>
              <w:pStyle w:val="Tablewriting"/>
              <w:jc w:val="center"/>
              <w:rPr>
                <w:rFonts w:cstheme="minorHAnsi"/>
              </w:rPr>
            </w:pPr>
            <w:r w:rsidRPr="0071119E">
              <w:rPr>
                <w:rFonts w:cstheme="minorHAnsi"/>
              </w:rPr>
              <w:t>180 mg</w:t>
            </w:r>
          </w:p>
        </w:tc>
        <w:tc>
          <w:tcPr>
            <w:tcW w:w="850" w:type="dxa"/>
            <w:shd w:val="clear" w:color="auto" w:fill="auto"/>
          </w:tcPr>
          <w:p w14:paraId="5F9465A8" w14:textId="132194B4" w:rsidR="007F1DE8" w:rsidRPr="0071119E" w:rsidRDefault="007F1DE8" w:rsidP="004E73BB">
            <w:pPr>
              <w:pStyle w:val="Tablewriting"/>
              <w:jc w:val="center"/>
              <w:rPr>
                <w:rFonts w:cstheme="minorHAnsi"/>
              </w:rPr>
            </w:pPr>
            <w:r w:rsidRPr="0071119E">
              <w:rPr>
                <w:rFonts w:cstheme="minorHAnsi"/>
              </w:rPr>
              <w:t>11</w:t>
            </w:r>
          </w:p>
        </w:tc>
        <w:tc>
          <w:tcPr>
            <w:tcW w:w="1163" w:type="dxa"/>
            <w:shd w:val="clear" w:color="auto" w:fill="auto"/>
          </w:tcPr>
          <w:p w14:paraId="5B0CCAC0" w14:textId="74F4D6E2" w:rsidR="007F1DE8" w:rsidRPr="0071119E" w:rsidRDefault="007F1DE8" w:rsidP="004E73BB">
            <w:pPr>
              <w:pStyle w:val="Tablewriting"/>
              <w:jc w:val="center"/>
              <w:rPr>
                <w:rFonts w:cstheme="minorHAnsi"/>
              </w:rPr>
            </w:pPr>
            <w:r w:rsidRPr="0071119E">
              <w:rPr>
                <w:rFonts w:cstheme="minorHAnsi"/>
              </w:rPr>
              <w:t>$19,012.59</w:t>
            </w:r>
          </w:p>
        </w:tc>
        <w:tc>
          <w:tcPr>
            <w:tcW w:w="1981" w:type="dxa"/>
            <w:vMerge/>
            <w:shd w:val="clear" w:color="auto" w:fill="auto"/>
          </w:tcPr>
          <w:p w14:paraId="14CB1719" w14:textId="77777777" w:rsidR="007F1DE8" w:rsidRPr="0071119E" w:rsidDel="00EE2BBB" w:rsidRDefault="007F1DE8" w:rsidP="004E73BB">
            <w:pPr>
              <w:pStyle w:val="Tablewriting"/>
              <w:rPr>
                <w:rFonts w:cstheme="minorHAnsi"/>
              </w:rPr>
            </w:pPr>
          </w:p>
        </w:tc>
      </w:tr>
      <w:tr w:rsidR="007F1DE8" w:rsidRPr="0071119E" w:rsidDel="00EE2BBB" w14:paraId="4BB44B2F" w14:textId="77777777" w:rsidTr="0071119E">
        <w:trPr>
          <w:trHeight w:val="546"/>
          <w:tblHeader/>
        </w:trPr>
        <w:tc>
          <w:tcPr>
            <w:tcW w:w="969" w:type="dxa"/>
            <w:shd w:val="clear" w:color="auto" w:fill="auto"/>
          </w:tcPr>
          <w:p w14:paraId="3F27D459" w14:textId="450ABA06" w:rsidR="007F1DE8" w:rsidRPr="0071119E" w:rsidRDefault="007F1DE8" w:rsidP="004E73BB">
            <w:pPr>
              <w:pStyle w:val="Tablewriting"/>
              <w:jc w:val="center"/>
              <w:rPr>
                <w:rFonts w:cstheme="minorHAnsi"/>
              </w:rPr>
            </w:pPr>
            <w:r w:rsidRPr="0071119E">
              <w:rPr>
                <w:rFonts w:cstheme="minorHAnsi"/>
              </w:rPr>
              <w:t>11664X</w:t>
            </w:r>
          </w:p>
        </w:tc>
        <w:tc>
          <w:tcPr>
            <w:tcW w:w="3137" w:type="dxa"/>
            <w:shd w:val="clear" w:color="auto" w:fill="auto"/>
          </w:tcPr>
          <w:p w14:paraId="760A39DD" w14:textId="2207FC4B" w:rsidR="007F1DE8" w:rsidRPr="0071119E" w:rsidRDefault="007F1DE8" w:rsidP="004E73BB">
            <w:pPr>
              <w:pStyle w:val="Tablewriting"/>
              <w:rPr>
                <w:rFonts w:cstheme="minorHAnsi"/>
                <w:color w:val="222222"/>
                <w:shd w:val="clear" w:color="auto" w:fill="FFFFFF"/>
              </w:rPr>
            </w:pPr>
            <w:r w:rsidRPr="0071119E">
              <w:rPr>
                <w:rFonts w:cstheme="minorHAnsi"/>
                <w:color w:val="222222"/>
                <w:shd w:val="clear" w:color="auto" w:fill="FFFFFF"/>
              </w:rPr>
              <w:t>brentuximab vedotin 50 mg injection, 1 vial</w:t>
            </w:r>
          </w:p>
        </w:tc>
        <w:tc>
          <w:tcPr>
            <w:tcW w:w="964" w:type="dxa"/>
            <w:shd w:val="clear" w:color="auto" w:fill="auto"/>
          </w:tcPr>
          <w:p w14:paraId="015AC3D5" w14:textId="5FFDB53A" w:rsidR="007F1DE8" w:rsidRPr="0071119E" w:rsidRDefault="007F1DE8" w:rsidP="004E73BB">
            <w:pPr>
              <w:pStyle w:val="Tablewriting"/>
              <w:jc w:val="center"/>
              <w:rPr>
                <w:rFonts w:cstheme="minorHAnsi"/>
              </w:rPr>
            </w:pPr>
            <w:r w:rsidRPr="0071119E">
              <w:rPr>
                <w:rFonts w:cstheme="minorHAnsi"/>
              </w:rPr>
              <w:t>180 mg</w:t>
            </w:r>
          </w:p>
        </w:tc>
        <w:tc>
          <w:tcPr>
            <w:tcW w:w="850" w:type="dxa"/>
            <w:shd w:val="clear" w:color="auto" w:fill="auto"/>
          </w:tcPr>
          <w:p w14:paraId="12176F44" w14:textId="0B1D7F56" w:rsidR="007F1DE8" w:rsidRPr="0071119E" w:rsidRDefault="007F1DE8" w:rsidP="004E73BB">
            <w:pPr>
              <w:pStyle w:val="Tablewriting"/>
              <w:jc w:val="center"/>
              <w:rPr>
                <w:rFonts w:cstheme="minorHAnsi"/>
              </w:rPr>
            </w:pPr>
            <w:r w:rsidRPr="0071119E">
              <w:rPr>
                <w:rFonts w:cstheme="minorHAnsi"/>
              </w:rPr>
              <w:t>11</w:t>
            </w:r>
          </w:p>
        </w:tc>
        <w:tc>
          <w:tcPr>
            <w:tcW w:w="1163" w:type="dxa"/>
            <w:shd w:val="clear" w:color="auto" w:fill="auto"/>
          </w:tcPr>
          <w:p w14:paraId="28142F9D" w14:textId="76AFA741" w:rsidR="007F1DE8" w:rsidRPr="0071119E" w:rsidRDefault="007F1DE8" w:rsidP="004E73BB">
            <w:pPr>
              <w:pStyle w:val="Tablewriting"/>
              <w:jc w:val="center"/>
              <w:rPr>
                <w:rFonts w:cstheme="minorHAnsi"/>
              </w:rPr>
            </w:pPr>
            <w:r w:rsidRPr="0071119E">
              <w:rPr>
                <w:rFonts w:cstheme="minorHAnsi"/>
              </w:rPr>
              <w:t>$18,708.62</w:t>
            </w:r>
          </w:p>
        </w:tc>
        <w:tc>
          <w:tcPr>
            <w:tcW w:w="1981" w:type="dxa"/>
            <w:vMerge/>
            <w:shd w:val="clear" w:color="auto" w:fill="auto"/>
          </w:tcPr>
          <w:p w14:paraId="297369F3" w14:textId="77777777" w:rsidR="007F1DE8" w:rsidRPr="0071119E" w:rsidDel="00EE2BBB" w:rsidRDefault="007F1DE8" w:rsidP="004E73BB">
            <w:pPr>
              <w:pStyle w:val="Tablewriting"/>
              <w:rPr>
                <w:rFonts w:cstheme="minorHAnsi"/>
              </w:rPr>
            </w:pPr>
          </w:p>
        </w:tc>
      </w:tr>
    </w:tbl>
    <w:p w14:paraId="72503366" w14:textId="38AEBED8" w:rsidR="005C225D" w:rsidRDefault="005C225D" w:rsidP="00C973B8">
      <w:pPr>
        <w:pStyle w:val="Notes"/>
        <w:spacing w:after="0"/>
      </w:pPr>
      <w:r w:rsidRPr="00A35800" w:rsidDel="00EE2BBB">
        <w:t xml:space="preserve">Source: </w:t>
      </w:r>
      <w:r w:rsidDel="00EE2BBB">
        <w:t xml:space="preserve">the </w:t>
      </w:r>
      <w:hyperlink r:id="rId10" w:history="1">
        <w:r w:rsidRPr="001624D7" w:rsidDel="00EE2BBB">
          <w:rPr>
            <w:rStyle w:val="Hyperlink"/>
          </w:rPr>
          <w:t>PBS website</w:t>
        </w:r>
      </w:hyperlink>
      <w:r w:rsidDel="00EE2BBB">
        <w:t xml:space="preserve">. </w:t>
      </w:r>
    </w:p>
    <w:p w14:paraId="294BD506" w14:textId="77777777" w:rsidR="003032E8" w:rsidRDefault="00C973B8" w:rsidP="00C973B8">
      <w:pPr>
        <w:pStyle w:val="Notes"/>
        <w:spacing w:after="0"/>
      </w:pPr>
      <w:r>
        <w:t>Note</w:t>
      </w:r>
      <w:r w:rsidR="003032E8">
        <w:t>s</w:t>
      </w:r>
      <w:r>
        <w:t xml:space="preserve">: </w:t>
      </w:r>
    </w:p>
    <w:p w14:paraId="1C23E702" w14:textId="62C769FD" w:rsidR="00F43271" w:rsidRDefault="00F43271" w:rsidP="003032E8">
      <w:pPr>
        <w:pStyle w:val="Notes"/>
        <w:numPr>
          <w:ilvl w:val="0"/>
          <w:numId w:val="11"/>
        </w:numPr>
        <w:spacing w:after="0"/>
      </w:pPr>
      <w:r>
        <w:t xml:space="preserve">No increase in the maximum quantity or number of units may be authorised. </w:t>
      </w:r>
    </w:p>
    <w:p w14:paraId="271DF755" w14:textId="4B691F60" w:rsidR="00F43271" w:rsidRDefault="00F43271" w:rsidP="003032E8">
      <w:pPr>
        <w:pStyle w:val="Notes"/>
        <w:numPr>
          <w:ilvl w:val="0"/>
          <w:numId w:val="11"/>
        </w:numPr>
        <w:spacing w:after="0"/>
      </w:pPr>
      <w:r>
        <w:t xml:space="preserve">No increase in the maximum number of repeats may be authorised. </w:t>
      </w:r>
    </w:p>
    <w:p w14:paraId="7418E7D8" w14:textId="45C470B0" w:rsidR="00C973B8" w:rsidRDefault="00C973B8" w:rsidP="003032E8">
      <w:pPr>
        <w:pStyle w:val="Notes"/>
        <w:numPr>
          <w:ilvl w:val="0"/>
          <w:numId w:val="11"/>
        </w:numPr>
        <w:spacing w:after="0"/>
      </w:pPr>
      <w:r>
        <w:t xml:space="preserve">Special Pricing Arrangements apply. </w:t>
      </w:r>
    </w:p>
    <w:p w14:paraId="0DD7C1ED" w14:textId="77777777" w:rsidR="00C973B8" w:rsidRPr="00A35800" w:rsidDel="00EE2BBB" w:rsidRDefault="00C973B8" w:rsidP="00C973B8">
      <w:pPr>
        <w:pStyle w:val="Notes"/>
        <w:spacing w:after="0"/>
      </w:pPr>
    </w:p>
    <w:p w14:paraId="1D47784A" w14:textId="3321B7B6" w:rsidR="001420B3" w:rsidRPr="001420B3" w:rsidDel="00EE2BBB" w:rsidRDefault="001420B3" w:rsidP="00CF5E22">
      <w:pPr>
        <w:pStyle w:val="Tabletitle"/>
      </w:pPr>
      <w:r w:rsidRPr="001420B3" w:rsidDel="00EE2BBB">
        <w:t xml:space="preserve">Table </w:t>
      </w:r>
      <w:r w:rsidR="000B35EA">
        <w:t>2</w:t>
      </w:r>
      <w:r w:rsidRPr="001420B3" w:rsidDel="00EE2BBB">
        <w:t xml:space="preserve">: </w:t>
      </w:r>
      <w:r w:rsidR="009663B6" w:rsidDel="00EE2BBB">
        <w:t>PB</w:t>
      </w:r>
      <w:r w:rsidR="00D151EB" w:rsidDel="00EE2BBB">
        <w:t xml:space="preserve">S listing of </w:t>
      </w:r>
      <w:r w:rsidR="00FC70BD">
        <w:t>brentuximab vedotin for</w:t>
      </w:r>
      <w:r w:rsidR="00E855B4">
        <w:t xml:space="preserve"> previously untreated CD30 positive</w:t>
      </w:r>
      <w:r w:rsidR="00FC70BD">
        <w:t xml:space="preserve"> PTCL</w:t>
      </w:r>
      <w:r w:rsidR="00D151EB" w:rsidDel="00EE2BBB">
        <w:t xml:space="preserve"> </w:t>
      </w:r>
    </w:p>
    <w:tbl>
      <w:tblPr>
        <w:tblStyle w:val="TableGrid"/>
        <w:tblW w:w="9064" w:type="dxa"/>
        <w:tblLayout w:type="fixed"/>
        <w:tblLook w:val="04A0" w:firstRow="1" w:lastRow="0" w:firstColumn="1" w:lastColumn="0" w:noHBand="0" w:noVBand="1"/>
      </w:tblPr>
      <w:tblGrid>
        <w:gridCol w:w="969"/>
        <w:gridCol w:w="3137"/>
        <w:gridCol w:w="964"/>
        <w:gridCol w:w="850"/>
        <w:gridCol w:w="1163"/>
        <w:gridCol w:w="1981"/>
      </w:tblGrid>
      <w:tr w:rsidR="0093111F" w:rsidRPr="00A35800" w:rsidDel="00EE2BBB" w14:paraId="6AA19A37" w14:textId="77B518AD" w:rsidTr="00FC70BD">
        <w:trPr>
          <w:trHeight w:val="694"/>
          <w:tblHeader/>
        </w:trPr>
        <w:tc>
          <w:tcPr>
            <w:tcW w:w="969" w:type="dxa"/>
            <w:shd w:val="clear" w:color="auto" w:fill="BFBFBF" w:themeFill="background1" w:themeFillShade="BF"/>
          </w:tcPr>
          <w:p w14:paraId="56A3DEA0" w14:textId="304E61C2" w:rsidR="0093111F" w:rsidRPr="00A35800" w:rsidDel="00EE2BBB" w:rsidRDefault="0093111F" w:rsidP="00FC70BD">
            <w:pPr>
              <w:pStyle w:val="Tableheading"/>
              <w:rPr>
                <w:sz w:val="20"/>
                <w:szCs w:val="20"/>
              </w:rPr>
            </w:pPr>
            <w:r w:rsidRPr="00A35800" w:rsidDel="00EE2BBB">
              <w:rPr>
                <w:sz w:val="20"/>
                <w:szCs w:val="20"/>
              </w:rPr>
              <w:t>Item</w:t>
            </w:r>
            <w:r w:rsidR="00FC70BD">
              <w:rPr>
                <w:sz w:val="20"/>
                <w:szCs w:val="20"/>
              </w:rPr>
              <w:t xml:space="preserve"> code</w:t>
            </w:r>
          </w:p>
        </w:tc>
        <w:tc>
          <w:tcPr>
            <w:tcW w:w="3137"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964" w:type="dxa"/>
            <w:shd w:val="clear" w:color="auto" w:fill="BFBFBF" w:themeFill="background1" w:themeFillShade="BF"/>
          </w:tcPr>
          <w:p w14:paraId="114E9799" w14:textId="4A0921BF" w:rsidR="0093111F" w:rsidRPr="00A35800" w:rsidDel="00EE2BBB" w:rsidRDefault="0093111F" w:rsidP="00FC70BD">
            <w:pPr>
              <w:pStyle w:val="Tableheading"/>
              <w:rPr>
                <w:sz w:val="20"/>
                <w:szCs w:val="20"/>
              </w:rPr>
            </w:pPr>
            <w:r w:rsidRPr="00A35800" w:rsidDel="00EE2BBB">
              <w:rPr>
                <w:sz w:val="20"/>
                <w:szCs w:val="20"/>
              </w:rPr>
              <w:t>Max</w:t>
            </w:r>
            <w:r w:rsidR="00A13C60" w:rsidRPr="00A35800" w:rsidDel="00EE2BBB">
              <w:rPr>
                <w:sz w:val="20"/>
                <w:szCs w:val="20"/>
              </w:rPr>
              <w:t xml:space="preserve">. </w:t>
            </w:r>
            <w:r w:rsidR="00E9012C">
              <w:rPr>
                <w:sz w:val="20"/>
                <w:szCs w:val="20"/>
              </w:rPr>
              <w:t>amt</w:t>
            </w:r>
            <w:r w:rsidRPr="00A35800" w:rsidDel="00EE2BBB">
              <w:rPr>
                <w:sz w:val="20"/>
                <w:szCs w:val="20"/>
              </w:rPr>
              <w:t>.</w:t>
            </w:r>
          </w:p>
        </w:tc>
        <w:tc>
          <w:tcPr>
            <w:tcW w:w="850" w:type="dxa"/>
            <w:shd w:val="clear" w:color="auto" w:fill="BFBFBF" w:themeFill="background1" w:themeFillShade="BF"/>
          </w:tcPr>
          <w:p w14:paraId="0F1A79F7" w14:textId="7C591FF7" w:rsidR="0093111F" w:rsidRPr="00A35800" w:rsidDel="00EE2BBB" w:rsidRDefault="0093111F" w:rsidP="00FC70BD">
            <w:pPr>
              <w:pStyle w:val="Tableheading"/>
              <w:rPr>
                <w:sz w:val="20"/>
                <w:szCs w:val="20"/>
              </w:rPr>
            </w:pPr>
            <w:r w:rsidRPr="00A35800" w:rsidDel="00EE2BBB">
              <w:rPr>
                <w:sz w:val="20"/>
                <w:szCs w:val="20"/>
              </w:rPr>
              <w:t>Rpts</w:t>
            </w:r>
          </w:p>
        </w:tc>
        <w:tc>
          <w:tcPr>
            <w:tcW w:w="1163" w:type="dxa"/>
            <w:shd w:val="clear" w:color="auto" w:fill="BFBFBF" w:themeFill="background1" w:themeFillShade="BF"/>
          </w:tcPr>
          <w:p w14:paraId="05C5A0BF" w14:textId="214E2A9A" w:rsidR="0093111F" w:rsidRPr="00A35800" w:rsidDel="00EE2BBB" w:rsidRDefault="0093111F" w:rsidP="00FC70BD">
            <w:pPr>
              <w:pStyle w:val="Tableheading"/>
              <w:rPr>
                <w:sz w:val="20"/>
                <w:szCs w:val="20"/>
              </w:rPr>
            </w:pPr>
            <w:r w:rsidRPr="00A35800" w:rsidDel="00EE2BBB">
              <w:rPr>
                <w:sz w:val="20"/>
                <w:szCs w:val="20"/>
              </w:rPr>
              <w:t>DPM</w:t>
            </w:r>
            <w:r w:rsidR="00FC70BD">
              <w:rPr>
                <w:sz w:val="20"/>
                <w:szCs w:val="20"/>
              </w:rPr>
              <w:t>A</w:t>
            </w:r>
          </w:p>
        </w:tc>
        <w:tc>
          <w:tcPr>
            <w:tcW w:w="1981"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7F1DE8" w:rsidRPr="00A35800" w:rsidDel="00EE2BBB" w14:paraId="2AF9D84B" w14:textId="0D323411" w:rsidTr="00FC70BD">
        <w:trPr>
          <w:trHeight w:val="552"/>
          <w:tblHeader/>
        </w:trPr>
        <w:tc>
          <w:tcPr>
            <w:tcW w:w="969" w:type="dxa"/>
            <w:shd w:val="clear" w:color="auto" w:fill="auto"/>
          </w:tcPr>
          <w:p w14:paraId="0A3E3442" w14:textId="6517DD16" w:rsidR="007F1DE8" w:rsidRPr="00A35800" w:rsidDel="00EE2BBB" w:rsidRDefault="007F1DE8" w:rsidP="00DF0E57">
            <w:pPr>
              <w:pStyle w:val="Tablewriting"/>
              <w:jc w:val="center"/>
            </w:pPr>
            <w:r>
              <w:t>12656D</w:t>
            </w:r>
          </w:p>
        </w:tc>
        <w:tc>
          <w:tcPr>
            <w:tcW w:w="3137" w:type="dxa"/>
            <w:shd w:val="clear" w:color="auto" w:fill="auto"/>
          </w:tcPr>
          <w:p w14:paraId="0F676F51" w14:textId="3BA4AF43" w:rsidR="007F1DE8" w:rsidRPr="00A35800" w:rsidDel="00EE2BBB" w:rsidRDefault="007F1DE8" w:rsidP="00DF0E57">
            <w:pPr>
              <w:pStyle w:val="Tablewriting"/>
            </w:pPr>
            <w:r w:rsidRPr="0071119E">
              <w:rPr>
                <w:rFonts w:cstheme="minorHAnsi"/>
                <w:color w:val="222222"/>
                <w:shd w:val="clear" w:color="auto" w:fill="FFFFFF"/>
              </w:rPr>
              <w:t>brentuximab vedotin 50 mg injection, 1 vial</w:t>
            </w:r>
          </w:p>
        </w:tc>
        <w:tc>
          <w:tcPr>
            <w:tcW w:w="964" w:type="dxa"/>
            <w:shd w:val="clear" w:color="auto" w:fill="auto"/>
          </w:tcPr>
          <w:p w14:paraId="0E2637C4" w14:textId="5B608728" w:rsidR="007F1DE8" w:rsidRPr="00A35800" w:rsidDel="00EE2BBB" w:rsidRDefault="007F1DE8" w:rsidP="00DF0E57">
            <w:pPr>
              <w:pStyle w:val="Tablewriting"/>
              <w:jc w:val="center"/>
            </w:pPr>
            <w:r>
              <w:t>200 mg</w:t>
            </w:r>
          </w:p>
        </w:tc>
        <w:tc>
          <w:tcPr>
            <w:tcW w:w="850" w:type="dxa"/>
            <w:shd w:val="clear" w:color="auto" w:fill="auto"/>
          </w:tcPr>
          <w:p w14:paraId="6B361CAA" w14:textId="20E9FFE1" w:rsidR="007F1DE8" w:rsidRPr="00A35800" w:rsidDel="00EE2BBB" w:rsidRDefault="007F1DE8" w:rsidP="00DF0E57">
            <w:pPr>
              <w:pStyle w:val="Tablewriting"/>
              <w:jc w:val="center"/>
            </w:pPr>
            <w:r>
              <w:t>5</w:t>
            </w:r>
          </w:p>
        </w:tc>
        <w:tc>
          <w:tcPr>
            <w:tcW w:w="1163" w:type="dxa"/>
            <w:shd w:val="clear" w:color="auto" w:fill="auto"/>
          </w:tcPr>
          <w:p w14:paraId="15F68405" w14:textId="11ADEF34" w:rsidR="007F1DE8" w:rsidRPr="00A35800" w:rsidDel="00EE2BBB" w:rsidRDefault="007F1DE8" w:rsidP="00DF0E57">
            <w:pPr>
              <w:pStyle w:val="Tablewriting"/>
              <w:jc w:val="center"/>
            </w:pPr>
            <w:r w:rsidRPr="0071119E">
              <w:rPr>
                <w:rFonts w:cstheme="minorHAnsi"/>
              </w:rPr>
              <w:t>$19,012.59</w:t>
            </w:r>
          </w:p>
        </w:tc>
        <w:tc>
          <w:tcPr>
            <w:tcW w:w="1981" w:type="dxa"/>
            <w:vMerge w:val="restart"/>
            <w:shd w:val="clear" w:color="auto" w:fill="auto"/>
          </w:tcPr>
          <w:p w14:paraId="3A8B5079" w14:textId="77777777" w:rsidR="007F1DE8" w:rsidRDefault="007F1DE8" w:rsidP="00DF0E57">
            <w:pPr>
              <w:pStyle w:val="Tablewriting"/>
              <w:rPr>
                <w:rFonts w:cstheme="minorHAnsi"/>
              </w:rPr>
            </w:pPr>
            <w:r w:rsidRPr="0071119E">
              <w:rPr>
                <w:rFonts w:cstheme="minorHAnsi"/>
              </w:rPr>
              <w:t>Adcetris®</w:t>
            </w:r>
          </w:p>
          <w:p w14:paraId="2D337AC6" w14:textId="0D9B1158" w:rsidR="007F1DE8" w:rsidRPr="00A35800" w:rsidDel="00EE2BBB" w:rsidRDefault="007F1DE8" w:rsidP="00DF0E57">
            <w:pPr>
              <w:pStyle w:val="Tablewriting"/>
            </w:pPr>
            <w:r>
              <w:rPr>
                <w:rFonts w:cstheme="minorHAnsi"/>
              </w:rPr>
              <w:t xml:space="preserve">Takeda Pharmaceuticals Australia Pty. Ltd. </w:t>
            </w:r>
          </w:p>
        </w:tc>
      </w:tr>
      <w:tr w:rsidR="007F1DE8" w:rsidRPr="00A35800" w:rsidDel="00EE2BBB" w14:paraId="108E0B53" w14:textId="77777777" w:rsidTr="00FC70BD">
        <w:trPr>
          <w:trHeight w:val="546"/>
          <w:tblHeader/>
        </w:trPr>
        <w:tc>
          <w:tcPr>
            <w:tcW w:w="969" w:type="dxa"/>
            <w:shd w:val="clear" w:color="auto" w:fill="auto"/>
          </w:tcPr>
          <w:p w14:paraId="11E1ECE6" w14:textId="40C2C07A" w:rsidR="007F1DE8" w:rsidRDefault="007F1DE8" w:rsidP="00DF0E57">
            <w:pPr>
              <w:pStyle w:val="Tablewriting"/>
              <w:jc w:val="center"/>
            </w:pPr>
            <w:r>
              <w:t>12646N</w:t>
            </w:r>
          </w:p>
        </w:tc>
        <w:tc>
          <w:tcPr>
            <w:tcW w:w="3137" w:type="dxa"/>
            <w:shd w:val="clear" w:color="auto" w:fill="auto"/>
          </w:tcPr>
          <w:p w14:paraId="2349F80B" w14:textId="0A5EEB01" w:rsidR="007F1DE8" w:rsidRPr="0071119E" w:rsidRDefault="007F1DE8" w:rsidP="00DF0E57">
            <w:pPr>
              <w:pStyle w:val="Tablewriting"/>
              <w:rPr>
                <w:rFonts w:cstheme="minorHAnsi"/>
                <w:color w:val="222222"/>
                <w:shd w:val="clear" w:color="auto" w:fill="FFFFFF"/>
              </w:rPr>
            </w:pPr>
            <w:r w:rsidRPr="0071119E">
              <w:rPr>
                <w:rFonts w:cstheme="minorHAnsi"/>
                <w:color w:val="222222"/>
                <w:shd w:val="clear" w:color="auto" w:fill="FFFFFF"/>
              </w:rPr>
              <w:t>brentuximab vedotin 50 mg injection, 1 vial</w:t>
            </w:r>
          </w:p>
        </w:tc>
        <w:tc>
          <w:tcPr>
            <w:tcW w:w="964" w:type="dxa"/>
            <w:shd w:val="clear" w:color="auto" w:fill="auto"/>
          </w:tcPr>
          <w:p w14:paraId="67BD7238" w14:textId="766A414E" w:rsidR="007F1DE8" w:rsidRDefault="007F1DE8" w:rsidP="00DF0E57">
            <w:pPr>
              <w:pStyle w:val="Tablewriting"/>
              <w:jc w:val="center"/>
            </w:pPr>
            <w:r>
              <w:t>200 mg</w:t>
            </w:r>
          </w:p>
        </w:tc>
        <w:tc>
          <w:tcPr>
            <w:tcW w:w="850" w:type="dxa"/>
            <w:shd w:val="clear" w:color="auto" w:fill="auto"/>
          </w:tcPr>
          <w:p w14:paraId="69D3BF55" w14:textId="65583329" w:rsidR="007F1DE8" w:rsidRDefault="007F1DE8" w:rsidP="00DF0E57">
            <w:pPr>
              <w:pStyle w:val="Tablewriting"/>
              <w:jc w:val="center"/>
            </w:pPr>
            <w:r>
              <w:t>5</w:t>
            </w:r>
          </w:p>
        </w:tc>
        <w:tc>
          <w:tcPr>
            <w:tcW w:w="1163" w:type="dxa"/>
            <w:shd w:val="clear" w:color="auto" w:fill="auto"/>
          </w:tcPr>
          <w:p w14:paraId="7B601CC8" w14:textId="03AFA668" w:rsidR="007F1DE8" w:rsidRPr="0071119E" w:rsidRDefault="007F1DE8" w:rsidP="00DF0E57">
            <w:pPr>
              <w:pStyle w:val="Tablewriting"/>
              <w:jc w:val="center"/>
              <w:rPr>
                <w:rFonts w:cstheme="minorHAnsi"/>
              </w:rPr>
            </w:pPr>
            <w:r w:rsidRPr="0071119E">
              <w:rPr>
                <w:rFonts w:cstheme="minorHAnsi"/>
              </w:rPr>
              <w:t>$18,708.62</w:t>
            </w:r>
          </w:p>
        </w:tc>
        <w:tc>
          <w:tcPr>
            <w:tcW w:w="1981" w:type="dxa"/>
            <w:vMerge/>
            <w:shd w:val="clear" w:color="auto" w:fill="auto"/>
          </w:tcPr>
          <w:p w14:paraId="313D1CFE" w14:textId="77777777" w:rsidR="007F1DE8" w:rsidRPr="00A35800" w:rsidDel="00EE2BBB" w:rsidRDefault="007F1DE8" w:rsidP="00DF0E57">
            <w:pPr>
              <w:pStyle w:val="Tablewriting"/>
            </w:pPr>
          </w:p>
        </w:tc>
      </w:tr>
      <w:tr w:rsidR="007F1DE8" w:rsidRPr="00A35800" w:rsidDel="00EE2BBB" w14:paraId="5A26F6DA" w14:textId="5F9D4936" w:rsidTr="00FC70BD">
        <w:trPr>
          <w:trHeight w:val="546"/>
          <w:tblHeader/>
        </w:trPr>
        <w:tc>
          <w:tcPr>
            <w:tcW w:w="969" w:type="dxa"/>
            <w:shd w:val="clear" w:color="auto" w:fill="auto"/>
          </w:tcPr>
          <w:p w14:paraId="76F26606" w14:textId="5CF1C3B7" w:rsidR="007F1DE8" w:rsidRPr="00A35800" w:rsidDel="00EE2BBB" w:rsidRDefault="007F1DE8" w:rsidP="00DF0E57">
            <w:pPr>
              <w:pStyle w:val="Tablewriting"/>
              <w:jc w:val="center"/>
            </w:pPr>
            <w:r>
              <w:t>12632W</w:t>
            </w:r>
          </w:p>
        </w:tc>
        <w:tc>
          <w:tcPr>
            <w:tcW w:w="3137" w:type="dxa"/>
            <w:shd w:val="clear" w:color="auto" w:fill="auto"/>
          </w:tcPr>
          <w:p w14:paraId="4C40F7E7" w14:textId="3B6F4166" w:rsidR="007F1DE8" w:rsidRPr="00A35800" w:rsidDel="00EE2BBB" w:rsidRDefault="007F1DE8" w:rsidP="00DF0E57">
            <w:pPr>
              <w:pStyle w:val="Tablewriting"/>
            </w:pPr>
            <w:r w:rsidRPr="0071119E">
              <w:rPr>
                <w:rFonts w:cstheme="minorHAnsi"/>
                <w:color w:val="222222"/>
                <w:shd w:val="clear" w:color="auto" w:fill="FFFFFF"/>
              </w:rPr>
              <w:t>brentuximab vedotin 50 mg injection, 1 vial</w:t>
            </w:r>
          </w:p>
        </w:tc>
        <w:tc>
          <w:tcPr>
            <w:tcW w:w="964" w:type="dxa"/>
            <w:shd w:val="clear" w:color="auto" w:fill="auto"/>
          </w:tcPr>
          <w:p w14:paraId="73733F58" w14:textId="212E0384" w:rsidR="007F1DE8" w:rsidRPr="00A35800" w:rsidDel="00EE2BBB" w:rsidRDefault="007F1DE8" w:rsidP="00DF0E57">
            <w:pPr>
              <w:pStyle w:val="Tablewriting"/>
              <w:jc w:val="center"/>
            </w:pPr>
            <w:r>
              <w:t>200 mg</w:t>
            </w:r>
          </w:p>
        </w:tc>
        <w:tc>
          <w:tcPr>
            <w:tcW w:w="850" w:type="dxa"/>
            <w:shd w:val="clear" w:color="auto" w:fill="auto"/>
          </w:tcPr>
          <w:p w14:paraId="2751F86C" w14:textId="235CDFBF" w:rsidR="007F1DE8" w:rsidRPr="00A35800" w:rsidDel="00EE2BBB" w:rsidRDefault="007F1DE8" w:rsidP="00DF0E57">
            <w:pPr>
              <w:pStyle w:val="Tablewriting"/>
              <w:jc w:val="center"/>
            </w:pPr>
            <w:r>
              <w:t>1</w:t>
            </w:r>
          </w:p>
        </w:tc>
        <w:tc>
          <w:tcPr>
            <w:tcW w:w="1163" w:type="dxa"/>
            <w:shd w:val="clear" w:color="auto" w:fill="auto"/>
          </w:tcPr>
          <w:p w14:paraId="0EB41EFB" w14:textId="106CC59E" w:rsidR="007F1DE8" w:rsidRPr="00A35800" w:rsidDel="00EE2BBB" w:rsidRDefault="007F1DE8" w:rsidP="00DF0E57">
            <w:pPr>
              <w:pStyle w:val="Tablewriting"/>
              <w:jc w:val="center"/>
            </w:pPr>
            <w:r w:rsidRPr="0071119E">
              <w:rPr>
                <w:rFonts w:cstheme="minorHAnsi"/>
              </w:rPr>
              <w:t>$19,012.59</w:t>
            </w:r>
          </w:p>
        </w:tc>
        <w:tc>
          <w:tcPr>
            <w:tcW w:w="1981" w:type="dxa"/>
            <w:vMerge/>
            <w:shd w:val="clear" w:color="auto" w:fill="auto"/>
          </w:tcPr>
          <w:p w14:paraId="2F152B32" w14:textId="53903DBC" w:rsidR="007F1DE8" w:rsidRPr="00A35800" w:rsidDel="00EE2BBB" w:rsidRDefault="007F1DE8" w:rsidP="00DF0E57">
            <w:pPr>
              <w:pStyle w:val="Tablewriting"/>
            </w:pPr>
          </w:p>
        </w:tc>
      </w:tr>
      <w:tr w:rsidR="007F1DE8" w:rsidRPr="00A35800" w:rsidDel="00EE2BBB" w14:paraId="6C7BAB5B" w14:textId="77777777" w:rsidTr="00FC70BD">
        <w:trPr>
          <w:trHeight w:val="546"/>
          <w:tblHeader/>
        </w:trPr>
        <w:tc>
          <w:tcPr>
            <w:tcW w:w="969" w:type="dxa"/>
            <w:shd w:val="clear" w:color="auto" w:fill="auto"/>
          </w:tcPr>
          <w:p w14:paraId="626ED078" w14:textId="0806E938" w:rsidR="007F1DE8" w:rsidRDefault="007F1DE8" w:rsidP="00DF0E57">
            <w:pPr>
              <w:pStyle w:val="Tablewriting"/>
              <w:jc w:val="center"/>
            </w:pPr>
            <w:r>
              <w:t>12657E</w:t>
            </w:r>
          </w:p>
        </w:tc>
        <w:tc>
          <w:tcPr>
            <w:tcW w:w="3137" w:type="dxa"/>
            <w:shd w:val="clear" w:color="auto" w:fill="auto"/>
          </w:tcPr>
          <w:p w14:paraId="5040850D" w14:textId="751C8767" w:rsidR="007F1DE8" w:rsidRPr="0071119E" w:rsidRDefault="007F1DE8" w:rsidP="00DF0E57">
            <w:pPr>
              <w:pStyle w:val="Tablewriting"/>
              <w:rPr>
                <w:rFonts w:cstheme="minorHAnsi"/>
                <w:color w:val="222222"/>
                <w:shd w:val="clear" w:color="auto" w:fill="FFFFFF"/>
              </w:rPr>
            </w:pPr>
            <w:r w:rsidRPr="0071119E">
              <w:rPr>
                <w:rFonts w:cstheme="minorHAnsi"/>
                <w:color w:val="222222"/>
                <w:shd w:val="clear" w:color="auto" w:fill="FFFFFF"/>
              </w:rPr>
              <w:t>brentuximab vedotin 50 mg injection, 1 vial</w:t>
            </w:r>
          </w:p>
        </w:tc>
        <w:tc>
          <w:tcPr>
            <w:tcW w:w="964" w:type="dxa"/>
            <w:shd w:val="clear" w:color="auto" w:fill="auto"/>
          </w:tcPr>
          <w:p w14:paraId="563D2E6B" w14:textId="7D49ADB3" w:rsidR="007F1DE8" w:rsidRDefault="007F1DE8" w:rsidP="00DF0E57">
            <w:pPr>
              <w:pStyle w:val="Tablewriting"/>
              <w:jc w:val="center"/>
            </w:pPr>
            <w:r>
              <w:t>200 mg</w:t>
            </w:r>
          </w:p>
        </w:tc>
        <w:tc>
          <w:tcPr>
            <w:tcW w:w="850" w:type="dxa"/>
            <w:shd w:val="clear" w:color="auto" w:fill="auto"/>
          </w:tcPr>
          <w:p w14:paraId="042AB1E4" w14:textId="62BC9D9A" w:rsidR="007F1DE8" w:rsidRDefault="007F1DE8" w:rsidP="00DF0E57">
            <w:pPr>
              <w:pStyle w:val="Tablewriting"/>
              <w:jc w:val="center"/>
            </w:pPr>
            <w:r>
              <w:t>1</w:t>
            </w:r>
          </w:p>
        </w:tc>
        <w:tc>
          <w:tcPr>
            <w:tcW w:w="1163" w:type="dxa"/>
            <w:shd w:val="clear" w:color="auto" w:fill="auto"/>
          </w:tcPr>
          <w:p w14:paraId="74F72455" w14:textId="287059C3" w:rsidR="007F1DE8" w:rsidRPr="0071119E" w:rsidRDefault="007F1DE8" w:rsidP="00DF0E57">
            <w:pPr>
              <w:pStyle w:val="Tablewriting"/>
              <w:jc w:val="center"/>
              <w:rPr>
                <w:rFonts w:cstheme="minorHAnsi"/>
              </w:rPr>
            </w:pPr>
            <w:r w:rsidRPr="0071119E">
              <w:rPr>
                <w:rFonts w:cstheme="minorHAnsi"/>
              </w:rPr>
              <w:t>$18,708.62</w:t>
            </w:r>
          </w:p>
        </w:tc>
        <w:tc>
          <w:tcPr>
            <w:tcW w:w="1981" w:type="dxa"/>
            <w:vMerge/>
            <w:shd w:val="clear" w:color="auto" w:fill="auto"/>
          </w:tcPr>
          <w:p w14:paraId="4839CD09" w14:textId="77777777" w:rsidR="007F1DE8" w:rsidRPr="00A35800" w:rsidDel="00EE2BBB" w:rsidRDefault="007F1DE8" w:rsidP="00DF0E57">
            <w:pPr>
              <w:pStyle w:val="Tablewriting"/>
            </w:pPr>
          </w:p>
        </w:tc>
      </w:tr>
    </w:tbl>
    <w:p w14:paraId="1183F151" w14:textId="310A808A" w:rsidR="007247B9" w:rsidRDefault="007408C7" w:rsidP="00C973B8">
      <w:pPr>
        <w:pStyle w:val="Notes"/>
        <w:spacing w:after="0"/>
      </w:pPr>
      <w:r w:rsidRPr="00A35800" w:rsidDel="00EE2BBB">
        <w:t xml:space="preserve">Source: </w:t>
      </w:r>
      <w:r w:rsidR="001624D7" w:rsidDel="00EE2BBB">
        <w:t xml:space="preserve">the </w:t>
      </w:r>
      <w:hyperlink r:id="rId11" w:history="1">
        <w:r w:rsidR="001624D7" w:rsidRPr="001624D7" w:rsidDel="00EE2BBB">
          <w:rPr>
            <w:rStyle w:val="Hyperlink"/>
          </w:rPr>
          <w:t>PBS website</w:t>
        </w:r>
      </w:hyperlink>
      <w:r w:rsidR="001624D7" w:rsidDel="00EE2BBB">
        <w:t>.</w:t>
      </w:r>
      <w:r w:rsidR="0080485E" w:rsidDel="00EE2BBB">
        <w:t xml:space="preserve">  </w:t>
      </w:r>
    </w:p>
    <w:p w14:paraId="38BCC22A" w14:textId="77777777" w:rsidR="00954139" w:rsidRDefault="00C973B8" w:rsidP="00C973B8">
      <w:pPr>
        <w:pStyle w:val="Notes"/>
        <w:spacing w:after="0"/>
      </w:pPr>
      <w:r>
        <w:t>Note</w:t>
      </w:r>
      <w:r w:rsidR="00DF0E57">
        <w:t>s</w:t>
      </w:r>
      <w:r>
        <w:t xml:space="preserve">: </w:t>
      </w:r>
    </w:p>
    <w:p w14:paraId="132BCE98" w14:textId="0B14F411" w:rsidR="00954139" w:rsidRDefault="00954139" w:rsidP="00954139">
      <w:pPr>
        <w:pStyle w:val="Notes"/>
        <w:numPr>
          <w:ilvl w:val="0"/>
          <w:numId w:val="13"/>
        </w:numPr>
        <w:spacing w:after="0"/>
      </w:pPr>
      <w:r>
        <w:t>No increase in the maximum</w:t>
      </w:r>
      <w:r w:rsidR="0082723C">
        <w:t xml:space="preserve"> </w:t>
      </w:r>
      <w:r w:rsidR="00E214F9">
        <w:t>quantity</w:t>
      </w:r>
      <w:r w:rsidR="0082723C">
        <w:t xml:space="preserve"> or number of units may be authorised. </w:t>
      </w:r>
    </w:p>
    <w:p w14:paraId="733BCFF4" w14:textId="0142E7AA" w:rsidR="0082723C" w:rsidRDefault="0082723C" w:rsidP="0082723C">
      <w:pPr>
        <w:pStyle w:val="Notes"/>
        <w:numPr>
          <w:ilvl w:val="0"/>
          <w:numId w:val="13"/>
        </w:numPr>
        <w:spacing w:after="0"/>
      </w:pPr>
      <w:r>
        <w:t>No increase in the maximum number of repeats may be authorised.</w:t>
      </w:r>
    </w:p>
    <w:p w14:paraId="62B89A63" w14:textId="1AD9089A" w:rsidR="007B6758" w:rsidRDefault="00C973B8" w:rsidP="00954139">
      <w:pPr>
        <w:pStyle w:val="Notes"/>
        <w:numPr>
          <w:ilvl w:val="0"/>
          <w:numId w:val="13"/>
        </w:numPr>
        <w:spacing w:after="0"/>
      </w:pPr>
      <w:r>
        <w:t xml:space="preserve">Special Pricing Arrangements apply. </w:t>
      </w:r>
    </w:p>
    <w:p w14:paraId="33EE7EB0" w14:textId="69A8B077" w:rsidR="00DE360F" w:rsidRDefault="00D01734" w:rsidP="00DE360F">
      <w:pPr>
        <w:pStyle w:val="Notes"/>
        <w:numPr>
          <w:ilvl w:val="0"/>
          <w:numId w:val="13"/>
        </w:numPr>
        <w:spacing w:after="0"/>
      </w:pPr>
      <w:r>
        <w:t xml:space="preserve">This product is not PBS-subsidised for the treatment of previously untreated CD30 positive cutaneous T-cell lymphoma. </w:t>
      </w:r>
    </w:p>
    <w:p w14:paraId="0102DBF1" w14:textId="77777777" w:rsidR="00E41190" w:rsidRDefault="00E41190" w:rsidP="00E41190">
      <w:pPr>
        <w:pStyle w:val="Notes"/>
        <w:spacing w:after="0"/>
      </w:pPr>
    </w:p>
    <w:p w14:paraId="12E96EDC" w14:textId="77777777" w:rsidR="00E41190" w:rsidRDefault="00E41190" w:rsidP="00E41190">
      <w:pPr>
        <w:pStyle w:val="Notes"/>
        <w:spacing w:after="0"/>
      </w:pPr>
    </w:p>
    <w:p w14:paraId="2B761292" w14:textId="77777777" w:rsidR="00BD7972" w:rsidRDefault="00BD7972" w:rsidP="00E41190">
      <w:pPr>
        <w:pStyle w:val="Notes"/>
        <w:spacing w:after="0"/>
      </w:pPr>
    </w:p>
    <w:p w14:paraId="5255D7BC" w14:textId="77777777" w:rsidR="00BD7972" w:rsidRDefault="00BD7972" w:rsidP="00E41190">
      <w:pPr>
        <w:pStyle w:val="Notes"/>
        <w:spacing w:after="0"/>
      </w:pPr>
    </w:p>
    <w:p w14:paraId="0081F06C" w14:textId="77777777" w:rsidR="00BD7972" w:rsidRDefault="00BD7972" w:rsidP="00E41190">
      <w:pPr>
        <w:pStyle w:val="Notes"/>
        <w:spacing w:after="0"/>
      </w:pPr>
    </w:p>
    <w:p w14:paraId="21FA66B5" w14:textId="77777777" w:rsidR="00BD7972" w:rsidRDefault="00BD7972" w:rsidP="00E41190">
      <w:pPr>
        <w:pStyle w:val="Notes"/>
        <w:spacing w:after="0"/>
      </w:pPr>
    </w:p>
    <w:p w14:paraId="08E81D9A" w14:textId="77777777" w:rsidR="00BD7972" w:rsidRDefault="00BD7972" w:rsidP="00E41190">
      <w:pPr>
        <w:pStyle w:val="Notes"/>
        <w:spacing w:after="0"/>
      </w:pPr>
    </w:p>
    <w:p w14:paraId="4610182D" w14:textId="77777777" w:rsidR="00BD7972" w:rsidRPr="00A35800" w:rsidDel="00EE2BBB" w:rsidRDefault="00BD7972" w:rsidP="00E41190">
      <w:pPr>
        <w:pStyle w:val="Notes"/>
        <w:spacing w:after="0"/>
      </w:pPr>
    </w:p>
    <w:p w14:paraId="0A35FD49" w14:textId="64C238A2" w:rsidR="007B6758" w:rsidRDefault="004C3186" w:rsidP="007B6758">
      <w:pPr>
        <w:pStyle w:val="Heading3"/>
      </w:pPr>
      <w:r w:rsidDel="00EE2BBB">
        <w:lastRenderedPageBreak/>
        <w:t>Restriction</w:t>
      </w:r>
      <w:r w:rsidR="00132A59">
        <w:t xml:space="preserve"> (</w:t>
      </w:r>
      <w:r w:rsidR="000B35EA">
        <w:t>a</w:t>
      </w:r>
      <w:r w:rsidR="00132A59">
        <w:t>bridged)</w:t>
      </w:r>
    </w:p>
    <w:p w14:paraId="54C2289E" w14:textId="698A54B6" w:rsidR="0076659F" w:rsidRPr="00A96088" w:rsidRDefault="0076659F" w:rsidP="0076659F">
      <w:pPr>
        <w:pStyle w:val="Tabletitle"/>
      </w:pPr>
      <w:r>
        <w:t>Table 3: Abbreviated PBS clinical restriction criteria for</w:t>
      </w:r>
      <w:r w:rsidR="00564DFE">
        <w:t xml:space="preserve"> CD30 positive</w:t>
      </w:r>
      <w:r>
        <w:t xml:space="preserve"> CTCL and PTCL</w:t>
      </w:r>
    </w:p>
    <w:tbl>
      <w:tblPr>
        <w:tblStyle w:val="TableGrid"/>
        <w:tblW w:w="0" w:type="auto"/>
        <w:tblLook w:val="04A0" w:firstRow="1" w:lastRow="0" w:firstColumn="1" w:lastColumn="0" w:noHBand="0" w:noVBand="1"/>
      </w:tblPr>
      <w:tblGrid>
        <w:gridCol w:w="1558"/>
        <w:gridCol w:w="7389"/>
      </w:tblGrid>
      <w:tr w:rsidR="00A6388A" w:rsidRPr="00021BBF" w14:paraId="759F6777" w14:textId="77777777" w:rsidTr="0038097C">
        <w:trPr>
          <w:cantSplit/>
          <w:tblHeader/>
        </w:trPr>
        <w:tc>
          <w:tcPr>
            <w:tcW w:w="0" w:type="auto"/>
            <w:shd w:val="clear" w:color="auto" w:fill="BFBFBF" w:themeFill="background1" w:themeFillShade="BF"/>
          </w:tcPr>
          <w:p w14:paraId="379D2352" w14:textId="77777777" w:rsidR="0076659F" w:rsidRPr="00021BBF" w:rsidRDefault="0076659F" w:rsidP="0038097C">
            <w:pPr>
              <w:spacing w:before="60" w:after="60"/>
              <w:rPr>
                <w:rFonts w:cstheme="minorHAnsi"/>
                <w:b/>
                <w:sz w:val="20"/>
                <w:szCs w:val="20"/>
              </w:rPr>
            </w:pPr>
            <w:r w:rsidRPr="00021BBF">
              <w:rPr>
                <w:rFonts w:cstheme="minorHAnsi"/>
                <w:b/>
                <w:sz w:val="20"/>
                <w:szCs w:val="20"/>
              </w:rPr>
              <w:t xml:space="preserve">Indication </w:t>
            </w:r>
          </w:p>
        </w:tc>
        <w:tc>
          <w:tcPr>
            <w:tcW w:w="0" w:type="auto"/>
            <w:shd w:val="clear" w:color="auto" w:fill="BFBFBF" w:themeFill="background1" w:themeFillShade="BF"/>
          </w:tcPr>
          <w:p w14:paraId="2260C62D" w14:textId="77777777" w:rsidR="0076659F" w:rsidRPr="00021BBF" w:rsidRDefault="0076659F" w:rsidP="0038097C">
            <w:pPr>
              <w:spacing w:before="60" w:after="60"/>
              <w:rPr>
                <w:rFonts w:cstheme="minorHAnsi"/>
                <w:b/>
                <w:sz w:val="20"/>
                <w:szCs w:val="20"/>
              </w:rPr>
            </w:pPr>
            <w:r w:rsidRPr="00021BBF">
              <w:rPr>
                <w:rFonts w:cstheme="minorHAnsi"/>
                <w:b/>
                <w:sz w:val="20"/>
                <w:szCs w:val="20"/>
              </w:rPr>
              <w:t>Abbreviated PBS clinical criteria</w:t>
            </w:r>
          </w:p>
        </w:tc>
      </w:tr>
      <w:tr w:rsidR="0076659F" w:rsidRPr="00021BBF" w14:paraId="629B6C26" w14:textId="77777777" w:rsidTr="0038097C">
        <w:tc>
          <w:tcPr>
            <w:tcW w:w="0" w:type="auto"/>
          </w:tcPr>
          <w:p w14:paraId="7F512621" w14:textId="002342D4" w:rsidR="0076659F" w:rsidRPr="00021BBF" w:rsidRDefault="00564DFE" w:rsidP="0038097C">
            <w:pPr>
              <w:spacing w:before="60" w:after="60"/>
              <w:rPr>
                <w:rFonts w:cstheme="minorHAnsi"/>
                <w:iCs/>
                <w:sz w:val="20"/>
                <w:szCs w:val="20"/>
              </w:rPr>
            </w:pPr>
            <w:r>
              <w:rPr>
                <w:rFonts w:cstheme="minorHAnsi"/>
                <w:iCs/>
                <w:sz w:val="20"/>
                <w:szCs w:val="20"/>
              </w:rPr>
              <w:t xml:space="preserve">CD30 positive </w:t>
            </w:r>
            <w:r w:rsidR="0076659F" w:rsidRPr="00021BBF">
              <w:rPr>
                <w:rFonts w:cstheme="minorHAnsi"/>
                <w:iCs/>
                <w:sz w:val="20"/>
                <w:szCs w:val="20"/>
              </w:rPr>
              <w:t>CTCL</w:t>
            </w:r>
          </w:p>
        </w:tc>
        <w:tc>
          <w:tcPr>
            <w:tcW w:w="0" w:type="auto"/>
          </w:tcPr>
          <w:p w14:paraId="6730C163" w14:textId="77777777" w:rsidR="0076659F" w:rsidRPr="00A6388A" w:rsidRDefault="0076659F" w:rsidP="0038097C">
            <w:pPr>
              <w:spacing w:before="60" w:after="60"/>
              <w:rPr>
                <w:rFonts w:cstheme="minorHAnsi"/>
                <w:iCs/>
                <w:color w:val="000000"/>
                <w:sz w:val="20"/>
                <w:szCs w:val="20"/>
              </w:rPr>
            </w:pPr>
            <w:r w:rsidRPr="00A6388A">
              <w:rPr>
                <w:rFonts w:cstheme="minorHAnsi"/>
                <w:iCs/>
                <w:color w:val="000000"/>
                <w:sz w:val="20"/>
                <w:szCs w:val="20"/>
              </w:rPr>
              <w:t xml:space="preserve">Initial treatment: </w:t>
            </w:r>
          </w:p>
          <w:p w14:paraId="5477E77A"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pathologically confirmed CD30 positive cutaneous T-cell lymphoma</w:t>
            </w:r>
          </w:p>
          <w:p w14:paraId="16F81E78"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CD30 positivity of at least 3% of malignant cells</w:t>
            </w:r>
          </w:p>
          <w:p w14:paraId="47B5B1B1"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Diagnosis of mycosis fungoides or Sezary syndrome or primary cutaneous anaplastic large cell lymphoma</w:t>
            </w:r>
          </w:p>
          <w:p w14:paraId="206EB3D0"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 xml:space="preserve">Received prior systemic treatment for this condition </w:t>
            </w:r>
          </w:p>
          <w:p w14:paraId="51F4E43D"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 xml:space="preserve">Must be relapsed or refractory </w:t>
            </w:r>
          </w:p>
          <w:p w14:paraId="3AE4E269"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 xml:space="preserve">Must not exceed 4 cycles under this restriction in a lifetime </w:t>
            </w:r>
          </w:p>
          <w:p w14:paraId="79CE9F59"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 xml:space="preserve">Sole PBS-subsidised systemic anti-cancer therapy for this condition </w:t>
            </w:r>
          </w:p>
          <w:p w14:paraId="06C404EF" w14:textId="77777777" w:rsidR="0076659F" w:rsidRPr="00A6388A" w:rsidRDefault="0076659F" w:rsidP="0038097C">
            <w:pPr>
              <w:spacing w:before="60" w:after="60"/>
              <w:rPr>
                <w:rFonts w:cstheme="minorHAnsi"/>
                <w:iCs/>
                <w:color w:val="000000"/>
                <w:sz w:val="20"/>
                <w:szCs w:val="20"/>
              </w:rPr>
            </w:pPr>
            <w:r w:rsidRPr="00A6388A">
              <w:rPr>
                <w:rFonts w:cstheme="minorHAnsi"/>
                <w:iCs/>
                <w:color w:val="000000"/>
                <w:sz w:val="20"/>
                <w:szCs w:val="20"/>
              </w:rPr>
              <w:t xml:space="preserve">Continuing treatment: </w:t>
            </w:r>
          </w:p>
          <w:p w14:paraId="28FDF202"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 xml:space="preserve">Must have previously received PBS-subsidised treatment with this drug for this condition </w:t>
            </w:r>
          </w:p>
          <w:p w14:paraId="3139FE82"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 xml:space="preserve">Must have achieved an objective response with this drug </w:t>
            </w:r>
          </w:p>
          <w:p w14:paraId="18E59B85"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 xml:space="preserve">Must not have developed disease progression </w:t>
            </w:r>
          </w:p>
          <w:p w14:paraId="3B8BEC12"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 xml:space="preserve">Must be the sole PBS-subsidised systemic anti-cancer therapy </w:t>
            </w:r>
          </w:p>
          <w:p w14:paraId="01EC5592" w14:textId="77777777" w:rsidR="0076659F" w:rsidRPr="00A6388A" w:rsidRDefault="0076659F" w:rsidP="0038097C">
            <w:pPr>
              <w:pStyle w:val="ListParagraph"/>
              <w:numPr>
                <w:ilvl w:val="0"/>
                <w:numId w:val="8"/>
              </w:numPr>
              <w:spacing w:before="60" w:after="60"/>
              <w:rPr>
                <w:rFonts w:cstheme="minorHAnsi"/>
                <w:iCs/>
                <w:color w:val="000000"/>
                <w:sz w:val="20"/>
                <w:szCs w:val="20"/>
              </w:rPr>
            </w:pPr>
            <w:r w:rsidRPr="00A6388A">
              <w:rPr>
                <w:rFonts w:cstheme="minorHAnsi"/>
                <w:iCs/>
                <w:color w:val="000000"/>
                <w:sz w:val="20"/>
                <w:szCs w:val="20"/>
              </w:rPr>
              <w:t xml:space="preserve">Must not exceed 12 cycles under this restriction in a lifetime </w:t>
            </w:r>
          </w:p>
        </w:tc>
      </w:tr>
      <w:tr w:rsidR="0076659F" w:rsidRPr="00021BBF" w14:paraId="380AC26E" w14:textId="77777777" w:rsidTr="0038097C">
        <w:tc>
          <w:tcPr>
            <w:tcW w:w="0" w:type="auto"/>
          </w:tcPr>
          <w:p w14:paraId="7F90CACA" w14:textId="30479319" w:rsidR="0076659F" w:rsidRPr="00021BBF" w:rsidRDefault="00A6388A" w:rsidP="0038097C">
            <w:pPr>
              <w:spacing w:before="60" w:after="60"/>
              <w:rPr>
                <w:rFonts w:cstheme="minorHAnsi"/>
                <w:iCs/>
                <w:sz w:val="20"/>
                <w:szCs w:val="20"/>
              </w:rPr>
            </w:pPr>
            <w:r>
              <w:rPr>
                <w:rFonts w:cstheme="minorHAnsi"/>
                <w:iCs/>
                <w:sz w:val="20"/>
                <w:szCs w:val="20"/>
              </w:rPr>
              <w:t xml:space="preserve">CD30 positive </w:t>
            </w:r>
            <w:r w:rsidR="0076659F" w:rsidRPr="00021BBF">
              <w:rPr>
                <w:rFonts w:cstheme="minorHAnsi"/>
                <w:iCs/>
                <w:sz w:val="20"/>
                <w:szCs w:val="20"/>
              </w:rPr>
              <w:t>PTCL</w:t>
            </w:r>
          </w:p>
        </w:tc>
        <w:tc>
          <w:tcPr>
            <w:tcW w:w="0" w:type="auto"/>
          </w:tcPr>
          <w:p w14:paraId="70C0A82F" w14:textId="77777777" w:rsidR="0076659F" w:rsidRPr="00A6388A" w:rsidRDefault="0076659F" w:rsidP="0038097C">
            <w:pPr>
              <w:spacing w:before="60" w:after="60"/>
              <w:rPr>
                <w:rFonts w:cstheme="minorHAnsi"/>
                <w:iCs/>
                <w:color w:val="000000"/>
                <w:sz w:val="20"/>
                <w:szCs w:val="20"/>
              </w:rPr>
            </w:pPr>
            <w:r w:rsidRPr="00A6388A">
              <w:rPr>
                <w:rFonts w:cstheme="minorHAnsi"/>
                <w:iCs/>
                <w:color w:val="000000"/>
                <w:sz w:val="20"/>
                <w:szCs w:val="20"/>
              </w:rPr>
              <w:t xml:space="preserve">Initial treatment: </w:t>
            </w:r>
          </w:p>
          <w:p w14:paraId="2A00F635" w14:textId="77777777" w:rsidR="0076659F" w:rsidRPr="00A6388A" w:rsidRDefault="0076659F" w:rsidP="0038097C">
            <w:pPr>
              <w:pStyle w:val="ListParagraph"/>
              <w:numPr>
                <w:ilvl w:val="0"/>
                <w:numId w:val="7"/>
              </w:numPr>
              <w:spacing w:before="60" w:after="60"/>
              <w:rPr>
                <w:rFonts w:cstheme="minorHAnsi"/>
                <w:iCs/>
                <w:color w:val="000000"/>
                <w:sz w:val="20"/>
                <w:szCs w:val="20"/>
              </w:rPr>
            </w:pPr>
            <w:r w:rsidRPr="00A6388A">
              <w:rPr>
                <w:rFonts w:cstheme="minorHAnsi"/>
                <w:iCs/>
                <w:color w:val="000000"/>
                <w:sz w:val="20"/>
                <w:szCs w:val="20"/>
              </w:rPr>
              <w:t xml:space="preserve">histological confirmation of CD30 expression in at least 3% of malignant cells </w:t>
            </w:r>
          </w:p>
          <w:p w14:paraId="01F20EB9" w14:textId="77777777" w:rsidR="0076659F" w:rsidRPr="00A6388A" w:rsidRDefault="0076659F" w:rsidP="0038097C">
            <w:pPr>
              <w:pStyle w:val="ListParagraph"/>
              <w:numPr>
                <w:ilvl w:val="0"/>
                <w:numId w:val="7"/>
              </w:numPr>
              <w:spacing w:before="60" w:after="60"/>
              <w:rPr>
                <w:rFonts w:cstheme="minorHAnsi"/>
                <w:iCs/>
                <w:color w:val="000000"/>
                <w:sz w:val="20"/>
                <w:szCs w:val="20"/>
              </w:rPr>
            </w:pPr>
            <w:r w:rsidRPr="00A6388A">
              <w:rPr>
                <w:rFonts w:cstheme="minorHAnsi"/>
                <w:iCs/>
                <w:color w:val="000000"/>
                <w:sz w:val="20"/>
                <w:szCs w:val="20"/>
              </w:rPr>
              <w:t>must be for first line therapy</w:t>
            </w:r>
          </w:p>
          <w:p w14:paraId="3E2B7CEA" w14:textId="77777777" w:rsidR="0076659F" w:rsidRPr="00A6388A" w:rsidRDefault="0076659F" w:rsidP="0038097C">
            <w:pPr>
              <w:pStyle w:val="ListParagraph"/>
              <w:numPr>
                <w:ilvl w:val="0"/>
                <w:numId w:val="7"/>
              </w:numPr>
              <w:spacing w:before="60" w:after="60"/>
              <w:rPr>
                <w:rFonts w:cstheme="minorHAnsi"/>
                <w:iCs/>
                <w:color w:val="000000"/>
                <w:sz w:val="20"/>
                <w:szCs w:val="20"/>
              </w:rPr>
            </w:pPr>
            <w:r w:rsidRPr="00A6388A">
              <w:rPr>
                <w:rFonts w:cstheme="minorHAnsi"/>
                <w:iCs/>
                <w:color w:val="000000"/>
                <w:sz w:val="20"/>
                <w:szCs w:val="20"/>
              </w:rPr>
              <w:t>must be for curative intent</w:t>
            </w:r>
          </w:p>
          <w:p w14:paraId="2563EF35" w14:textId="77777777" w:rsidR="0076659F" w:rsidRPr="00A6388A" w:rsidRDefault="0076659F" w:rsidP="0038097C">
            <w:pPr>
              <w:pStyle w:val="ListParagraph"/>
              <w:numPr>
                <w:ilvl w:val="0"/>
                <w:numId w:val="7"/>
              </w:numPr>
              <w:spacing w:before="60" w:after="60"/>
              <w:rPr>
                <w:rFonts w:cstheme="minorHAnsi"/>
                <w:iCs/>
                <w:color w:val="000000"/>
                <w:sz w:val="20"/>
                <w:szCs w:val="20"/>
              </w:rPr>
            </w:pPr>
            <w:r w:rsidRPr="00A6388A">
              <w:rPr>
                <w:rFonts w:cstheme="minorHAnsi"/>
                <w:iCs/>
                <w:color w:val="000000"/>
                <w:sz w:val="20"/>
                <w:szCs w:val="20"/>
              </w:rPr>
              <w:t>must be in combination with cyclophosphamide, doxorubicin and prednisone</w:t>
            </w:r>
          </w:p>
          <w:p w14:paraId="05DC98B4" w14:textId="77777777" w:rsidR="0076659F" w:rsidRPr="00A6388A" w:rsidRDefault="0076659F" w:rsidP="0038097C">
            <w:pPr>
              <w:pStyle w:val="ListParagraph"/>
              <w:numPr>
                <w:ilvl w:val="0"/>
                <w:numId w:val="7"/>
              </w:numPr>
              <w:spacing w:before="60" w:after="60"/>
              <w:rPr>
                <w:rFonts w:cstheme="minorHAnsi"/>
                <w:iCs/>
                <w:color w:val="000000"/>
                <w:sz w:val="20"/>
                <w:szCs w:val="20"/>
              </w:rPr>
            </w:pPr>
            <w:r w:rsidRPr="00A6388A">
              <w:rPr>
                <w:rFonts w:cstheme="minorHAnsi"/>
                <w:iCs/>
                <w:color w:val="000000"/>
                <w:sz w:val="20"/>
                <w:szCs w:val="20"/>
              </w:rPr>
              <w:t>must not be more than 6 treatment cycles under this restriction in a lifetime</w:t>
            </w:r>
          </w:p>
          <w:p w14:paraId="7ADAD9B3" w14:textId="77777777" w:rsidR="0076659F" w:rsidRPr="00A6388A" w:rsidRDefault="0076659F" w:rsidP="0038097C">
            <w:pPr>
              <w:spacing w:before="60" w:after="60"/>
              <w:rPr>
                <w:rFonts w:cstheme="minorHAnsi"/>
                <w:iCs/>
                <w:color w:val="000000"/>
                <w:sz w:val="20"/>
                <w:szCs w:val="20"/>
              </w:rPr>
            </w:pPr>
            <w:r w:rsidRPr="00A6388A">
              <w:rPr>
                <w:rFonts w:cstheme="minorHAnsi"/>
                <w:iCs/>
                <w:color w:val="000000"/>
                <w:sz w:val="20"/>
                <w:szCs w:val="20"/>
              </w:rPr>
              <w:t xml:space="preserve">Continuing treatment: </w:t>
            </w:r>
          </w:p>
          <w:p w14:paraId="38DE9D97" w14:textId="77777777" w:rsidR="0076659F" w:rsidRPr="00A6388A" w:rsidRDefault="0076659F" w:rsidP="0038097C">
            <w:pPr>
              <w:pStyle w:val="ListParagraph"/>
              <w:numPr>
                <w:ilvl w:val="0"/>
                <w:numId w:val="7"/>
              </w:numPr>
              <w:spacing w:before="60" w:after="60"/>
              <w:rPr>
                <w:rFonts w:cstheme="minorHAnsi"/>
                <w:iCs/>
                <w:color w:val="000000"/>
                <w:sz w:val="20"/>
                <w:szCs w:val="20"/>
              </w:rPr>
            </w:pPr>
            <w:r w:rsidRPr="00A6388A">
              <w:rPr>
                <w:rFonts w:cstheme="minorHAnsi"/>
                <w:iCs/>
                <w:color w:val="000000"/>
                <w:sz w:val="20"/>
                <w:szCs w:val="20"/>
              </w:rPr>
              <w:t>must be in combination with cyclophosphamide, doxorubicin and prednisone</w:t>
            </w:r>
          </w:p>
          <w:p w14:paraId="4F50838B" w14:textId="77777777" w:rsidR="0076659F" w:rsidRPr="00A6388A" w:rsidRDefault="0076659F" w:rsidP="0038097C">
            <w:pPr>
              <w:pStyle w:val="ListParagraph"/>
              <w:numPr>
                <w:ilvl w:val="0"/>
                <w:numId w:val="7"/>
              </w:numPr>
              <w:spacing w:before="60" w:after="60"/>
              <w:rPr>
                <w:rFonts w:cstheme="minorHAnsi"/>
                <w:iCs/>
                <w:color w:val="000000"/>
                <w:sz w:val="20"/>
                <w:szCs w:val="20"/>
              </w:rPr>
            </w:pPr>
            <w:r w:rsidRPr="00A6388A">
              <w:rPr>
                <w:rFonts w:cstheme="minorHAnsi"/>
                <w:iCs/>
                <w:color w:val="000000"/>
                <w:sz w:val="20"/>
                <w:szCs w:val="20"/>
              </w:rPr>
              <w:t xml:space="preserve">have completed 6 initial PBS cycles </w:t>
            </w:r>
          </w:p>
          <w:p w14:paraId="5ED35598" w14:textId="77777777" w:rsidR="0076659F" w:rsidRPr="00A6388A" w:rsidRDefault="0076659F" w:rsidP="0038097C">
            <w:pPr>
              <w:pStyle w:val="ListParagraph"/>
              <w:numPr>
                <w:ilvl w:val="0"/>
                <w:numId w:val="7"/>
              </w:numPr>
              <w:spacing w:before="60" w:after="60"/>
              <w:rPr>
                <w:rFonts w:cstheme="minorHAnsi"/>
                <w:iCs/>
                <w:color w:val="000000"/>
                <w:sz w:val="20"/>
                <w:szCs w:val="20"/>
              </w:rPr>
            </w:pPr>
            <w:r w:rsidRPr="00A6388A">
              <w:rPr>
                <w:rFonts w:cstheme="minorHAnsi"/>
                <w:iCs/>
                <w:color w:val="000000"/>
                <w:sz w:val="20"/>
                <w:szCs w:val="20"/>
              </w:rPr>
              <w:t xml:space="preserve">have achieved a partial response to the 6 initial cycles </w:t>
            </w:r>
          </w:p>
          <w:p w14:paraId="6C8789D9" w14:textId="77777777" w:rsidR="0076659F" w:rsidRPr="00A6388A" w:rsidRDefault="0076659F" w:rsidP="0038097C">
            <w:pPr>
              <w:pStyle w:val="ListParagraph"/>
              <w:numPr>
                <w:ilvl w:val="0"/>
                <w:numId w:val="7"/>
              </w:numPr>
              <w:spacing w:before="60" w:after="60"/>
              <w:rPr>
                <w:rFonts w:cstheme="minorHAnsi"/>
                <w:iCs/>
                <w:color w:val="000000"/>
                <w:sz w:val="20"/>
                <w:szCs w:val="20"/>
              </w:rPr>
            </w:pPr>
            <w:r w:rsidRPr="00A6388A">
              <w:rPr>
                <w:rFonts w:cstheme="minorHAnsi"/>
                <w:iCs/>
                <w:color w:val="000000"/>
                <w:sz w:val="20"/>
                <w:szCs w:val="20"/>
              </w:rPr>
              <w:t>not developed disease progression while on this treatment</w:t>
            </w:r>
          </w:p>
          <w:p w14:paraId="26C03DAC" w14:textId="77777777" w:rsidR="0076659F" w:rsidRPr="00021BBF" w:rsidRDefault="0076659F" w:rsidP="0038097C">
            <w:pPr>
              <w:pStyle w:val="ListParagraph"/>
              <w:numPr>
                <w:ilvl w:val="0"/>
                <w:numId w:val="7"/>
              </w:numPr>
              <w:spacing w:before="60" w:after="60"/>
              <w:rPr>
                <w:rFonts w:cstheme="minorHAnsi"/>
                <w:i/>
                <w:color w:val="000000"/>
                <w:sz w:val="20"/>
                <w:szCs w:val="20"/>
              </w:rPr>
            </w:pPr>
            <w:r w:rsidRPr="00A6388A">
              <w:rPr>
                <w:rFonts w:cstheme="minorHAnsi"/>
                <w:iCs/>
                <w:color w:val="000000"/>
                <w:sz w:val="20"/>
                <w:szCs w:val="20"/>
              </w:rPr>
              <w:t>must not be more than 2 treatment cycles under this restriction in a lifetime</w:t>
            </w:r>
          </w:p>
        </w:tc>
      </w:tr>
    </w:tbl>
    <w:p w14:paraId="7BBB1FDC" w14:textId="77777777" w:rsidR="0076659F" w:rsidRDefault="0076659F" w:rsidP="0076659F"/>
    <w:p w14:paraId="78E6F3FC" w14:textId="77777777" w:rsidR="00BD7972" w:rsidRDefault="00BD7972" w:rsidP="0076659F"/>
    <w:p w14:paraId="42145064" w14:textId="77777777" w:rsidR="00BD7972" w:rsidRDefault="00BD7972" w:rsidP="0076659F"/>
    <w:p w14:paraId="25618388" w14:textId="77777777" w:rsidR="00BD7972" w:rsidRDefault="00BD7972" w:rsidP="0076659F"/>
    <w:p w14:paraId="743825D9" w14:textId="77777777" w:rsidR="00BD7972" w:rsidRDefault="00BD7972" w:rsidP="0076659F"/>
    <w:p w14:paraId="084BC529" w14:textId="77777777" w:rsidR="00BD7972" w:rsidRDefault="00BD7972" w:rsidP="0076659F"/>
    <w:p w14:paraId="2A00E98F" w14:textId="77777777" w:rsidR="00BD7972" w:rsidRDefault="00BD7972" w:rsidP="0076659F"/>
    <w:p w14:paraId="086F4F61" w14:textId="77777777" w:rsidR="00BD7972" w:rsidRDefault="00BD7972" w:rsidP="0076659F"/>
    <w:p w14:paraId="7C66C77C" w14:textId="77777777" w:rsidR="00BD7972" w:rsidRPr="0076659F" w:rsidDel="00EE2BBB" w:rsidRDefault="00BD7972" w:rsidP="0076659F"/>
    <w:p w14:paraId="44FB6007" w14:textId="40A5F80B" w:rsidR="0008255A" w:rsidRDefault="0008255A" w:rsidP="0008255A">
      <w:pPr>
        <w:pStyle w:val="Tabletitle"/>
      </w:pPr>
      <w:r w:rsidRPr="000C7381">
        <w:lastRenderedPageBreak/>
        <w:t xml:space="preserve">Table </w:t>
      </w:r>
      <w:r w:rsidR="0076659F">
        <w:t>4</w:t>
      </w:r>
      <w:r>
        <w:t>: S</w:t>
      </w:r>
      <w:r w:rsidRPr="000C7381">
        <w:t xml:space="preserve">ummary of current authority requirements for </w:t>
      </w:r>
      <w:r w:rsidR="00A1438B">
        <w:t>CD30 positive CTCL and PTCL</w:t>
      </w:r>
    </w:p>
    <w:tbl>
      <w:tblPr>
        <w:tblStyle w:val="TableGrid"/>
        <w:tblW w:w="0" w:type="auto"/>
        <w:tblLook w:val="04A0" w:firstRow="1" w:lastRow="0" w:firstColumn="1" w:lastColumn="0" w:noHBand="0" w:noVBand="1"/>
      </w:tblPr>
      <w:tblGrid>
        <w:gridCol w:w="1195"/>
        <w:gridCol w:w="1768"/>
        <w:gridCol w:w="5984"/>
      </w:tblGrid>
      <w:tr w:rsidR="004E73BB" w:rsidRPr="00021BBF" w14:paraId="457FED65" w14:textId="77777777" w:rsidTr="00FB3EBC">
        <w:trPr>
          <w:cantSplit/>
          <w:tblHeader/>
        </w:trPr>
        <w:tc>
          <w:tcPr>
            <w:tcW w:w="0" w:type="auto"/>
            <w:shd w:val="clear" w:color="auto" w:fill="BFBFBF" w:themeFill="background1" w:themeFillShade="BF"/>
          </w:tcPr>
          <w:p w14:paraId="7A9FC135" w14:textId="23B18389" w:rsidR="0008255A" w:rsidRPr="00021BBF" w:rsidRDefault="004E73BB" w:rsidP="004E73BB">
            <w:pPr>
              <w:pStyle w:val="Tablewriting"/>
              <w:spacing w:beforeLines="60" w:before="144" w:afterLines="60" w:after="144"/>
              <w:rPr>
                <w:rFonts w:cstheme="minorHAnsi"/>
                <w:b/>
              </w:rPr>
            </w:pPr>
            <w:r w:rsidRPr="00021BBF">
              <w:rPr>
                <w:rFonts w:cstheme="minorHAnsi"/>
                <w:b/>
              </w:rPr>
              <w:t xml:space="preserve">Indication </w:t>
            </w:r>
          </w:p>
        </w:tc>
        <w:tc>
          <w:tcPr>
            <w:tcW w:w="0" w:type="auto"/>
            <w:shd w:val="clear" w:color="auto" w:fill="BFBFBF" w:themeFill="background1" w:themeFillShade="BF"/>
          </w:tcPr>
          <w:p w14:paraId="5DC41832" w14:textId="77777777" w:rsidR="0008255A" w:rsidRPr="00021BBF" w:rsidRDefault="0008255A" w:rsidP="004E73BB">
            <w:pPr>
              <w:pStyle w:val="Tablewriting"/>
              <w:spacing w:beforeLines="60" w:before="144" w:afterLines="60" w:after="144"/>
              <w:rPr>
                <w:rFonts w:cstheme="minorHAnsi"/>
                <w:b/>
              </w:rPr>
            </w:pPr>
            <w:r w:rsidRPr="00021BBF">
              <w:rPr>
                <w:rFonts w:cstheme="minorHAnsi"/>
                <w:b/>
              </w:rPr>
              <w:t>Current restriction level</w:t>
            </w:r>
          </w:p>
        </w:tc>
        <w:tc>
          <w:tcPr>
            <w:tcW w:w="0" w:type="auto"/>
            <w:shd w:val="clear" w:color="auto" w:fill="BFBFBF" w:themeFill="background1" w:themeFillShade="BF"/>
          </w:tcPr>
          <w:p w14:paraId="46E11F70" w14:textId="77777777" w:rsidR="0008255A" w:rsidRPr="00021BBF" w:rsidRDefault="0008255A" w:rsidP="004E73BB">
            <w:pPr>
              <w:pStyle w:val="Tablewriting"/>
              <w:spacing w:beforeLines="60" w:before="144" w:afterLines="60" w:after="144"/>
              <w:rPr>
                <w:rFonts w:cstheme="minorHAnsi"/>
                <w:b/>
              </w:rPr>
            </w:pPr>
            <w:r w:rsidRPr="00021BBF">
              <w:rPr>
                <w:rFonts w:cstheme="minorHAnsi"/>
                <w:b/>
              </w:rPr>
              <w:t>Supporting documentation</w:t>
            </w:r>
          </w:p>
        </w:tc>
      </w:tr>
      <w:tr w:rsidR="000B35EA" w:rsidRPr="00021BBF" w14:paraId="7C076CB3" w14:textId="77777777" w:rsidTr="00FB3EBC">
        <w:tc>
          <w:tcPr>
            <w:tcW w:w="0" w:type="auto"/>
          </w:tcPr>
          <w:p w14:paraId="3BBC5CCC" w14:textId="4267F2FC" w:rsidR="006C3ADA" w:rsidRPr="00021BBF" w:rsidRDefault="00A6388A" w:rsidP="004E73BB">
            <w:pPr>
              <w:pStyle w:val="Tablewriting"/>
              <w:spacing w:beforeLines="60" w:before="144" w:afterLines="60" w:after="144"/>
              <w:rPr>
                <w:rFonts w:cstheme="minorHAnsi"/>
                <w:iCs/>
              </w:rPr>
            </w:pPr>
            <w:r>
              <w:rPr>
                <w:rFonts w:cstheme="minorHAnsi"/>
                <w:iCs/>
              </w:rPr>
              <w:t xml:space="preserve">CD30 positive </w:t>
            </w:r>
            <w:r w:rsidRPr="00021BBF">
              <w:rPr>
                <w:rFonts w:cstheme="minorHAnsi"/>
                <w:iCs/>
              </w:rPr>
              <w:t>CTCL</w:t>
            </w:r>
          </w:p>
        </w:tc>
        <w:tc>
          <w:tcPr>
            <w:tcW w:w="0" w:type="auto"/>
          </w:tcPr>
          <w:p w14:paraId="094FFF3A" w14:textId="77777777" w:rsidR="00D40F13" w:rsidRPr="00A6388A" w:rsidRDefault="00D40F13" w:rsidP="004E73BB">
            <w:pPr>
              <w:pStyle w:val="Tablewriting"/>
              <w:spacing w:beforeLines="60" w:before="144" w:afterLines="60" w:after="144"/>
              <w:rPr>
                <w:rFonts w:cstheme="minorHAnsi"/>
                <w:iCs/>
              </w:rPr>
            </w:pPr>
            <w:r w:rsidRPr="00A6388A">
              <w:rPr>
                <w:rFonts w:cstheme="minorHAnsi"/>
                <w:iCs/>
              </w:rPr>
              <w:t>Initial treatment: Authority Required (Written)</w:t>
            </w:r>
          </w:p>
          <w:p w14:paraId="5C0D0E20" w14:textId="77777777" w:rsidR="006C3ADA" w:rsidRPr="00A6388A" w:rsidRDefault="006C3ADA" w:rsidP="004E73BB">
            <w:pPr>
              <w:pStyle w:val="Tablewriting"/>
              <w:spacing w:beforeLines="60" w:before="144" w:afterLines="60" w:after="144"/>
              <w:rPr>
                <w:rFonts w:cstheme="minorHAnsi"/>
                <w:iCs/>
              </w:rPr>
            </w:pPr>
          </w:p>
          <w:p w14:paraId="70E44F01" w14:textId="77777777" w:rsidR="00FB3EBC" w:rsidRPr="00A6388A" w:rsidRDefault="00FB3EBC" w:rsidP="004E73BB">
            <w:pPr>
              <w:pStyle w:val="Tablewriting"/>
              <w:spacing w:beforeLines="60" w:before="144" w:afterLines="60" w:after="144"/>
              <w:rPr>
                <w:rFonts w:cstheme="minorHAnsi"/>
                <w:iCs/>
              </w:rPr>
            </w:pPr>
            <w:r w:rsidRPr="00A6388A">
              <w:rPr>
                <w:rFonts w:cstheme="minorHAnsi"/>
                <w:iCs/>
              </w:rPr>
              <w:t xml:space="preserve">Continuing treatment: </w:t>
            </w:r>
          </w:p>
          <w:p w14:paraId="4440DE18" w14:textId="76A083A8" w:rsidR="00FB3EBC" w:rsidRPr="00A6388A" w:rsidRDefault="00FB3EBC" w:rsidP="004E73BB">
            <w:pPr>
              <w:pStyle w:val="Tablewriting"/>
              <w:spacing w:beforeLines="60" w:before="144" w:afterLines="60" w:after="144"/>
              <w:rPr>
                <w:rFonts w:cstheme="minorHAnsi"/>
                <w:iCs/>
              </w:rPr>
            </w:pPr>
            <w:r w:rsidRPr="00A6388A">
              <w:rPr>
                <w:rFonts w:cstheme="minorHAnsi"/>
                <w:iCs/>
              </w:rPr>
              <w:t>Authority Required</w:t>
            </w:r>
            <w:r w:rsidR="009720C0" w:rsidRPr="00A6388A">
              <w:rPr>
                <w:rFonts w:cstheme="minorHAnsi"/>
                <w:iCs/>
              </w:rPr>
              <w:t xml:space="preserve"> (Telephone)</w:t>
            </w:r>
          </w:p>
        </w:tc>
        <w:tc>
          <w:tcPr>
            <w:tcW w:w="0" w:type="auto"/>
            <w:shd w:val="clear" w:color="auto" w:fill="auto"/>
          </w:tcPr>
          <w:p w14:paraId="17495F68" w14:textId="77777777" w:rsidR="00D40F13" w:rsidRPr="00A6388A" w:rsidRDefault="008C197D" w:rsidP="004E73BB">
            <w:pPr>
              <w:pStyle w:val="NormalWeb"/>
              <w:shd w:val="clear" w:color="auto" w:fill="FFFFFF"/>
              <w:spacing w:beforeLines="60" w:before="144" w:beforeAutospacing="0" w:afterLines="60" w:after="144" w:afterAutospacing="0"/>
              <w:rPr>
                <w:rFonts w:asciiTheme="minorHAnsi" w:hAnsiTheme="minorHAnsi" w:cstheme="minorHAnsi"/>
                <w:iCs/>
                <w:color w:val="222222"/>
                <w:sz w:val="20"/>
                <w:szCs w:val="20"/>
              </w:rPr>
            </w:pPr>
            <w:r w:rsidRPr="00A6388A">
              <w:rPr>
                <w:rFonts w:asciiTheme="minorHAnsi" w:hAnsiTheme="minorHAnsi" w:cstheme="minorHAnsi"/>
                <w:iCs/>
                <w:color w:val="222222"/>
                <w:sz w:val="20"/>
                <w:szCs w:val="20"/>
              </w:rPr>
              <w:t>(a) details (date, unique identifying number/code or provider number) of the histopathology report from an Approved Pathology Authority demonstrating the patient has a diagnosis of either mycosis fungoides, Sezary syndrome or primary cutaneous anaplastic large cell lymphoma; and</w:t>
            </w:r>
          </w:p>
          <w:p w14:paraId="666C3686" w14:textId="686C2160" w:rsidR="008C197D" w:rsidRPr="00A6388A" w:rsidRDefault="008C197D" w:rsidP="004E73BB">
            <w:pPr>
              <w:pStyle w:val="NormalWeb"/>
              <w:shd w:val="clear" w:color="auto" w:fill="FFFFFF"/>
              <w:spacing w:beforeLines="60" w:before="144" w:beforeAutospacing="0" w:afterLines="60" w:after="144" w:afterAutospacing="0"/>
              <w:rPr>
                <w:rFonts w:asciiTheme="minorHAnsi" w:hAnsiTheme="minorHAnsi" w:cstheme="minorHAnsi"/>
                <w:iCs/>
                <w:color w:val="222222"/>
                <w:sz w:val="20"/>
                <w:szCs w:val="20"/>
              </w:rPr>
            </w:pPr>
            <w:r w:rsidRPr="00A6388A">
              <w:rPr>
                <w:rFonts w:asciiTheme="minorHAnsi" w:hAnsiTheme="minorHAnsi" w:cstheme="minorHAnsi"/>
                <w:iCs/>
                <w:color w:val="222222"/>
                <w:sz w:val="20"/>
                <w:szCs w:val="20"/>
              </w:rPr>
              <w:t>(b) details (date, unique identifying number/code or provider number) of a histology report on the tumour sample or of a flow cytometric analysis of lymphoma cells of the blood showing CD30 positivity of at least 3% of malignant cells; and</w:t>
            </w:r>
          </w:p>
          <w:p w14:paraId="07950C59" w14:textId="70BA10E3" w:rsidR="006C3ADA" w:rsidRPr="00A6388A" w:rsidRDefault="008C197D" w:rsidP="004E73BB">
            <w:pPr>
              <w:pStyle w:val="NormalWeb"/>
              <w:shd w:val="clear" w:color="auto" w:fill="FFFFFF"/>
              <w:spacing w:beforeLines="60" w:before="144" w:beforeAutospacing="0" w:afterLines="60" w:after="144" w:afterAutospacing="0"/>
              <w:rPr>
                <w:rFonts w:asciiTheme="minorHAnsi" w:hAnsiTheme="minorHAnsi" w:cstheme="minorHAnsi"/>
                <w:iCs/>
                <w:color w:val="222222"/>
                <w:sz w:val="20"/>
                <w:szCs w:val="20"/>
              </w:rPr>
            </w:pPr>
            <w:r w:rsidRPr="00A6388A">
              <w:rPr>
                <w:rFonts w:asciiTheme="minorHAnsi" w:hAnsiTheme="minorHAnsi" w:cstheme="minorHAnsi"/>
                <w:iCs/>
                <w:color w:val="222222"/>
                <w:sz w:val="20"/>
                <w:szCs w:val="20"/>
              </w:rPr>
              <w:t>(c) Date of commencement and completion of the most recent prior systemic treatment.</w:t>
            </w:r>
          </w:p>
        </w:tc>
      </w:tr>
      <w:tr w:rsidR="000B35EA" w:rsidRPr="00021BBF" w14:paraId="7706195B" w14:textId="77777777" w:rsidTr="00FB3EBC">
        <w:tc>
          <w:tcPr>
            <w:tcW w:w="0" w:type="auto"/>
          </w:tcPr>
          <w:p w14:paraId="00D66384" w14:textId="37B304D7" w:rsidR="00FD057D" w:rsidRPr="00021BBF" w:rsidRDefault="00A6388A" w:rsidP="004E73BB">
            <w:pPr>
              <w:pStyle w:val="Tablewriting"/>
              <w:spacing w:beforeLines="60" w:before="144" w:afterLines="60" w:after="144"/>
              <w:rPr>
                <w:rFonts w:cstheme="minorHAnsi"/>
                <w:iCs/>
              </w:rPr>
            </w:pPr>
            <w:r>
              <w:rPr>
                <w:rFonts w:cstheme="minorHAnsi"/>
                <w:iCs/>
              </w:rPr>
              <w:t xml:space="preserve">CD30 positive </w:t>
            </w:r>
            <w:r w:rsidRPr="00021BBF">
              <w:rPr>
                <w:rFonts w:cstheme="minorHAnsi"/>
                <w:iCs/>
              </w:rPr>
              <w:t>PTCL</w:t>
            </w:r>
          </w:p>
        </w:tc>
        <w:tc>
          <w:tcPr>
            <w:tcW w:w="0" w:type="auto"/>
          </w:tcPr>
          <w:p w14:paraId="3FA04E38" w14:textId="77777777" w:rsidR="00D40F13" w:rsidRPr="00A6388A" w:rsidRDefault="00D40F13" w:rsidP="004E73BB">
            <w:pPr>
              <w:pStyle w:val="Tablewriting"/>
              <w:spacing w:beforeLines="60" w:before="144" w:afterLines="60" w:after="144"/>
              <w:rPr>
                <w:rFonts w:cstheme="minorHAnsi"/>
                <w:iCs/>
              </w:rPr>
            </w:pPr>
            <w:r w:rsidRPr="00A6388A">
              <w:rPr>
                <w:rFonts w:cstheme="minorHAnsi"/>
                <w:iCs/>
              </w:rPr>
              <w:t>Initial treatment: Authority Required (Written)</w:t>
            </w:r>
          </w:p>
          <w:p w14:paraId="7EEB5C73" w14:textId="77777777" w:rsidR="00FD057D" w:rsidRPr="00A6388A" w:rsidRDefault="00FD057D" w:rsidP="004E73BB">
            <w:pPr>
              <w:pStyle w:val="Tablewriting"/>
              <w:spacing w:beforeLines="60" w:before="144" w:afterLines="60" w:after="144"/>
              <w:rPr>
                <w:rFonts w:cstheme="minorHAnsi"/>
                <w:iCs/>
              </w:rPr>
            </w:pPr>
          </w:p>
          <w:p w14:paraId="2646922D" w14:textId="77777777" w:rsidR="00FB3EBC" w:rsidRPr="00A6388A" w:rsidRDefault="00FB3EBC" w:rsidP="004E73BB">
            <w:pPr>
              <w:pStyle w:val="Tablewriting"/>
              <w:spacing w:beforeLines="60" w:before="144" w:afterLines="60" w:after="144"/>
              <w:rPr>
                <w:rFonts w:cstheme="minorHAnsi"/>
                <w:iCs/>
              </w:rPr>
            </w:pPr>
            <w:r w:rsidRPr="00A6388A">
              <w:rPr>
                <w:rFonts w:cstheme="minorHAnsi"/>
                <w:iCs/>
              </w:rPr>
              <w:t xml:space="preserve">Continuing treatment: </w:t>
            </w:r>
          </w:p>
          <w:p w14:paraId="3BB472B1" w14:textId="4D359E22" w:rsidR="00FB3EBC" w:rsidRPr="00A6388A" w:rsidRDefault="00FB3EBC" w:rsidP="004E73BB">
            <w:pPr>
              <w:pStyle w:val="Tablewriting"/>
              <w:spacing w:beforeLines="60" w:before="144" w:afterLines="60" w:after="144"/>
              <w:rPr>
                <w:rFonts w:cstheme="minorHAnsi"/>
                <w:iCs/>
              </w:rPr>
            </w:pPr>
            <w:r w:rsidRPr="00A6388A">
              <w:rPr>
                <w:rFonts w:cstheme="minorHAnsi"/>
                <w:iCs/>
              </w:rPr>
              <w:t>Authority Required</w:t>
            </w:r>
            <w:r w:rsidR="000B35EA" w:rsidRPr="00A6388A">
              <w:rPr>
                <w:rFonts w:cstheme="minorHAnsi"/>
                <w:iCs/>
              </w:rPr>
              <w:t xml:space="preserve"> (Telephone)</w:t>
            </w:r>
          </w:p>
        </w:tc>
        <w:tc>
          <w:tcPr>
            <w:tcW w:w="0" w:type="auto"/>
            <w:shd w:val="clear" w:color="auto" w:fill="auto"/>
          </w:tcPr>
          <w:p w14:paraId="54942FE5" w14:textId="77777777" w:rsidR="00882926" w:rsidRPr="00A6388A" w:rsidRDefault="00882926" w:rsidP="004E73BB">
            <w:pPr>
              <w:pStyle w:val="NormalWeb"/>
              <w:shd w:val="clear" w:color="auto" w:fill="FFFFFF"/>
              <w:spacing w:beforeLines="60" w:before="144" w:beforeAutospacing="0" w:afterLines="60" w:after="144" w:afterAutospacing="0" w:line="300" w:lineRule="atLeast"/>
              <w:rPr>
                <w:rFonts w:asciiTheme="minorHAnsi" w:hAnsiTheme="minorHAnsi" w:cstheme="minorHAnsi"/>
                <w:iCs/>
                <w:color w:val="222222"/>
                <w:sz w:val="20"/>
                <w:szCs w:val="20"/>
              </w:rPr>
            </w:pPr>
            <w:r w:rsidRPr="00A6388A">
              <w:rPr>
                <w:rFonts w:asciiTheme="minorHAnsi" w:hAnsiTheme="minorHAnsi" w:cstheme="minorHAnsi"/>
                <w:iCs/>
                <w:color w:val="222222"/>
                <w:sz w:val="20"/>
                <w:szCs w:val="20"/>
              </w:rPr>
              <w:t>a) details (date, unique identifying number/code or provider number) of a histology report on the tumour sample from an Approved Pathology Authority showing CD30 positivity of at least 3% malignant cells; and</w:t>
            </w:r>
          </w:p>
          <w:p w14:paraId="14A0C72F" w14:textId="5DFA1C29" w:rsidR="00FD057D" w:rsidRPr="00A6388A" w:rsidRDefault="00882926" w:rsidP="004E73BB">
            <w:pPr>
              <w:pStyle w:val="NormalWeb"/>
              <w:shd w:val="clear" w:color="auto" w:fill="FFFFFF"/>
              <w:spacing w:beforeLines="60" w:before="144" w:beforeAutospacing="0" w:afterLines="60" w:after="144" w:afterAutospacing="0" w:line="300" w:lineRule="atLeast"/>
              <w:rPr>
                <w:rFonts w:asciiTheme="minorHAnsi" w:hAnsiTheme="minorHAnsi" w:cstheme="minorHAnsi"/>
                <w:iCs/>
                <w:color w:val="222222"/>
                <w:sz w:val="20"/>
                <w:szCs w:val="20"/>
              </w:rPr>
            </w:pPr>
            <w:r w:rsidRPr="00A6388A">
              <w:rPr>
                <w:rFonts w:asciiTheme="minorHAnsi" w:hAnsiTheme="minorHAnsi" w:cstheme="minorHAnsi"/>
                <w:iCs/>
                <w:color w:val="222222"/>
                <w:sz w:val="20"/>
                <w:szCs w:val="20"/>
              </w:rPr>
              <w:t>(b) The date of initial diagnosis of Peripheral T-cell lymphoma.</w:t>
            </w:r>
          </w:p>
        </w:tc>
      </w:tr>
    </w:tbl>
    <w:p w14:paraId="22433632" w14:textId="60F70893" w:rsidR="006775F1" w:rsidRPr="006775F1" w:rsidDel="00EE2BBB" w:rsidRDefault="006775F1" w:rsidP="00A35800">
      <w:r w:rsidRPr="006775F1" w:rsidDel="00EE2BBB">
        <w:t xml:space="preserve">For </w:t>
      </w:r>
      <w:r w:rsidR="00835337" w:rsidDel="00EE2BBB">
        <w:t xml:space="preserve">details of the current PBS listing refer to the </w:t>
      </w:r>
      <w:hyperlink r:id="rId12" w:history="1">
        <w:r w:rsidR="00835337" w:rsidRPr="00645D51" w:rsidDel="00EE2BBB">
          <w:rPr>
            <w:rStyle w:val="Hyperlink"/>
          </w:rPr>
          <w:t>PBS website</w:t>
        </w:r>
      </w:hyperlink>
      <w:r w:rsidR="00835337" w:rsidDel="00EE2BBB">
        <w:rPr>
          <w:rStyle w:val="Hyperlink"/>
        </w:rPr>
        <w:t>.</w:t>
      </w:r>
    </w:p>
    <w:p w14:paraId="39EF75ED" w14:textId="73256AB5" w:rsidR="00675BB1" w:rsidRPr="00675BB1" w:rsidDel="00EE2BBB" w:rsidRDefault="00675BB1" w:rsidP="00CF5E22">
      <w:pPr>
        <w:pStyle w:val="Heading3"/>
      </w:pPr>
      <w:r w:rsidRPr="00675BB1" w:rsidDel="00EE2BBB">
        <w:t>Changes to listing</w:t>
      </w:r>
    </w:p>
    <w:p w14:paraId="232720EF" w14:textId="361D2FFB" w:rsidR="009C35F2" w:rsidRDefault="00847DC1" w:rsidP="00A35800">
      <w:pPr>
        <w:rPr>
          <w:rFonts w:cstheme="minorHAnsi"/>
          <w:color w:val="222222"/>
          <w:shd w:val="clear" w:color="auto" w:fill="FFFFFF"/>
        </w:rPr>
      </w:pPr>
      <w:r>
        <w:rPr>
          <w:rFonts w:cstheme="minorHAnsi"/>
        </w:rPr>
        <w:t>On</w:t>
      </w:r>
      <w:r w:rsidR="001562AE" w:rsidRPr="00B46A29">
        <w:rPr>
          <w:rFonts w:cstheme="minorHAnsi"/>
          <w:color w:val="222222"/>
          <w:shd w:val="clear" w:color="auto" w:fill="FFFFFF"/>
        </w:rPr>
        <w:t xml:space="preserve"> 1 September 2022 the</w:t>
      </w:r>
      <w:r w:rsidR="00DF0CD5">
        <w:rPr>
          <w:rFonts w:cstheme="minorHAnsi"/>
          <w:color w:val="222222"/>
          <w:shd w:val="clear" w:color="auto" w:fill="FFFFFF"/>
        </w:rPr>
        <w:t xml:space="preserve"> initial listings</w:t>
      </w:r>
      <w:r w:rsidR="00A6388A">
        <w:rPr>
          <w:rFonts w:cstheme="minorHAnsi"/>
          <w:color w:val="222222"/>
          <w:shd w:val="clear" w:color="auto" w:fill="FFFFFF"/>
        </w:rPr>
        <w:t xml:space="preserve"> of brentuximab vedotin</w:t>
      </w:r>
      <w:r w:rsidR="00DF0CD5">
        <w:rPr>
          <w:rFonts w:cstheme="minorHAnsi"/>
          <w:color w:val="222222"/>
          <w:shd w:val="clear" w:color="auto" w:fill="FFFFFF"/>
        </w:rPr>
        <w:t xml:space="preserve"> for </w:t>
      </w:r>
      <w:r w:rsidR="00A6388A">
        <w:rPr>
          <w:rFonts w:cstheme="minorHAnsi"/>
          <w:color w:val="222222"/>
          <w:shd w:val="clear" w:color="auto" w:fill="FFFFFF"/>
        </w:rPr>
        <w:t xml:space="preserve">CD30 positive </w:t>
      </w:r>
      <w:r w:rsidR="00DF0CD5">
        <w:rPr>
          <w:rFonts w:cstheme="minorHAnsi"/>
          <w:color w:val="222222"/>
          <w:shd w:val="clear" w:color="auto" w:fill="FFFFFF"/>
        </w:rPr>
        <w:t xml:space="preserve">CTCL and PTCL were </w:t>
      </w:r>
      <w:r w:rsidR="001562AE" w:rsidRPr="00B46A29">
        <w:rPr>
          <w:rFonts w:cstheme="minorHAnsi"/>
          <w:color w:val="222222"/>
          <w:shd w:val="clear" w:color="auto" w:fill="FFFFFF"/>
        </w:rPr>
        <w:t>updated as part of the Department of Health and Aged Care’s digital transformation of Authority Required (Written) PBS</w:t>
      </w:r>
      <w:r w:rsidR="006353C6">
        <w:rPr>
          <w:rFonts w:cstheme="minorHAnsi"/>
          <w:color w:val="222222"/>
          <w:shd w:val="clear" w:color="auto" w:fill="FFFFFF"/>
        </w:rPr>
        <w:t xml:space="preserve"> </w:t>
      </w:r>
      <w:r w:rsidR="001562AE" w:rsidRPr="00B46A29">
        <w:rPr>
          <w:rFonts w:cstheme="minorHAnsi"/>
          <w:color w:val="222222"/>
          <w:shd w:val="clear" w:color="auto" w:fill="FFFFFF"/>
        </w:rPr>
        <w:t xml:space="preserve">listings. Real time assessment of authority requests </w:t>
      </w:r>
      <w:r w:rsidR="00DF0CD5">
        <w:rPr>
          <w:rFonts w:cstheme="minorHAnsi"/>
          <w:color w:val="222222"/>
          <w:shd w:val="clear" w:color="auto" w:fill="FFFFFF"/>
        </w:rPr>
        <w:t>became</w:t>
      </w:r>
      <w:r w:rsidR="001562AE" w:rsidRPr="00B46A29">
        <w:rPr>
          <w:rFonts w:cstheme="minorHAnsi"/>
          <w:color w:val="222222"/>
          <w:shd w:val="clear" w:color="auto" w:fill="FFFFFF"/>
        </w:rPr>
        <w:t xml:space="preserve"> available through Services Australia’s Online PBS Authorities (OPA) system, via Health Professional Online Services (HPOS).</w:t>
      </w:r>
      <w:r w:rsidR="00C50D5A">
        <w:rPr>
          <w:rStyle w:val="FootnoteReference"/>
          <w:rFonts w:cstheme="minorHAnsi"/>
          <w:color w:val="222222"/>
          <w:shd w:val="clear" w:color="auto" w:fill="FFFFFF"/>
        </w:rPr>
        <w:footnoteReference w:id="5"/>
      </w:r>
    </w:p>
    <w:p w14:paraId="64C94A85" w14:textId="678F1E4F" w:rsidR="00BF544D" w:rsidRDefault="00BF544D" w:rsidP="00BF544D">
      <w:r w:rsidRPr="002F61CA" w:rsidDel="00EE2BBB">
        <w:t xml:space="preserve">Current PBS listing details are available from </w:t>
      </w:r>
      <w:r w:rsidDel="00EE2BBB">
        <w:t xml:space="preserve">the </w:t>
      </w:r>
      <w:hyperlink r:id="rId13" w:history="1">
        <w:r w:rsidRPr="00645D51" w:rsidDel="00EE2BBB">
          <w:rPr>
            <w:rStyle w:val="Hyperlink"/>
          </w:rPr>
          <w:t>PBS website</w:t>
        </w:r>
      </w:hyperlink>
      <w:r w:rsidDel="00EE2BBB">
        <w:t>.</w:t>
      </w:r>
    </w:p>
    <w:p w14:paraId="2778E376" w14:textId="77777777" w:rsidR="00BD7972" w:rsidRPr="002F61CA" w:rsidDel="00EE2BBB" w:rsidRDefault="00BD7972" w:rsidP="00BF544D"/>
    <w:p w14:paraId="383E312E" w14:textId="724CF700" w:rsidR="00736041" w:rsidRPr="005E22C2" w:rsidRDefault="00394AEE" w:rsidP="00CF5E22">
      <w:pPr>
        <w:pStyle w:val="Heading2"/>
      </w:pPr>
      <w:r>
        <w:lastRenderedPageBreak/>
        <w:t>Relevant aspects of</w:t>
      </w:r>
      <w:r w:rsidR="00736041" w:rsidRPr="005E22C2">
        <w:t xml:space="preserve"> consideration</w:t>
      </w:r>
      <w:r>
        <w:t xml:space="preserve"> by the Pharmaceutical Benefits Advisory Committee (PBAC)</w:t>
      </w:r>
    </w:p>
    <w:p w14:paraId="79CB2C6A" w14:textId="3FEE1A4C" w:rsidR="006373DE" w:rsidRPr="006373DE" w:rsidRDefault="00A1438B" w:rsidP="00CE55DC">
      <w:pPr>
        <w:spacing w:after="160"/>
      </w:pPr>
      <w:r>
        <w:rPr>
          <w:b/>
          <w:bCs/>
        </w:rPr>
        <w:t xml:space="preserve">CD30 positive </w:t>
      </w:r>
      <w:r w:rsidR="0008756F" w:rsidRPr="006373DE">
        <w:rPr>
          <w:b/>
          <w:bCs/>
        </w:rPr>
        <w:t>CTCL</w:t>
      </w:r>
      <w:r w:rsidR="00CE55DC">
        <w:rPr>
          <w:b/>
          <w:bCs/>
        </w:rPr>
        <w:t xml:space="preserve"> - </w:t>
      </w:r>
      <w:r w:rsidR="0014132C" w:rsidRPr="006373DE">
        <w:rPr>
          <w:b/>
          <w:bCs/>
        </w:rPr>
        <w:t>July 2018</w:t>
      </w:r>
      <w:r w:rsidR="0013560D" w:rsidRPr="006373DE">
        <w:rPr>
          <w:b/>
          <w:bCs/>
        </w:rPr>
        <w:t>:</w:t>
      </w:r>
      <w:r w:rsidR="0013560D" w:rsidRPr="006373DE">
        <w:rPr>
          <w:b/>
          <w:bCs/>
          <w:i/>
          <w:iCs/>
        </w:rPr>
        <w:t xml:space="preserve"> </w:t>
      </w:r>
      <w:r w:rsidR="006373DE" w:rsidRPr="0022357A">
        <w:t>The submission requested a Section 100 (Efficient Funding of Chemotherapy) listing for brentuximab vedotin for the treatment of relapsed or refractory CD30 positiv</w:t>
      </w:r>
      <w:r w:rsidR="008232D0">
        <w:t xml:space="preserve">e </w:t>
      </w:r>
      <w:r w:rsidR="006373DE" w:rsidRPr="0022357A">
        <w:t>CTCL in patients who have previously used systemic therapy. This was the first brentuximab vedotin submission for this indication.</w:t>
      </w:r>
      <w:r w:rsidR="006373DE">
        <w:t xml:space="preserve"> </w:t>
      </w:r>
      <w:r w:rsidR="006373DE" w:rsidRPr="0022357A">
        <w:t xml:space="preserve">The requested listing was based on cost-effectiveness analyses and a cost-utility analysis comparing brentuximab vedotin to its main comparator, vorinostat, and to its supplementary comparator, methotrexate. </w:t>
      </w:r>
    </w:p>
    <w:p w14:paraId="40AC96EE" w14:textId="069E1653" w:rsidR="0014132C" w:rsidRDefault="00740225" w:rsidP="00A35800">
      <w:r>
        <w:t xml:space="preserve">The PBAC did not recommend the listing of brentuximab vedotin in relapsed or refractory CD30 positive CTCL in patients who have previously used systemic therapy, due to major reservations regarding the naïve comparison with vorinostat, which meant that cost-effectiveness against vorinostat was unable to be assessed. The PBAC also considered that brentuximab vedotin was not cost-effective compared with methotrexate at the proposed price. The PBAC noted that the </w:t>
      </w:r>
      <w:r w:rsidR="00961BC7">
        <w:t>incremental cost-effectiveness ratio (</w:t>
      </w:r>
      <w:r>
        <w:t>ICER</w:t>
      </w:r>
      <w:r w:rsidR="00961BC7">
        <w:t xml:space="preserve">) </w:t>
      </w:r>
      <w:r>
        <w:t>presented was unacceptably high based on previous PBAC decisions, even in the context of difficult to treat and relatively rare diseases.</w:t>
      </w:r>
    </w:p>
    <w:p w14:paraId="14C2794A" w14:textId="77777777" w:rsidR="00C57B37" w:rsidRPr="009F4240" w:rsidRDefault="00C57B37" w:rsidP="00D64A66">
      <w:pPr>
        <w:widowControl w:val="0"/>
        <w:spacing w:after="120"/>
      </w:pPr>
      <w:r w:rsidRPr="009F4240">
        <w:t xml:space="preserve">The PBAC considered that overall the estimated budget impact was relatively low, due to the small number of patients eligible for treatment. </w:t>
      </w:r>
      <w:r>
        <w:t>However, t</w:t>
      </w:r>
      <w:r w:rsidRPr="009F4240">
        <w:t xml:space="preserve">he PBAC considered </w:t>
      </w:r>
      <w:r>
        <w:t>the estimates to be uncertain as</w:t>
      </w:r>
      <w:r w:rsidRPr="009F4240">
        <w:t xml:space="preserve"> there was a substantial risk of use of brentuximab vedotin outside the restriction particularly for use as a first line therapy.</w:t>
      </w:r>
    </w:p>
    <w:p w14:paraId="7204F3D0" w14:textId="2765739C" w:rsidR="00236459" w:rsidRPr="00F65F0D" w:rsidRDefault="00236459" w:rsidP="00236459">
      <w:r>
        <w:t xml:space="preserve">For further details refer to </w:t>
      </w:r>
      <w:r w:rsidRPr="00F65F0D">
        <w:t xml:space="preserve">the </w:t>
      </w:r>
      <w:hyperlink r:id="rId14" w:history="1">
        <w:r w:rsidRPr="00236459">
          <w:rPr>
            <w:rStyle w:val="Hyperlink"/>
          </w:rPr>
          <w:t>Public Summary Document</w:t>
        </w:r>
      </w:hyperlink>
      <w:r>
        <w:t xml:space="preserve"> </w:t>
      </w:r>
      <w:r w:rsidRPr="00F65F0D">
        <w:t xml:space="preserve">from the </w:t>
      </w:r>
      <w:r>
        <w:t>July 2018 PBAC meeting.</w:t>
      </w:r>
    </w:p>
    <w:p w14:paraId="5E58EA30" w14:textId="7B883721" w:rsidR="007E5B6E" w:rsidRPr="0013560D" w:rsidRDefault="00326369" w:rsidP="00A35800">
      <w:pPr>
        <w:rPr>
          <w:b/>
          <w:bCs/>
        </w:rPr>
      </w:pPr>
      <w:r>
        <w:rPr>
          <w:b/>
          <w:bCs/>
        </w:rPr>
        <w:t xml:space="preserve">CD30 positive </w:t>
      </w:r>
      <w:r w:rsidRPr="006373DE">
        <w:rPr>
          <w:b/>
          <w:bCs/>
        </w:rPr>
        <w:t>CTCL</w:t>
      </w:r>
      <w:r>
        <w:rPr>
          <w:b/>
          <w:bCs/>
        </w:rPr>
        <w:t xml:space="preserve"> </w:t>
      </w:r>
      <w:r w:rsidR="00CE55DC">
        <w:rPr>
          <w:b/>
          <w:bCs/>
        </w:rPr>
        <w:t xml:space="preserve">- </w:t>
      </w:r>
      <w:r w:rsidR="007E5B6E" w:rsidRPr="008544DC">
        <w:rPr>
          <w:b/>
          <w:bCs/>
        </w:rPr>
        <w:t xml:space="preserve">November 2018 </w:t>
      </w:r>
      <w:r w:rsidR="0013560D">
        <w:rPr>
          <w:b/>
          <w:bCs/>
        </w:rPr>
        <w:t xml:space="preserve">: </w:t>
      </w:r>
      <w:r w:rsidR="00B15AF9">
        <w:t>The minor resubmission requested a Section 100 (Efficient Funding of Chemotherapy) Authority Required listing for the treatment of refractory or relapsed CD30 positive CTCL. The minor resubmission provided a revised price for brentuximab vedotin along with a revised proposal for the PBS restriction and additional information to support the listing including lymphomatoid papulosis (LyP) and Sézary syndrome (SS).</w:t>
      </w:r>
    </w:p>
    <w:p w14:paraId="31419119" w14:textId="0CC6D33C" w:rsidR="0008756F" w:rsidRDefault="00B15AF9" w:rsidP="00A35800">
      <w:r>
        <w:t>The PBAC recommended a Section 100 (Efficient Funding of Chemotherapy) Authority Required listing of brentuximab vedotin for the treatment of RR CTCL. The PBAC recognised the clinical need for effective treatments in this population. The PBAC was satisfied that brentuximab vedotin provides, for some patients with the mycosis fungoides (MF), SS and primary cutaneous anaplastic large cell lymphoma (pcALCL) subtypes of CTCL, a significant improvement in efficacy over methotrexate.</w:t>
      </w:r>
    </w:p>
    <w:p w14:paraId="6C858EFF" w14:textId="462925C3" w:rsidR="001051D8" w:rsidRDefault="00CF4860" w:rsidP="00A35800">
      <w:r w:rsidRPr="00CF4860">
        <w:t>The PBAC noted the amendments to the proposed restriction (restricting use first line or in combination with other CTCL therapies) and considered that it was now reasonable to accept the financial estimates as the basis of a risk sharing arrangement (RSA). The PBAC considered that a RSA remained appropriate to mitigate any residual uncertainties regarding the potential use of brentuximab vedotin outside the proposed restriction.</w:t>
      </w:r>
    </w:p>
    <w:p w14:paraId="5B674348" w14:textId="0048745E" w:rsidR="00A0038A" w:rsidRPr="00F65F0D" w:rsidRDefault="00A0038A" w:rsidP="00A0038A">
      <w:r>
        <w:lastRenderedPageBreak/>
        <w:t xml:space="preserve">For further details refer to </w:t>
      </w:r>
      <w:r w:rsidRPr="00F65F0D">
        <w:t xml:space="preserve">the </w:t>
      </w:r>
      <w:hyperlink r:id="rId15" w:history="1">
        <w:r w:rsidRPr="00236459">
          <w:rPr>
            <w:rStyle w:val="Hyperlink"/>
          </w:rPr>
          <w:t>Public Summary Document</w:t>
        </w:r>
      </w:hyperlink>
      <w:r>
        <w:t xml:space="preserve"> </w:t>
      </w:r>
      <w:r w:rsidRPr="00F65F0D">
        <w:t xml:space="preserve">from the </w:t>
      </w:r>
      <w:r>
        <w:t>November 2018 PBAC meeting.</w:t>
      </w:r>
    </w:p>
    <w:p w14:paraId="0A753C53" w14:textId="46C4D1A3" w:rsidR="00BB1CCD" w:rsidRPr="0013560D" w:rsidRDefault="008232D0" w:rsidP="00D94863">
      <w:pPr>
        <w:rPr>
          <w:b/>
          <w:bCs/>
        </w:rPr>
      </w:pPr>
      <w:r>
        <w:rPr>
          <w:b/>
          <w:bCs/>
        </w:rPr>
        <w:t xml:space="preserve">CD30 positive </w:t>
      </w:r>
      <w:r w:rsidR="004D3EE1" w:rsidRPr="00CA5D0A">
        <w:rPr>
          <w:b/>
          <w:bCs/>
        </w:rPr>
        <w:t xml:space="preserve">PTCL </w:t>
      </w:r>
      <w:r w:rsidR="003C1003">
        <w:rPr>
          <w:b/>
          <w:bCs/>
        </w:rPr>
        <w:t xml:space="preserve">- </w:t>
      </w:r>
      <w:r w:rsidR="004D3EE1" w:rsidRPr="00CA5D0A">
        <w:rPr>
          <w:b/>
          <w:bCs/>
        </w:rPr>
        <w:t>March 2021</w:t>
      </w:r>
      <w:r w:rsidR="0013560D">
        <w:rPr>
          <w:b/>
          <w:bCs/>
        </w:rPr>
        <w:t xml:space="preserve">: </w:t>
      </w:r>
      <w:r w:rsidR="00A050D8">
        <w:t xml:space="preserve">The submission requested a Section 100 listing (Efficient Funding of Chemotherapy) for </w:t>
      </w:r>
      <w:r w:rsidR="00460766">
        <w:t>brentuximab vedotin</w:t>
      </w:r>
      <w:r w:rsidR="00A050D8">
        <w:t xml:space="preserve"> in combination with CHP for use as an intravenous injection once every three weeks for the treatment of patients with previously untreated CD30 positive PTCL. Listing was requested on the basis of a cost-effectiveness analysis versus cyclophosphamide, doxorubicin, vincristine and prednisone (CHOP).</w:t>
      </w:r>
    </w:p>
    <w:p w14:paraId="2FED0FB5" w14:textId="2E9352C3" w:rsidR="00683736" w:rsidRDefault="00CA5D0A" w:rsidP="00D94863">
      <w:r>
        <w:t>The PBAC recommended the listing of brentuximab vedotin, for use in combination with CHP for the treatment of patients with previously untreated CD30 positive PTCL, on the basis that it should be available only under special arrangements under section 100 – Efficient Funding of Chemotherapy. The PBAC accepted the substantial clinical benefit of BV+CHP in terms of progression free survival (PFS) and that the immature overall survival (OS) data also suggest a clinical benefit. The PBAC considered the ICER</w:t>
      </w:r>
      <w:r w:rsidR="00961BC7">
        <w:t xml:space="preserve"> </w:t>
      </w:r>
      <w:r>
        <w:t xml:space="preserve">was high but acceptable at the proposed price in the context of this rare disease with a high clinical need and the certainty of the estimated ICER. </w:t>
      </w:r>
    </w:p>
    <w:p w14:paraId="30A737F3" w14:textId="0223BE6B" w:rsidR="00830A97" w:rsidRPr="008E3F1A" w:rsidRDefault="00830A97" w:rsidP="00830A97">
      <w:pPr>
        <w:pStyle w:val="3-BodyText"/>
        <w:ind w:left="0" w:firstLine="0"/>
        <w:jc w:val="left"/>
        <w:rPr>
          <w:color w:val="000000" w:themeColor="text1"/>
        </w:rPr>
      </w:pPr>
      <w:r w:rsidRPr="008E3F1A">
        <w:rPr>
          <w:color w:val="000000" w:themeColor="text1"/>
        </w:rPr>
        <w:t xml:space="preserve">The submission requested an Authority Required (Streamlined) restriction for the initiation and continuation treatments. </w:t>
      </w:r>
      <w:r w:rsidRPr="008E3F1A">
        <w:rPr>
          <w:iCs/>
          <w:color w:val="000000" w:themeColor="text1"/>
        </w:rPr>
        <w:t>The latest listing for BV, in the treatment of CD30 positive CTCL, has an Authority Required – In Writing restriction. Additionally, the restriction for the initial treatment with BV in relapsed/refractory sALCL listing is written only</w:t>
      </w:r>
      <w:r w:rsidRPr="008E3F1A">
        <w:rPr>
          <w:iCs/>
        </w:rPr>
        <w:t>.</w:t>
      </w:r>
      <w:r w:rsidRPr="008E3F1A">
        <w:rPr>
          <w:iCs/>
          <w:color w:val="000000" w:themeColor="text1"/>
        </w:rPr>
        <w:t xml:space="preserve"> Given the nature of this therapy, and to avoid any inconsistencies across indications, the evaluation considered</w:t>
      </w:r>
      <w:r w:rsidRPr="008E3F1A">
        <w:rPr>
          <w:i/>
          <w:iCs/>
          <w:color w:val="000000" w:themeColor="text1"/>
        </w:rPr>
        <w:t xml:space="preserve"> </w:t>
      </w:r>
      <w:r w:rsidRPr="008E3F1A">
        <w:rPr>
          <w:iCs/>
          <w:color w:val="000000" w:themeColor="text1"/>
        </w:rPr>
        <w:t xml:space="preserve">this </w:t>
      </w:r>
      <w:r w:rsidR="00E5382D">
        <w:rPr>
          <w:iCs/>
          <w:color w:val="000000" w:themeColor="text1"/>
        </w:rPr>
        <w:t>was</w:t>
      </w:r>
      <w:r w:rsidRPr="008E3F1A">
        <w:rPr>
          <w:iCs/>
          <w:color w:val="000000" w:themeColor="text1"/>
        </w:rPr>
        <w:t xml:space="preserve"> appropriate in this setting. The PBAC considered an Authority Required (Written) listing appropriate for initial treatment followed by an Authority Required (Telephone) listing for continuing treatment. </w:t>
      </w:r>
    </w:p>
    <w:p w14:paraId="7E4E2101" w14:textId="5E60EACF" w:rsidR="007B1641" w:rsidRDefault="00CA5D0A" w:rsidP="00D94863">
      <w:r>
        <w:t>The PBAC recommended a RSA to mitigate any residual uncertainties regarding the financial estimates.</w:t>
      </w:r>
    </w:p>
    <w:p w14:paraId="7FB75D45" w14:textId="74EF2136" w:rsidR="00C16160" w:rsidRDefault="00CA5D0A" w:rsidP="00D94863">
      <w:r>
        <w:t xml:space="preserve">For further details refer to </w:t>
      </w:r>
      <w:r w:rsidRPr="00F65F0D">
        <w:t xml:space="preserve">the </w:t>
      </w:r>
      <w:hyperlink r:id="rId16" w:history="1">
        <w:r w:rsidRPr="00A0038A">
          <w:rPr>
            <w:rStyle w:val="Hyperlink"/>
          </w:rPr>
          <w:t>Public Summary Document</w:t>
        </w:r>
      </w:hyperlink>
      <w:r>
        <w:t xml:space="preserve"> </w:t>
      </w:r>
      <w:r w:rsidRPr="00F65F0D">
        <w:t xml:space="preserve">from the </w:t>
      </w:r>
      <w:r w:rsidR="00E154AB">
        <w:t>March 2021</w:t>
      </w:r>
      <w:r>
        <w:t xml:space="preserve"> PBAC meeting.</w:t>
      </w:r>
    </w:p>
    <w:p w14:paraId="67E1E304" w14:textId="77777777" w:rsidR="006F5524" w:rsidRDefault="006F5524">
      <w:pPr>
        <w:spacing w:line="276" w:lineRule="auto"/>
        <w:rPr>
          <w:rFonts w:eastAsiaTheme="majorEastAsia" w:cstheme="majorBidi"/>
          <w:b/>
          <w:bCs/>
          <w:sz w:val="32"/>
          <w:szCs w:val="32"/>
        </w:rPr>
      </w:pPr>
      <w:r>
        <w:br w:type="page"/>
      </w:r>
    </w:p>
    <w:p w14:paraId="0312FFEC" w14:textId="072D1742" w:rsidR="00E677DD" w:rsidRPr="005E22C2" w:rsidRDefault="00E677DD" w:rsidP="00CF5E22">
      <w:pPr>
        <w:pStyle w:val="Heading1"/>
      </w:pPr>
      <w:r w:rsidRPr="005E22C2">
        <w:lastRenderedPageBreak/>
        <w:t>Method</w:t>
      </w:r>
      <w:r w:rsidR="001B5D37" w:rsidRPr="005E22C2">
        <w:t>s</w:t>
      </w:r>
    </w:p>
    <w:p w14:paraId="6D8C9BF9" w14:textId="0D2C9DF0" w:rsidR="006804E0" w:rsidRPr="007B27DE" w:rsidRDefault="006804E0" w:rsidP="00524D13">
      <w:pPr>
        <w:rPr>
          <w:rFonts w:cstheme="minorHAnsi"/>
        </w:rPr>
      </w:pPr>
      <w:r w:rsidRPr="006804E0">
        <w:t xml:space="preserve">Data </w:t>
      </w:r>
      <w:r w:rsidRPr="007B27DE">
        <w:rPr>
          <w:rFonts w:cstheme="minorHAnsi"/>
        </w:rPr>
        <w:t>extracted from the PBS claims</w:t>
      </w:r>
      <w:r w:rsidR="0043350B" w:rsidRPr="007B27DE">
        <w:rPr>
          <w:rFonts w:cstheme="minorHAnsi"/>
        </w:rPr>
        <w:t xml:space="preserve"> and Authorities Approvals</w:t>
      </w:r>
      <w:r w:rsidRPr="007B27DE">
        <w:rPr>
          <w:rFonts w:cstheme="minorHAnsi"/>
        </w:rPr>
        <w:t xml:space="preserve"> database maintained by the Department of Health and Aged Care and processed by Services Australia were used for the analyses. Prescription </w:t>
      </w:r>
      <w:r w:rsidR="0043350B" w:rsidRPr="007B27DE">
        <w:rPr>
          <w:rFonts w:cstheme="minorHAnsi"/>
        </w:rPr>
        <w:t xml:space="preserve">and Authorities </w:t>
      </w:r>
      <w:r w:rsidRPr="007B27DE">
        <w:rPr>
          <w:rFonts w:cstheme="minorHAnsi"/>
        </w:rPr>
        <w:t xml:space="preserve">data were extracted from </w:t>
      </w:r>
      <w:r w:rsidR="00415AF4" w:rsidRPr="007B27DE">
        <w:rPr>
          <w:rFonts w:cstheme="minorHAnsi"/>
        </w:rPr>
        <w:t xml:space="preserve">1 </w:t>
      </w:r>
      <w:r w:rsidR="00C20A12">
        <w:rPr>
          <w:rFonts w:cstheme="minorHAnsi"/>
        </w:rPr>
        <w:t>July</w:t>
      </w:r>
      <w:r w:rsidR="00415AF4" w:rsidRPr="007B27DE">
        <w:rPr>
          <w:rFonts w:cstheme="minorHAnsi"/>
        </w:rPr>
        <w:t xml:space="preserve"> 201</w:t>
      </w:r>
      <w:r w:rsidR="00C20A12">
        <w:rPr>
          <w:rFonts w:cstheme="minorHAnsi"/>
        </w:rPr>
        <w:t>8</w:t>
      </w:r>
      <w:r w:rsidR="00364D5F" w:rsidRPr="007B27DE">
        <w:rPr>
          <w:rFonts w:cstheme="minorHAnsi"/>
        </w:rPr>
        <w:t xml:space="preserve"> </w:t>
      </w:r>
      <w:r w:rsidRPr="007B27DE">
        <w:rPr>
          <w:rFonts w:cstheme="minorHAnsi"/>
        </w:rPr>
        <w:t xml:space="preserve">up to and including </w:t>
      </w:r>
      <w:r w:rsidR="00090DD7">
        <w:rPr>
          <w:rFonts w:cstheme="minorHAnsi"/>
        </w:rPr>
        <w:t xml:space="preserve">31 March </w:t>
      </w:r>
      <w:r w:rsidR="00156B1F" w:rsidRPr="007B27DE">
        <w:rPr>
          <w:rFonts w:cstheme="minorHAnsi"/>
        </w:rPr>
        <w:t>2024</w:t>
      </w:r>
      <w:r w:rsidRPr="007B27DE">
        <w:rPr>
          <w:rFonts w:cstheme="minorHAnsi"/>
        </w:rPr>
        <w:t xml:space="preserve">. </w:t>
      </w:r>
    </w:p>
    <w:p w14:paraId="65D20ECA" w14:textId="164D654E" w:rsidR="0062587A" w:rsidRPr="007B27DE" w:rsidRDefault="0043350B" w:rsidP="00524D13">
      <w:pPr>
        <w:rPr>
          <w:rFonts w:cstheme="minorHAnsi"/>
        </w:rPr>
      </w:pPr>
      <w:r w:rsidRPr="007B27DE">
        <w:rPr>
          <w:rFonts w:cstheme="minorHAnsi"/>
        </w:rPr>
        <w:t>Prescription</w:t>
      </w:r>
      <w:r w:rsidR="0062587A" w:rsidRPr="007B27DE">
        <w:rPr>
          <w:rFonts w:cstheme="minorHAnsi"/>
        </w:rPr>
        <w:t xml:space="preserve"> data were used to determine the prescription and patient counts</w:t>
      </w:r>
      <w:r w:rsidR="003129C8" w:rsidRPr="007B27DE">
        <w:rPr>
          <w:rFonts w:cstheme="minorHAnsi"/>
        </w:rPr>
        <w:t xml:space="preserve"> </w:t>
      </w:r>
      <w:r w:rsidR="000C50A6" w:rsidRPr="007B27DE">
        <w:rPr>
          <w:rFonts w:cstheme="minorHAnsi"/>
        </w:rPr>
        <w:t xml:space="preserve">by financial year </w:t>
      </w:r>
      <w:r w:rsidR="003129C8" w:rsidRPr="007B27DE">
        <w:rPr>
          <w:rFonts w:cstheme="minorHAnsi"/>
        </w:rPr>
        <w:t>for brentuximab vedotin for CD30 positive CTCL, PTCL and sALCL</w:t>
      </w:r>
      <w:r w:rsidR="0062587A" w:rsidRPr="007B27DE">
        <w:rPr>
          <w:rFonts w:cstheme="minorHAnsi"/>
        </w:rPr>
        <w:t>.</w:t>
      </w:r>
      <w:r w:rsidR="00A85DC7" w:rsidRPr="007B27DE">
        <w:rPr>
          <w:rFonts w:cstheme="minorHAnsi"/>
        </w:rPr>
        <w:t xml:space="preserve"> </w:t>
      </w:r>
      <w:r w:rsidR="006D57B8" w:rsidRPr="007B27DE">
        <w:rPr>
          <w:rFonts w:cstheme="minorHAnsi"/>
        </w:rPr>
        <w:t xml:space="preserve">An initiating patient was defined based on first date of supply of brentuximab vedotin for their respective indication. </w:t>
      </w:r>
      <w:r w:rsidRPr="007B27DE">
        <w:rPr>
          <w:rFonts w:cstheme="minorHAnsi"/>
        </w:rPr>
        <w:t xml:space="preserve">Authorities data were used to determine written authority approval counts. </w:t>
      </w:r>
      <w:r w:rsidR="0006028E" w:rsidRPr="007B27DE">
        <w:rPr>
          <w:rFonts w:cstheme="minorHAnsi"/>
        </w:rPr>
        <w:t xml:space="preserve">Counts for each indication were based on their corresponding item codes. </w:t>
      </w:r>
    </w:p>
    <w:p w14:paraId="7AF7E272" w14:textId="2D94AA6C" w:rsidR="00F248A0" w:rsidRPr="00E31A56" w:rsidRDefault="007B27DE" w:rsidP="007B27DE">
      <w:pPr>
        <w:pStyle w:val="pf0"/>
        <w:rPr>
          <w:rFonts w:asciiTheme="minorHAnsi" w:hAnsiTheme="minorHAnsi" w:cstheme="minorHAnsi"/>
        </w:rPr>
      </w:pPr>
      <w:r>
        <w:rPr>
          <w:rFonts w:asciiTheme="minorHAnsi" w:hAnsiTheme="minorHAnsi" w:cstheme="minorHAnsi"/>
        </w:rPr>
        <w:t>Additional analyses</w:t>
      </w:r>
      <w:r w:rsidR="00E31A56">
        <w:rPr>
          <w:rFonts w:asciiTheme="minorHAnsi" w:hAnsiTheme="minorHAnsi" w:cstheme="minorHAnsi"/>
        </w:rPr>
        <w:t xml:space="preserve"> of </w:t>
      </w:r>
      <w:r w:rsidR="00743829" w:rsidRPr="007B27DE">
        <w:rPr>
          <w:rFonts w:asciiTheme="minorHAnsi" w:hAnsiTheme="minorHAnsi" w:cstheme="minorHAnsi"/>
        </w:rPr>
        <w:t xml:space="preserve">the age and gender distribution and </w:t>
      </w:r>
      <w:r w:rsidR="003129C8" w:rsidRPr="007B27DE">
        <w:rPr>
          <w:rFonts w:asciiTheme="minorHAnsi" w:hAnsiTheme="minorHAnsi" w:cstheme="minorHAnsi"/>
        </w:rPr>
        <w:t>treatment duration of brentuximab vedotin for CD30 positive PTCL</w:t>
      </w:r>
      <w:r w:rsidR="00E31A56">
        <w:rPr>
          <w:rFonts w:asciiTheme="minorHAnsi" w:hAnsiTheme="minorHAnsi" w:cstheme="minorHAnsi"/>
        </w:rPr>
        <w:t xml:space="preserve"> were conducted</w:t>
      </w:r>
      <w:r w:rsidR="003129C8" w:rsidRPr="007B27DE">
        <w:rPr>
          <w:rFonts w:asciiTheme="minorHAnsi" w:hAnsiTheme="minorHAnsi" w:cstheme="minorHAnsi"/>
        </w:rPr>
        <w:t xml:space="preserve">. </w:t>
      </w:r>
      <w:r w:rsidR="00F248A0" w:rsidRPr="007B27DE">
        <w:rPr>
          <w:rFonts w:asciiTheme="minorHAnsi" w:hAnsiTheme="minorHAnsi" w:cstheme="minorHAnsi"/>
        </w:rPr>
        <w:t>Kaplan-Meier curve</w:t>
      </w:r>
      <w:r w:rsidR="00D50B9B">
        <w:rPr>
          <w:rFonts w:asciiTheme="minorHAnsi" w:hAnsiTheme="minorHAnsi" w:cstheme="minorHAnsi"/>
        </w:rPr>
        <w:t>s</w:t>
      </w:r>
      <w:r w:rsidR="00F248A0" w:rsidRPr="007B27DE">
        <w:rPr>
          <w:rFonts w:asciiTheme="minorHAnsi" w:hAnsiTheme="minorHAnsi" w:cstheme="minorHAnsi"/>
        </w:rPr>
        <w:t xml:space="preserve"> </w:t>
      </w:r>
      <w:r w:rsidR="00D50B9B">
        <w:rPr>
          <w:rFonts w:asciiTheme="minorHAnsi" w:hAnsiTheme="minorHAnsi" w:cstheme="minorHAnsi"/>
        </w:rPr>
        <w:t>were</w:t>
      </w:r>
      <w:r w:rsidR="00F248A0" w:rsidRPr="007B27DE">
        <w:rPr>
          <w:rFonts w:asciiTheme="minorHAnsi" w:hAnsiTheme="minorHAnsi" w:cstheme="minorHAnsi"/>
        </w:rPr>
        <w:t xml:space="preserve"> generated to present</w:t>
      </w:r>
      <w:r w:rsidR="00116528">
        <w:rPr>
          <w:rFonts w:asciiTheme="minorHAnsi" w:hAnsiTheme="minorHAnsi" w:cstheme="minorHAnsi"/>
        </w:rPr>
        <w:t xml:space="preserve"> the</w:t>
      </w:r>
      <w:r w:rsidR="00F248A0" w:rsidRPr="007B27DE">
        <w:rPr>
          <w:rFonts w:asciiTheme="minorHAnsi" w:hAnsiTheme="minorHAnsi" w:cstheme="minorHAnsi"/>
        </w:rPr>
        <w:t xml:space="preserve"> treatment duration</w:t>
      </w:r>
      <w:r w:rsidR="00FA3F90">
        <w:rPr>
          <w:rFonts w:asciiTheme="minorHAnsi" w:hAnsiTheme="minorHAnsi" w:cstheme="minorHAnsi"/>
        </w:rPr>
        <w:t xml:space="preserve"> of patients who initiated treatment </w:t>
      </w:r>
      <w:r w:rsidR="00116528">
        <w:rPr>
          <w:rFonts w:asciiTheme="minorHAnsi" w:hAnsiTheme="minorHAnsi" w:cstheme="minorHAnsi"/>
        </w:rPr>
        <w:t>during the first two years of PBS-listing,</w:t>
      </w:r>
      <w:r w:rsidR="00FA3F90">
        <w:rPr>
          <w:rFonts w:asciiTheme="minorHAnsi" w:hAnsiTheme="minorHAnsi" w:cstheme="minorHAnsi"/>
        </w:rPr>
        <w:t xml:space="preserve"> with and without</w:t>
      </w:r>
      <w:r w:rsidR="00D50B9B">
        <w:rPr>
          <w:rFonts w:asciiTheme="minorHAnsi" w:hAnsiTheme="minorHAnsi" w:cstheme="minorHAnsi"/>
        </w:rPr>
        <w:t xml:space="preserve"> accounting for</w:t>
      </w:r>
      <w:r w:rsidR="00FA3F90">
        <w:rPr>
          <w:rFonts w:asciiTheme="minorHAnsi" w:hAnsiTheme="minorHAnsi" w:cstheme="minorHAnsi"/>
        </w:rPr>
        <w:t xml:space="preserve"> treatment breaks</w:t>
      </w:r>
      <w:r w:rsidR="00F248A0" w:rsidRPr="007B27DE">
        <w:rPr>
          <w:rFonts w:asciiTheme="minorHAnsi" w:hAnsiTheme="minorHAnsi" w:cstheme="minorHAnsi"/>
        </w:rPr>
        <w:t>.</w:t>
      </w:r>
      <w:r w:rsidR="00FA3F90">
        <w:rPr>
          <w:rFonts w:asciiTheme="minorHAnsi" w:hAnsiTheme="minorHAnsi" w:cstheme="minorHAnsi"/>
        </w:rPr>
        <w:t xml:space="preserve"> </w:t>
      </w:r>
      <w:r w:rsidR="00FA3F90" w:rsidRPr="007B27DE">
        <w:rPr>
          <w:rFonts w:asciiTheme="minorHAnsi" w:hAnsiTheme="minorHAnsi" w:cstheme="minorHAnsi"/>
        </w:rPr>
        <w:t>A patient was considered to be on a treatment break if they did not receive a supply in more than three sets of standard treatment days. The median standard treatment days was calculated to be 21 days.</w:t>
      </w:r>
      <w:r w:rsidR="00FA3F90">
        <w:rPr>
          <w:rFonts w:asciiTheme="minorHAnsi" w:hAnsiTheme="minorHAnsi" w:cstheme="minorHAnsi"/>
        </w:rPr>
        <w:t xml:space="preserve"> </w:t>
      </w:r>
      <w:r w:rsidR="00F248A0" w:rsidRPr="007B27DE">
        <w:rPr>
          <w:rFonts w:asciiTheme="minorHAnsi" w:hAnsiTheme="minorHAnsi" w:cstheme="minorHAnsi"/>
        </w:rPr>
        <w:t xml:space="preserve">These patients were followed until </w:t>
      </w:r>
      <w:r w:rsidR="003129C8" w:rsidRPr="007B27DE">
        <w:rPr>
          <w:rFonts w:asciiTheme="minorHAnsi" w:hAnsiTheme="minorHAnsi" w:cstheme="minorHAnsi"/>
        </w:rPr>
        <w:t>31 March</w:t>
      </w:r>
      <w:r w:rsidR="000C50A6" w:rsidRPr="007B27DE">
        <w:rPr>
          <w:rFonts w:asciiTheme="minorHAnsi" w:hAnsiTheme="minorHAnsi" w:cstheme="minorHAnsi"/>
        </w:rPr>
        <w:t xml:space="preserve"> 2024</w:t>
      </w:r>
      <w:r w:rsidR="00F248A0" w:rsidRPr="007B27DE">
        <w:rPr>
          <w:rFonts w:asciiTheme="minorHAnsi" w:hAnsiTheme="minorHAnsi" w:cstheme="minorHAnsi"/>
        </w:rPr>
        <w:t>, with patients censored if they</w:t>
      </w:r>
      <w:r w:rsidR="00E65871">
        <w:rPr>
          <w:rFonts w:asciiTheme="minorHAnsi" w:hAnsiTheme="minorHAnsi" w:cstheme="minorHAnsi"/>
        </w:rPr>
        <w:t xml:space="preserve"> were </w:t>
      </w:r>
      <w:r w:rsidR="00FA3F90">
        <w:rPr>
          <w:rFonts w:asciiTheme="minorHAnsi" w:hAnsiTheme="minorHAnsi" w:cstheme="minorHAnsi"/>
        </w:rPr>
        <w:t>supplied</w:t>
      </w:r>
      <w:r w:rsidRPr="007B27DE">
        <w:rPr>
          <w:rStyle w:val="cf01"/>
          <w:rFonts w:asciiTheme="minorHAnsi" w:hAnsiTheme="minorHAnsi" w:cstheme="minorHAnsi"/>
          <w:sz w:val="24"/>
          <w:szCs w:val="24"/>
        </w:rPr>
        <w:t xml:space="preserve"> </w:t>
      </w:r>
      <w:r w:rsidR="00E65871">
        <w:rPr>
          <w:rStyle w:val="cf01"/>
          <w:rFonts w:asciiTheme="minorHAnsi" w:hAnsiTheme="minorHAnsi" w:cstheme="minorHAnsi"/>
          <w:sz w:val="24"/>
          <w:szCs w:val="24"/>
        </w:rPr>
        <w:t xml:space="preserve">a prescription </w:t>
      </w:r>
      <w:r w:rsidRPr="007B27DE">
        <w:rPr>
          <w:rStyle w:val="cf01"/>
          <w:rFonts w:asciiTheme="minorHAnsi" w:hAnsiTheme="minorHAnsi" w:cstheme="minorHAnsi"/>
          <w:sz w:val="24"/>
          <w:szCs w:val="24"/>
        </w:rPr>
        <w:t xml:space="preserve">within </w:t>
      </w:r>
      <w:r w:rsidR="002D4FBC">
        <w:rPr>
          <w:rStyle w:val="cf01"/>
          <w:rFonts w:asciiTheme="minorHAnsi" w:hAnsiTheme="minorHAnsi" w:cstheme="minorHAnsi"/>
          <w:sz w:val="24"/>
          <w:szCs w:val="24"/>
        </w:rPr>
        <w:t>63</w:t>
      </w:r>
      <w:r w:rsidRPr="007B27DE">
        <w:rPr>
          <w:rStyle w:val="cf01"/>
          <w:rFonts w:asciiTheme="minorHAnsi" w:hAnsiTheme="minorHAnsi" w:cstheme="minorHAnsi"/>
          <w:sz w:val="24"/>
          <w:szCs w:val="24"/>
        </w:rPr>
        <w:t xml:space="preserve"> days of the analysis end date</w:t>
      </w:r>
      <w:r w:rsidR="00F248A0" w:rsidRPr="007B27DE">
        <w:rPr>
          <w:rFonts w:asciiTheme="minorHAnsi" w:hAnsiTheme="minorHAnsi" w:cstheme="minorHAnsi"/>
        </w:rPr>
        <w:t xml:space="preserve">. </w:t>
      </w:r>
    </w:p>
    <w:p w14:paraId="7CFA7D58" w14:textId="13A074FA" w:rsidR="00706413" w:rsidRPr="007B27DE" w:rsidRDefault="006804E0" w:rsidP="00364D5F">
      <w:pPr>
        <w:rPr>
          <w:rFonts w:cstheme="minorHAnsi"/>
        </w:rPr>
      </w:pPr>
      <w:r w:rsidRPr="007B27DE">
        <w:rPr>
          <w:rFonts w:cstheme="minorHAnsi"/>
        </w:rPr>
        <w:t>As this analysis uses date of supply prescription data, there may be small differences compared with publicly available Services Australia Medicare date of processing data.</w:t>
      </w:r>
      <w:r w:rsidR="00576B18" w:rsidRPr="007B27DE">
        <w:rPr>
          <w:rStyle w:val="FootnoteReference"/>
          <w:rFonts w:cstheme="minorHAnsi"/>
        </w:rPr>
        <w:footnoteReference w:id="6"/>
      </w:r>
      <w:r w:rsidR="00576B18" w:rsidRPr="007B27DE">
        <w:rPr>
          <w:rFonts w:cstheme="minorHAnsi"/>
        </w:rPr>
        <w:t xml:space="preserve"> </w:t>
      </w:r>
      <w:r w:rsidR="0090691F" w:rsidRPr="007B27DE">
        <w:rPr>
          <w:rFonts w:cstheme="minorHAnsi"/>
        </w:rPr>
        <w:t xml:space="preserve">The </w:t>
      </w:r>
      <w:r w:rsidR="00AC5054" w:rsidRPr="007B27DE">
        <w:rPr>
          <w:rFonts w:cstheme="minorHAnsi"/>
        </w:rPr>
        <w:t xml:space="preserve">publicly available </w:t>
      </w:r>
      <w:r w:rsidRPr="007B27DE">
        <w:rPr>
          <w:rFonts w:cstheme="minorHAnsi"/>
        </w:rPr>
        <w:t xml:space="preserve">Services Australia </w:t>
      </w:r>
      <w:r w:rsidR="0090691F" w:rsidRPr="007B27DE">
        <w:rPr>
          <w:rFonts w:cstheme="minorHAnsi"/>
        </w:rPr>
        <w:t xml:space="preserve">Medicare data </w:t>
      </w:r>
      <w:r w:rsidR="008E3F8C" w:rsidRPr="007B27DE">
        <w:rPr>
          <w:rFonts w:cstheme="minorHAnsi"/>
        </w:rPr>
        <w:t xml:space="preserve">only </w:t>
      </w:r>
      <w:r w:rsidR="0090691F" w:rsidRPr="007B27DE">
        <w:rPr>
          <w:rFonts w:cstheme="minorHAnsi"/>
        </w:rPr>
        <w:t xml:space="preserve">includes </w:t>
      </w:r>
      <w:r w:rsidR="00524D13" w:rsidRPr="007B27DE">
        <w:rPr>
          <w:rFonts w:cstheme="minorHAnsi"/>
        </w:rPr>
        <w:t xml:space="preserve">subsidised R/PBS prescriptions </w:t>
      </w:r>
      <w:r w:rsidR="008E3F8C" w:rsidRPr="007B27DE">
        <w:rPr>
          <w:rFonts w:cstheme="minorHAnsi"/>
        </w:rPr>
        <w:t xml:space="preserve">with prescriptions </w:t>
      </w:r>
      <w:r w:rsidR="00524D13" w:rsidRPr="007B27DE">
        <w:rPr>
          <w:rFonts w:cstheme="minorHAnsi"/>
        </w:rPr>
        <w:t xml:space="preserve">under </w:t>
      </w:r>
      <w:r w:rsidR="00DD29A3" w:rsidRPr="007B27DE">
        <w:rPr>
          <w:rFonts w:cstheme="minorHAnsi"/>
        </w:rPr>
        <w:t xml:space="preserve">the </w:t>
      </w:r>
      <w:r w:rsidR="00524D13" w:rsidRPr="007B27DE">
        <w:rPr>
          <w:rFonts w:cstheme="minorHAnsi"/>
        </w:rPr>
        <w:t xml:space="preserve">patient co-payment </w:t>
      </w:r>
      <w:r w:rsidR="008E3F8C" w:rsidRPr="007B27DE">
        <w:rPr>
          <w:rFonts w:cstheme="minorHAnsi"/>
        </w:rPr>
        <w:t>not included</w:t>
      </w:r>
      <w:r w:rsidR="00524D13" w:rsidRPr="007B27DE">
        <w:rPr>
          <w:rFonts w:cstheme="minorHAnsi"/>
        </w:rPr>
        <w:t>.</w:t>
      </w:r>
      <w:r w:rsidR="00DD29A3" w:rsidRPr="007B27DE">
        <w:rPr>
          <w:rFonts w:cstheme="minorHAnsi"/>
        </w:rPr>
        <w:t xml:space="preserve"> The </w:t>
      </w:r>
      <w:r w:rsidRPr="007B27DE">
        <w:rPr>
          <w:rFonts w:cstheme="minorHAnsi"/>
        </w:rPr>
        <w:t xml:space="preserve">Services Australia </w:t>
      </w:r>
      <w:r w:rsidR="00DD29A3" w:rsidRPr="007B27DE">
        <w:rPr>
          <w:rFonts w:cstheme="minorHAnsi"/>
        </w:rPr>
        <w:t>Medicare data used in this report includes under co-payment prescriptions from 1</w:t>
      </w:r>
      <w:r w:rsidR="006B554F" w:rsidRPr="007B27DE">
        <w:rPr>
          <w:rFonts w:cstheme="minorHAnsi"/>
        </w:rPr>
        <w:t> </w:t>
      </w:r>
      <w:r w:rsidR="00DD29A3" w:rsidRPr="007B27DE">
        <w:rPr>
          <w:rFonts w:cstheme="minorHAnsi"/>
        </w:rPr>
        <w:t>April 2012.</w:t>
      </w:r>
    </w:p>
    <w:p w14:paraId="1DC084DC" w14:textId="77777777" w:rsidR="009457CA" w:rsidRDefault="009457CA">
      <w:pPr>
        <w:spacing w:line="276" w:lineRule="auto"/>
        <w:rPr>
          <w:rFonts w:eastAsiaTheme="majorEastAsia" w:cstheme="majorBidi"/>
          <w:b/>
          <w:bCs/>
          <w:sz w:val="32"/>
          <w:szCs w:val="32"/>
        </w:rPr>
      </w:pPr>
      <w:r>
        <w:br w:type="page"/>
      </w:r>
    </w:p>
    <w:p w14:paraId="4F91A98A" w14:textId="1692EDFB" w:rsidR="00C714D0" w:rsidRPr="005E22C2" w:rsidRDefault="00C714D0" w:rsidP="00CF5E22">
      <w:pPr>
        <w:pStyle w:val="Heading1"/>
      </w:pPr>
      <w:r w:rsidRPr="005E22C2">
        <w:lastRenderedPageBreak/>
        <w:t>Results</w:t>
      </w:r>
    </w:p>
    <w:p w14:paraId="2221FF19" w14:textId="235A1F50" w:rsidR="00736041"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r w:rsidR="00D84E68">
        <w:t xml:space="preserve"> </w:t>
      </w:r>
    </w:p>
    <w:p w14:paraId="1CC3C1D4" w14:textId="2C21C95F" w:rsidR="00791ACF" w:rsidRDefault="00791ACF" w:rsidP="006D57B8">
      <w:r>
        <w:t xml:space="preserve">In Tables </w:t>
      </w:r>
      <w:r w:rsidR="00BD7972">
        <w:t>5</w:t>
      </w:r>
      <w:r>
        <w:t xml:space="preserve"> and </w:t>
      </w:r>
      <w:r w:rsidR="00BD7972">
        <w:t>6</w:t>
      </w:r>
      <w:r>
        <w:t xml:space="preserve"> </w:t>
      </w:r>
      <w:r w:rsidR="00BD7972">
        <w:t xml:space="preserve">and Figures 1 and 2 </w:t>
      </w:r>
      <w:r>
        <w:t xml:space="preserve">below, the number of </w:t>
      </w:r>
      <w:r w:rsidR="00874584">
        <w:t>treated</w:t>
      </w:r>
      <w:r>
        <w:t xml:space="preserve"> </w:t>
      </w:r>
      <w:r w:rsidR="00874584">
        <w:t xml:space="preserve">and initiating </w:t>
      </w:r>
      <w:r w:rsidR="005065D6">
        <w:t xml:space="preserve">CD30 positive </w:t>
      </w:r>
      <w:r>
        <w:t>PTCL patients ha</w:t>
      </w:r>
      <w:r w:rsidR="00AE3F6A">
        <w:t>d</w:t>
      </w:r>
      <w:r>
        <w:t xml:space="preserve"> been increasing since its PBS listing</w:t>
      </w:r>
      <w:r w:rsidR="00D637B1">
        <w:t xml:space="preserve">, </w:t>
      </w:r>
      <w:r w:rsidR="00661D45">
        <w:t>with a greater proportion of patients being treated with brentuximab vedotin fo</w:t>
      </w:r>
      <w:r w:rsidR="00B36188">
        <w:t xml:space="preserve">r </w:t>
      </w:r>
      <w:r w:rsidR="005065D6">
        <w:t>CD30 positive</w:t>
      </w:r>
      <w:r w:rsidR="00661D45">
        <w:t xml:space="preserve"> PTCL compared to </w:t>
      </w:r>
      <w:r w:rsidR="00B36188">
        <w:t xml:space="preserve">the </w:t>
      </w:r>
      <w:r w:rsidR="005065D6">
        <w:t xml:space="preserve"> </w:t>
      </w:r>
      <w:r w:rsidR="00661D45">
        <w:t xml:space="preserve">other indications. </w:t>
      </w:r>
    </w:p>
    <w:p w14:paraId="2BD10C3D" w14:textId="5A3493E8" w:rsidR="006D57B8" w:rsidRPr="00334C5A" w:rsidRDefault="006D57B8" w:rsidP="006D57B8">
      <w:r>
        <w:t>The</w:t>
      </w:r>
      <w:r w:rsidR="00197A04">
        <w:t xml:space="preserve">re was an average of 50 </w:t>
      </w:r>
      <w:r>
        <w:t xml:space="preserve">patients treated for </w:t>
      </w:r>
      <w:r w:rsidR="00B36188">
        <w:t xml:space="preserve">CD30 positive </w:t>
      </w:r>
      <w:r>
        <w:t>CTCL in the 2019/20 and 2020/21 financial years. However, from 20</w:t>
      </w:r>
      <w:r w:rsidR="00A8085E">
        <w:t xml:space="preserve">21/22 </w:t>
      </w:r>
      <w:r>
        <w:t>onwards, the number of patients ha</w:t>
      </w:r>
      <w:r w:rsidR="000E051E">
        <w:t>d</w:t>
      </w:r>
      <w:r>
        <w:t xml:space="preserve"> decreased to an average of</w:t>
      </w:r>
      <w:r w:rsidR="00A8085E">
        <w:t xml:space="preserve"> approximately</w:t>
      </w:r>
      <w:r>
        <w:t xml:space="preserve"> 33 patients per financial year.</w:t>
      </w:r>
      <w:r w:rsidR="00B36188">
        <w:t xml:space="preserve"> T</w:t>
      </w:r>
      <w:r>
        <w:t xml:space="preserve">he number of patients </w:t>
      </w:r>
      <w:r w:rsidR="00AB454D">
        <w:t>treated</w:t>
      </w:r>
      <w:r>
        <w:t xml:space="preserve"> </w:t>
      </w:r>
      <w:r w:rsidR="00B36188">
        <w:t>for</w:t>
      </w:r>
      <w:r w:rsidR="0075585B">
        <w:t xml:space="preserve"> CD30 positive</w:t>
      </w:r>
      <w:r>
        <w:t xml:space="preserve"> sALCL ha</w:t>
      </w:r>
      <w:r w:rsidR="00B253EA">
        <w:t>d</w:t>
      </w:r>
      <w:r>
        <w:t xml:space="preserve"> been </w:t>
      </w:r>
      <w:r w:rsidR="00AB454D">
        <w:t xml:space="preserve">slightly decreasing over time. </w:t>
      </w:r>
      <w:r w:rsidR="007A5B16">
        <w:t xml:space="preserve"> </w:t>
      </w:r>
      <w:r>
        <w:t xml:space="preserve"> </w:t>
      </w:r>
    </w:p>
    <w:p w14:paraId="44EF8135" w14:textId="09C67154" w:rsidR="000A2E6D" w:rsidRPr="006440DD" w:rsidRDefault="000A2E6D" w:rsidP="000A2E6D">
      <w:pPr>
        <w:pStyle w:val="Tabletitle"/>
      </w:pPr>
      <w:r w:rsidRPr="006440DD">
        <w:t xml:space="preserve">Table </w:t>
      </w:r>
      <w:r w:rsidR="00BD7972">
        <w:t>5</w:t>
      </w:r>
      <w:r>
        <w:t>: N</w:t>
      </w:r>
      <w:r w:rsidRPr="006440DD">
        <w:t xml:space="preserve">umber of </w:t>
      </w:r>
      <w:r w:rsidR="00574E8A">
        <w:t>prevalent patients by indication and</w:t>
      </w:r>
      <w:r>
        <w:t xml:space="preserve"> financial year</w:t>
      </w:r>
    </w:p>
    <w:tbl>
      <w:tblPr>
        <w:tblStyle w:val="TableGrid"/>
        <w:tblW w:w="5000" w:type="pct"/>
        <w:tblLook w:val="04A0" w:firstRow="1" w:lastRow="0" w:firstColumn="1" w:lastColumn="0" w:noHBand="0" w:noVBand="1"/>
      </w:tblPr>
      <w:tblGrid>
        <w:gridCol w:w="2234"/>
        <w:gridCol w:w="2239"/>
        <w:gridCol w:w="2237"/>
        <w:gridCol w:w="2237"/>
      </w:tblGrid>
      <w:tr w:rsidR="00574E8A" w:rsidRPr="00BA2A9F" w14:paraId="012691F1" w14:textId="31ABF78C" w:rsidTr="00574E8A">
        <w:tc>
          <w:tcPr>
            <w:tcW w:w="1248" w:type="pct"/>
            <w:shd w:val="clear" w:color="auto" w:fill="BFBFBF" w:themeFill="background1" w:themeFillShade="BF"/>
          </w:tcPr>
          <w:p w14:paraId="0053BFE3" w14:textId="2F909079" w:rsidR="00574E8A" w:rsidRPr="00BA2A9F" w:rsidRDefault="00574E8A" w:rsidP="00210F22">
            <w:pPr>
              <w:spacing w:before="60" w:after="60"/>
              <w:jc w:val="center"/>
              <w:rPr>
                <w:rFonts w:eastAsiaTheme="majorEastAsia"/>
                <w:b/>
                <w:sz w:val="20"/>
                <w:szCs w:val="20"/>
              </w:rPr>
            </w:pPr>
            <w:r>
              <w:rPr>
                <w:rFonts w:eastAsiaTheme="majorEastAsia"/>
                <w:b/>
                <w:sz w:val="20"/>
                <w:szCs w:val="20"/>
              </w:rPr>
              <w:t>Financial year</w:t>
            </w:r>
          </w:p>
        </w:tc>
        <w:tc>
          <w:tcPr>
            <w:tcW w:w="1251" w:type="pct"/>
            <w:shd w:val="clear" w:color="auto" w:fill="BFBFBF" w:themeFill="background1" w:themeFillShade="BF"/>
          </w:tcPr>
          <w:p w14:paraId="01BE19BA" w14:textId="02335860" w:rsidR="00574E8A" w:rsidRPr="005529B6" w:rsidRDefault="00574E8A" w:rsidP="00044843">
            <w:pPr>
              <w:spacing w:before="60" w:after="60"/>
              <w:jc w:val="center"/>
              <w:rPr>
                <w:rFonts w:eastAsiaTheme="majorEastAsia"/>
                <w:b/>
                <w:sz w:val="20"/>
                <w:szCs w:val="20"/>
              </w:rPr>
            </w:pPr>
            <w:r>
              <w:rPr>
                <w:rFonts w:eastAsiaTheme="majorEastAsia"/>
                <w:b/>
                <w:sz w:val="20"/>
                <w:szCs w:val="20"/>
              </w:rPr>
              <w:t>CTCL</w:t>
            </w:r>
          </w:p>
        </w:tc>
        <w:tc>
          <w:tcPr>
            <w:tcW w:w="1250" w:type="pct"/>
            <w:shd w:val="clear" w:color="auto" w:fill="BFBFBF" w:themeFill="background1" w:themeFillShade="BF"/>
          </w:tcPr>
          <w:p w14:paraId="2ACFB87A" w14:textId="5BFD980B" w:rsidR="00574E8A" w:rsidRDefault="00B84DA4" w:rsidP="00044843">
            <w:pPr>
              <w:spacing w:before="60" w:after="60"/>
              <w:jc w:val="center"/>
              <w:rPr>
                <w:rFonts w:eastAsiaTheme="majorEastAsia"/>
                <w:b/>
                <w:sz w:val="20"/>
                <w:szCs w:val="20"/>
              </w:rPr>
            </w:pPr>
            <w:r>
              <w:rPr>
                <w:rFonts w:eastAsiaTheme="majorEastAsia"/>
                <w:b/>
                <w:sz w:val="20"/>
                <w:szCs w:val="20"/>
              </w:rPr>
              <w:t xml:space="preserve">PTCL </w:t>
            </w:r>
          </w:p>
        </w:tc>
        <w:tc>
          <w:tcPr>
            <w:tcW w:w="1250" w:type="pct"/>
            <w:shd w:val="clear" w:color="auto" w:fill="BFBFBF" w:themeFill="background1" w:themeFillShade="BF"/>
          </w:tcPr>
          <w:p w14:paraId="2D4476C0" w14:textId="36EAC263" w:rsidR="00574E8A" w:rsidRDefault="00B84DA4" w:rsidP="00044843">
            <w:pPr>
              <w:spacing w:before="60" w:after="60"/>
              <w:jc w:val="center"/>
              <w:rPr>
                <w:rFonts w:eastAsiaTheme="majorEastAsia"/>
                <w:b/>
                <w:sz w:val="20"/>
                <w:szCs w:val="20"/>
              </w:rPr>
            </w:pPr>
            <w:r>
              <w:rPr>
                <w:rFonts w:eastAsiaTheme="majorEastAsia"/>
                <w:b/>
                <w:sz w:val="20"/>
                <w:szCs w:val="20"/>
              </w:rPr>
              <w:t>s</w:t>
            </w:r>
            <w:r w:rsidR="00D70B4E">
              <w:rPr>
                <w:rFonts w:eastAsiaTheme="majorEastAsia"/>
                <w:b/>
                <w:sz w:val="20"/>
                <w:szCs w:val="20"/>
              </w:rPr>
              <w:t>AL</w:t>
            </w:r>
            <w:r>
              <w:rPr>
                <w:rFonts w:eastAsiaTheme="majorEastAsia"/>
                <w:b/>
                <w:sz w:val="20"/>
                <w:szCs w:val="20"/>
              </w:rPr>
              <w:t>CL</w:t>
            </w:r>
          </w:p>
        </w:tc>
      </w:tr>
      <w:tr w:rsidR="00574E8A" w:rsidRPr="002C4256" w14:paraId="2EE172EA" w14:textId="1A0444B3" w:rsidTr="00574E8A">
        <w:tc>
          <w:tcPr>
            <w:tcW w:w="1248" w:type="pct"/>
          </w:tcPr>
          <w:p w14:paraId="1AD396A3" w14:textId="77777777" w:rsidR="00574E8A" w:rsidRPr="00BC40E8" w:rsidRDefault="00574E8A" w:rsidP="00210F22">
            <w:pPr>
              <w:spacing w:before="60" w:after="60"/>
              <w:jc w:val="center"/>
              <w:rPr>
                <w:rFonts w:eastAsiaTheme="majorEastAsia"/>
                <w:b/>
                <w:sz w:val="20"/>
                <w:szCs w:val="20"/>
              </w:rPr>
            </w:pPr>
            <w:r>
              <w:rPr>
                <w:rFonts w:eastAsiaTheme="majorEastAsia"/>
                <w:b/>
                <w:sz w:val="20"/>
                <w:szCs w:val="20"/>
              </w:rPr>
              <w:t>2019/20</w:t>
            </w:r>
          </w:p>
        </w:tc>
        <w:tc>
          <w:tcPr>
            <w:tcW w:w="1251" w:type="pct"/>
          </w:tcPr>
          <w:p w14:paraId="2DD7B4B8" w14:textId="77777777" w:rsidR="00574E8A" w:rsidRDefault="00574E8A" w:rsidP="005C53EB">
            <w:pPr>
              <w:spacing w:before="60" w:after="60"/>
              <w:jc w:val="center"/>
              <w:rPr>
                <w:rFonts w:eastAsiaTheme="majorEastAsia"/>
                <w:sz w:val="20"/>
                <w:szCs w:val="20"/>
              </w:rPr>
            </w:pPr>
            <w:r>
              <w:rPr>
                <w:rFonts w:eastAsiaTheme="majorEastAsia"/>
                <w:sz w:val="20"/>
                <w:szCs w:val="20"/>
              </w:rPr>
              <w:t>50</w:t>
            </w:r>
          </w:p>
        </w:tc>
        <w:tc>
          <w:tcPr>
            <w:tcW w:w="1250" w:type="pct"/>
          </w:tcPr>
          <w:p w14:paraId="7D056FBE" w14:textId="3B25B383" w:rsidR="00574E8A" w:rsidRDefault="00D70B4E" w:rsidP="005C53EB">
            <w:pPr>
              <w:spacing w:before="60" w:after="60"/>
              <w:jc w:val="center"/>
              <w:rPr>
                <w:rFonts w:eastAsiaTheme="majorEastAsia"/>
                <w:sz w:val="20"/>
                <w:szCs w:val="20"/>
              </w:rPr>
            </w:pPr>
            <w:r>
              <w:rPr>
                <w:rFonts w:eastAsiaTheme="majorEastAsia"/>
                <w:sz w:val="20"/>
                <w:szCs w:val="20"/>
              </w:rPr>
              <w:t>-</w:t>
            </w:r>
          </w:p>
        </w:tc>
        <w:tc>
          <w:tcPr>
            <w:tcW w:w="1250" w:type="pct"/>
          </w:tcPr>
          <w:p w14:paraId="30CC4166" w14:textId="43B61EDB" w:rsidR="00574E8A" w:rsidRDefault="00D771D9" w:rsidP="005C53EB">
            <w:pPr>
              <w:spacing w:before="60" w:after="60"/>
              <w:jc w:val="center"/>
              <w:rPr>
                <w:rFonts w:eastAsiaTheme="majorEastAsia"/>
                <w:sz w:val="20"/>
                <w:szCs w:val="20"/>
              </w:rPr>
            </w:pPr>
            <w:r>
              <w:rPr>
                <w:rFonts w:eastAsiaTheme="majorEastAsia"/>
                <w:sz w:val="20"/>
                <w:szCs w:val="20"/>
              </w:rPr>
              <w:t>48</w:t>
            </w:r>
          </w:p>
        </w:tc>
      </w:tr>
      <w:tr w:rsidR="00574E8A" w:rsidRPr="002C4256" w14:paraId="5DE4A57A" w14:textId="4B9EFAC6" w:rsidTr="00574E8A">
        <w:tc>
          <w:tcPr>
            <w:tcW w:w="1248" w:type="pct"/>
          </w:tcPr>
          <w:p w14:paraId="1A023A07" w14:textId="77777777" w:rsidR="00574E8A" w:rsidRPr="00BC40E8" w:rsidRDefault="00574E8A" w:rsidP="00210F22">
            <w:pPr>
              <w:spacing w:before="60" w:after="60"/>
              <w:jc w:val="center"/>
              <w:rPr>
                <w:rFonts w:eastAsiaTheme="majorEastAsia"/>
                <w:b/>
                <w:sz w:val="20"/>
                <w:szCs w:val="20"/>
              </w:rPr>
            </w:pPr>
            <w:r>
              <w:rPr>
                <w:rFonts w:eastAsiaTheme="majorEastAsia"/>
                <w:b/>
                <w:sz w:val="20"/>
                <w:szCs w:val="20"/>
              </w:rPr>
              <w:t>2020/21</w:t>
            </w:r>
          </w:p>
        </w:tc>
        <w:tc>
          <w:tcPr>
            <w:tcW w:w="1251" w:type="pct"/>
          </w:tcPr>
          <w:p w14:paraId="5075878B" w14:textId="77777777" w:rsidR="00574E8A" w:rsidRDefault="00574E8A" w:rsidP="005C53EB">
            <w:pPr>
              <w:spacing w:before="60" w:after="60"/>
              <w:jc w:val="center"/>
              <w:rPr>
                <w:rFonts w:eastAsiaTheme="majorEastAsia"/>
                <w:sz w:val="20"/>
                <w:szCs w:val="20"/>
              </w:rPr>
            </w:pPr>
            <w:r>
              <w:rPr>
                <w:rFonts w:eastAsiaTheme="majorEastAsia"/>
                <w:sz w:val="20"/>
                <w:szCs w:val="20"/>
              </w:rPr>
              <w:t>51</w:t>
            </w:r>
          </w:p>
        </w:tc>
        <w:tc>
          <w:tcPr>
            <w:tcW w:w="1250" w:type="pct"/>
          </w:tcPr>
          <w:p w14:paraId="68420955" w14:textId="30647EFC" w:rsidR="00574E8A" w:rsidRDefault="00D70B4E" w:rsidP="005C53EB">
            <w:pPr>
              <w:spacing w:before="60" w:after="60"/>
              <w:jc w:val="center"/>
              <w:rPr>
                <w:rFonts w:eastAsiaTheme="majorEastAsia"/>
                <w:sz w:val="20"/>
                <w:szCs w:val="20"/>
              </w:rPr>
            </w:pPr>
            <w:r>
              <w:rPr>
                <w:rFonts w:eastAsiaTheme="majorEastAsia"/>
                <w:sz w:val="20"/>
                <w:szCs w:val="20"/>
              </w:rPr>
              <w:t>-</w:t>
            </w:r>
          </w:p>
        </w:tc>
        <w:tc>
          <w:tcPr>
            <w:tcW w:w="1250" w:type="pct"/>
          </w:tcPr>
          <w:p w14:paraId="2D075EF7" w14:textId="22F030A1" w:rsidR="00574E8A" w:rsidRDefault="00D771D9" w:rsidP="005C53EB">
            <w:pPr>
              <w:spacing w:before="60" w:after="60"/>
              <w:jc w:val="center"/>
              <w:rPr>
                <w:rFonts w:eastAsiaTheme="majorEastAsia"/>
                <w:sz w:val="20"/>
                <w:szCs w:val="20"/>
              </w:rPr>
            </w:pPr>
            <w:r>
              <w:rPr>
                <w:rFonts w:eastAsiaTheme="majorEastAsia"/>
                <w:sz w:val="20"/>
                <w:szCs w:val="20"/>
              </w:rPr>
              <w:t>46</w:t>
            </w:r>
          </w:p>
        </w:tc>
      </w:tr>
      <w:tr w:rsidR="00B84DA4" w:rsidRPr="002C4256" w14:paraId="6D50BB79" w14:textId="43E0EDEA" w:rsidTr="00574E8A">
        <w:tc>
          <w:tcPr>
            <w:tcW w:w="1248" w:type="pct"/>
          </w:tcPr>
          <w:p w14:paraId="27AD3062" w14:textId="572B021A" w:rsidR="00B84DA4" w:rsidRPr="00BC40E8" w:rsidRDefault="00B84DA4" w:rsidP="00210F22">
            <w:pPr>
              <w:spacing w:before="60" w:after="60"/>
              <w:jc w:val="center"/>
              <w:rPr>
                <w:rFonts w:eastAsiaTheme="majorEastAsia"/>
                <w:b/>
                <w:sz w:val="20"/>
                <w:szCs w:val="20"/>
              </w:rPr>
            </w:pPr>
            <w:r>
              <w:rPr>
                <w:rFonts w:eastAsiaTheme="majorEastAsia"/>
                <w:b/>
                <w:sz w:val="20"/>
                <w:szCs w:val="20"/>
              </w:rPr>
              <w:t>2021/</w:t>
            </w:r>
            <w:r w:rsidRPr="00BC40E8">
              <w:rPr>
                <w:rFonts w:eastAsiaTheme="majorEastAsia"/>
                <w:b/>
                <w:sz w:val="20"/>
                <w:szCs w:val="20"/>
              </w:rPr>
              <w:t>2</w:t>
            </w:r>
            <w:r>
              <w:rPr>
                <w:rFonts w:eastAsiaTheme="majorEastAsia"/>
                <w:b/>
                <w:sz w:val="20"/>
                <w:szCs w:val="20"/>
              </w:rPr>
              <w:t>2</w:t>
            </w:r>
          </w:p>
        </w:tc>
        <w:tc>
          <w:tcPr>
            <w:tcW w:w="1251" w:type="pct"/>
          </w:tcPr>
          <w:p w14:paraId="5BBA2E6C" w14:textId="77777777" w:rsidR="00B84DA4" w:rsidRDefault="00B84DA4" w:rsidP="00B84DA4">
            <w:pPr>
              <w:spacing w:before="60" w:after="60"/>
              <w:jc w:val="center"/>
              <w:rPr>
                <w:rFonts w:eastAsiaTheme="majorEastAsia"/>
                <w:sz w:val="20"/>
                <w:szCs w:val="20"/>
              </w:rPr>
            </w:pPr>
            <w:r>
              <w:rPr>
                <w:rFonts w:eastAsiaTheme="majorEastAsia"/>
                <w:sz w:val="20"/>
                <w:szCs w:val="20"/>
              </w:rPr>
              <w:t>31</w:t>
            </w:r>
          </w:p>
        </w:tc>
        <w:tc>
          <w:tcPr>
            <w:tcW w:w="1250" w:type="pct"/>
          </w:tcPr>
          <w:p w14:paraId="66C33BB4" w14:textId="5CCEB4F4" w:rsidR="00B84DA4" w:rsidRDefault="00B84DA4" w:rsidP="00B84DA4">
            <w:pPr>
              <w:spacing w:before="60" w:after="60"/>
              <w:jc w:val="center"/>
              <w:rPr>
                <w:rFonts w:eastAsiaTheme="majorEastAsia"/>
                <w:sz w:val="20"/>
                <w:szCs w:val="20"/>
              </w:rPr>
            </w:pPr>
            <w:r>
              <w:rPr>
                <w:rFonts w:eastAsiaTheme="majorEastAsia"/>
                <w:sz w:val="20"/>
                <w:szCs w:val="20"/>
              </w:rPr>
              <w:t>64</w:t>
            </w:r>
          </w:p>
        </w:tc>
        <w:tc>
          <w:tcPr>
            <w:tcW w:w="1250" w:type="pct"/>
          </w:tcPr>
          <w:p w14:paraId="2713FCF5" w14:textId="4C9B7D21" w:rsidR="00B84DA4" w:rsidRDefault="00D771D9" w:rsidP="00B84DA4">
            <w:pPr>
              <w:spacing w:before="60" w:after="60"/>
              <w:jc w:val="center"/>
              <w:rPr>
                <w:rFonts w:eastAsiaTheme="majorEastAsia"/>
                <w:sz w:val="20"/>
                <w:szCs w:val="20"/>
              </w:rPr>
            </w:pPr>
            <w:r>
              <w:rPr>
                <w:rFonts w:eastAsiaTheme="majorEastAsia"/>
                <w:sz w:val="20"/>
                <w:szCs w:val="20"/>
              </w:rPr>
              <w:t>47</w:t>
            </w:r>
          </w:p>
        </w:tc>
      </w:tr>
      <w:tr w:rsidR="00B84DA4" w:rsidRPr="002C4256" w14:paraId="6B664C61" w14:textId="6501042F" w:rsidTr="00574E8A">
        <w:tc>
          <w:tcPr>
            <w:tcW w:w="1248" w:type="pct"/>
          </w:tcPr>
          <w:p w14:paraId="4D34F37D" w14:textId="77777777" w:rsidR="00B84DA4" w:rsidRDefault="00B84DA4" w:rsidP="00210F22">
            <w:pPr>
              <w:spacing w:before="60" w:after="60"/>
              <w:jc w:val="center"/>
              <w:rPr>
                <w:rFonts w:eastAsiaTheme="majorEastAsia"/>
                <w:b/>
                <w:sz w:val="20"/>
                <w:szCs w:val="20"/>
              </w:rPr>
            </w:pPr>
            <w:r>
              <w:rPr>
                <w:rFonts w:eastAsiaTheme="majorEastAsia"/>
                <w:b/>
                <w:sz w:val="20"/>
                <w:szCs w:val="20"/>
              </w:rPr>
              <w:t>2022/23</w:t>
            </w:r>
          </w:p>
        </w:tc>
        <w:tc>
          <w:tcPr>
            <w:tcW w:w="1251" w:type="pct"/>
          </w:tcPr>
          <w:p w14:paraId="27D85E3C" w14:textId="77777777" w:rsidR="00B84DA4" w:rsidRDefault="00B84DA4" w:rsidP="00B84DA4">
            <w:pPr>
              <w:spacing w:before="60" w:after="60"/>
              <w:jc w:val="center"/>
              <w:rPr>
                <w:rFonts w:eastAsiaTheme="majorEastAsia"/>
                <w:sz w:val="20"/>
                <w:szCs w:val="20"/>
              </w:rPr>
            </w:pPr>
            <w:r>
              <w:rPr>
                <w:rFonts w:eastAsiaTheme="majorEastAsia"/>
                <w:sz w:val="20"/>
                <w:szCs w:val="20"/>
              </w:rPr>
              <w:t>36</w:t>
            </w:r>
          </w:p>
        </w:tc>
        <w:tc>
          <w:tcPr>
            <w:tcW w:w="1250" w:type="pct"/>
          </w:tcPr>
          <w:p w14:paraId="7502D224" w14:textId="0100D2AE" w:rsidR="00B84DA4" w:rsidRDefault="00B84DA4" w:rsidP="00B84DA4">
            <w:pPr>
              <w:spacing w:before="60" w:after="60"/>
              <w:jc w:val="center"/>
              <w:rPr>
                <w:rFonts w:eastAsiaTheme="majorEastAsia"/>
                <w:sz w:val="20"/>
                <w:szCs w:val="20"/>
              </w:rPr>
            </w:pPr>
            <w:r>
              <w:rPr>
                <w:rFonts w:eastAsiaTheme="majorEastAsia"/>
                <w:sz w:val="20"/>
                <w:szCs w:val="20"/>
              </w:rPr>
              <w:t>113</w:t>
            </w:r>
          </w:p>
        </w:tc>
        <w:tc>
          <w:tcPr>
            <w:tcW w:w="1250" w:type="pct"/>
          </w:tcPr>
          <w:p w14:paraId="730A5BE8" w14:textId="13385361" w:rsidR="00B84DA4" w:rsidRDefault="00D771D9" w:rsidP="00B84DA4">
            <w:pPr>
              <w:spacing w:before="60" w:after="60"/>
              <w:jc w:val="center"/>
              <w:rPr>
                <w:rFonts w:eastAsiaTheme="majorEastAsia"/>
                <w:sz w:val="20"/>
                <w:szCs w:val="20"/>
              </w:rPr>
            </w:pPr>
            <w:r>
              <w:rPr>
                <w:rFonts w:eastAsiaTheme="majorEastAsia"/>
                <w:sz w:val="20"/>
                <w:szCs w:val="20"/>
              </w:rPr>
              <w:t>38</w:t>
            </w:r>
          </w:p>
        </w:tc>
      </w:tr>
      <w:tr w:rsidR="00B84DA4" w:rsidRPr="002C4256" w14:paraId="7E951BB7" w14:textId="6FA81018" w:rsidTr="00574E8A">
        <w:tc>
          <w:tcPr>
            <w:tcW w:w="1248" w:type="pct"/>
          </w:tcPr>
          <w:p w14:paraId="6BE291FB" w14:textId="5EE7A75D" w:rsidR="00B84DA4" w:rsidRDefault="00B84DA4" w:rsidP="00210F22">
            <w:pPr>
              <w:spacing w:before="60" w:after="60"/>
              <w:jc w:val="center"/>
              <w:rPr>
                <w:rFonts w:eastAsiaTheme="majorEastAsia"/>
                <w:b/>
                <w:sz w:val="20"/>
                <w:szCs w:val="20"/>
              </w:rPr>
            </w:pPr>
            <w:r>
              <w:rPr>
                <w:rFonts w:eastAsiaTheme="majorEastAsia"/>
                <w:b/>
                <w:sz w:val="20"/>
                <w:szCs w:val="20"/>
              </w:rPr>
              <w:t>2023/24</w:t>
            </w:r>
          </w:p>
        </w:tc>
        <w:tc>
          <w:tcPr>
            <w:tcW w:w="1251" w:type="pct"/>
          </w:tcPr>
          <w:p w14:paraId="28812C81" w14:textId="503703FC" w:rsidR="00B84DA4" w:rsidRDefault="00B84DA4" w:rsidP="00B84DA4">
            <w:pPr>
              <w:spacing w:before="60" w:after="60"/>
              <w:jc w:val="center"/>
              <w:rPr>
                <w:rFonts w:eastAsiaTheme="majorEastAsia"/>
                <w:sz w:val="20"/>
                <w:szCs w:val="20"/>
              </w:rPr>
            </w:pPr>
            <w:r>
              <w:rPr>
                <w:rFonts w:eastAsiaTheme="majorEastAsia"/>
                <w:sz w:val="20"/>
                <w:szCs w:val="20"/>
              </w:rPr>
              <w:t>3</w:t>
            </w:r>
            <w:r w:rsidR="00C14504">
              <w:rPr>
                <w:rFonts w:eastAsiaTheme="majorEastAsia"/>
                <w:sz w:val="20"/>
                <w:szCs w:val="20"/>
              </w:rPr>
              <w:t>2</w:t>
            </w:r>
          </w:p>
        </w:tc>
        <w:tc>
          <w:tcPr>
            <w:tcW w:w="1250" w:type="pct"/>
          </w:tcPr>
          <w:p w14:paraId="26846D70" w14:textId="6491CBBE" w:rsidR="00B84DA4" w:rsidRDefault="00C14504" w:rsidP="00B84DA4">
            <w:pPr>
              <w:spacing w:before="60" w:after="60"/>
              <w:jc w:val="center"/>
              <w:rPr>
                <w:rFonts w:eastAsiaTheme="majorEastAsia"/>
                <w:sz w:val="20"/>
                <w:szCs w:val="20"/>
              </w:rPr>
            </w:pPr>
            <w:r>
              <w:rPr>
                <w:rFonts w:eastAsiaTheme="majorEastAsia"/>
                <w:sz w:val="20"/>
                <w:szCs w:val="20"/>
              </w:rPr>
              <w:t>114</w:t>
            </w:r>
          </w:p>
        </w:tc>
        <w:tc>
          <w:tcPr>
            <w:tcW w:w="1250" w:type="pct"/>
          </w:tcPr>
          <w:p w14:paraId="1D7E663A" w14:textId="2EBBE305" w:rsidR="00B84DA4" w:rsidRDefault="00D771D9" w:rsidP="00B84DA4">
            <w:pPr>
              <w:spacing w:before="60" w:after="60"/>
              <w:jc w:val="center"/>
              <w:rPr>
                <w:rFonts w:eastAsiaTheme="majorEastAsia"/>
                <w:sz w:val="20"/>
                <w:szCs w:val="20"/>
              </w:rPr>
            </w:pPr>
            <w:r>
              <w:rPr>
                <w:rFonts w:eastAsiaTheme="majorEastAsia"/>
                <w:sz w:val="20"/>
                <w:szCs w:val="20"/>
              </w:rPr>
              <w:t>2</w:t>
            </w:r>
            <w:r w:rsidR="00C14504">
              <w:rPr>
                <w:rFonts w:eastAsiaTheme="majorEastAsia"/>
                <w:sz w:val="20"/>
                <w:szCs w:val="20"/>
              </w:rPr>
              <w:t>5</w:t>
            </w:r>
          </w:p>
        </w:tc>
      </w:tr>
    </w:tbl>
    <w:p w14:paraId="3AA54F62" w14:textId="77777777" w:rsidR="0004512F" w:rsidRDefault="0004512F" w:rsidP="0004512F">
      <w:pPr>
        <w:rPr>
          <w:sz w:val="20"/>
          <w:szCs w:val="20"/>
        </w:rPr>
      </w:pPr>
      <w:r w:rsidRPr="00C76973">
        <w:rPr>
          <w:sz w:val="20"/>
          <w:szCs w:val="20"/>
        </w:rPr>
        <w:t xml:space="preserve">Note: The 2023/24 financial year includes </w:t>
      </w:r>
      <w:r>
        <w:rPr>
          <w:sz w:val="20"/>
          <w:szCs w:val="20"/>
        </w:rPr>
        <w:t>nine</w:t>
      </w:r>
      <w:r w:rsidRPr="00C76973">
        <w:rPr>
          <w:sz w:val="20"/>
          <w:szCs w:val="20"/>
        </w:rPr>
        <w:t xml:space="preserve"> months of data, from July 2023 to </w:t>
      </w:r>
      <w:r>
        <w:rPr>
          <w:sz w:val="20"/>
          <w:szCs w:val="20"/>
        </w:rPr>
        <w:t>March</w:t>
      </w:r>
      <w:r w:rsidRPr="00C76973">
        <w:rPr>
          <w:sz w:val="20"/>
          <w:szCs w:val="20"/>
        </w:rPr>
        <w:t xml:space="preserve"> 2024 inclusive.</w:t>
      </w:r>
    </w:p>
    <w:p w14:paraId="613C4D7E" w14:textId="7D3EB770" w:rsidR="00574E8A" w:rsidRDefault="00574E8A" w:rsidP="004B3ABE">
      <w:pPr>
        <w:rPr>
          <w:sz w:val="20"/>
          <w:szCs w:val="20"/>
        </w:rPr>
      </w:pPr>
    </w:p>
    <w:p w14:paraId="53E9A56C" w14:textId="44984150" w:rsidR="004B3ABE" w:rsidRDefault="00C14504" w:rsidP="000B5668">
      <w:pPr>
        <w:jc w:val="center"/>
        <w:rPr>
          <w:sz w:val="20"/>
          <w:szCs w:val="20"/>
        </w:rPr>
      </w:pPr>
      <w:r>
        <w:rPr>
          <w:noProof/>
        </w:rPr>
        <w:drawing>
          <wp:inline distT="0" distB="0" distL="0" distR="0" wp14:anchorId="200E776D" wp14:editId="2A1A8CBF">
            <wp:extent cx="4258800" cy="2466000"/>
            <wp:effectExtent l="0" t="0" r="8890" b="10795"/>
            <wp:docPr id="2" name="Chart 2">
              <a:extLst xmlns:a="http://schemas.openxmlformats.org/drawingml/2006/main">
                <a:ext uri="{FF2B5EF4-FFF2-40B4-BE49-F238E27FC236}">
                  <a16:creationId xmlns:a16="http://schemas.microsoft.com/office/drawing/2014/main" id="{A4627CFD-998E-59AB-1F1E-0164261E0ED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8F5D92" w14:textId="36B65988" w:rsidR="00FC0871" w:rsidRDefault="000B5668" w:rsidP="000B5668">
      <w:pPr>
        <w:pStyle w:val="Tabletitle"/>
      </w:pPr>
      <w:r>
        <w:t xml:space="preserve">Figure 1: </w:t>
      </w:r>
      <w:r w:rsidR="00D70B4E">
        <w:t>N</w:t>
      </w:r>
      <w:r w:rsidR="00D70B4E" w:rsidRPr="006440DD">
        <w:t xml:space="preserve">umber of </w:t>
      </w:r>
      <w:r w:rsidR="00D70B4E">
        <w:t>prevalent patients by indication and financial year</w:t>
      </w:r>
    </w:p>
    <w:p w14:paraId="5878D524" w14:textId="26543099" w:rsidR="006D57B8" w:rsidRDefault="00334C5A" w:rsidP="00BC0DDB">
      <w:pPr>
        <w:rPr>
          <w:sz w:val="20"/>
          <w:szCs w:val="20"/>
        </w:rPr>
      </w:pPr>
      <w:r w:rsidRPr="00C76973">
        <w:rPr>
          <w:sz w:val="20"/>
          <w:szCs w:val="20"/>
        </w:rPr>
        <w:t xml:space="preserve">Note: The 2023/24 financial year includes </w:t>
      </w:r>
      <w:r w:rsidR="0004512F">
        <w:rPr>
          <w:sz w:val="20"/>
          <w:szCs w:val="20"/>
        </w:rPr>
        <w:t>nine</w:t>
      </w:r>
      <w:r w:rsidRPr="00C76973">
        <w:rPr>
          <w:sz w:val="20"/>
          <w:szCs w:val="20"/>
        </w:rPr>
        <w:t xml:space="preserve"> months of data, from July 2023 to </w:t>
      </w:r>
      <w:r w:rsidR="000F13C1">
        <w:rPr>
          <w:sz w:val="20"/>
          <w:szCs w:val="20"/>
        </w:rPr>
        <w:t>March</w:t>
      </w:r>
      <w:r w:rsidRPr="00C76973">
        <w:rPr>
          <w:sz w:val="20"/>
          <w:szCs w:val="20"/>
        </w:rPr>
        <w:t xml:space="preserve"> 2024 inclusive.</w:t>
      </w:r>
    </w:p>
    <w:p w14:paraId="00B5E190" w14:textId="77777777" w:rsidR="009457CA" w:rsidRDefault="009457CA" w:rsidP="00BC0DDB">
      <w:pPr>
        <w:rPr>
          <w:sz w:val="20"/>
          <w:szCs w:val="20"/>
        </w:rPr>
      </w:pPr>
    </w:p>
    <w:p w14:paraId="0DA1DB65" w14:textId="77777777" w:rsidR="00393F32" w:rsidRDefault="00393F32" w:rsidP="00BC0DDB">
      <w:pPr>
        <w:rPr>
          <w:sz w:val="20"/>
          <w:szCs w:val="20"/>
        </w:rPr>
      </w:pPr>
    </w:p>
    <w:p w14:paraId="643F669A" w14:textId="77777777" w:rsidR="00393F32" w:rsidRPr="00DD4C03" w:rsidRDefault="00393F32" w:rsidP="00BC0DDB"/>
    <w:p w14:paraId="77C4A1C3" w14:textId="343CFFE0" w:rsidR="00044843" w:rsidRPr="006440DD" w:rsidRDefault="00044843" w:rsidP="00044843">
      <w:pPr>
        <w:pStyle w:val="Tabletitle"/>
      </w:pPr>
      <w:r w:rsidRPr="006440DD">
        <w:lastRenderedPageBreak/>
        <w:t xml:space="preserve">Table </w:t>
      </w:r>
      <w:r w:rsidR="00BD7972">
        <w:t>6</w:t>
      </w:r>
      <w:r>
        <w:t>: N</w:t>
      </w:r>
      <w:r w:rsidRPr="006440DD">
        <w:t xml:space="preserve">umber of </w:t>
      </w:r>
      <w:r>
        <w:t>in</w:t>
      </w:r>
      <w:r w:rsidR="00E076EA">
        <w:t xml:space="preserve">itiating </w:t>
      </w:r>
      <w:r w:rsidRPr="006440DD">
        <w:t xml:space="preserve">patients </w:t>
      </w:r>
      <w:r>
        <w:t>by</w:t>
      </w:r>
      <w:r w:rsidR="00E076EA">
        <w:t xml:space="preserve"> indication and</w:t>
      </w:r>
      <w:r>
        <w:t xml:space="preserve"> financial year</w:t>
      </w:r>
    </w:p>
    <w:tbl>
      <w:tblPr>
        <w:tblStyle w:val="TableGrid"/>
        <w:tblW w:w="5000" w:type="pct"/>
        <w:tblLook w:val="04A0" w:firstRow="1" w:lastRow="0" w:firstColumn="1" w:lastColumn="0" w:noHBand="0" w:noVBand="1"/>
      </w:tblPr>
      <w:tblGrid>
        <w:gridCol w:w="2236"/>
        <w:gridCol w:w="2239"/>
        <w:gridCol w:w="2237"/>
        <w:gridCol w:w="2235"/>
      </w:tblGrid>
      <w:tr w:rsidR="00D70B4E" w:rsidRPr="00BA2A9F" w14:paraId="3A8C02D7" w14:textId="55124D40" w:rsidTr="00D70B4E">
        <w:tc>
          <w:tcPr>
            <w:tcW w:w="1250" w:type="pct"/>
            <w:shd w:val="clear" w:color="auto" w:fill="BFBFBF" w:themeFill="background1" w:themeFillShade="BF"/>
          </w:tcPr>
          <w:p w14:paraId="63E3DEAA" w14:textId="038F0876" w:rsidR="00D70B4E" w:rsidRPr="00BA2A9F" w:rsidRDefault="00D70B4E" w:rsidP="00210F22">
            <w:pPr>
              <w:spacing w:before="60" w:after="60"/>
              <w:jc w:val="center"/>
              <w:rPr>
                <w:rFonts w:eastAsiaTheme="majorEastAsia"/>
                <w:b/>
                <w:sz w:val="20"/>
                <w:szCs w:val="20"/>
              </w:rPr>
            </w:pPr>
            <w:r>
              <w:rPr>
                <w:rFonts w:eastAsiaTheme="majorEastAsia"/>
                <w:b/>
                <w:sz w:val="20"/>
                <w:szCs w:val="20"/>
              </w:rPr>
              <w:t>Financial year</w:t>
            </w:r>
          </w:p>
        </w:tc>
        <w:tc>
          <w:tcPr>
            <w:tcW w:w="1251" w:type="pct"/>
            <w:shd w:val="clear" w:color="auto" w:fill="BFBFBF" w:themeFill="background1" w:themeFillShade="BF"/>
          </w:tcPr>
          <w:p w14:paraId="2E10BABE" w14:textId="0B5399FA" w:rsidR="00D70B4E" w:rsidRDefault="00D70B4E" w:rsidP="00C76973">
            <w:pPr>
              <w:spacing w:before="60" w:after="60"/>
              <w:jc w:val="center"/>
              <w:rPr>
                <w:rFonts w:eastAsiaTheme="majorEastAsia"/>
                <w:b/>
                <w:sz w:val="20"/>
                <w:szCs w:val="20"/>
              </w:rPr>
            </w:pPr>
            <w:r>
              <w:rPr>
                <w:rFonts w:eastAsiaTheme="majorEastAsia"/>
                <w:b/>
                <w:sz w:val="20"/>
                <w:szCs w:val="20"/>
              </w:rPr>
              <w:t>CTCL</w:t>
            </w:r>
          </w:p>
        </w:tc>
        <w:tc>
          <w:tcPr>
            <w:tcW w:w="1250" w:type="pct"/>
            <w:shd w:val="clear" w:color="auto" w:fill="BFBFBF" w:themeFill="background1" w:themeFillShade="BF"/>
          </w:tcPr>
          <w:p w14:paraId="1B99BC15" w14:textId="654BF55C" w:rsidR="00D70B4E" w:rsidRPr="005529B6" w:rsidRDefault="00D70B4E" w:rsidP="00C76973">
            <w:pPr>
              <w:spacing w:before="60" w:after="60"/>
              <w:jc w:val="center"/>
              <w:rPr>
                <w:rFonts w:eastAsiaTheme="majorEastAsia"/>
                <w:b/>
                <w:sz w:val="20"/>
                <w:szCs w:val="20"/>
              </w:rPr>
            </w:pPr>
            <w:r>
              <w:rPr>
                <w:rFonts w:eastAsiaTheme="majorEastAsia"/>
                <w:b/>
                <w:sz w:val="20"/>
                <w:szCs w:val="20"/>
              </w:rPr>
              <w:t>PTCL</w:t>
            </w:r>
          </w:p>
        </w:tc>
        <w:tc>
          <w:tcPr>
            <w:tcW w:w="1249" w:type="pct"/>
            <w:shd w:val="clear" w:color="auto" w:fill="BFBFBF" w:themeFill="background1" w:themeFillShade="BF"/>
          </w:tcPr>
          <w:p w14:paraId="3A2A691E" w14:textId="3CAB49D0" w:rsidR="00D70B4E" w:rsidRDefault="00D70B4E" w:rsidP="00C76973">
            <w:pPr>
              <w:spacing w:before="60" w:after="60"/>
              <w:jc w:val="center"/>
              <w:rPr>
                <w:rFonts w:eastAsiaTheme="majorEastAsia"/>
                <w:b/>
                <w:sz w:val="20"/>
                <w:szCs w:val="20"/>
              </w:rPr>
            </w:pPr>
            <w:r>
              <w:rPr>
                <w:rFonts w:eastAsiaTheme="majorEastAsia"/>
                <w:b/>
                <w:sz w:val="20"/>
                <w:szCs w:val="20"/>
              </w:rPr>
              <w:t>sALCL</w:t>
            </w:r>
          </w:p>
        </w:tc>
      </w:tr>
      <w:tr w:rsidR="00D70B4E" w:rsidRPr="002C4256" w14:paraId="1687F36E" w14:textId="77777777" w:rsidTr="00D70B4E">
        <w:tc>
          <w:tcPr>
            <w:tcW w:w="1250" w:type="pct"/>
          </w:tcPr>
          <w:p w14:paraId="507C3A15" w14:textId="7AA81ACB" w:rsidR="00D70B4E" w:rsidRDefault="00D70B4E" w:rsidP="00210F22">
            <w:pPr>
              <w:spacing w:before="60" w:after="60"/>
              <w:jc w:val="center"/>
              <w:rPr>
                <w:rFonts w:eastAsiaTheme="majorEastAsia"/>
                <w:b/>
                <w:sz w:val="20"/>
                <w:szCs w:val="20"/>
              </w:rPr>
            </w:pPr>
            <w:r>
              <w:rPr>
                <w:rFonts w:eastAsiaTheme="majorEastAsia"/>
                <w:b/>
                <w:sz w:val="20"/>
                <w:szCs w:val="20"/>
              </w:rPr>
              <w:t>2019/20</w:t>
            </w:r>
          </w:p>
        </w:tc>
        <w:tc>
          <w:tcPr>
            <w:tcW w:w="1251" w:type="pct"/>
          </w:tcPr>
          <w:p w14:paraId="48CD294B" w14:textId="115D0A19" w:rsidR="00D70B4E" w:rsidRDefault="005A6348" w:rsidP="00D70B4E">
            <w:pPr>
              <w:spacing w:before="60" w:after="60"/>
              <w:jc w:val="center"/>
              <w:rPr>
                <w:rFonts w:eastAsiaTheme="majorEastAsia"/>
                <w:sz w:val="20"/>
                <w:szCs w:val="20"/>
              </w:rPr>
            </w:pPr>
            <w:r>
              <w:rPr>
                <w:rFonts w:eastAsiaTheme="majorEastAsia"/>
                <w:sz w:val="20"/>
                <w:szCs w:val="20"/>
              </w:rPr>
              <w:t>39</w:t>
            </w:r>
          </w:p>
        </w:tc>
        <w:tc>
          <w:tcPr>
            <w:tcW w:w="1250" w:type="pct"/>
          </w:tcPr>
          <w:p w14:paraId="01B61125" w14:textId="1254577B" w:rsidR="00D70B4E" w:rsidRDefault="005A6348" w:rsidP="00D70B4E">
            <w:pPr>
              <w:spacing w:before="60" w:after="60"/>
              <w:jc w:val="center"/>
              <w:rPr>
                <w:rFonts w:eastAsiaTheme="majorEastAsia"/>
                <w:sz w:val="20"/>
                <w:szCs w:val="20"/>
              </w:rPr>
            </w:pPr>
            <w:r>
              <w:rPr>
                <w:rFonts w:eastAsiaTheme="majorEastAsia"/>
                <w:sz w:val="20"/>
                <w:szCs w:val="20"/>
              </w:rPr>
              <w:t>-</w:t>
            </w:r>
          </w:p>
        </w:tc>
        <w:tc>
          <w:tcPr>
            <w:tcW w:w="1249" w:type="pct"/>
          </w:tcPr>
          <w:p w14:paraId="40BC6553" w14:textId="32B902A3" w:rsidR="00D70B4E" w:rsidRDefault="000132E2" w:rsidP="00D70B4E">
            <w:pPr>
              <w:spacing w:before="60" w:after="60"/>
              <w:jc w:val="center"/>
              <w:rPr>
                <w:rFonts w:eastAsiaTheme="majorEastAsia"/>
                <w:sz w:val="20"/>
                <w:szCs w:val="20"/>
              </w:rPr>
            </w:pPr>
            <w:r>
              <w:rPr>
                <w:rFonts w:eastAsiaTheme="majorEastAsia"/>
                <w:sz w:val="20"/>
                <w:szCs w:val="20"/>
              </w:rPr>
              <w:t>35</w:t>
            </w:r>
          </w:p>
        </w:tc>
      </w:tr>
      <w:tr w:rsidR="00D70B4E" w:rsidRPr="002C4256" w14:paraId="2B15B5DB" w14:textId="77777777" w:rsidTr="00D70B4E">
        <w:tc>
          <w:tcPr>
            <w:tcW w:w="1250" w:type="pct"/>
          </w:tcPr>
          <w:p w14:paraId="650C47EE" w14:textId="1E18E78B" w:rsidR="00D70B4E" w:rsidRDefault="00D70B4E" w:rsidP="00210F22">
            <w:pPr>
              <w:spacing w:before="60" w:after="60"/>
              <w:jc w:val="center"/>
              <w:rPr>
                <w:rFonts w:eastAsiaTheme="majorEastAsia"/>
                <w:b/>
                <w:sz w:val="20"/>
                <w:szCs w:val="20"/>
              </w:rPr>
            </w:pPr>
            <w:r>
              <w:rPr>
                <w:rFonts w:eastAsiaTheme="majorEastAsia"/>
                <w:b/>
                <w:sz w:val="20"/>
                <w:szCs w:val="20"/>
              </w:rPr>
              <w:t>2020/21</w:t>
            </w:r>
          </w:p>
        </w:tc>
        <w:tc>
          <w:tcPr>
            <w:tcW w:w="1251" w:type="pct"/>
          </w:tcPr>
          <w:p w14:paraId="23306914" w14:textId="2B0331C7" w:rsidR="00D70B4E" w:rsidRDefault="005A6348" w:rsidP="00D70B4E">
            <w:pPr>
              <w:spacing w:before="60" w:after="60"/>
              <w:jc w:val="center"/>
              <w:rPr>
                <w:rFonts w:eastAsiaTheme="majorEastAsia"/>
                <w:sz w:val="20"/>
                <w:szCs w:val="20"/>
              </w:rPr>
            </w:pPr>
            <w:r>
              <w:rPr>
                <w:rFonts w:eastAsiaTheme="majorEastAsia"/>
                <w:sz w:val="20"/>
                <w:szCs w:val="20"/>
              </w:rPr>
              <w:t>33</w:t>
            </w:r>
          </w:p>
        </w:tc>
        <w:tc>
          <w:tcPr>
            <w:tcW w:w="1250" w:type="pct"/>
          </w:tcPr>
          <w:p w14:paraId="133BE229" w14:textId="48ACB43E" w:rsidR="00D70B4E" w:rsidRDefault="005A6348" w:rsidP="00D70B4E">
            <w:pPr>
              <w:spacing w:before="60" w:after="60"/>
              <w:jc w:val="center"/>
              <w:rPr>
                <w:rFonts w:eastAsiaTheme="majorEastAsia"/>
                <w:sz w:val="20"/>
                <w:szCs w:val="20"/>
              </w:rPr>
            </w:pPr>
            <w:r>
              <w:rPr>
                <w:rFonts w:eastAsiaTheme="majorEastAsia"/>
                <w:sz w:val="20"/>
                <w:szCs w:val="20"/>
              </w:rPr>
              <w:t>-</w:t>
            </w:r>
          </w:p>
        </w:tc>
        <w:tc>
          <w:tcPr>
            <w:tcW w:w="1249" w:type="pct"/>
          </w:tcPr>
          <w:p w14:paraId="7B5FF3B7" w14:textId="08D89094" w:rsidR="00D70B4E" w:rsidRDefault="000132E2" w:rsidP="00D70B4E">
            <w:pPr>
              <w:spacing w:before="60" w:after="60"/>
              <w:jc w:val="center"/>
              <w:rPr>
                <w:rFonts w:eastAsiaTheme="majorEastAsia"/>
                <w:sz w:val="20"/>
                <w:szCs w:val="20"/>
              </w:rPr>
            </w:pPr>
            <w:r>
              <w:rPr>
                <w:rFonts w:eastAsiaTheme="majorEastAsia"/>
                <w:sz w:val="20"/>
                <w:szCs w:val="20"/>
              </w:rPr>
              <w:t>34</w:t>
            </w:r>
          </w:p>
        </w:tc>
      </w:tr>
      <w:tr w:rsidR="00D70B4E" w:rsidRPr="002C4256" w14:paraId="012C1E0C" w14:textId="75F83369" w:rsidTr="00D70B4E">
        <w:tc>
          <w:tcPr>
            <w:tcW w:w="1250" w:type="pct"/>
          </w:tcPr>
          <w:p w14:paraId="37F2E828" w14:textId="38DFC6F1" w:rsidR="00D70B4E" w:rsidRPr="00BC40E8" w:rsidRDefault="00D70B4E" w:rsidP="00210F22">
            <w:pPr>
              <w:spacing w:before="60" w:after="60"/>
              <w:jc w:val="center"/>
              <w:rPr>
                <w:rFonts w:eastAsiaTheme="majorEastAsia"/>
                <w:b/>
                <w:sz w:val="20"/>
                <w:szCs w:val="20"/>
              </w:rPr>
            </w:pPr>
            <w:r>
              <w:rPr>
                <w:rFonts w:eastAsiaTheme="majorEastAsia"/>
                <w:b/>
                <w:sz w:val="20"/>
                <w:szCs w:val="20"/>
              </w:rPr>
              <w:t>2021/</w:t>
            </w:r>
            <w:r w:rsidRPr="00BC40E8">
              <w:rPr>
                <w:rFonts w:eastAsiaTheme="majorEastAsia"/>
                <w:b/>
                <w:sz w:val="20"/>
                <w:szCs w:val="20"/>
              </w:rPr>
              <w:t>2</w:t>
            </w:r>
            <w:r>
              <w:rPr>
                <w:rFonts w:eastAsiaTheme="majorEastAsia"/>
                <w:b/>
                <w:sz w:val="20"/>
                <w:szCs w:val="20"/>
              </w:rPr>
              <w:t>2</w:t>
            </w:r>
          </w:p>
        </w:tc>
        <w:tc>
          <w:tcPr>
            <w:tcW w:w="1251" w:type="pct"/>
          </w:tcPr>
          <w:p w14:paraId="245DC119" w14:textId="79FA965F" w:rsidR="00D70B4E" w:rsidRDefault="005A6348" w:rsidP="00D70B4E">
            <w:pPr>
              <w:spacing w:before="60" w:after="60"/>
              <w:jc w:val="center"/>
              <w:rPr>
                <w:rFonts w:eastAsiaTheme="majorEastAsia"/>
                <w:sz w:val="20"/>
                <w:szCs w:val="20"/>
              </w:rPr>
            </w:pPr>
            <w:r>
              <w:rPr>
                <w:rFonts w:eastAsiaTheme="majorEastAsia"/>
                <w:sz w:val="20"/>
                <w:szCs w:val="20"/>
              </w:rPr>
              <w:t>16</w:t>
            </w:r>
          </w:p>
        </w:tc>
        <w:tc>
          <w:tcPr>
            <w:tcW w:w="1250" w:type="pct"/>
          </w:tcPr>
          <w:p w14:paraId="31235BCD" w14:textId="217BC5BE" w:rsidR="00D70B4E" w:rsidRPr="00BC40E8" w:rsidRDefault="00D70B4E" w:rsidP="00D70B4E">
            <w:pPr>
              <w:spacing w:before="60" w:after="60"/>
              <w:jc w:val="center"/>
              <w:rPr>
                <w:rFonts w:eastAsiaTheme="majorEastAsia"/>
                <w:sz w:val="20"/>
                <w:szCs w:val="20"/>
              </w:rPr>
            </w:pPr>
            <w:r>
              <w:rPr>
                <w:rFonts w:eastAsiaTheme="majorEastAsia"/>
                <w:sz w:val="20"/>
                <w:szCs w:val="20"/>
              </w:rPr>
              <w:t>64</w:t>
            </w:r>
          </w:p>
        </w:tc>
        <w:tc>
          <w:tcPr>
            <w:tcW w:w="1249" w:type="pct"/>
          </w:tcPr>
          <w:p w14:paraId="4DD93CAD" w14:textId="1A6F27A0" w:rsidR="00D70B4E" w:rsidRDefault="000132E2" w:rsidP="00D70B4E">
            <w:pPr>
              <w:spacing w:before="60" w:after="60"/>
              <w:jc w:val="center"/>
              <w:rPr>
                <w:rFonts w:eastAsiaTheme="majorEastAsia"/>
                <w:sz w:val="20"/>
                <w:szCs w:val="20"/>
              </w:rPr>
            </w:pPr>
            <w:r>
              <w:rPr>
                <w:rFonts w:eastAsiaTheme="majorEastAsia"/>
                <w:sz w:val="20"/>
                <w:szCs w:val="20"/>
              </w:rPr>
              <w:t>29</w:t>
            </w:r>
          </w:p>
        </w:tc>
      </w:tr>
      <w:tr w:rsidR="00D70B4E" w:rsidRPr="002C4256" w14:paraId="4041A1F4" w14:textId="7D690612" w:rsidTr="00D70B4E">
        <w:tc>
          <w:tcPr>
            <w:tcW w:w="1250" w:type="pct"/>
          </w:tcPr>
          <w:p w14:paraId="14895D39" w14:textId="77777777" w:rsidR="00D70B4E" w:rsidRDefault="00D70B4E" w:rsidP="00210F22">
            <w:pPr>
              <w:spacing w:before="60" w:after="60"/>
              <w:jc w:val="center"/>
              <w:rPr>
                <w:rFonts w:eastAsiaTheme="majorEastAsia"/>
                <w:b/>
                <w:sz w:val="20"/>
                <w:szCs w:val="20"/>
              </w:rPr>
            </w:pPr>
            <w:r>
              <w:rPr>
                <w:rFonts w:eastAsiaTheme="majorEastAsia"/>
                <w:b/>
                <w:sz w:val="20"/>
                <w:szCs w:val="20"/>
              </w:rPr>
              <w:t>2022/23</w:t>
            </w:r>
          </w:p>
        </w:tc>
        <w:tc>
          <w:tcPr>
            <w:tcW w:w="1251" w:type="pct"/>
          </w:tcPr>
          <w:p w14:paraId="3642E5E9" w14:textId="2F3F128E" w:rsidR="00D70B4E" w:rsidRDefault="005A6348" w:rsidP="00D70B4E">
            <w:pPr>
              <w:spacing w:before="60" w:after="60"/>
              <w:jc w:val="center"/>
              <w:rPr>
                <w:rFonts w:eastAsiaTheme="majorEastAsia"/>
                <w:sz w:val="20"/>
                <w:szCs w:val="20"/>
              </w:rPr>
            </w:pPr>
            <w:r>
              <w:rPr>
                <w:rFonts w:eastAsiaTheme="majorEastAsia"/>
                <w:sz w:val="20"/>
                <w:szCs w:val="20"/>
              </w:rPr>
              <w:t>27</w:t>
            </w:r>
          </w:p>
        </w:tc>
        <w:tc>
          <w:tcPr>
            <w:tcW w:w="1250" w:type="pct"/>
          </w:tcPr>
          <w:p w14:paraId="123E9DA7" w14:textId="16DCF8D6" w:rsidR="00D70B4E" w:rsidRDefault="00D70B4E" w:rsidP="00D70B4E">
            <w:pPr>
              <w:spacing w:before="60" w:after="60"/>
              <w:jc w:val="center"/>
              <w:rPr>
                <w:rFonts w:eastAsiaTheme="majorEastAsia"/>
                <w:sz w:val="20"/>
                <w:szCs w:val="20"/>
              </w:rPr>
            </w:pPr>
            <w:r>
              <w:rPr>
                <w:rFonts w:eastAsiaTheme="majorEastAsia"/>
                <w:sz w:val="20"/>
                <w:szCs w:val="20"/>
              </w:rPr>
              <w:t>94</w:t>
            </w:r>
          </w:p>
        </w:tc>
        <w:tc>
          <w:tcPr>
            <w:tcW w:w="1249" w:type="pct"/>
          </w:tcPr>
          <w:p w14:paraId="411AD9ED" w14:textId="54E48A38" w:rsidR="00D70B4E" w:rsidRDefault="004E500C" w:rsidP="00D70B4E">
            <w:pPr>
              <w:spacing w:before="60" w:after="60"/>
              <w:jc w:val="center"/>
              <w:rPr>
                <w:rFonts w:eastAsiaTheme="majorEastAsia"/>
                <w:sz w:val="20"/>
                <w:szCs w:val="20"/>
              </w:rPr>
            </w:pPr>
            <w:r>
              <w:rPr>
                <w:rFonts w:eastAsiaTheme="majorEastAsia"/>
                <w:sz w:val="20"/>
                <w:szCs w:val="20"/>
              </w:rPr>
              <w:t>2</w:t>
            </w:r>
            <w:r w:rsidR="000132E2">
              <w:rPr>
                <w:rFonts w:eastAsiaTheme="majorEastAsia"/>
                <w:sz w:val="20"/>
                <w:szCs w:val="20"/>
              </w:rPr>
              <w:t>5</w:t>
            </w:r>
          </w:p>
        </w:tc>
      </w:tr>
      <w:tr w:rsidR="00D70B4E" w:rsidRPr="002C4256" w14:paraId="489E747B" w14:textId="4078F32F" w:rsidTr="00D70B4E">
        <w:tc>
          <w:tcPr>
            <w:tcW w:w="1250" w:type="pct"/>
          </w:tcPr>
          <w:p w14:paraId="03131D3D" w14:textId="6D329012" w:rsidR="00D70B4E" w:rsidRDefault="00D70B4E" w:rsidP="00210F22">
            <w:pPr>
              <w:spacing w:before="60" w:after="60"/>
              <w:jc w:val="center"/>
              <w:rPr>
                <w:rFonts w:eastAsiaTheme="majorEastAsia"/>
                <w:b/>
                <w:sz w:val="20"/>
                <w:szCs w:val="20"/>
              </w:rPr>
            </w:pPr>
            <w:r>
              <w:rPr>
                <w:rFonts w:eastAsiaTheme="majorEastAsia"/>
                <w:b/>
                <w:sz w:val="20"/>
                <w:szCs w:val="20"/>
              </w:rPr>
              <w:t>2023/24</w:t>
            </w:r>
          </w:p>
        </w:tc>
        <w:tc>
          <w:tcPr>
            <w:tcW w:w="1251" w:type="pct"/>
          </w:tcPr>
          <w:p w14:paraId="57CE0838" w14:textId="3F69A64E" w:rsidR="00D70B4E" w:rsidRDefault="000132E2" w:rsidP="00D70B4E">
            <w:pPr>
              <w:spacing w:before="60" w:after="60"/>
              <w:jc w:val="center"/>
              <w:rPr>
                <w:rFonts w:eastAsiaTheme="majorEastAsia"/>
                <w:sz w:val="20"/>
                <w:szCs w:val="20"/>
              </w:rPr>
            </w:pPr>
            <w:r>
              <w:rPr>
                <w:rFonts w:eastAsiaTheme="majorEastAsia"/>
                <w:sz w:val="20"/>
                <w:szCs w:val="20"/>
              </w:rPr>
              <w:t>21</w:t>
            </w:r>
          </w:p>
        </w:tc>
        <w:tc>
          <w:tcPr>
            <w:tcW w:w="1250" w:type="pct"/>
          </w:tcPr>
          <w:p w14:paraId="0F555A0C" w14:textId="08760E02" w:rsidR="00D70B4E" w:rsidRDefault="000132E2" w:rsidP="00D70B4E">
            <w:pPr>
              <w:spacing w:before="60" w:after="60"/>
              <w:jc w:val="center"/>
              <w:rPr>
                <w:rFonts w:eastAsiaTheme="majorEastAsia"/>
                <w:sz w:val="20"/>
                <w:szCs w:val="20"/>
              </w:rPr>
            </w:pPr>
            <w:r>
              <w:rPr>
                <w:rFonts w:eastAsiaTheme="majorEastAsia"/>
                <w:sz w:val="20"/>
                <w:szCs w:val="20"/>
              </w:rPr>
              <w:t>90</w:t>
            </w:r>
          </w:p>
        </w:tc>
        <w:tc>
          <w:tcPr>
            <w:tcW w:w="1249" w:type="pct"/>
          </w:tcPr>
          <w:p w14:paraId="7B162BB0" w14:textId="6F99C505" w:rsidR="00D70B4E" w:rsidRDefault="004E500C" w:rsidP="00D70B4E">
            <w:pPr>
              <w:spacing w:before="60" w:after="60"/>
              <w:jc w:val="center"/>
              <w:rPr>
                <w:rFonts w:eastAsiaTheme="majorEastAsia"/>
                <w:sz w:val="20"/>
                <w:szCs w:val="20"/>
              </w:rPr>
            </w:pPr>
            <w:r>
              <w:rPr>
                <w:rFonts w:eastAsiaTheme="majorEastAsia"/>
                <w:sz w:val="20"/>
                <w:szCs w:val="20"/>
              </w:rPr>
              <w:t>1</w:t>
            </w:r>
            <w:r w:rsidR="000132E2">
              <w:rPr>
                <w:rFonts w:eastAsiaTheme="majorEastAsia"/>
                <w:sz w:val="20"/>
                <w:szCs w:val="20"/>
              </w:rPr>
              <w:t>6</w:t>
            </w:r>
          </w:p>
        </w:tc>
      </w:tr>
    </w:tbl>
    <w:p w14:paraId="367D91EB" w14:textId="77777777" w:rsidR="0004512F" w:rsidRDefault="0004512F" w:rsidP="0004512F">
      <w:pPr>
        <w:rPr>
          <w:sz w:val="20"/>
          <w:szCs w:val="20"/>
        </w:rPr>
      </w:pPr>
      <w:r w:rsidRPr="00C76973">
        <w:rPr>
          <w:sz w:val="20"/>
          <w:szCs w:val="20"/>
        </w:rPr>
        <w:t xml:space="preserve">Note: The 2023/24 financial year includes </w:t>
      </w:r>
      <w:r>
        <w:rPr>
          <w:sz w:val="20"/>
          <w:szCs w:val="20"/>
        </w:rPr>
        <w:t>nine</w:t>
      </w:r>
      <w:r w:rsidRPr="00C76973">
        <w:rPr>
          <w:sz w:val="20"/>
          <w:szCs w:val="20"/>
        </w:rPr>
        <w:t xml:space="preserve"> months of data, from July 2023 to </w:t>
      </w:r>
      <w:r>
        <w:rPr>
          <w:sz w:val="20"/>
          <w:szCs w:val="20"/>
        </w:rPr>
        <w:t>March</w:t>
      </w:r>
      <w:r w:rsidRPr="00C76973">
        <w:rPr>
          <w:sz w:val="20"/>
          <w:szCs w:val="20"/>
        </w:rPr>
        <w:t xml:space="preserve"> 2024 inclusive.</w:t>
      </w:r>
    </w:p>
    <w:p w14:paraId="25E298C3" w14:textId="4BA0EE91" w:rsidR="00044843" w:rsidRDefault="00044843" w:rsidP="000B5668"/>
    <w:p w14:paraId="4CF6A691" w14:textId="631ADBD9" w:rsidR="008913B1" w:rsidRDefault="00F9458F" w:rsidP="00282A48">
      <w:pPr>
        <w:jc w:val="center"/>
      </w:pPr>
      <w:r>
        <w:rPr>
          <w:noProof/>
        </w:rPr>
        <w:drawing>
          <wp:inline distT="0" distB="0" distL="0" distR="0" wp14:anchorId="1870F9BD" wp14:editId="57965440">
            <wp:extent cx="4258800" cy="2466000"/>
            <wp:effectExtent l="0" t="0" r="8890" b="10795"/>
            <wp:docPr id="8" name="Chart 8">
              <a:extLst xmlns:a="http://schemas.openxmlformats.org/drawingml/2006/main">
                <a:ext uri="{FF2B5EF4-FFF2-40B4-BE49-F238E27FC236}">
                  <a16:creationId xmlns:a16="http://schemas.microsoft.com/office/drawing/2014/main" id="{5F8FF034-1947-B1A1-7E97-47EDA983698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391074" w14:textId="2B7B4348" w:rsidR="00BC0DDB" w:rsidRDefault="000B5668" w:rsidP="00DD4C03">
      <w:pPr>
        <w:pStyle w:val="Tabletitle"/>
      </w:pPr>
      <w:r>
        <w:t>Figure 2: N</w:t>
      </w:r>
      <w:r w:rsidRPr="006440DD">
        <w:t xml:space="preserve">umber of </w:t>
      </w:r>
      <w:r w:rsidR="008F7DEA">
        <w:t xml:space="preserve">initiating patients </w:t>
      </w:r>
      <w:r>
        <w:t xml:space="preserve">by </w:t>
      </w:r>
      <w:r w:rsidR="008F7DEA">
        <w:t xml:space="preserve">indication and </w:t>
      </w:r>
      <w:r>
        <w:t>financial year</w:t>
      </w:r>
    </w:p>
    <w:p w14:paraId="0AFA277D" w14:textId="77777777" w:rsidR="0004512F" w:rsidRDefault="0004512F" w:rsidP="0004512F">
      <w:pPr>
        <w:rPr>
          <w:sz w:val="20"/>
          <w:szCs w:val="20"/>
        </w:rPr>
      </w:pPr>
      <w:r w:rsidRPr="00C76973">
        <w:rPr>
          <w:sz w:val="20"/>
          <w:szCs w:val="20"/>
        </w:rPr>
        <w:t xml:space="preserve">Note: The 2023/24 financial year includes </w:t>
      </w:r>
      <w:r>
        <w:rPr>
          <w:sz w:val="20"/>
          <w:szCs w:val="20"/>
        </w:rPr>
        <w:t>nine</w:t>
      </w:r>
      <w:r w:rsidRPr="00C76973">
        <w:rPr>
          <w:sz w:val="20"/>
          <w:szCs w:val="20"/>
        </w:rPr>
        <w:t xml:space="preserve"> months of data, from July 2023 to </w:t>
      </w:r>
      <w:r>
        <w:rPr>
          <w:sz w:val="20"/>
          <w:szCs w:val="20"/>
        </w:rPr>
        <w:t>March</w:t>
      </w:r>
      <w:r w:rsidRPr="00C76973">
        <w:rPr>
          <w:sz w:val="20"/>
          <w:szCs w:val="20"/>
        </w:rPr>
        <w:t xml:space="preserve"> 2024 inclusive.</w:t>
      </w:r>
    </w:p>
    <w:p w14:paraId="1B844F46" w14:textId="77777777" w:rsidR="00052622" w:rsidRDefault="00052622" w:rsidP="0021485F"/>
    <w:p w14:paraId="66E983C3" w14:textId="77777777" w:rsidR="009E3C2D" w:rsidRDefault="009E3C2D">
      <w:pPr>
        <w:spacing w:line="276" w:lineRule="auto"/>
        <w:rPr>
          <w:b/>
        </w:rPr>
      </w:pPr>
      <w:r>
        <w:br w:type="page"/>
      </w:r>
    </w:p>
    <w:p w14:paraId="28B163CE" w14:textId="440A0E13" w:rsidR="009E3C2D" w:rsidRPr="00CF780F" w:rsidRDefault="00CF780F" w:rsidP="00CF780F">
      <w:r>
        <w:lastRenderedPageBreak/>
        <w:t>In Table</w:t>
      </w:r>
      <w:r w:rsidR="00BD7972">
        <w:t xml:space="preserve"> 7 </w:t>
      </w:r>
      <w:r w:rsidR="00815536">
        <w:t xml:space="preserve">and Figure </w:t>
      </w:r>
      <w:r w:rsidR="0069602D">
        <w:t>3</w:t>
      </w:r>
      <w:r w:rsidR="00815536">
        <w:t xml:space="preserve"> below, the number of written authority approvals for</w:t>
      </w:r>
      <w:r w:rsidR="00BB5131">
        <w:t xml:space="preserve"> brentuximab vedotin fo</w:t>
      </w:r>
      <w:r w:rsidR="00AB454D">
        <w:t>r CD30 positive</w:t>
      </w:r>
      <w:r w:rsidR="00BB5131">
        <w:t xml:space="preserve"> </w:t>
      </w:r>
      <w:r w:rsidR="00815536">
        <w:t>PTCL ha</w:t>
      </w:r>
      <w:r w:rsidR="002A3772">
        <w:t>d</w:t>
      </w:r>
      <w:r w:rsidR="00815536">
        <w:t xml:space="preserve"> been increasing since PBS-listing</w:t>
      </w:r>
      <w:r w:rsidR="00AF2B25">
        <w:t xml:space="preserve">, increasing from 80 approvals in the 2021/22 financial year to </w:t>
      </w:r>
      <w:r w:rsidR="0075585B">
        <w:t>113</w:t>
      </w:r>
      <w:r w:rsidR="00AF2B25">
        <w:t xml:space="preserve"> </w:t>
      </w:r>
      <w:r w:rsidR="00551A77">
        <w:t xml:space="preserve">approvals </w:t>
      </w:r>
      <w:r w:rsidR="00AF2B25">
        <w:t xml:space="preserve">in the </w:t>
      </w:r>
      <w:r w:rsidR="0075585B">
        <w:t>2022/23</w:t>
      </w:r>
      <w:r w:rsidR="00E30963">
        <w:t xml:space="preserve"> financial year.</w:t>
      </w:r>
      <w:r w:rsidR="00815536">
        <w:t xml:space="preserve"> </w:t>
      </w:r>
      <w:r w:rsidR="007005A4">
        <w:t xml:space="preserve">For </w:t>
      </w:r>
      <w:r w:rsidR="0075585B">
        <w:t xml:space="preserve">CD30 positive </w:t>
      </w:r>
      <w:r w:rsidR="00413F0D">
        <w:t>CTCL</w:t>
      </w:r>
      <w:r w:rsidR="00BB5131">
        <w:t xml:space="preserve">, </w:t>
      </w:r>
      <w:r w:rsidR="00E30963">
        <w:t>the</w:t>
      </w:r>
      <w:r w:rsidR="007005A4">
        <w:t xml:space="preserve"> number of approvals ha</w:t>
      </w:r>
      <w:r w:rsidR="002A3772">
        <w:t>d</w:t>
      </w:r>
      <w:r w:rsidR="007005A4">
        <w:t xml:space="preserve"> slightly varied across </w:t>
      </w:r>
      <w:r w:rsidR="00B9746D">
        <w:t>financial years,</w:t>
      </w:r>
      <w:r w:rsidR="00551A77">
        <w:t xml:space="preserve"> ranging from 18 to 35 approvals per financial year</w:t>
      </w:r>
      <w:r w:rsidR="001E602A">
        <w:t xml:space="preserve">. The number of written authority approvals for </w:t>
      </w:r>
      <w:r w:rsidR="0075585B">
        <w:t xml:space="preserve">CD30 positive </w:t>
      </w:r>
      <w:r w:rsidR="00341C3E">
        <w:t>sALCL</w:t>
      </w:r>
      <w:r w:rsidR="001E602A">
        <w:t xml:space="preserve"> </w:t>
      </w:r>
      <w:r w:rsidR="00341C3E">
        <w:t>ha</w:t>
      </w:r>
      <w:r w:rsidR="002A3772">
        <w:t>d</w:t>
      </w:r>
      <w:r w:rsidR="00341C3E">
        <w:t xml:space="preserve"> been</w:t>
      </w:r>
      <w:r w:rsidR="00551A77">
        <w:t xml:space="preserve"> steadily</w:t>
      </w:r>
      <w:r w:rsidR="00341C3E">
        <w:t xml:space="preserve"> decreasing over time</w:t>
      </w:r>
      <w:r w:rsidR="00175B4B">
        <w:t xml:space="preserve">, with 31 approvals in 2019/20 financial year to 22 approvals in 2022/23 financial year. </w:t>
      </w:r>
    </w:p>
    <w:p w14:paraId="436D78D5" w14:textId="09CB13E6" w:rsidR="00052622" w:rsidRPr="006440DD" w:rsidRDefault="00052622" w:rsidP="00052622">
      <w:pPr>
        <w:pStyle w:val="Tabletitle"/>
      </w:pPr>
      <w:r>
        <w:t xml:space="preserve">Table </w:t>
      </w:r>
      <w:r w:rsidR="00BD7972">
        <w:t>7</w:t>
      </w:r>
      <w:r w:rsidRPr="006440DD">
        <w:t xml:space="preserve">: </w:t>
      </w:r>
      <w:r>
        <w:t>Volume of written authority approvals and prescriptions by</w:t>
      </w:r>
      <w:r w:rsidR="00CF780F">
        <w:t xml:space="preserve"> indication and</w:t>
      </w:r>
      <w:r>
        <w:t xml:space="preserve"> financial year </w:t>
      </w:r>
    </w:p>
    <w:tbl>
      <w:tblPr>
        <w:tblStyle w:val="TableGrid"/>
        <w:tblW w:w="5000" w:type="pct"/>
        <w:tblLook w:val="04A0" w:firstRow="1" w:lastRow="0" w:firstColumn="1" w:lastColumn="0" w:noHBand="0" w:noVBand="1"/>
      </w:tblPr>
      <w:tblGrid>
        <w:gridCol w:w="2236"/>
        <w:gridCol w:w="2237"/>
        <w:gridCol w:w="2237"/>
        <w:gridCol w:w="2237"/>
      </w:tblGrid>
      <w:tr w:rsidR="00134128" w14:paraId="0F805CC7" w14:textId="77777777" w:rsidTr="00134128">
        <w:tc>
          <w:tcPr>
            <w:tcW w:w="1250" w:type="pct"/>
            <w:shd w:val="clear" w:color="auto" w:fill="BFBFBF" w:themeFill="background1" w:themeFillShade="BF"/>
          </w:tcPr>
          <w:p w14:paraId="64A80999" w14:textId="77777777" w:rsidR="00134128" w:rsidRDefault="00134128" w:rsidP="00210F22">
            <w:pPr>
              <w:spacing w:before="60" w:after="60"/>
              <w:jc w:val="center"/>
              <w:rPr>
                <w:rFonts w:eastAsiaTheme="majorEastAsia"/>
                <w:b/>
                <w:sz w:val="20"/>
                <w:szCs w:val="20"/>
              </w:rPr>
            </w:pPr>
            <w:r>
              <w:rPr>
                <w:rFonts w:eastAsiaTheme="majorEastAsia"/>
                <w:b/>
                <w:sz w:val="20"/>
                <w:szCs w:val="20"/>
              </w:rPr>
              <w:t>Financial year</w:t>
            </w:r>
          </w:p>
        </w:tc>
        <w:tc>
          <w:tcPr>
            <w:tcW w:w="1250" w:type="pct"/>
            <w:shd w:val="clear" w:color="auto" w:fill="BFBFBF" w:themeFill="background1" w:themeFillShade="BF"/>
          </w:tcPr>
          <w:p w14:paraId="1D850D9F" w14:textId="0CE8A78B" w:rsidR="00134128" w:rsidRDefault="00134128" w:rsidP="00134128">
            <w:pPr>
              <w:spacing w:before="60" w:after="60"/>
              <w:jc w:val="center"/>
              <w:rPr>
                <w:rFonts w:eastAsiaTheme="majorEastAsia"/>
                <w:sz w:val="20"/>
                <w:szCs w:val="20"/>
              </w:rPr>
            </w:pPr>
            <w:r>
              <w:rPr>
                <w:rFonts w:eastAsiaTheme="majorEastAsia"/>
                <w:b/>
                <w:sz w:val="20"/>
                <w:szCs w:val="20"/>
              </w:rPr>
              <w:t>CTCL</w:t>
            </w:r>
          </w:p>
        </w:tc>
        <w:tc>
          <w:tcPr>
            <w:tcW w:w="1250" w:type="pct"/>
            <w:shd w:val="clear" w:color="auto" w:fill="BFBFBF" w:themeFill="background1" w:themeFillShade="BF"/>
          </w:tcPr>
          <w:p w14:paraId="5AF11E34" w14:textId="39D0A8A4" w:rsidR="00134128" w:rsidRDefault="00134128" w:rsidP="00134128">
            <w:pPr>
              <w:spacing w:before="60" w:after="60"/>
              <w:jc w:val="center"/>
              <w:rPr>
                <w:rFonts w:eastAsiaTheme="majorEastAsia"/>
                <w:b/>
                <w:sz w:val="20"/>
                <w:szCs w:val="20"/>
              </w:rPr>
            </w:pPr>
            <w:r>
              <w:rPr>
                <w:rFonts w:eastAsiaTheme="majorEastAsia"/>
                <w:b/>
                <w:sz w:val="20"/>
                <w:szCs w:val="20"/>
              </w:rPr>
              <w:t>PTCL</w:t>
            </w:r>
          </w:p>
        </w:tc>
        <w:tc>
          <w:tcPr>
            <w:tcW w:w="1250" w:type="pct"/>
            <w:shd w:val="clear" w:color="auto" w:fill="BFBFBF" w:themeFill="background1" w:themeFillShade="BF"/>
          </w:tcPr>
          <w:p w14:paraId="73BBFB90" w14:textId="0D353202" w:rsidR="00134128" w:rsidRDefault="00134128" w:rsidP="00134128">
            <w:pPr>
              <w:spacing w:before="60" w:after="60"/>
              <w:jc w:val="center"/>
              <w:rPr>
                <w:rFonts w:eastAsiaTheme="majorEastAsia"/>
                <w:b/>
                <w:sz w:val="20"/>
                <w:szCs w:val="20"/>
              </w:rPr>
            </w:pPr>
            <w:r>
              <w:rPr>
                <w:rFonts w:eastAsiaTheme="majorEastAsia"/>
                <w:b/>
                <w:sz w:val="20"/>
                <w:szCs w:val="20"/>
              </w:rPr>
              <w:t>sALCL</w:t>
            </w:r>
          </w:p>
        </w:tc>
      </w:tr>
      <w:tr w:rsidR="00134128" w14:paraId="5AEFD069" w14:textId="77777777" w:rsidTr="00134128">
        <w:tc>
          <w:tcPr>
            <w:tcW w:w="1250" w:type="pct"/>
          </w:tcPr>
          <w:p w14:paraId="65AE6774" w14:textId="77777777" w:rsidR="00134128" w:rsidRPr="00BC40E8" w:rsidRDefault="00134128" w:rsidP="00210F22">
            <w:pPr>
              <w:spacing w:before="60" w:after="60"/>
              <w:jc w:val="center"/>
              <w:rPr>
                <w:rFonts w:eastAsiaTheme="majorEastAsia"/>
                <w:b/>
                <w:sz w:val="20"/>
                <w:szCs w:val="20"/>
              </w:rPr>
            </w:pPr>
            <w:r>
              <w:rPr>
                <w:rFonts w:eastAsiaTheme="majorEastAsia"/>
                <w:b/>
                <w:sz w:val="20"/>
                <w:szCs w:val="20"/>
              </w:rPr>
              <w:t>2019/20</w:t>
            </w:r>
          </w:p>
        </w:tc>
        <w:tc>
          <w:tcPr>
            <w:tcW w:w="1250" w:type="pct"/>
          </w:tcPr>
          <w:p w14:paraId="6EC3B630" w14:textId="77777777" w:rsidR="00134128" w:rsidRPr="00BC40E8" w:rsidRDefault="00134128" w:rsidP="00134128">
            <w:pPr>
              <w:spacing w:before="60" w:after="60"/>
              <w:jc w:val="center"/>
              <w:rPr>
                <w:rFonts w:eastAsiaTheme="majorEastAsia"/>
                <w:sz w:val="20"/>
                <w:szCs w:val="20"/>
              </w:rPr>
            </w:pPr>
            <w:r>
              <w:rPr>
                <w:rFonts w:eastAsiaTheme="majorEastAsia"/>
                <w:sz w:val="20"/>
                <w:szCs w:val="20"/>
              </w:rPr>
              <w:t>35</w:t>
            </w:r>
          </w:p>
        </w:tc>
        <w:tc>
          <w:tcPr>
            <w:tcW w:w="1250" w:type="pct"/>
          </w:tcPr>
          <w:p w14:paraId="00F9EFB3" w14:textId="175F6208" w:rsidR="00134128" w:rsidRDefault="00134128" w:rsidP="00134128">
            <w:pPr>
              <w:spacing w:before="60" w:after="60"/>
              <w:jc w:val="center"/>
              <w:rPr>
                <w:rFonts w:eastAsiaTheme="majorEastAsia"/>
                <w:sz w:val="20"/>
                <w:szCs w:val="20"/>
              </w:rPr>
            </w:pPr>
            <w:r>
              <w:rPr>
                <w:rFonts w:eastAsiaTheme="majorEastAsia"/>
                <w:sz w:val="20"/>
                <w:szCs w:val="20"/>
              </w:rPr>
              <w:t>-</w:t>
            </w:r>
          </w:p>
        </w:tc>
        <w:tc>
          <w:tcPr>
            <w:tcW w:w="1250" w:type="pct"/>
          </w:tcPr>
          <w:p w14:paraId="7050AEAB" w14:textId="1B17A62F" w:rsidR="00134128" w:rsidRDefault="004668E2" w:rsidP="00134128">
            <w:pPr>
              <w:spacing w:before="60" w:after="60"/>
              <w:jc w:val="center"/>
              <w:rPr>
                <w:rFonts w:eastAsiaTheme="majorEastAsia"/>
                <w:sz w:val="20"/>
                <w:szCs w:val="20"/>
              </w:rPr>
            </w:pPr>
            <w:r>
              <w:rPr>
                <w:rFonts w:eastAsiaTheme="majorEastAsia"/>
                <w:sz w:val="20"/>
                <w:szCs w:val="20"/>
              </w:rPr>
              <w:t>3</w:t>
            </w:r>
            <w:r w:rsidR="001D2F04">
              <w:rPr>
                <w:rFonts w:eastAsiaTheme="majorEastAsia"/>
                <w:sz w:val="20"/>
                <w:szCs w:val="20"/>
              </w:rPr>
              <w:t>0</w:t>
            </w:r>
          </w:p>
        </w:tc>
      </w:tr>
      <w:tr w:rsidR="00134128" w14:paraId="427F82FB" w14:textId="77777777" w:rsidTr="00134128">
        <w:tc>
          <w:tcPr>
            <w:tcW w:w="1250" w:type="pct"/>
          </w:tcPr>
          <w:p w14:paraId="3D1B3D96" w14:textId="77777777" w:rsidR="00134128" w:rsidRPr="00BC40E8" w:rsidRDefault="00134128" w:rsidP="00210F22">
            <w:pPr>
              <w:spacing w:before="60" w:after="60"/>
              <w:jc w:val="center"/>
              <w:rPr>
                <w:rFonts w:eastAsiaTheme="majorEastAsia"/>
                <w:b/>
                <w:sz w:val="20"/>
                <w:szCs w:val="20"/>
              </w:rPr>
            </w:pPr>
            <w:r>
              <w:rPr>
                <w:rFonts w:eastAsiaTheme="majorEastAsia"/>
                <w:b/>
                <w:sz w:val="20"/>
                <w:szCs w:val="20"/>
              </w:rPr>
              <w:t>2020/21</w:t>
            </w:r>
          </w:p>
        </w:tc>
        <w:tc>
          <w:tcPr>
            <w:tcW w:w="1250" w:type="pct"/>
          </w:tcPr>
          <w:p w14:paraId="59167D7B" w14:textId="77777777" w:rsidR="00134128" w:rsidRPr="00BC40E8" w:rsidRDefault="00134128" w:rsidP="00134128">
            <w:pPr>
              <w:spacing w:before="60" w:after="60"/>
              <w:jc w:val="center"/>
              <w:rPr>
                <w:rFonts w:eastAsiaTheme="majorEastAsia"/>
                <w:sz w:val="20"/>
                <w:szCs w:val="20"/>
              </w:rPr>
            </w:pPr>
            <w:r>
              <w:rPr>
                <w:rFonts w:eastAsiaTheme="majorEastAsia"/>
                <w:sz w:val="20"/>
                <w:szCs w:val="20"/>
              </w:rPr>
              <w:t>29</w:t>
            </w:r>
          </w:p>
        </w:tc>
        <w:tc>
          <w:tcPr>
            <w:tcW w:w="1250" w:type="pct"/>
          </w:tcPr>
          <w:p w14:paraId="4A11B66C" w14:textId="4140869A" w:rsidR="00134128" w:rsidRDefault="00134128" w:rsidP="00134128">
            <w:pPr>
              <w:spacing w:before="60" w:after="60"/>
              <w:jc w:val="center"/>
              <w:rPr>
                <w:rFonts w:eastAsiaTheme="majorEastAsia"/>
                <w:sz w:val="20"/>
                <w:szCs w:val="20"/>
              </w:rPr>
            </w:pPr>
            <w:r>
              <w:rPr>
                <w:rFonts w:eastAsiaTheme="majorEastAsia"/>
                <w:sz w:val="20"/>
                <w:szCs w:val="20"/>
              </w:rPr>
              <w:t>-</w:t>
            </w:r>
          </w:p>
        </w:tc>
        <w:tc>
          <w:tcPr>
            <w:tcW w:w="1250" w:type="pct"/>
          </w:tcPr>
          <w:p w14:paraId="393CA34E" w14:textId="5A313760" w:rsidR="00134128" w:rsidRDefault="004668E2" w:rsidP="00134128">
            <w:pPr>
              <w:spacing w:before="60" w:after="60"/>
              <w:jc w:val="center"/>
              <w:rPr>
                <w:rFonts w:eastAsiaTheme="majorEastAsia"/>
                <w:sz w:val="20"/>
                <w:szCs w:val="20"/>
              </w:rPr>
            </w:pPr>
            <w:r>
              <w:rPr>
                <w:rFonts w:eastAsiaTheme="majorEastAsia"/>
                <w:sz w:val="20"/>
                <w:szCs w:val="20"/>
              </w:rPr>
              <w:t>31</w:t>
            </w:r>
          </w:p>
        </w:tc>
      </w:tr>
      <w:tr w:rsidR="00134128" w14:paraId="7A42D6ED" w14:textId="77777777" w:rsidTr="00134128">
        <w:tc>
          <w:tcPr>
            <w:tcW w:w="1250" w:type="pct"/>
          </w:tcPr>
          <w:p w14:paraId="30D0AE54" w14:textId="77777777" w:rsidR="00134128" w:rsidRPr="00BC40E8" w:rsidRDefault="00134128" w:rsidP="00210F22">
            <w:pPr>
              <w:spacing w:before="60" w:after="60"/>
              <w:jc w:val="center"/>
              <w:rPr>
                <w:rFonts w:eastAsiaTheme="majorEastAsia"/>
                <w:b/>
                <w:sz w:val="20"/>
                <w:szCs w:val="20"/>
              </w:rPr>
            </w:pPr>
            <w:r>
              <w:rPr>
                <w:rFonts w:eastAsiaTheme="majorEastAsia"/>
                <w:b/>
                <w:sz w:val="20"/>
                <w:szCs w:val="20"/>
              </w:rPr>
              <w:t>2021/</w:t>
            </w:r>
            <w:r w:rsidRPr="00BC40E8">
              <w:rPr>
                <w:rFonts w:eastAsiaTheme="majorEastAsia"/>
                <w:b/>
                <w:sz w:val="20"/>
                <w:szCs w:val="20"/>
              </w:rPr>
              <w:t>2</w:t>
            </w:r>
            <w:r>
              <w:rPr>
                <w:rFonts w:eastAsiaTheme="majorEastAsia"/>
                <w:b/>
                <w:sz w:val="20"/>
                <w:szCs w:val="20"/>
              </w:rPr>
              <w:t>2</w:t>
            </w:r>
          </w:p>
        </w:tc>
        <w:tc>
          <w:tcPr>
            <w:tcW w:w="1250" w:type="pct"/>
          </w:tcPr>
          <w:p w14:paraId="50BC8982" w14:textId="77777777" w:rsidR="00134128" w:rsidRPr="00BC40E8" w:rsidRDefault="00134128" w:rsidP="00134128">
            <w:pPr>
              <w:spacing w:before="60" w:after="60"/>
              <w:jc w:val="center"/>
              <w:rPr>
                <w:rFonts w:eastAsiaTheme="majorEastAsia"/>
                <w:sz w:val="20"/>
                <w:szCs w:val="20"/>
              </w:rPr>
            </w:pPr>
            <w:r>
              <w:rPr>
                <w:rFonts w:eastAsiaTheme="majorEastAsia"/>
                <w:sz w:val="20"/>
                <w:szCs w:val="20"/>
              </w:rPr>
              <w:t>18</w:t>
            </w:r>
          </w:p>
        </w:tc>
        <w:tc>
          <w:tcPr>
            <w:tcW w:w="1250" w:type="pct"/>
          </w:tcPr>
          <w:p w14:paraId="023792EC" w14:textId="54F1AB73" w:rsidR="00134128" w:rsidRDefault="00134128" w:rsidP="00134128">
            <w:pPr>
              <w:spacing w:before="60" w:after="60"/>
              <w:jc w:val="center"/>
              <w:rPr>
                <w:rFonts w:eastAsiaTheme="majorEastAsia"/>
                <w:sz w:val="20"/>
                <w:szCs w:val="20"/>
              </w:rPr>
            </w:pPr>
            <w:r>
              <w:rPr>
                <w:rFonts w:eastAsiaTheme="majorEastAsia"/>
                <w:sz w:val="20"/>
                <w:szCs w:val="20"/>
              </w:rPr>
              <w:t>80</w:t>
            </w:r>
          </w:p>
        </w:tc>
        <w:tc>
          <w:tcPr>
            <w:tcW w:w="1250" w:type="pct"/>
          </w:tcPr>
          <w:p w14:paraId="686D3F5B" w14:textId="30EEB9BA" w:rsidR="00134128" w:rsidRDefault="004668E2" w:rsidP="00134128">
            <w:pPr>
              <w:spacing w:before="60" w:after="60"/>
              <w:jc w:val="center"/>
              <w:rPr>
                <w:rFonts w:eastAsiaTheme="majorEastAsia"/>
                <w:sz w:val="20"/>
                <w:szCs w:val="20"/>
              </w:rPr>
            </w:pPr>
            <w:r>
              <w:rPr>
                <w:rFonts w:eastAsiaTheme="majorEastAsia"/>
                <w:sz w:val="20"/>
                <w:szCs w:val="20"/>
              </w:rPr>
              <w:t>22</w:t>
            </w:r>
          </w:p>
        </w:tc>
      </w:tr>
      <w:tr w:rsidR="00134128" w14:paraId="74A8335D" w14:textId="77777777" w:rsidTr="00134128">
        <w:tc>
          <w:tcPr>
            <w:tcW w:w="1250" w:type="pct"/>
          </w:tcPr>
          <w:p w14:paraId="713C2C45" w14:textId="77777777" w:rsidR="00134128" w:rsidRDefault="00134128" w:rsidP="00210F22">
            <w:pPr>
              <w:spacing w:before="60" w:after="60"/>
              <w:jc w:val="center"/>
              <w:rPr>
                <w:rFonts w:eastAsiaTheme="majorEastAsia"/>
                <w:b/>
                <w:sz w:val="20"/>
                <w:szCs w:val="20"/>
              </w:rPr>
            </w:pPr>
            <w:r>
              <w:rPr>
                <w:rFonts w:eastAsiaTheme="majorEastAsia"/>
                <w:b/>
                <w:sz w:val="20"/>
                <w:szCs w:val="20"/>
              </w:rPr>
              <w:t>2022/23</w:t>
            </w:r>
          </w:p>
        </w:tc>
        <w:tc>
          <w:tcPr>
            <w:tcW w:w="1250" w:type="pct"/>
          </w:tcPr>
          <w:p w14:paraId="2C7B3BBE" w14:textId="77777777" w:rsidR="00134128" w:rsidRDefault="00134128" w:rsidP="00134128">
            <w:pPr>
              <w:spacing w:before="60" w:after="60"/>
              <w:jc w:val="center"/>
              <w:rPr>
                <w:rFonts w:eastAsiaTheme="majorEastAsia"/>
                <w:sz w:val="20"/>
                <w:szCs w:val="20"/>
              </w:rPr>
            </w:pPr>
            <w:r>
              <w:rPr>
                <w:rFonts w:eastAsiaTheme="majorEastAsia"/>
                <w:sz w:val="20"/>
                <w:szCs w:val="20"/>
              </w:rPr>
              <w:t>25</w:t>
            </w:r>
          </w:p>
        </w:tc>
        <w:tc>
          <w:tcPr>
            <w:tcW w:w="1250" w:type="pct"/>
          </w:tcPr>
          <w:p w14:paraId="108B34CD" w14:textId="564B47A6" w:rsidR="00134128" w:rsidRDefault="00134128" w:rsidP="00134128">
            <w:pPr>
              <w:spacing w:before="60" w:after="60"/>
              <w:jc w:val="center"/>
              <w:rPr>
                <w:rFonts w:eastAsiaTheme="majorEastAsia"/>
                <w:sz w:val="20"/>
                <w:szCs w:val="20"/>
              </w:rPr>
            </w:pPr>
            <w:r>
              <w:rPr>
                <w:rFonts w:eastAsiaTheme="majorEastAsia"/>
                <w:sz w:val="20"/>
                <w:szCs w:val="20"/>
              </w:rPr>
              <w:t>113</w:t>
            </w:r>
          </w:p>
        </w:tc>
        <w:tc>
          <w:tcPr>
            <w:tcW w:w="1250" w:type="pct"/>
          </w:tcPr>
          <w:p w14:paraId="45887FDE" w14:textId="34B86B73" w:rsidR="00134128" w:rsidRDefault="004668E2" w:rsidP="00134128">
            <w:pPr>
              <w:spacing w:before="60" w:after="60"/>
              <w:jc w:val="center"/>
              <w:rPr>
                <w:rFonts w:eastAsiaTheme="majorEastAsia"/>
                <w:sz w:val="20"/>
                <w:szCs w:val="20"/>
              </w:rPr>
            </w:pPr>
            <w:r>
              <w:rPr>
                <w:rFonts w:eastAsiaTheme="majorEastAsia"/>
                <w:sz w:val="20"/>
                <w:szCs w:val="20"/>
              </w:rPr>
              <w:t>22</w:t>
            </w:r>
          </w:p>
        </w:tc>
      </w:tr>
      <w:tr w:rsidR="00134128" w14:paraId="7E0DC576" w14:textId="77777777" w:rsidTr="00134128">
        <w:tc>
          <w:tcPr>
            <w:tcW w:w="1250" w:type="pct"/>
          </w:tcPr>
          <w:p w14:paraId="6DB2A265" w14:textId="5DEB0BD4" w:rsidR="00134128" w:rsidRDefault="00134128" w:rsidP="00210F22">
            <w:pPr>
              <w:spacing w:before="60" w:after="60"/>
              <w:jc w:val="center"/>
              <w:rPr>
                <w:rFonts w:eastAsiaTheme="majorEastAsia"/>
                <w:b/>
                <w:sz w:val="20"/>
                <w:szCs w:val="20"/>
              </w:rPr>
            </w:pPr>
            <w:r>
              <w:rPr>
                <w:rFonts w:eastAsiaTheme="majorEastAsia"/>
                <w:b/>
                <w:sz w:val="20"/>
                <w:szCs w:val="20"/>
              </w:rPr>
              <w:t>2023/24</w:t>
            </w:r>
          </w:p>
        </w:tc>
        <w:tc>
          <w:tcPr>
            <w:tcW w:w="1250" w:type="pct"/>
          </w:tcPr>
          <w:p w14:paraId="790CFFBD" w14:textId="197D7F94" w:rsidR="00134128" w:rsidRDefault="00134128" w:rsidP="00134128">
            <w:pPr>
              <w:spacing w:before="60" w:after="60"/>
              <w:jc w:val="center"/>
              <w:rPr>
                <w:rFonts w:eastAsiaTheme="majorEastAsia"/>
                <w:sz w:val="20"/>
                <w:szCs w:val="20"/>
              </w:rPr>
            </w:pPr>
            <w:r>
              <w:rPr>
                <w:rFonts w:eastAsiaTheme="majorEastAsia"/>
                <w:sz w:val="20"/>
                <w:szCs w:val="20"/>
              </w:rPr>
              <w:t>20</w:t>
            </w:r>
          </w:p>
        </w:tc>
        <w:tc>
          <w:tcPr>
            <w:tcW w:w="1250" w:type="pct"/>
          </w:tcPr>
          <w:p w14:paraId="474E9407" w14:textId="21088239" w:rsidR="00134128" w:rsidRDefault="00134128" w:rsidP="00134128">
            <w:pPr>
              <w:spacing w:before="60" w:after="60"/>
              <w:jc w:val="center"/>
              <w:rPr>
                <w:rFonts w:eastAsiaTheme="majorEastAsia"/>
                <w:sz w:val="20"/>
                <w:szCs w:val="20"/>
              </w:rPr>
            </w:pPr>
            <w:r>
              <w:rPr>
                <w:rFonts w:eastAsiaTheme="majorEastAsia"/>
                <w:sz w:val="20"/>
                <w:szCs w:val="20"/>
              </w:rPr>
              <w:t>118</w:t>
            </w:r>
          </w:p>
        </w:tc>
        <w:tc>
          <w:tcPr>
            <w:tcW w:w="1250" w:type="pct"/>
          </w:tcPr>
          <w:p w14:paraId="02F2BC36" w14:textId="49D0386D" w:rsidR="00134128" w:rsidRDefault="001D2F04" w:rsidP="00134128">
            <w:pPr>
              <w:spacing w:before="60" w:after="60"/>
              <w:jc w:val="center"/>
              <w:rPr>
                <w:rFonts w:eastAsiaTheme="majorEastAsia"/>
                <w:sz w:val="20"/>
                <w:szCs w:val="20"/>
              </w:rPr>
            </w:pPr>
            <w:r>
              <w:rPr>
                <w:rFonts w:eastAsiaTheme="majorEastAsia"/>
                <w:sz w:val="20"/>
                <w:szCs w:val="20"/>
              </w:rPr>
              <w:t>10</w:t>
            </w:r>
          </w:p>
        </w:tc>
      </w:tr>
    </w:tbl>
    <w:p w14:paraId="014CEE25" w14:textId="77777777" w:rsidR="0004512F" w:rsidRDefault="0004512F" w:rsidP="0004512F">
      <w:pPr>
        <w:rPr>
          <w:sz w:val="20"/>
          <w:szCs w:val="20"/>
        </w:rPr>
      </w:pPr>
      <w:r w:rsidRPr="00C76973">
        <w:rPr>
          <w:sz w:val="20"/>
          <w:szCs w:val="20"/>
        </w:rPr>
        <w:t xml:space="preserve">Note: The 2023/24 financial year includes </w:t>
      </w:r>
      <w:r>
        <w:rPr>
          <w:sz w:val="20"/>
          <w:szCs w:val="20"/>
        </w:rPr>
        <w:t>nine</w:t>
      </w:r>
      <w:r w:rsidRPr="00C76973">
        <w:rPr>
          <w:sz w:val="20"/>
          <w:szCs w:val="20"/>
        </w:rPr>
        <w:t xml:space="preserve"> months of data, from July 2023 to </w:t>
      </w:r>
      <w:r>
        <w:rPr>
          <w:sz w:val="20"/>
          <w:szCs w:val="20"/>
        </w:rPr>
        <w:t>March</w:t>
      </w:r>
      <w:r w:rsidRPr="00C76973">
        <w:rPr>
          <w:sz w:val="20"/>
          <w:szCs w:val="20"/>
        </w:rPr>
        <w:t xml:space="preserve"> 2024 inclusive.</w:t>
      </w:r>
    </w:p>
    <w:p w14:paraId="597E39FC" w14:textId="2AE64A5A" w:rsidR="00797603" w:rsidRDefault="00797603" w:rsidP="0021485F">
      <w:pPr>
        <w:rPr>
          <w:sz w:val="20"/>
          <w:szCs w:val="20"/>
        </w:rPr>
      </w:pPr>
    </w:p>
    <w:p w14:paraId="507041FF" w14:textId="245F5836" w:rsidR="00746413" w:rsidRDefault="008A0365" w:rsidP="002707B2">
      <w:pPr>
        <w:jc w:val="center"/>
      </w:pPr>
      <w:r>
        <w:rPr>
          <w:noProof/>
        </w:rPr>
        <w:drawing>
          <wp:inline distT="0" distB="0" distL="0" distR="0" wp14:anchorId="78C7E70E" wp14:editId="367BE8D6">
            <wp:extent cx="4258800" cy="2466000"/>
            <wp:effectExtent l="0" t="0" r="8890" b="10795"/>
            <wp:docPr id="1" name="Chart 1">
              <a:extLst xmlns:a="http://schemas.openxmlformats.org/drawingml/2006/main">
                <a:ext uri="{FF2B5EF4-FFF2-40B4-BE49-F238E27FC236}">
                  <a16:creationId xmlns:a16="http://schemas.microsoft.com/office/drawing/2014/main" id="{DA3A7CE5-7BBF-1319-9F50-08A7905528D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607BEE" w14:textId="51D5C6ED" w:rsidR="006814D8" w:rsidRDefault="006814D8" w:rsidP="006814D8">
      <w:pPr>
        <w:pStyle w:val="Tabletitle"/>
      </w:pPr>
      <w:r>
        <w:t xml:space="preserve">Figure </w:t>
      </w:r>
      <w:r w:rsidR="0069602D">
        <w:t>3</w:t>
      </w:r>
      <w:r>
        <w:t xml:space="preserve">: </w:t>
      </w:r>
      <w:r w:rsidR="003756AB">
        <w:t>Volume of written authority approvals and prescriptions by indication and financial year</w:t>
      </w:r>
    </w:p>
    <w:p w14:paraId="4CC9BB5E" w14:textId="77777777" w:rsidR="0004512F" w:rsidRDefault="0004512F" w:rsidP="0004512F">
      <w:pPr>
        <w:rPr>
          <w:sz w:val="20"/>
          <w:szCs w:val="20"/>
        </w:rPr>
      </w:pPr>
      <w:r w:rsidRPr="00C76973">
        <w:rPr>
          <w:sz w:val="20"/>
          <w:szCs w:val="20"/>
        </w:rPr>
        <w:t xml:space="preserve">Note: The 2023/24 financial year includes </w:t>
      </w:r>
      <w:r>
        <w:rPr>
          <w:sz w:val="20"/>
          <w:szCs w:val="20"/>
        </w:rPr>
        <w:t>nine</w:t>
      </w:r>
      <w:r w:rsidRPr="00C76973">
        <w:rPr>
          <w:sz w:val="20"/>
          <w:szCs w:val="20"/>
        </w:rPr>
        <w:t xml:space="preserve"> months of data, from July 2023 to </w:t>
      </w:r>
      <w:r>
        <w:rPr>
          <w:sz w:val="20"/>
          <w:szCs w:val="20"/>
        </w:rPr>
        <w:t>March</w:t>
      </w:r>
      <w:r w:rsidRPr="00C76973">
        <w:rPr>
          <w:sz w:val="20"/>
          <w:szCs w:val="20"/>
        </w:rPr>
        <w:t xml:space="preserve"> 2024 inclusive.</w:t>
      </w:r>
    </w:p>
    <w:p w14:paraId="130C5E53" w14:textId="77777777" w:rsidR="000524B9" w:rsidRDefault="000524B9" w:rsidP="00A35800"/>
    <w:p w14:paraId="692F5928" w14:textId="77777777" w:rsidR="000524B9" w:rsidRDefault="000524B9" w:rsidP="00A35800"/>
    <w:p w14:paraId="2F4722CA" w14:textId="77777777" w:rsidR="000524B9" w:rsidRDefault="000524B9" w:rsidP="00A35800"/>
    <w:p w14:paraId="5D7BFD59" w14:textId="77777777" w:rsidR="000524B9" w:rsidRDefault="000524B9" w:rsidP="00A35800"/>
    <w:p w14:paraId="2D1D9497" w14:textId="2CC772B1" w:rsidR="009E3C2D" w:rsidRDefault="00054DF9" w:rsidP="00A35800">
      <w:r>
        <w:lastRenderedPageBreak/>
        <w:t xml:space="preserve">In Table </w:t>
      </w:r>
      <w:r w:rsidR="00BD7972">
        <w:t xml:space="preserve">8 and Figure 4 </w:t>
      </w:r>
      <w:r>
        <w:t xml:space="preserve">below, similar trends </w:t>
      </w:r>
      <w:r w:rsidR="000E051E">
        <w:t xml:space="preserve">were </w:t>
      </w:r>
      <w:r>
        <w:t xml:space="preserve">observed in the number of prescriptions supplied by indication as the </w:t>
      </w:r>
      <w:r w:rsidR="000524B9">
        <w:t>number of written authority approvals by indication.</w:t>
      </w:r>
      <w:r w:rsidR="00883C49">
        <w:t xml:space="preserve"> </w:t>
      </w:r>
    </w:p>
    <w:p w14:paraId="4F83A45A" w14:textId="64EAACDB" w:rsidR="00487059" w:rsidRPr="006440DD" w:rsidRDefault="00487059" w:rsidP="00487059">
      <w:pPr>
        <w:pStyle w:val="Tabletitle"/>
      </w:pPr>
      <w:r>
        <w:t xml:space="preserve">Table </w:t>
      </w:r>
      <w:r w:rsidR="00BD7972">
        <w:t>8</w:t>
      </w:r>
      <w:r w:rsidRPr="006440DD">
        <w:t xml:space="preserve">: </w:t>
      </w:r>
      <w:r>
        <w:t xml:space="preserve">Volume of </w:t>
      </w:r>
      <w:r w:rsidR="00134128">
        <w:t xml:space="preserve">prescriptions supplied by indication and financial year </w:t>
      </w:r>
    </w:p>
    <w:tbl>
      <w:tblPr>
        <w:tblStyle w:val="TableGrid"/>
        <w:tblW w:w="5000" w:type="pct"/>
        <w:tblLook w:val="04A0" w:firstRow="1" w:lastRow="0" w:firstColumn="1" w:lastColumn="0" w:noHBand="0" w:noVBand="1"/>
      </w:tblPr>
      <w:tblGrid>
        <w:gridCol w:w="2236"/>
        <w:gridCol w:w="2237"/>
        <w:gridCol w:w="2237"/>
        <w:gridCol w:w="2237"/>
      </w:tblGrid>
      <w:tr w:rsidR="00134128" w14:paraId="77D13039" w14:textId="77777777" w:rsidTr="00134128">
        <w:tc>
          <w:tcPr>
            <w:tcW w:w="1250" w:type="pct"/>
            <w:shd w:val="clear" w:color="auto" w:fill="BFBFBF" w:themeFill="background1" w:themeFillShade="BF"/>
          </w:tcPr>
          <w:p w14:paraId="6933E04E" w14:textId="77777777" w:rsidR="00134128" w:rsidRDefault="00134128" w:rsidP="00210F22">
            <w:pPr>
              <w:spacing w:before="60" w:after="60"/>
              <w:jc w:val="center"/>
              <w:rPr>
                <w:rFonts w:eastAsiaTheme="majorEastAsia"/>
                <w:b/>
                <w:sz w:val="20"/>
                <w:szCs w:val="20"/>
              </w:rPr>
            </w:pPr>
            <w:r>
              <w:rPr>
                <w:rFonts w:eastAsiaTheme="majorEastAsia"/>
                <w:b/>
                <w:sz w:val="20"/>
                <w:szCs w:val="20"/>
              </w:rPr>
              <w:t>Financial year</w:t>
            </w:r>
          </w:p>
        </w:tc>
        <w:tc>
          <w:tcPr>
            <w:tcW w:w="1250" w:type="pct"/>
            <w:shd w:val="clear" w:color="auto" w:fill="BFBFBF" w:themeFill="background1" w:themeFillShade="BF"/>
          </w:tcPr>
          <w:p w14:paraId="1C08D457" w14:textId="72DF8279" w:rsidR="00134128" w:rsidRDefault="00134128" w:rsidP="00134128">
            <w:pPr>
              <w:spacing w:before="60" w:after="60"/>
              <w:jc w:val="center"/>
              <w:rPr>
                <w:rFonts w:eastAsiaTheme="majorEastAsia"/>
                <w:b/>
                <w:sz w:val="20"/>
                <w:szCs w:val="20"/>
              </w:rPr>
            </w:pPr>
            <w:r>
              <w:rPr>
                <w:rFonts w:eastAsiaTheme="majorEastAsia"/>
                <w:b/>
                <w:sz w:val="20"/>
                <w:szCs w:val="20"/>
              </w:rPr>
              <w:t>CTCL</w:t>
            </w:r>
          </w:p>
        </w:tc>
        <w:tc>
          <w:tcPr>
            <w:tcW w:w="1250" w:type="pct"/>
            <w:shd w:val="clear" w:color="auto" w:fill="BFBFBF" w:themeFill="background1" w:themeFillShade="BF"/>
          </w:tcPr>
          <w:p w14:paraId="5AF7C69E" w14:textId="56FD1EE8" w:rsidR="00134128" w:rsidRDefault="00134128" w:rsidP="00134128">
            <w:pPr>
              <w:spacing w:before="60" w:after="60"/>
              <w:jc w:val="center"/>
              <w:rPr>
                <w:rFonts w:eastAsiaTheme="majorEastAsia"/>
                <w:b/>
                <w:sz w:val="20"/>
                <w:szCs w:val="20"/>
              </w:rPr>
            </w:pPr>
            <w:r>
              <w:rPr>
                <w:rFonts w:eastAsiaTheme="majorEastAsia"/>
                <w:b/>
                <w:sz w:val="20"/>
                <w:szCs w:val="20"/>
              </w:rPr>
              <w:t>PTCL</w:t>
            </w:r>
          </w:p>
        </w:tc>
        <w:tc>
          <w:tcPr>
            <w:tcW w:w="1250" w:type="pct"/>
            <w:shd w:val="clear" w:color="auto" w:fill="BFBFBF" w:themeFill="background1" w:themeFillShade="BF"/>
          </w:tcPr>
          <w:p w14:paraId="6CEADAF8" w14:textId="7DF6747B" w:rsidR="00134128" w:rsidRDefault="00134128" w:rsidP="00134128">
            <w:pPr>
              <w:spacing w:before="60" w:after="60"/>
              <w:jc w:val="center"/>
              <w:rPr>
                <w:rFonts w:eastAsiaTheme="majorEastAsia"/>
                <w:b/>
                <w:sz w:val="20"/>
                <w:szCs w:val="20"/>
              </w:rPr>
            </w:pPr>
            <w:r>
              <w:rPr>
                <w:rFonts w:eastAsiaTheme="majorEastAsia"/>
                <w:b/>
                <w:sz w:val="20"/>
                <w:szCs w:val="20"/>
              </w:rPr>
              <w:t>sALCL</w:t>
            </w:r>
          </w:p>
        </w:tc>
      </w:tr>
      <w:tr w:rsidR="00134128" w14:paraId="51E78D7A" w14:textId="77777777" w:rsidTr="00134128">
        <w:tc>
          <w:tcPr>
            <w:tcW w:w="1250" w:type="pct"/>
          </w:tcPr>
          <w:p w14:paraId="3BA5DCA8" w14:textId="1C8F22D8" w:rsidR="00134128" w:rsidRDefault="00134128" w:rsidP="00210F22">
            <w:pPr>
              <w:spacing w:before="60" w:after="60"/>
              <w:jc w:val="center"/>
              <w:rPr>
                <w:rFonts w:eastAsiaTheme="majorEastAsia"/>
                <w:b/>
                <w:sz w:val="20"/>
                <w:szCs w:val="20"/>
              </w:rPr>
            </w:pPr>
            <w:r>
              <w:rPr>
                <w:rFonts w:eastAsiaTheme="majorEastAsia"/>
                <w:b/>
                <w:sz w:val="20"/>
                <w:szCs w:val="20"/>
              </w:rPr>
              <w:t>2019/20</w:t>
            </w:r>
          </w:p>
        </w:tc>
        <w:tc>
          <w:tcPr>
            <w:tcW w:w="1250" w:type="pct"/>
          </w:tcPr>
          <w:p w14:paraId="650EEB4D" w14:textId="570AF3CA" w:rsidR="00134128" w:rsidRDefault="00134128" w:rsidP="00134128">
            <w:pPr>
              <w:spacing w:before="60" w:after="60"/>
              <w:jc w:val="center"/>
              <w:rPr>
                <w:rFonts w:eastAsiaTheme="majorEastAsia"/>
                <w:sz w:val="20"/>
                <w:szCs w:val="20"/>
              </w:rPr>
            </w:pPr>
            <w:r>
              <w:rPr>
                <w:rFonts w:eastAsiaTheme="majorEastAsia"/>
                <w:sz w:val="20"/>
                <w:szCs w:val="20"/>
              </w:rPr>
              <w:t>226</w:t>
            </w:r>
          </w:p>
        </w:tc>
        <w:tc>
          <w:tcPr>
            <w:tcW w:w="1250" w:type="pct"/>
          </w:tcPr>
          <w:p w14:paraId="204DA573" w14:textId="0629E31F" w:rsidR="00134128" w:rsidRDefault="00134128" w:rsidP="00134128">
            <w:pPr>
              <w:spacing w:before="60" w:after="60"/>
              <w:jc w:val="center"/>
              <w:rPr>
                <w:rFonts w:eastAsiaTheme="majorEastAsia"/>
                <w:sz w:val="20"/>
                <w:szCs w:val="20"/>
              </w:rPr>
            </w:pPr>
            <w:r>
              <w:rPr>
                <w:rFonts w:eastAsiaTheme="majorEastAsia"/>
                <w:sz w:val="20"/>
                <w:szCs w:val="20"/>
              </w:rPr>
              <w:t>-</w:t>
            </w:r>
          </w:p>
        </w:tc>
        <w:tc>
          <w:tcPr>
            <w:tcW w:w="1250" w:type="pct"/>
          </w:tcPr>
          <w:p w14:paraId="0865D3C0" w14:textId="6EEC87F3" w:rsidR="00134128" w:rsidRDefault="009E3C2D" w:rsidP="00134128">
            <w:pPr>
              <w:spacing w:before="60" w:after="60"/>
              <w:jc w:val="center"/>
              <w:rPr>
                <w:rFonts w:eastAsiaTheme="majorEastAsia"/>
                <w:sz w:val="20"/>
                <w:szCs w:val="20"/>
              </w:rPr>
            </w:pPr>
            <w:r>
              <w:rPr>
                <w:rFonts w:eastAsiaTheme="majorEastAsia"/>
                <w:sz w:val="20"/>
                <w:szCs w:val="20"/>
              </w:rPr>
              <w:t>205</w:t>
            </w:r>
          </w:p>
        </w:tc>
      </w:tr>
      <w:tr w:rsidR="00134128" w14:paraId="18BF690B" w14:textId="77777777" w:rsidTr="00134128">
        <w:tc>
          <w:tcPr>
            <w:tcW w:w="1250" w:type="pct"/>
          </w:tcPr>
          <w:p w14:paraId="21E0ECCC" w14:textId="3A388C77" w:rsidR="00134128" w:rsidRDefault="00134128" w:rsidP="00210F22">
            <w:pPr>
              <w:spacing w:before="60" w:after="60"/>
              <w:jc w:val="center"/>
              <w:rPr>
                <w:rFonts w:eastAsiaTheme="majorEastAsia"/>
                <w:b/>
                <w:sz w:val="20"/>
                <w:szCs w:val="20"/>
              </w:rPr>
            </w:pPr>
            <w:r>
              <w:rPr>
                <w:rFonts w:eastAsiaTheme="majorEastAsia"/>
                <w:b/>
                <w:sz w:val="20"/>
                <w:szCs w:val="20"/>
              </w:rPr>
              <w:t>2020/21</w:t>
            </w:r>
          </w:p>
        </w:tc>
        <w:tc>
          <w:tcPr>
            <w:tcW w:w="1250" w:type="pct"/>
          </w:tcPr>
          <w:p w14:paraId="4CE90F72" w14:textId="5A376E9D" w:rsidR="00134128" w:rsidRDefault="00134128" w:rsidP="00134128">
            <w:pPr>
              <w:spacing w:before="60" w:after="60"/>
              <w:jc w:val="center"/>
              <w:rPr>
                <w:rFonts w:eastAsiaTheme="majorEastAsia"/>
                <w:sz w:val="20"/>
                <w:szCs w:val="20"/>
              </w:rPr>
            </w:pPr>
            <w:r>
              <w:rPr>
                <w:rFonts w:eastAsiaTheme="majorEastAsia"/>
                <w:sz w:val="20"/>
                <w:szCs w:val="20"/>
              </w:rPr>
              <w:t>289</w:t>
            </w:r>
          </w:p>
        </w:tc>
        <w:tc>
          <w:tcPr>
            <w:tcW w:w="1250" w:type="pct"/>
          </w:tcPr>
          <w:p w14:paraId="24C5FACA" w14:textId="0FFAC134" w:rsidR="00134128" w:rsidRDefault="00134128" w:rsidP="00134128">
            <w:pPr>
              <w:spacing w:before="60" w:after="60"/>
              <w:jc w:val="center"/>
              <w:rPr>
                <w:rFonts w:eastAsiaTheme="majorEastAsia"/>
                <w:sz w:val="20"/>
                <w:szCs w:val="20"/>
              </w:rPr>
            </w:pPr>
            <w:r>
              <w:rPr>
                <w:rFonts w:eastAsiaTheme="majorEastAsia"/>
                <w:sz w:val="20"/>
                <w:szCs w:val="20"/>
              </w:rPr>
              <w:t>-</w:t>
            </w:r>
          </w:p>
        </w:tc>
        <w:tc>
          <w:tcPr>
            <w:tcW w:w="1250" w:type="pct"/>
          </w:tcPr>
          <w:p w14:paraId="2402713E" w14:textId="0A55EF5C" w:rsidR="00134128" w:rsidRDefault="009E3C2D" w:rsidP="00134128">
            <w:pPr>
              <w:spacing w:before="60" w:after="60"/>
              <w:jc w:val="center"/>
              <w:rPr>
                <w:rFonts w:eastAsiaTheme="majorEastAsia"/>
                <w:sz w:val="20"/>
                <w:szCs w:val="20"/>
              </w:rPr>
            </w:pPr>
            <w:r>
              <w:rPr>
                <w:rFonts w:eastAsiaTheme="majorEastAsia"/>
                <w:sz w:val="20"/>
                <w:szCs w:val="20"/>
              </w:rPr>
              <w:t>198</w:t>
            </w:r>
          </w:p>
        </w:tc>
      </w:tr>
      <w:tr w:rsidR="00134128" w14:paraId="0D7D717F" w14:textId="77777777" w:rsidTr="00134128">
        <w:tc>
          <w:tcPr>
            <w:tcW w:w="1250" w:type="pct"/>
          </w:tcPr>
          <w:p w14:paraId="0B518D97" w14:textId="6AC07C6D" w:rsidR="00134128" w:rsidRPr="00BC40E8" w:rsidRDefault="00134128" w:rsidP="00210F22">
            <w:pPr>
              <w:spacing w:before="60" w:after="60"/>
              <w:jc w:val="center"/>
              <w:rPr>
                <w:rFonts w:eastAsiaTheme="majorEastAsia"/>
                <w:b/>
                <w:sz w:val="20"/>
                <w:szCs w:val="20"/>
              </w:rPr>
            </w:pPr>
            <w:r>
              <w:rPr>
                <w:rFonts w:eastAsiaTheme="majorEastAsia"/>
                <w:b/>
                <w:sz w:val="20"/>
                <w:szCs w:val="20"/>
              </w:rPr>
              <w:t>2021/</w:t>
            </w:r>
            <w:r w:rsidRPr="00BC40E8">
              <w:rPr>
                <w:rFonts w:eastAsiaTheme="majorEastAsia"/>
                <w:b/>
                <w:sz w:val="20"/>
                <w:szCs w:val="20"/>
              </w:rPr>
              <w:t>2</w:t>
            </w:r>
            <w:r>
              <w:rPr>
                <w:rFonts w:eastAsiaTheme="majorEastAsia"/>
                <w:b/>
                <w:sz w:val="20"/>
                <w:szCs w:val="20"/>
              </w:rPr>
              <w:t>2</w:t>
            </w:r>
          </w:p>
        </w:tc>
        <w:tc>
          <w:tcPr>
            <w:tcW w:w="1250" w:type="pct"/>
          </w:tcPr>
          <w:p w14:paraId="38B2FFD5" w14:textId="1B9B5BE6" w:rsidR="00134128" w:rsidRDefault="00134128" w:rsidP="00134128">
            <w:pPr>
              <w:spacing w:before="60" w:after="60"/>
              <w:jc w:val="center"/>
              <w:rPr>
                <w:rFonts w:eastAsiaTheme="majorEastAsia"/>
                <w:sz w:val="20"/>
                <w:szCs w:val="20"/>
              </w:rPr>
            </w:pPr>
            <w:r>
              <w:rPr>
                <w:rFonts w:eastAsiaTheme="majorEastAsia"/>
                <w:sz w:val="20"/>
                <w:szCs w:val="20"/>
              </w:rPr>
              <w:t>137</w:t>
            </w:r>
          </w:p>
        </w:tc>
        <w:tc>
          <w:tcPr>
            <w:tcW w:w="1250" w:type="pct"/>
          </w:tcPr>
          <w:p w14:paraId="5F39F25B" w14:textId="4797908F" w:rsidR="00134128" w:rsidRDefault="00134128" w:rsidP="00134128">
            <w:pPr>
              <w:spacing w:before="60" w:after="60"/>
              <w:jc w:val="center"/>
              <w:rPr>
                <w:rFonts w:eastAsiaTheme="majorEastAsia"/>
                <w:sz w:val="20"/>
                <w:szCs w:val="20"/>
              </w:rPr>
            </w:pPr>
            <w:r>
              <w:rPr>
                <w:rFonts w:eastAsiaTheme="majorEastAsia"/>
                <w:sz w:val="20"/>
                <w:szCs w:val="20"/>
              </w:rPr>
              <w:t>252</w:t>
            </w:r>
          </w:p>
        </w:tc>
        <w:tc>
          <w:tcPr>
            <w:tcW w:w="1250" w:type="pct"/>
          </w:tcPr>
          <w:p w14:paraId="1F0E0217" w14:textId="601BF4B9" w:rsidR="00134128" w:rsidRDefault="009E3C2D" w:rsidP="00134128">
            <w:pPr>
              <w:spacing w:before="60" w:after="60"/>
              <w:jc w:val="center"/>
              <w:rPr>
                <w:rFonts w:eastAsiaTheme="majorEastAsia"/>
                <w:sz w:val="20"/>
                <w:szCs w:val="20"/>
              </w:rPr>
            </w:pPr>
            <w:r>
              <w:rPr>
                <w:rFonts w:eastAsiaTheme="majorEastAsia"/>
                <w:sz w:val="20"/>
                <w:szCs w:val="20"/>
              </w:rPr>
              <w:t>225</w:t>
            </w:r>
          </w:p>
        </w:tc>
      </w:tr>
      <w:tr w:rsidR="00134128" w14:paraId="5673BFFD" w14:textId="77777777" w:rsidTr="00134128">
        <w:tc>
          <w:tcPr>
            <w:tcW w:w="1250" w:type="pct"/>
          </w:tcPr>
          <w:p w14:paraId="2077CDB6" w14:textId="3FBFEB6A" w:rsidR="00134128" w:rsidRDefault="00134128" w:rsidP="00210F22">
            <w:pPr>
              <w:spacing w:before="60" w:after="60"/>
              <w:jc w:val="center"/>
              <w:rPr>
                <w:rFonts w:eastAsiaTheme="majorEastAsia"/>
                <w:b/>
                <w:sz w:val="20"/>
                <w:szCs w:val="20"/>
              </w:rPr>
            </w:pPr>
            <w:r>
              <w:rPr>
                <w:rFonts w:eastAsiaTheme="majorEastAsia"/>
                <w:b/>
                <w:sz w:val="20"/>
                <w:szCs w:val="20"/>
              </w:rPr>
              <w:t>2022/23</w:t>
            </w:r>
          </w:p>
        </w:tc>
        <w:tc>
          <w:tcPr>
            <w:tcW w:w="1250" w:type="pct"/>
          </w:tcPr>
          <w:p w14:paraId="657CB7BC" w14:textId="32213862" w:rsidR="00134128" w:rsidRDefault="00134128" w:rsidP="00134128">
            <w:pPr>
              <w:spacing w:before="60" w:after="60"/>
              <w:jc w:val="center"/>
              <w:rPr>
                <w:rFonts w:eastAsiaTheme="majorEastAsia"/>
                <w:sz w:val="20"/>
                <w:szCs w:val="20"/>
              </w:rPr>
            </w:pPr>
            <w:r>
              <w:rPr>
                <w:rFonts w:eastAsiaTheme="majorEastAsia"/>
                <w:sz w:val="20"/>
                <w:szCs w:val="20"/>
              </w:rPr>
              <w:t>207</w:t>
            </w:r>
          </w:p>
        </w:tc>
        <w:tc>
          <w:tcPr>
            <w:tcW w:w="1250" w:type="pct"/>
          </w:tcPr>
          <w:p w14:paraId="2A572614" w14:textId="1C919578" w:rsidR="00134128" w:rsidRDefault="00134128" w:rsidP="00134128">
            <w:pPr>
              <w:spacing w:before="60" w:after="60"/>
              <w:jc w:val="center"/>
              <w:rPr>
                <w:rFonts w:eastAsiaTheme="majorEastAsia"/>
                <w:sz w:val="20"/>
                <w:szCs w:val="20"/>
              </w:rPr>
            </w:pPr>
            <w:r>
              <w:rPr>
                <w:rFonts w:eastAsiaTheme="majorEastAsia"/>
                <w:sz w:val="20"/>
                <w:szCs w:val="20"/>
              </w:rPr>
              <w:t>428</w:t>
            </w:r>
          </w:p>
        </w:tc>
        <w:tc>
          <w:tcPr>
            <w:tcW w:w="1250" w:type="pct"/>
          </w:tcPr>
          <w:p w14:paraId="22EB1C75" w14:textId="2AEEA396" w:rsidR="00134128" w:rsidRDefault="009E3C2D" w:rsidP="00134128">
            <w:pPr>
              <w:spacing w:before="60" w:after="60"/>
              <w:jc w:val="center"/>
              <w:rPr>
                <w:rFonts w:eastAsiaTheme="majorEastAsia"/>
                <w:sz w:val="20"/>
                <w:szCs w:val="20"/>
              </w:rPr>
            </w:pPr>
            <w:r>
              <w:rPr>
                <w:rFonts w:eastAsiaTheme="majorEastAsia"/>
                <w:sz w:val="20"/>
                <w:szCs w:val="20"/>
              </w:rPr>
              <w:t>225</w:t>
            </w:r>
          </w:p>
        </w:tc>
      </w:tr>
      <w:tr w:rsidR="00134128" w14:paraId="0BD3ED50" w14:textId="77777777" w:rsidTr="00134128">
        <w:tc>
          <w:tcPr>
            <w:tcW w:w="1250" w:type="pct"/>
          </w:tcPr>
          <w:p w14:paraId="2DADC3FC" w14:textId="48F4D5C9" w:rsidR="00134128" w:rsidRDefault="00134128" w:rsidP="00210F22">
            <w:pPr>
              <w:spacing w:before="60" w:after="60"/>
              <w:jc w:val="center"/>
              <w:rPr>
                <w:rFonts w:eastAsiaTheme="majorEastAsia"/>
                <w:b/>
                <w:sz w:val="20"/>
                <w:szCs w:val="20"/>
              </w:rPr>
            </w:pPr>
            <w:r>
              <w:rPr>
                <w:rFonts w:eastAsiaTheme="majorEastAsia"/>
                <w:b/>
                <w:sz w:val="20"/>
                <w:szCs w:val="20"/>
              </w:rPr>
              <w:t>2023/24</w:t>
            </w:r>
          </w:p>
        </w:tc>
        <w:tc>
          <w:tcPr>
            <w:tcW w:w="1250" w:type="pct"/>
          </w:tcPr>
          <w:p w14:paraId="362103B8" w14:textId="34E56E8C" w:rsidR="00134128" w:rsidRDefault="00134128" w:rsidP="00134128">
            <w:pPr>
              <w:spacing w:before="60" w:after="60"/>
              <w:jc w:val="center"/>
              <w:rPr>
                <w:rFonts w:eastAsiaTheme="majorEastAsia"/>
                <w:sz w:val="20"/>
                <w:szCs w:val="20"/>
              </w:rPr>
            </w:pPr>
            <w:r>
              <w:rPr>
                <w:rFonts w:eastAsiaTheme="majorEastAsia"/>
                <w:sz w:val="20"/>
                <w:szCs w:val="20"/>
              </w:rPr>
              <w:t>1</w:t>
            </w:r>
            <w:r w:rsidR="00933132">
              <w:rPr>
                <w:rFonts w:eastAsiaTheme="majorEastAsia"/>
                <w:sz w:val="20"/>
                <w:szCs w:val="20"/>
              </w:rPr>
              <w:t>48</w:t>
            </w:r>
          </w:p>
        </w:tc>
        <w:tc>
          <w:tcPr>
            <w:tcW w:w="1250" w:type="pct"/>
          </w:tcPr>
          <w:p w14:paraId="02446AC8" w14:textId="1226BF50" w:rsidR="00134128" w:rsidRDefault="00933132" w:rsidP="00134128">
            <w:pPr>
              <w:spacing w:before="60" w:after="60"/>
              <w:jc w:val="center"/>
              <w:rPr>
                <w:rFonts w:eastAsiaTheme="majorEastAsia"/>
                <w:sz w:val="20"/>
                <w:szCs w:val="20"/>
              </w:rPr>
            </w:pPr>
            <w:r>
              <w:rPr>
                <w:rFonts w:eastAsiaTheme="majorEastAsia"/>
                <w:sz w:val="20"/>
                <w:szCs w:val="20"/>
              </w:rPr>
              <w:t>455</w:t>
            </w:r>
          </w:p>
        </w:tc>
        <w:tc>
          <w:tcPr>
            <w:tcW w:w="1250" w:type="pct"/>
          </w:tcPr>
          <w:p w14:paraId="7E446014" w14:textId="341EFDB7" w:rsidR="00134128" w:rsidRDefault="00933132" w:rsidP="00134128">
            <w:pPr>
              <w:spacing w:before="60" w:after="60"/>
              <w:jc w:val="center"/>
              <w:rPr>
                <w:rFonts w:eastAsiaTheme="majorEastAsia"/>
                <w:sz w:val="20"/>
                <w:szCs w:val="20"/>
              </w:rPr>
            </w:pPr>
            <w:r>
              <w:rPr>
                <w:rFonts w:eastAsiaTheme="majorEastAsia"/>
                <w:sz w:val="20"/>
                <w:szCs w:val="20"/>
              </w:rPr>
              <w:t>107</w:t>
            </w:r>
          </w:p>
        </w:tc>
      </w:tr>
    </w:tbl>
    <w:p w14:paraId="241C8EBA" w14:textId="77777777" w:rsidR="0004512F" w:rsidRDefault="0004512F" w:rsidP="0004512F">
      <w:pPr>
        <w:rPr>
          <w:sz w:val="20"/>
          <w:szCs w:val="20"/>
        </w:rPr>
      </w:pPr>
      <w:r w:rsidRPr="00C76973">
        <w:rPr>
          <w:sz w:val="20"/>
          <w:szCs w:val="20"/>
        </w:rPr>
        <w:t xml:space="preserve">Note: The 2023/24 financial year includes </w:t>
      </w:r>
      <w:r>
        <w:rPr>
          <w:sz w:val="20"/>
          <w:szCs w:val="20"/>
        </w:rPr>
        <w:t>nine</w:t>
      </w:r>
      <w:r w:rsidRPr="00C76973">
        <w:rPr>
          <w:sz w:val="20"/>
          <w:szCs w:val="20"/>
        </w:rPr>
        <w:t xml:space="preserve"> months of data, from July 2023 to </w:t>
      </w:r>
      <w:r>
        <w:rPr>
          <w:sz w:val="20"/>
          <w:szCs w:val="20"/>
        </w:rPr>
        <w:t>March</w:t>
      </w:r>
      <w:r w:rsidRPr="00C76973">
        <w:rPr>
          <w:sz w:val="20"/>
          <w:szCs w:val="20"/>
        </w:rPr>
        <w:t xml:space="preserve"> 2024 inclusive.</w:t>
      </w:r>
    </w:p>
    <w:p w14:paraId="0D3D29F7" w14:textId="230D3EA7" w:rsidR="00147DA7" w:rsidRDefault="00147DA7">
      <w:pPr>
        <w:spacing w:line="276" w:lineRule="auto"/>
        <w:rPr>
          <w:b/>
          <w:sz w:val="28"/>
        </w:rPr>
      </w:pPr>
    </w:p>
    <w:p w14:paraId="215378C5" w14:textId="7368EECA" w:rsidR="00361254" w:rsidRDefault="00933132" w:rsidP="002707B2">
      <w:pPr>
        <w:spacing w:line="276" w:lineRule="auto"/>
        <w:jc w:val="center"/>
        <w:rPr>
          <w:b/>
          <w:sz w:val="28"/>
        </w:rPr>
      </w:pPr>
      <w:r>
        <w:rPr>
          <w:noProof/>
        </w:rPr>
        <w:drawing>
          <wp:inline distT="0" distB="0" distL="0" distR="0" wp14:anchorId="1B9DC0E8" wp14:editId="4AA02319">
            <wp:extent cx="4258800" cy="2466000"/>
            <wp:effectExtent l="0" t="0" r="8890" b="10795"/>
            <wp:docPr id="5" name="Chart 5">
              <a:extLst xmlns:a="http://schemas.openxmlformats.org/drawingml/2006/main">
                <a:ext uri="{FF2B5EF4-FFF2-40B4-BE49-F238E27FC236}">
                  <a16:creationId xmlns:a16="http://schemas.microsoft.com/office/drawing/2014/main" id="{3463D1AC-900B-0F69-9C75-16A8C54CE8D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27C71B" w14:textId="799F5073" w:rsidR="002707B2" w:rsidRPr="006440DD" w:rsidRDefault="002707B2" w:rsidP="002707B2">
      <w:pPr>
        <w:pStyle w:val="Tabletitle"/>
      </w:pPr>
      <w:r>
        <w:t xml:space="preserve">Figure </w:t>
      </w:r>
      <w:r w:rsidR="0069602D">
        <w:t>4</w:t>
      </w:r>
      <w:r>
        <w:t xml:space="preserve">: </w:t>
      </w:r>
      <w:r w:rsidR="00C85314">
        <w:t xml:space="preserve">Number of </w:t>
      </w:r>
      <w:r>
        <w:t xml:space="preserve">brentuximab vedotin </w:t>
      </w:r>
      <w:r w:rsidR="00C85314">
        <w:t xml:space="preserve">prescriptions by indication and financial year </w:t>
      </w:r>
      <w:r>
        <w:t xml:space="preserve"> </w:t>
      </w:r>
    </w:p>
    <w:p w14:paraId="605E6CB4" w14:textId="77777777" w:rsidR="0004512F" w:rsidRDefault="0004512F" w:rsidP="0004512F">
      <w:pPr>
        <w:rPr>
          <w:sz w:val="20"/>
          <w:szCs w:val="20"/>
        </w:rPr>
      </w:pPr>
      <w:r w:rsidRPr="00C76973">
        <w:rPr>
          <w:sz w:val="20"/>
          <w:szCs w:val="20"/>
        </w:rPr>
        <w:t xml:space="preserve">Note: The 2023/24 financial year includes </w:t>
      </w:r>
      <w:r>
        <w:rPr>
          <w:sz w:val="20"/>
          <w:szCs w:val="20"/>
        </w:rPr>
        <w:t>nine</w:t>
      </w:r>
      <w:r w:rsidRPr="00C76973">
        <w:rPr>
          <w:sz w:val="20"/>
          <w:szCs w:val="20"/>
        </w:rPr>
        <w:t xml:space="preserve"> months of data, from July 2023 to </w:t>
      </w:r>
      <w:r>
        <w:rPr>
          <w:sz w:val="20"/>
          <w:szCs w:val="20"/>
        </w:rPr>
        <w:t>March</w:t>
      </w:r>
      <w:r w:rsidRPr="00C76973">
        <w:rPr>
          <w:sz w:val="20"/>
          <w:szCs w:val="20"/>
        </w:rPr>
        <w:t xml:space="preserve"> 2024 inclusive.</w:t>
      </w:r>
    </w:p>
    <w:p w14:paraId="042CC7C0" w14:textId="5CFE1CE1" w:rsidR="00334C5A" w:rsidRPr="000B5668" w:rsidRDefault="00334C5A" w:rsidP="00334C5A"/>
    <w:p w14:paraId="72CAC1C9" w14:textId="5E0E372A" w:rsidR="002707B2" w:rsidRDefault="002707B2">
      <w:pPr>
        <w:spacing w:line="276" w:lineRule="auto"/>
        <w:rPr>
          <w:b/>
          <w:sz w:val="28"/>
        </w:rPr>
      </w:pPr>
    </w:p>
    <w:p w14:paraId="3D5D3587" w14:textId="77777777" w:rsidR="009E3C2D" w:rsidRDefault="009E3C2D">
      <w:pPr>
        <w:spacing w:line="276" w:lineRule="auto"/>
        <w:rPr>
          <w:b/>
          <w:sz w:val="28"/>
        </w:rPr>
      </w:pPr>
      <w:r>
        <w:br w:type="page"/>
      </w:r>
    </w:p>
    <w:p w14:paraId="30DDB549" w14:textId="384EAD5A" w:rsidR="009F4767" w:rsidRDefault="001B5D37" w:rsidP="006E6D60">
      <w:pPr>
        <w:pStyle w:val="Heading2"/>
      </w:pPr>
      <w:r w:rsidRPr="005E22C2">
        <w:lastRenderedPageBreak/>
        <w:t xml:space="preserve">Analysis </w:t>
      </w:r>
      <w:r w:rsidR="00481108" w:rsidRPr="005E22C2">
        <w:t xml:space="preserve">of </w:t>
      </w:r>
      <w:r w:rsidR="0063631C">
        <w:t>e</w:t>
      </w:r>
      <w:r w:rsidR="00736041" w:rsidRPr="005E22C2">
        <w:t>xpenditure</w:t>
      </w:r>
    </w:p>
    <w:p w14:paraId="2326F4CF" w14:textId="50E9634E" w:rsidR="00A31587" w:rsidRDefault="00A31587" w:rsidP="00A31587">
      <w:r>
        <w:t xml:space="preserve">In Table </w:t>
      </w:r>
      <w:r w:rsidR="00BD7972">
        <w:t>9</w:t>
      </w:r>
      <w:r>
        <w:t xml:space="preserve"> </w:t>
      </w:r>
      <w:r w:rsidR="00BD7972">
        <w:t xml:space="preserve">and Figure 5 </w:t>
      </w:r>
      <w:r>
        <w:t xml:space="preserve">below, similar trends </w:t>
      </w:r>
      <w:r w:rsidR="002E3E90">
        <w:t>were</w:t>
      </w:r>
      <w:r>
        <w:t xml:space="preserve"> observed in </w:t>
      </w:r>
      <w:r w:rsidR="00E26632">
        <w:t xml:space="preserve">expenditure based on published prices as the number of prescriptions supplied by indication. </w:t>
      </w:r>
    </w:p>
    <w:p w14:paraId="37DAC37E" w14:textId="4CACEACD" w:rsidR="00263618" w:rsidRDefault="0021062E" w:rsidP="003756AB">
      <w:pPr>
        <w:pStyle w:val="Tabletitle"/>
      </w:pPr>
      <w:r>
        <w:t xml:space="preserve">Table </w:t>
      </w:r>
      <w:r w:rsidR="00BD7972">
        <w:t>9</w:t>
      </w:r>
      <w:r>
        <w:t xml:space="preserve">: Net cost to PBS/RPBS </w:t>
      </w:r>
      <w:r w:rsidR="003A6C85">
        <w:t xml:space="preserve">at published </w:t>
      </w:r>
      <w:r>
        <w:t xml:space="preserve">listed price </w:t>
      </w:r>
      <w:r w:rsidR="003A6C85">
        <w:t xml:space="preserve">by </w:t>
      </w:r>
      <w:r w:rsidR="002F2F8A">
        <w:t xml:space="preserve">indication and </w:t>
      </w:r>
      <w:r w:rsidR="003A6C85">
        <w:t>financial yea</w:t>
      </w:r>
      <w:r w:rsidR="0071313E">
        <w:t>r</w:t>
      </w:r>
    </w:p>
    <w:tbl>
      <w:tblPr>
        <w:tblStyle w:val="TableGrid"/>
        <w:tblW w:w="8944" w:type="dxa"/>
        <w:tblLook w:val="04A0" w:firstRow="1" w:lastRow="0" w:firstColumn="1" w:lastColumn="0" w:noHBand="0" w:noVBand="1"/>
      </w:tblPr>
      <w:tblGrid>
        <w:gridCol w:w="2236"/>
        <w:gridCol w:w="2236"/>
        <w:gridCol w:w="2236"/>
        <w:gridCol w:w="2236"/>
      </w:tblGrid>
      <w:tr w:rsidR="003756AB" w:rsidRPr="00BD7972" w14:paraId="4A960737" w14:textId="77777777" w:rsidTr="003756AB">
        <w:tc>
          <w:tcPr>
            <w:tcW w:w="2236" w:type="dxa"/>
            <w:shd w:val="clear" w:color="auto" w:fill="BFBFBF" w:themeFill="background1" w:themeFillShade="BF"/>
          </w:tcPr>
          <w:p w14:paraId="2958B123" w14:textId="1359D862" w:rsidR="003756AB" w:rsidRPr="00BD7972" w:rsidRDefault="003756AB" w:rsidP="00823E93">
            <w:pPr>
              <w:spacing w:before="60" w:after="60"/>
              <w:jc w:val="center"/>
              <w:rPr>
                <w:sz w:val="20"/>
                <w:szCs w:val="20"/>
              </w:rPr>
            </w:pPr>
            <w:r w:rsidRPr="00BD7972">
              <w:rPr>
                <w:rFonts w:eastAsiaTheme="majorEastAsia"/>
                <w:b/>
                <w:sz w:val="20"/>
                <w:szCs w:val="20"/>
              </w:rPr>
              <w:t>Financial year</w:t>
            </w:r>
          </w:p>
        </w:tc>
        <w:tc>
          <w:tcPr>
            <w:tcW w:w="2236" w:type="dxa"/>
            <w:shd w:val="clear" w:color="auto" w:fill="BFBFBF" w:themeFill="background1" w:themeFillShade="BF"/>
          </w:tcPr>
          <w:p w14:paraId="7C9ABCCC" w14:textId="0FF8C13F" w:rsidR="003756AB" w:rsidRPr="00BD7972" w:rsidRDefault="003756AB" w:rsidP="00823E93">
            <w:pPr>
              <w:spacing w:before="60" w:after="60"/>
              <w:jc w:val="center"/>
              <w:rPr>
                <w:sz w:val="20"/>
                <w:szCs w:val="20"/>
              </w:rPr>
            </w:pPr>
            <w:r w:rsidRPr="00BD7972">
              <w:rPr>
                <w:rFonts w:eastAsiaTheme="majorEastAsia"/>
                <w:b/>
                <w:sz w:val="20"/>
                <w:szCs w:val="20"/>
              </w:rPr>
              <w:t>CTCL</w:t>
            </w:r>
          </w:p>
        </w:tc>
        <w:tc>
          <w:tcPr>
            <w:tcW w:w="2236" w:type="dxa"/>
            <w:shd w:val="clear" w:color="auto" w:fill="BFBFBF" w:themeFill="background1" w:themeFillShade="BF"/>
          </w:tcPr>
          <w:p w14:paraId="7FB21A7D" w14:textId="7299054B" w:rsidR="003756AB" w:rsidRPr="00BD7972" w:rsidRDefault="003756AB" w:rsidP="00823E93">
            <w:pPr>
              <w:spacing w:before="60" w:after="60"/>
              <w:jc w:val="center"/>
              <w:rPr>
                <w:sz w:val="20"/>
                <w:szCs w:val="20"/>
              </w:rPr>
            </w:pPr>
            <w:r w:rsidRPr="00BD7972">
              <w:rPr>
                <w:rFonts w:eastAsiaTheme="majorEastAsia"/>
                <w:b/>
                <w:sz w:val="20"/>
                <w:szCs w:val="20"/>
              </w:rPr>
              <w:t>PTCL</w:t>
            </w:r>
          </w:p>
        </w:tc>
        <w:tc>
          <w:tcPr>
            <w:tcW w:w="2236" w:type="dxa"/>
            <w:shd w:val="clear" w:color="auto" w:fill="BFBFBF" w:themeFill="background1" w:themeFillShade="BF"/>
          </w:tcPr>
          <w:p w14:paraId="66427B48" w14:textId="061684D8" w:rsidR="003756AB" w:rsidRPr="00BD7972" w:rsidRDefault="003756AB" w:rsidP="00823E93">
            <w:pPr>
              <w:spacing w:before="60" w:after="60"/>
              <w:jc w:val="center"/>
              <w:rPr>
                <w:sz w:val="20"/>
                <w:szCs w:val="20"/>
              </w:rPr>
            </w:pPr>
            <w:r w:rsidRPr="00BD7972">
              <w:rPr>
                <w:rFonts w:eastAsiaTheme="majorEastAsia"/>
                <w:b/>
                <w:sz w:val="20"/>
                <w:szCs w:val="20"/>
              </w:rPr>
              <w:t>sALCL</w:t>
            </w:r>
          </w:p>
        </w:tc>
      </w:tr>
      <w:tr w:rsidR="003756AB" w:rsidRPr="00BD7972" w14:paraId="4B6A37EF" w14:textId="77777777" w:rsidTr="003756AB">
        <w:tc>
          <w:tcPr>
            <w:tcW w:w="2236" w:type="dxa"/>
          </w:tcPr>
          <w:p w14:paraId="09B50959" w14:textId="78CEE08B" w:rsidR="003756AB" w:rsidRPr="00BD7972" w:rsidRDefault="003756AB" w:rsidP="00823E93">
            <w:pPr>
              <w:spacing w:before="60" w:after="60"/>
              <w:jc w:val="center"/>
              <w:rPr>
                <w:sz w:val="20"/>
                <w:szCs w:val="20"/>
              </w:rPr>
            </w:pPr>
            <w:r w:rsidRPr="00BD7972">
              <w:rPr>
                <w:rFonts w:eastAsiaTheme="majorEastAsia"/>
                <w:b/>
                <w:sz w:val="20"/>
                <w:szCs w:val="20"/>
              </w:rPr>
              <w:t>2019/20</w:t>
            </w:r>
          </w:p>
        </w:tc>
        <w:tc>
          <w:tcPr>
            <w:tcW w:w="2236" w:type="dxa"/>
          </w:tcPr>
          <w:p w14:paraId="537E7D3F" w14:textId="551A3DD7" w:rsidR="003756AB" w:rsidRPr="00BD7972" w:rsidRDefault="003756AB" w:rsidP="00823E93">
            <w:pPr>
              <w:spacing w:before="60" w:after="60"/>
              <w:jc w:val="center"/>
              <w:rPr>
                <w:sz w:val="20"/>
                <w:szCs w:val="20"/>
              </w:rPr>
            </w:pPr>
            <w:r w:rsidRPr="00BD7972">
              <w:rPr>
                <w:rFonts w:ascii="Calibri" w:hAnsi="Calibri" w:cs="Calibri"/>
                <w:color w:val="000000"/>
                <w:sz w:val="20"/>
                <w:szCs w:val="20"/>
              </w:rPr>
              <w:t>$3,230,534</w:t>
            </w:r>
          </w:p>
        </w:tc>
        <w:tc>
          <w:tcPr>
            <w:tcW w:w="2236" w:type="dxa"/>
          </w:tcPr>
          <w:p w14:paraId="7C210608" w14:textId="736CFC76" w:rsidR="003756AB" w:rsidRPr="00BD7972" w:rsidRDefault="003756AB" w:rsidP="00823E93">
            <w:pPr>
              <w:spacing w:before="60" w:after="60"/>
              <w:jc w:val="center"/>
              <w:rPr>
                <w:sz w:val="20"/>
                <w:szCs w:val="20"/>
              </w:rPr>
            </w:pPr>
            <w:r w:rsidRPr="00BD7972">
              <w:rPr>
                <w:rFonts w:ascii="Calibri" w:hAnsi="Calibri" w:cs="Calibri"/>
                <w:color w:val="000000"/>
                <w:sz w:val="20"/>
                <w:szCs w:val="20"/>
              </w:rPr>
              <w:t>-</w:t>
            </w:r>
          </w:p>
        </w:tc>
        <w:tc>
          <w:tcPr>
            <w:tcW w:w="2236" w:type="dxa"/>
          </w:tcPr>
          <w:p w14:paraId="5F0F26E0" w14:textId="28F2FE4E" w:rsidR="003756AB" w:rsidRPr="00BD7972" w:rsidRDefault="003756AB" w:rsidP="00823E93">
            <w:pPr>
              <w:spacing w:before="60" w:after="60"/>
              <w:jc w:val="center"/>
              <w:rPr>
                <w:sz w:val="20"/>
                <w:szCs w:val="20"/>
              </w:rPr>
            </w:pPr>
            <w:r w:rsidRPr="00BD7972">
              <w:rPr>
                <w:rFonts w:ascii="Calibri" w:hAnsi="Calibri" w:cs="Calibri"/>
                <w:color w:val="000000"/>
                <w:sz w:val="20"/>
                <w:szCs w:val="20"/>
              </w:rPr>
              <w:t>$2,866,253</w:t>
            </w:r>
          </w:p>
        </w:tc>
      </w:tr>
      <w:tr w:rsidR="003756AB" w:rsidRPr="00BD7972" w14:paraId="4924AF31" w14:textId="77777777" w:rsidTr="003756AB">
        <w:tc>
          <w:tcPr>
            <w:tcW w:w="2236" w:type="dxa"/>
          </w:tcPr>
          <w:p w14:paraId="7D3909F8" w14:textId="3389367F" w:rsidR="003756AB" w:rsidRPr="00BD7972" w:rsidRDefault="003756AB" w:rsidP="00823E93">
            <w:pPr>
              <w:spacing w:before="60" w:after="60"/>
              <w:jc w:val="center"/>
              <w:rPr>
                <w:sz w:val="20"/>
                <w:szCs w:val="20"/>
              </w:rPr>
            </w:pPr>
            <w:r w:rsidRPr="00BD7972">
              <w:rPr>
                <w:rFonts w:eastAsiaTheme="majorEastAsia"/>
                <w:b/>
                <w:sz w:val="20"/>
                <w:szCs w:val="20"/>
              </w:rPr>
              <w:t>2020/21</w:t>
            </w:r>
          </w:p>
        </w:tc>
        <w:tc>
          <w:tcPr>
            <w:tcW w:w="2236" w:type="dxa"/>
          </w:tcPr>
          <w:p w14:paraId="7226C97F" w14:textId="6AC34488" w:rsidR="003756AB" w:rsidRPr="00BD7972" w:rsidRDefault="003756AB" w:rsidP="00823E93">
            <w:pPr>
              <w:spacing w:before="60" w:after="60"/>
              <w:jc w:val="center"/>
              <w:rPr>
                <w:sz w:val="20"/>
                <w:szCs w:val="20"/>
              </w:rPr>
            </w:pPr>
            <w:r w:rsidRPr="00BD7972">
              <w:rPr>
                <w:rFonts w:ascii="Calibri" w:hAnsi="Calibri" w:cs="Calibri"/>
                <w:color w:val="000000"/>
                <w:sz w:val="20"/>
                <w:szCs w:val="20"/>
              </w:rPr>
              <w:t>$4,323,214</w:t>
            </w:r>
          </w:p>
        </w:tc>
        <w:tc>
          <w:tcPr>
            <w:tcW w:w="2236" w:type="dxa"/>
          </w:tcPr>
          <w:p w14:paraId="63893DB1" w14:textId="371E4290" w:rsidR="003756AB" w:rsidRPr="00BD7972" w:rsidRDefault="003756AB" w:rsidP="00823E93">
            <w:pPr>
              <w:spacing w:before="60" w:after="60"/>
              <w:jc w:val="center"/>
              <w:rPr>
                <w:sz w:val="20"/>
                <w:szCs w:val="20"/>
              </w:rPr>
            </w:pPr>
            <w:r w:rsidRPr="00BD7972">
              <w:rPr>
                <w:rFonts w:ascii="Calibri" w:hAnsi="Calibri" w:cs="Calibri"/>
                <w:color w:val="000000"/>
                <w:sz w:val="20"/>
                <w:szCs w:val="20"/>
              </w:rPr>
              <w:t>-</w:t>
            </w:r>
          </w:p>
        </w:tc>
        <w:tc>
          <w:tcPr>
            <w:tcW w:w="2236" w:type="dxa"/>
          </w:tcPr>
          <w:p w14:paraId="5B89968F" w14:textId="0D12B3C8" w:rsidR="003756AB" w:rsidRPr="00BD7972" w:rsidRDefault="003756AB" w:rsidP="00823E93">
            <w:pPr>
              <w:spacing w:before="60" w:after="60"/>
              <w:jc w:val="center"/>
              <w:rPr>
                <w:sz w:val="20"/>
                <w:szCs w:val="20"/>
              </w:rPr>
            </w:pPr>
            <w:r w:rsidRPr="00BD7972">
              <w:rPr>
                <w:rFonts w:ascii="Calibri" w:hAnsi="Calibri" w:cs="Calibri"/>
                <w:color w:val="000000"/>
                <w:sz w:val="20"/>
                <w:szCs w:val="20"/>
              </w:rPr>
              <w:t>$2,834,296</w:t>
            </w:r>
          </w:p>
        </w:tc>
      </w:tr>
      <w:tr w:rsidR="003756AB" w:rsidRPr="00BD7972" w14:paraId="3D913A89" w14:textId="77777777" w:rsidTr="003756AB">
        <w:tc>
          <w:tcPr>
            <w:tcW w:w="2236" w:type="dxa"/>
          </w:tcPr>
          <w:p w14:paraId="34357134" w14:textId="31FC85AC" w:rsidR="003756AB" w:rsidRPr="00BD7972" w:rsidRDefault="003756AB" w:rsidP="00823E93">
            <w:pPr>
              <w:spacing w:before="60" w:after="60"/>
              <w:jc w:val="center"/>
              <w:rPr>
                <w:sz w:val="20"/>
                <w:szCs w:val="20"/>
              </w:rPr>
            </w:pPr>
            <w:r w:rsidRPr="00BD7972">
              <w:rPr>
                <w:rFonts w:eastAsiaTheme="majorEastAsia"/>
                <w:b/>
                <w:sz w:val="20"/>
                <w:szCs w:val="20"/>
              </w:rPr>
              <w:t>2021/22</w:t>
            </w:r>
          </w:p>
        </w:tc>
        <w:tc>
          <w:tcPr>
            <w:tcW w:w="2236" w:type="dxa"/>
          </w:tcPr>
          <w:p w14:paraId="02584142" w14:textId="60291708" w:rsidR="003756AB" w:rsidRPr="00BD7972" w:rsidRDefault="003756AB" w:rsidP="00823E93">
            <w:pPr>
              <w:spacing w:before="60" w:after="60"/>
              <w:jc w:val="center"/>
              <w:rPr>
                <w:sz w:val="20"/>
                <w:szCs w:val="20"/>
              </w:rPr>
            </w:pPr>
            <w:r w:rsidRPr="00BD7972">
              <w:rPr>
                <w:rFonts w:ascii="Calibri" w:hAnsi="Calibri" w:cs="Calibri"/>
                <w:color w:val="000000"/>
                <w:sz w:val="20"/>
                <w:szCs w:val="20"/>
              </w:rPr>
              <w:t>$1,804,868</w:t>
            </w:r>
          </w:p>
        </w:tc>
        <w:tc>
          <w:tcPr>
            <w:tcW w:w="2236" w:type="dxa"/>
          </w:tcPr>
          <w:p w14:paraId="766BADC8" w14:textId="1EEC665B" w:rsidR="003756AB" w:rsidRPr="00BD7972" w:rsidRDefault="003756AB" w:rsidP="00823E93">
            <w:pPr>
              <w:spacing w:before="60" w:after="60"/>
              <w:jc w:val="center"/>
              <w:rPr>
                <w:sz w:val="20"/>
                <w:szCs w:val="20"/>
              </w:rPr>
            </w:pPr>
            <w:r w:rsidRPr="00BD7972">
              <w:rPr>
                <w:rFonts w:ascii="Calibri" w:hAnsi="Calibri" w:cs="Calibri"/>
                <w:color w:val="000000"/>
                <w:sz w:val="20"/>
                <w:szCs w:val="20"/>
              </w:rPr>
              <w:t>$3,763,992</w:t>
            </w:r>
          </w:p>
        </w:tc>
        <w:tc>
          <w:tcPr>
            <w:tcW w:w="2236" w:type="dxa"/>
          </w:tcPr>
          <w:p w14:paraId="4C3A6AFF" w14:textId="2187B109" w:rsidR="003756AB" w:rsidRPr="00BD7972" w:rsidRDefault="003756AB" w:rsidP="00823E93">
            <w:pPr>
              <w:spacing w:before="60" w:after="60"/>
              <w:jc w:val="center"/>
              <w:rPr>
                <w:sz w:val="20"/>
                <w:szCs w:val="20"/>
              </w:rPr>
            </w:pPr>
            <w:r w:rsidRPr="00BD7972">
              <w:rPr>
                <w:rFonts w:ascii="Calibri" w:hAnsi="Calibri" w:cs="Calibri"/>
                <w:color w:val="000000"/>
                <w:sz w:val="20"/>
                <w:szCs w:val="20"/>
              </w:rPr>
              <w:t>$3,132,583</w:t>
            </w:r>
          </w:p>
        </w:tc>
      </w:tr>
      <w:tr w:rsidR="003756AB" w:rsidRPr="00BD7972" w14:paraId="62A6347D" w14:textId="77777777" w:rsidTr="003756AB">
        <w:tc>
          <w:tcPr>
            <w:tcW w:w="2236" w:type="dxa"/>
          </w:tcPr>
          <w:p w14:paraId="0614946C" w14:textId="3FA0E1AA" w:rsidR="003756AB" w:rsidRPr="00BD7972" w:rsidRDefault="003756AB" w:rsidP="00823E93">
            <w:pPr>
              <w:spacing w:before="60" w:after="60"/>
              <w:jc w:val="center"/>
              <w:rPr>
                <w:sz w:val="20"/>
                <w:szCs w:val="20"/>
              </w:rPr>
            </w:pPr>
            <w:r w:rsidRPr="00BD7972">
              <w:rPr>
                <w:rFonts w:eastAsiaTheme="majorEastAsia"/>
                <w:b/>
                <w:sz w:val="20"/>
                <w:szCs w:val="20"/>
              </w:rPr>
              <w:t>2022/23</w:t>
            </w:r>
          </w:p>
        </w:tc>
        <w:tc>
          <w:tcPr>
            <w:tcW w:w="2236" w:type="dxa"/>
          </w:tcPr>
          <w:p w14:paraId="1848F67F" w14:textId="236570E3" w:rsidR="003756AB" w:rsidRPr="00BD7972" w:rsidRDefault="003756AB" w:rsidP="00823E93">
            <w:pPr>
              <w:spacing w:before="60" w:after="60"/>
              <w:jc w:val="center"/>
              <w:rPr>
                <w:sz w:val="20"/>
                <w:szCs w:val="20"/>
              </w:rPr>
            </w:pPr>
            <w:r w:rsidRPr="00BD7972">
              <w:rPr>
                <w:rFonts w:ascii="Calibri" w:hAnsi="Calibri" w:cs="Calibri"/>
                <w:color w:val="000000"/>
                <w:sz w:val="20"/>
                <w:szCs w:val="20"/>
              </w:rPr>
              <w:t>$2,839,634</w:t>
            </w:r>
          </w:p>
        </w:tc>
        <w:tc>
          <w:tcPr>
            <w:tcW w:w="2236" w:type="dxa"/>
          </w:tcPr>
          <w:p w14:paraId="47CCC298" w14:textId="6E1F74F1" w:rsidR="003756AB" w:rsidRPr="00BD7972" w:rsidRDefault="003756AB" w:rsidP="00823E93">
            <w:pPr>
              <w:spacing w:before="60" w:after="60"/>
              <w:jc w:val="center"/>
              <w:rPr>
                <w:sz w:val="20"/>
                <w:szCs w:val="20"/>
              </w:rPr>
            </w:pPr>
            <w:r w:rsidRPr="00BD7972">
              <w:rPr>
                <w:rFonts w:ascii="Calibri" w:hAnsi="Calibri" w:cs="Calibri"/>
                <w:color w:val="000000"/>
                <w:sz w:val="20"/>
                <w:szCs w:val="20"/>
              </w:rPr>
              <w:t>$6,497,011</w:t>
            </w:r>
          </w:p>
        </w:tc>
        <w:tc>
          <w:tcPr>
            <w:tcW w:w="2236" w:type="dxa"/>
          </w:tcPr>
          <w:p w14:paraId="639414D9" w14:textId="6D9F74A4" w:rsidR="003756AB" w:rsidRPr="00BD7972" w:rsidRDefault="003756AB" w:rsidP="00823E93">
            <w:pPr>
              <w:spacing w:before="60" w:after="60"/>
              <w:jc w:val="center"/>
              <w:rPr>
                <w:sz w:val="20"/>
                <w:szCs w:val="20"/>
              </w:rPr>
            </w:pPr>
            <w:r w:rsidRPr="00BD7972">
              <w:rPr>
                <w:rFonts w:ascii="Calibri" w:hAnsi="Calibri" w:cs="Calibri"/>
                <w:color w:val="000000"/>
                <w:sz w:val="20"/>
                <w:szCs w:val="20"/>
              </w:rPr>
              <w:t>$3,148,279</w:t>
            </w:r>
          </w:p>
        </w:tc>
      </w:tr>
      <w:tr w:rsidR="003756AB" w:rsidRPr="00BD7972" w14:paraId="48506E91" w14:textId="77777777" w:rsidTr="003756AB">
        <w:tc>
          <w:tcPr>
            <w:tcW w:w="2236" w:type="dxa"/>
          </w:tcPr>
          <w:p w14:paraId="3F8E48A8" w14:textId="19FE09DB" w:rsidR="003756AB" w:rsidRPr="00BD7972" w:rsidRDefault="003756AB" w:rsidP="00823E93">
            <w:pPr>
              <w:spacing w:before="60" w:after="60"/>
              <w:jc w:val="center"/>
              <w:rPr>
                <w:sz w:val="20"/>
                <w:szCs w:val="20"/>
              </w:rPr>
            </w:pPr>
            <w:r w:rsidRPr="00BD7972">
              <w:rPr>
                <w:rFonts w:eastAsiaTheme="majorEastAsia"/>
                <w:b/>
                <w:sz w:val="20"/>
                <w:szCs w:val="20"/>
              </w:rPr>
              <w:t>2023/24</w:t>
            </w:r>
          </w:p>
        </w:tc>
        <w:tc>
          <w:tcPr>
            <w:tcW w:w="2236" w:type="dxa"/>
          </w:tcPr>
          <w:p w14:paraId="4491FDA8" w14:textId="05A88C49" w:rsidR="003756AB" w:rsidRPr="00BD7972" w:rsidRDefault="003756AB" w:rsidP="00823E93">
            <w:pPr>
              <w:spacing w:before="60" w:after="60"/>
              <w:jc w:val="center"/>
              <w:rPr>
                <w:sz w:val="20"/>
                <w:szCs w:val="20"/>
              </w:rPr>
            </w:pPr>
            <w:r w:rsidRPr="00BD7972">
              <w:rPr>
                <w:rFonts w:ascii="Calibri" w:hAnsi="Calibri" w:cs="Calibri"/>
                <w:color w:val="000000"/>
                <w:sz w:val="20"/>
                <w:szCs w:val="20"/>
              </w:rPr>
              <w:t>$1,758,506</w:t>
            </w:r>
          </w:p>
        </w:tc>
        <w:tc>
          <w:tcPr>
            <w:tcW w:w="2236" w:type="dxa"/>
          </w:tcPr>
          <w:p w14:paraId="18EC669A" w14:textId="47D6311E" w:rsidR="003756AB" w:rsidRPr="00BD7972" w:rsidRDefault="003756AB" w:rsidP="00823E93">
            <w:pPr>
              <w:spacing w:before="60" w:after="60"/>
              <w:jc w:val="center"/>
              <w:rPr>
                <w:sz w:val="20"/>
                <w:szCs w:val="20"/>
              </w:rPr>
            </w:pPr>
            <w:r w:rsidRPr="00BD7972">
              <w:rPr>
                <w:rFonts w:ascii="Calibri" w:hAnsi="Calibri" w:cs="Calibri"/>
                <w:color w:val="000000"/>
                <w:sz w:val="20"/>
                <w:szCs w:val="20"/>
              </w:rPr>
              <w:t>$6,215,969</w:t>
            </w:r>
          </w:p>
        </w:tc>
        <w:tc>
          <w:tcPr>
            <w:tcW w:w="2236" w:type="dxa"/>
          </w:tcPr>
          <w:p w14:paraId="688AB252" w14:textId="194AB7A2" w:rsidR="003756AB" w:rsidRPr="00BD7972" w:rsidRDefault="003756AB" w:rsidP="00823E93">
            <w:pPr>
              <w:spacing w:before="60" w:after="60"/>
              <w:jc w:val="center"/>
              <w:rPr>
                <w:sz w:val="20"/>
                <w:szCs w:val="20"/>
              </w:rPr>
            </w:pPr>
            <w:r w:rsidRPr="00BD7972">
              <w:rPr>
                <w:rFonts w:ascii="Calibri" w:hAnsi="Calibri" w:cs="Calibri"/>
                <w:color w:val="000000"/>
                <w:sz w:val="20"/>
                <w:szCs w:val="20"/>
              </w:rPr>
              <w:t>$1,291,805</w:t>
            </w:r>
          </w:p>
        </w:tc>
      </w:tr>
    </w:tbl>
    <w:p w14:paraId="59ADFFBD" w14:textId="7B7FE4EA" w:rsidR="003756AB" w:rsidRDefault="0004512F" w:rsidP="003756AB">
      <w:pPr>
        <w:rPr>
          <w:sz w:val="20"/>
          <w:szCs w:val="20"/>
        </w:rPr>
      </w:pPr>
      <w:r w:rsidRPr="00C76973">
        <w:rPr>
          <w:sz w:val="20"/>
          <w:szCs w:val="20"/>
        </w:rPr>
        <w:t xml:space="preserve">Note: The 2023/24 financial year includes </w:t>
      </w:r>
      <w:r>
        <w:rPr>
          <w:sz w:val="20"/>
          <w:szCs w:val="20"/>
        </w:rPr>
        <w:t>nine</w:t>
      </w:r>
      <w:r w:rsidRPr="00C76973">
        <w:rPr>
          <w:sz w:val="20"/>
          <w:szCs w:val="20"/>
        </w:rPr>
        <w:t xml:space="preserve"> months of data, from July 2023 to </w:t>
      </w:r>
      <w:r>
        <w:rPr>
          <w:sz w:val="20"/>
          <w:szCs w:val="20"/>
        </w:rPr>
        <w:t>March</w:t>
      </w:r>
      <w:r w:rsidRPr="00C76973">
        <w:rPr>
          <w:sz w:val="20"/>
          <w:szCs w:val="20"/>
        </w:rPr>
        <w:t xml:space="preserve"> 2024 inclusive.</w:t>
      </w:r>
      <w:r>
        <w:rPr>
          <w:sz w:val="20"/>
          <w:szCs w:val="20"/>
        </w:rPr>
        <w:t xml:space="preserve"> </w:t>
      </w:r>
      <w:r w:rsidR="003756AB">
        <w:rPr>
          <w:sz w:val="20"/>
          <w:szCs w:val="20"/>
        </w:rPr>
        <w:t xml:space="preserve">Special Pricing Arrangements apply, presented figures do not reflect actual cost to Government. </w:t>
      </w:r>
    </w:p>
    <w:p w14:paraId="5389DF77" w14:textId="77777777" w:rsidR="00D820D7" w:rsidRDefault="00D820D7" w:rsidP="0040630B"/>
    <w:p w14:paraId="6548C890" w14:textId="1FC74836" w:rsidR="009B5F62" w:rsidRPr="002F61CA" w:rsidRDefault="00210F22" w:rsidP="00EF2E19">
      <w:pPr>
        <w:jc w:val="center"/>
      </w:pPr>
      <w:r>
        <w:rPr>
          <w:noProof/>
        </w:rPr>
        <w:drawing>
          <wp:inline distT="0" distB="0" distL="0" distR="0" wp14:anchorId="3B29F2B8" wp14:editId="1DD4B8FB">
            <wp:extent cx="4258800" cy="2466000"/>
            <wp:effectExtent l="0" t="0" r="8890" b="10795"/>
            <wp:docPr id="7" name="Chart 7">
              <a:extLst xmlns:a="http://schemas.openxmlformats.org/drawingml/2006/main">
                <a:ext uri="{FF2B5EF4-FFF2-40B4-BE49-F238E27FC236}">
                  <a16:creationId xmlns:a16="http://schemas.microsoft.com/office/drawing/2014/main" id="{E4DF2878-5A70-0C62-0EFC-EECAE346431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51D290" w14:textId="3B77EC24" w:rsidR="005434AB" w:rsidRDefault="005434AB" w:rsidP="005434AB">
      <w:pPr>
        <w:pStyle w:val="Tabletitle"/>
      </w:pPr>
      <w:r>
        <w:t xml:space="preserve">Figure </w:t>
      </w:r>
      <w:r w:rsidR="0069602D">
        <w:t>5</w:t>
      </w:r>
      <w:r>
        <w:t xml:space="preserve">: Net cost to PBS/RPBS at published listed price by </w:t>
      </w:r>
      <w:r w:rsidR="0000761A">
        <w:t xml:space="preserve">indication and </w:t>
      </w:r>
      <w:r>
        <w:t>financial year</w:t>
      </w:r>
    </w:p>
    <w:p w14:paraId="657D2354" w14:textId="1921655B" w:rsidR="00BD49A7" w:rsidRDefault="0004512F" w:rsidP="00310004">
      <w:pPr>
        <w:rPr>
          <w:sz w:val="20"/>
          <w:szCs w:val="20"/>
        </w:rPr>
      </w:pPr>
      <w:r w:rsidRPr="00C76973">
        <w:rPr>
          <w:sz w:val="20"/>
          <w:szCs w:val="20"/>
        </w:rPr>
        <w:t xml:space="preserve">Note: The 2023/24 financial year includes </w:t>
      </w:r>
      <w:r>
        <w:rPr>
          <w:sz w:val="20"/>
          <w:szCs w:val="20"/>
        </w:rPr>
        <w:t>nine</w:t>
      </w:r>
      <w:r w:rsidRPr="00C76973">
        <w:rPr>
          <w:sz w:val="20"/>
          <w:szCs w:val="20"/>
        </w:rPr>
        <w:t xml:space="preserve"> months of data, from July 2023 to </w:t>
      </w:r>
      <w:r>
        <w:rPr>
          <w:sz w:val="20"/>
          <w:szCs w:val="20"/>
        </w:rPr>
        <w:t>March</w:t>
      </w:r>
      <w:r w:rsidRPr="00C76973">
        <w:rPr>
          <w:sz w:val="20"/>
          <w:szCs w:val="20"/>
        </w:rPr>
        <w:t xml:space="preserve"> 2024 inclusive.</w:t>
      </w:r>
      <w:r>
        <w:rPr>
          <w:sz w:val="20"/>
          <w:szCs w:val="20"/>
        </w:rPr>
        <w:t xml:space="preserve"> </w:t>
      </w:r>
      <w:r w:rsidR="00507AF9">
        <w:rPr>
          <w:sz w:val="20"/>
          <w:szCs w:val="20"/>
        </w:rPr>
        <w:t xml:space="preserve">Special Pricing Arrangements apply, presented figures do not reflect actual cost to Government. </w:t>
      </w:r>
    </w:p>
    <w:p w14:paraId="1C0EAF9F" w14:textId="77777777" w:rsidR="0069602D" w:rsidRDefault="0069602D" w:rsidP="00310004">
      <w:pPr>
        <w:rPr>
          <w:sz w:val="20"/>
          <w:szCs w:val="20"/>
        </w:rPr>
      </w:pPr>
    </w:p>
    <w:p w14:paraId="797D325F" w14:textId="77777777" w:rsidR="00BD7972" w:rsidRDefault="00BD7972" w:rsidP="00310004">
      <w:pPr>
        <w:rPr>
          <w:sz w:val="20"/>
          <w:szCs w:val="20"/>
        </w:rPr>
      </w:pPr>
    </w:p>
    <w:p w14:paraId="1CD81B7D" w14:textId="77777777" w:rsidR="00BD7972" w:rsidRDefault="00BD7972" w:rsidP="00310004">
      <w:pPr>
        <w:rPr>
          <w:sz w:val="20"/>
          <w:szCs w:val="20"/>
        </w:rPr>
      </w:pPr>
    </w:p>
    <w:p w14:paraId="7B66A723" w14:textId="77777777" w:rsidR="00BD7972" w:rsidRDefault="00BD7972" w:rsidP="00310004">
      <w:pPr>
        <w:rPr>
          <w:sz w:val="20"/>
          <w:szCs w:val="20"/>
        </w:rPr>
      </w:pPr>
    </w:p>
    <w:p w14:paraId="68E370FB" w14:textId="77777777" w:rsidR="00BD7972" w:rsidRDefault="00BD7972" w:rsidP="00310004">
      <w:pPr>
        <w:rPr>
          <w:sz w:val="20"/>
          <w:szCs w:val="20"/>
        </w:rPr>
      </w:pPr>
    </w:p>
    <w:p w14:paraId="1D3EF75D" w14:textId="77777777" w:rsidR="001A1CDC" w:rsidRDefault="001A1CDC" w:rsidP="00BD49A7">
      <w:pPr>
        <w:spacing w:line="276" w:lineRule="auto"/>
        <w:rPr>
          <w:b/>
          <w:bCs/>
          <w:u w:val="single"/>
        </w:rPr>
      </w:pPr>
    </w:p>
    <w:p w14:paraId="60F54D70" w14:textId="77777777" w:rsidR="001A1CDC" w:rsidRDefault="001A1CDC">
      <w:pPr>
        <w:spacing w:line="276" w:lineRule="auto"/>
        <w:rPr>
          <w:b/>
          <w:sz w:val="28"/>
        </w:rPr>
      </w:pPr>
      <w:r>
        <w:br w:type="page"/>
      </w:r>
    </w:p>
    <w:p w14:paraId="4DC63113" w14:textId="31212E2D" w:rsidR="001A1CDC" w:rsidRPr="001A1CDC" w:rsidRDefault="001A1CDC" w:rsidP="001A1CDC">
      <w:pPr>
        <w:pStyle w:val="Heading2"/>
      </w:pPr>
      <w:r>
        <w:lastRenderedPageBreak/>
        <w:t>Additional a</w:t>
      </w:r>
      <w:r w:rsidRPr="005E22C2">
        <w:t>nalys</w:t>
      </w:r>
      <w:r>
        <w:t>e</w:t>
      </w:r>
      <w:r w:rsidRPr="005E22C2">
        <w:t xml:space="preserve">s </w:t>
      </w:r>
      <w:r>
        <w:t>of brentuximab vedotin for previously untreated CD30 positive PTCL</w:t>
      </w:r>
    </w:p>
    <w:p w14:paraId="5F22B4D8" w14:textId="34AD1938" w:rsidR="00736041" w:rsidRPr="001A1CDC" w:rsidRDefault="001A1CDC" w:rsidP="001A1CDC">
      <w:pPr>
        <w:pStyle w:val="Tabletitle"/>
      </w:pPr>
      <w:r>
        <w:t>A</w:t>
      </w:r>
      <w:r w:rsidR="00D151EB" w:rsidRPr="001A1CDC">
        <w:rPr>
          <w:szCs w:val="22"/>
        </w:rPr>
        <w:t xml:space="preserve">nalysis </w:t>
      </w:r>
      <w:r w:rsidR="00C0076F" w:rsidRPr="001A1CDC">
        <w:rPr>
          <w:szCs w:val="22"/>
        </w:rPr>
        <w:t xml:space="preserve">of </w:t>
      </w:r>
      <w:r w:rsidR="0063631C" w:rsidRPr="001A1CDC">
        <w:rPr>
          <w:szCs w:val="22"/>
        </w:rPr>
        <w:t>a</w:t>
      </w:r>
      <w:r w:rsidR="00C0076F" w:rsidRPr="001A1CDC">
        <w:rPr>
          <w:szCs w:val="22"/>
        </w:rPr>
        <w:t xml:space="preserve">ctual versus </w:t>
      </w:r>
      <w:r w:rsidR="0063631C" w:rsidRPr="001A1CDC">
        <w:rPr>
          <w:szCs w:val="22"/>
        </w:rPr>
        <w:t>p</w:t>
      </w:r>
      <w:r w:rsidR="00C0076F" w:rsidRPr="001A1CDC">
        <w:rPr>
          <w:szCs w:val="22"/>
        </w:rPr>
        <w:t xml:space="preserve">redicted </w:t>
      </w:r>
      <w:r w:rsidR="0063631C" w:rsidRPr="001A1CDC">
        <w:rPr>
          <w:szCs w:val="22"/>
        </w:rPr>
        <w:t>u</w:t>
      </w:r>
      <w:r w:rsidR="00C0076F" w:rsidRPr="001A1CDC">
        <w:rPr>
          <w:szCs w:val="22"/>
        </w:rPr>
        <w:t>tilisation</w:t>
      </w:r>
      <w:r w:rsidR="00534ED1" w:rsidRPr="001A1CDC">
        <w:rPr>
          <w:szCs w:val="22"/>
        </w:rPr>
        <w:t xml:space="preserve"> of brentuximab vedotin for </w:t>
      </w:r>
      <w:r w:rsidR="005C2397" w:rsidRPr="001A1CDC">
        <w:rPr>
          <w:szCs w:val="22"/>
        </w:rPr>
        <w:t xml:space="preserve">previously untreated CD30 positive </w:t>
      </w:r>
      <w:r w:rsidR="00534ED1" w:rsidRPr="001A1CDC">
        <w:rPr>
          <w:szCs w:val="22"/>
        </w:rPr>
        <w:t>PTCL</w:t>
      </w:r>
    </w:p>
    <w:p w14:paraId="64F8BF4A" w14:textId="77777777" w:rsidR="001A1CDC" w:rsidRDefault="001A1CDC" w:rsidP="001A1CDC">
      <w:pPr>
        <w:rPr>
          <w:b/>
          <w:bCs/>
        </w:rPr>
      </w:pPr>
    </w:p>
    <w:p w14:paraId="7C0EF3A2" w14:textId="6FAD4338" w:rsidR="00112BDC" w:rsidRPr="001A1CDC" w:rsidRDefault="004E73BB" w:rsidP="001A1CDC">
      <w:pPr>
        <w:rPr>
          <w:b/>
          <w:bCs/>
        </w:rPr>
      </w:pPr>
      <w:r w:rsidRPr="001A1CDC">
        <w:rPr>
          <w:b/>
          <w:bCs/>
        </w:rPr>
        <w:t>Approach taken to estimate utilisation</w:t>
      </w:r>
      <w:r w:rsidR="007D2135" w:rsidRPr="001A1CDC">
        <w:rPr>
          <w:b/>
          <w:bCs/>
        </w:rPr>
        <w:t xml:space="preserve"> </w:t>
      </w:r>
    </w:p>
    <w:p w14:paraId="1AEB7975" w14:textId="645D34A5" w:rsidR="00763C9E" w:rsidRDefault="00763C9E" w:rsidP="00F66B74">
      <w:pPr>
        <w:pStyle w:val="3-BodyText"/>
        <w:spacing w:after="0"/>
        <w:ind w:left="0" w:firstLine="0"/>
        <w:jc w:val="left"/>
        <w:rPr>
          <w:color w:val="000000" w:themeColor="text1"/>
        </w:rPr>
      </w:pPr>
      <w:r w:rsidRPr="008E3F1A">
        <w:rPr>
          <w:color w:val="000000" w:themeColor="text1"/>
        </w:rPr>
        <w:t xml:space="preserve">The submission used a mixed epidemiological and market share approach to estimate the expected impact associated with the listing of </w:t>
      </w:r>
      <w:r w:rsidR="005C2397">
        <w:rPr>
          <w:color w:val="000000" w:themeColor="text1"/>
        </w:rPr>
        <w:t xml:space="preserve">brentuximab vedotin (BV) </w:t>
      </w:r>
      <w:r w:rsidRPr="008E3F1A">
        <w:rPr>
          <w:color w:val="000000" w:themeColor="text1"/>
        </w:rPr>
        <w:t>+CHP based on published and effective prices.</w:t>
      </w:r>
    </w:p>
    <w:p w14:paraId="73B30A1C" w14:textId="77777777" w:rsidR="00763C9E" w:rsidRPr="008E3F1A" w:rsidRDefault="00763C9E" w:rsidP="00F66B74">
      <w:pPr>
        <w:pStyle w:val="3-BodyText"/>
        <w:spacing w:after="0"/>
        <w:ind w:left="0" w:firstLine="0"/>
        <w:jc w:val="left"/>
        <w:rPr>
          <w:color w:val="000000" w:themeColor="text1"/>
        </w:rPr>
      </w:pPr>
    </w:p>
    <w:p w14:paraId="2852C805" w14:textId="3DF2FD53" w:rsidR="00AF188C" w:rsidRDefault="00763C9E" w:rsidP="00F66B74">
      <w:pPr>
        <w:pStyle w:val="3-BodyText"/>
        <w:spacing w:after="0"/>
        <w:ind w:left="0" w:firstLine="0"/>
        <w:jc w:val="left"/>
      </w:pPr>
      <w:r w:rsidRPr="008E3F1A">
        <w:t xml:space="preserve">The key inputs used by the submission in forming the financial estimates are summarised in </w:t>
      </w:r>
      <w:r w:rsidR="00C1045A">
        <w:t xml:space="preserve">below in </w:t>
      </w:r>
      <w:r w:rsidRPr="008E3F1A">
        <w:t xml:space="preserve">Table </w:t>
      </w:r>
      <w:r w:rsidR="00BD7972">
        <w:t>10</w:t>
      </w:r>
      <w:r w:rsidRPr="008E3F1A">
        <w:t>.</w:t>
      </w:r>
    </w:p>
    <w:p w14:paraId="0291061B" w14:textId="0F5C6CDB" w:rsidR="00BD7972" w:rsidRPr="00BD7972" w:rsidRDefault="00BD7972" w:rsidP="00BD7972">
      <w:pPr>
        <w:pStyle w:val="Tabletitle"/>
      </w:pPr>
      <w:r w:rsidRPr="006440DD">
        <w:t xml:space="preserve">Table </w:t>
      </w:r>
      <w:r>
        <w:t xml:space="preserve">10: Key inputs for financial estimates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4"/>
        <w:gridCol w:w="7533"/>
      </w:tblGrid>
      <w:tr w:rsidR="00827516" w:rsidRPr="00827516" w14:paraId="24EF329C" w14:textId="77777777" w:rsidTr="00341572">
        <w:trPr>
          <w:tblHeader/>
        </w:trPr>
        <w:tc>
          <w:tcPr>
            <w:tcW w:w="790" w:type="pct"/>
            <w:shd w:val="clear" w:color="auto" w:fill="BFBFBF" w:themeFill="background1" w:themeFillShade="BF"/>
            <w:vAlign w:val="center"/>
          </w:tcPr>
          <w:p w14:paraId="09E5C7E6" w14:textId="77777777" w:rsidR="00827516" w:rsidRPr="00827516" w:rsidRDefault="00827516" w:rsidP="00823E93">
            <w:pPr>
              <w:pStyle w:val="In-tableHeading"/>
              <w:spacing w:before="60" w:after="60"/>
              <w:rPr>
                <w:rFonts w:asciiTheme="minorHAnsi" w:hAnsiTheme="minorHAnsi" w:cstheme="minorHAnsi"/>
                <w:lang w:val="en-AU"/>
              </w:rPr>
            </w:pPr>
            <w:r w:rsidRPr="00827516">
              <w:rPr>
                <w:rFonts w:asciiTheme="minorHAnsi" w:hAnsiTheme="minorHAnsi" w:cstheme="minorHAnsi"/>
                <w:lang w:val="en-AU"/>
              </w:rPr>
              <w:t>Parameter</w:t>
            </w:r>
          </w:p>
        </w:tc>
        <w:tc>
          <w:tcPr>
            <w:tcW w:w="4210" w:type="pct"/>
            <w:shd w:val="clear" w:color="auto" w:fill="BFBFBF" w:themeFill="background1" w:themeFillShade="BF"/>
          </w:tcPr>
          <w:p w14:paraId="4F327668" w14:textId="77777777" w:rsidR="00827516" w:rsidRPr="00827516" w:rsidRDefault="00827516" w:rsidP="00823E93">
            <w:pPr>
              <w:pStyle w:val="In-tableHeading"/>
              <w:spacing w:before="60" w:after="60"/>
              <w:rPr>
                <w:rFonts w:asciiTheme="minorHAnsi" w:hAnsiTheme="minorHAnsi" w:cstheme="minorHAnsi"/>
                <w:lang w:val="en-AU"/>
              </w:rPr>
            </w:pPr>
            <w:r w:rsidRPr="00827516">
              <w:rPr>
                <w:rFonts w:asciiTheme="minorHAnsi" w:hAnsiTheme="minorHAnsi" w:cstheme="minorHAnsi"/>
                <w:lang w:val="en-AU"/>
              </w:rPr>
              <w:t>Value applied and source</w:t>
            </w:r>
          </w:p>
        </w:tc>
      </w:tr>
      <w:tr w:rsidR="00827516" w:rsidRPr="00827516" w14:paraId="0136CFCE" w14:textId="77777777" w:rsidTr="00341572">
        <w:tc>
          <w:tcPr>
            <w:tcW w:w="790" w:type="pct"/>
            <w:shd w:val="clear" w:color="auto" w:fill="auto"/>
            <w:vAlign w:val="center"/>
          </w:tcPr>
          <w:p w14:paraId="07755AC6" w14:textId="77777777" w:rsidR="00827516" w:rsidRPr="00827516" w:rsidRDefault="00827516" w:rsidP="00823E93">
            <w:pPr>
              <w:pStyle w:val="TableText"/>
              <w:spacing w:before="60" w:after="60"/>
              <w:rPr>
                <w:rFonts w:asciiTheme="minorHAnsi" w:hAnsiTheme="minorHAnsi" w:cstheme="minorHAnsi"/>
              </w:rPr>
            </w:pPr>
            <w:r w:rsidRPr="00827516">
              <w:rPr>
                <w:rFonts w:asciiTheme="minorHAnsi" w:hAnsiTheme="minorHAnsi" w:cstheme="minorHAnsi"/>
                <w:szCs w:val="20"/>
              </w:rPr>
              <w:t>Incident NHL patients</w:t>
            </w:r>
          </w:p>
        </w:tc>
        <w:tc>
          <w:tcPr>
            <w:tcW w:w="4210" w:type="pct"/>
            <w:vAlign w:val="center"/>
          </w:tcPr>
          <w:p w14:paraId="3C281813" w14:textId="7B3C534C" w:rsidR="00827516" w:rsidRPr="00827516" w:rsidRDefault="00827516" w:rsidP="00823E93">
            <w:pPr>
              <w:pStyle w:val="TableText"/>
              <w:spacing w:before="60" w:after="60"/>
              <w:rPr>
                <w:rFonts w:asciiTheme="minorHAnsi" w:hAnsiTheme="minorHAnsi" w:cstheme="minorHAnsi"/>
                <w:i/>
              </w:rPr>
            </w:pPr>
            <w:r w:rsidRPr="00827516">
              <w:rPr>
                <w:rFonts w:asciiTheme="minorHAnsi" w:hAnsiTheme="minorHAnsi" w:cstheme="minorHAnsi"/>
                <w:szCs w:val="20"/>
              </w:rPr>
              <w:t>Total NHL patients based on cancer incidence projections in Australia for males and females (AIHW 2020). NHL incidence in 2020 of</w:t>
            </w:r>
            <w:r w:rsidR="00C24B8C">
              <w:rPr>
                <w:rFonts w:asciiTheme="minorHAnsi" w:hAnsiTheme="minorHAnsi" w:cstheme="minorHAnsi"/>
                <w:szCs w:val="20"/>
              </w:rPr>
              <w:t xml:space="preserve"> </w:t>
            </w:r>
            <w:r w:rsidR="00C24B8C" w:rsidRPr="00C24B8C">
              <w:rPr>
                <w:rFonts w:asciiTheme="minorHAnsi" w:hAnsiTheme="minorHAnsi" w:cstheme="minorHAnsi"/>
                <w:color w:val="000000"/>
                <w:spacing w:val="65"/>
                <w:szCs w:val="20"/>
                <w:shd w:val="solid" w:color="000000" w:fill="000000"/>
                <w:fitText w:val="250" w:id="-892662528"/>
                <w14:textFill>
                  <w14:solidFill>
                    <w14:srgbClr w14:val="000000">
                      <w14:alpha w14:val="100000"/>
                    </w14:srgbClr>
                  </w14:solidFill>
                </w14:textFill>
              </w:rPr>
              <w:t>|</w:t>
            </w:r>
            <w:r w:rsidR="00C24B8C" w:rsidRPr="00C24B8C">
              <w:rPr>
                <w:rFonts w:asciiTheme="minorHAnsi" w:hAnsiTheme="minorHAnsi" w:cstheme="minorHAnsi"/>
                <w:color w:val="000000"/>
                <w:szCs w:val="20"/>
                <w:shd w:val="solid" w:color="000000" w:fill="000000"/>
                <w:fitText w:val="250" w:id="-892662528"/>
                <w14:textFill>
                  <w14:solidFill>
                    <w14:srgbClr w14:val="000000">
                      <w14:alpha w14:val="100000"/>
                    </w14:srgbClr>
                  </w14:solidFill>
                </w14:textFill>
              </w:rPr>
              <w:t>|</w:t>
            </w:r>
            <w:r w:rsidRPr="00827516">
              <w:rPr>
                <w:rFonts w:asciiTheme="minorHAnsi" w:hAnsiTheme="minorHAnsi" w:cstheme="minorHAnsi"/>
                <w:szCs w:val="20"/>
              </w:rPr>
              <w:t>(</w:t>
            </w:r>
            <w:r w:rsidR="00C24B8C" w:rsidRPr="00C24B8C">
              <w:rPr>
                <w:rFonts w:asciiTheme="minorHAnsi" w:hAnsiTheme="minorHAnsi" w:cstheme="minorHAnsi"/>
                <w:color w:val="000000"/>
                <w:spacing w:val="65"/>
                <w:szCs w:val="20"/>
                <w:shd w:val="solid" w:color="000000" w:fill="000000"/>
                <w:fitText w:val="250" w:id="-892662527"/>
                <w14:textFill>
                  <w14:solidFill>
                    <w14:srgbClr w14:val="000000">
                      <w14:alpha w14:val="100000"/>
                    </w14:srgbClr>
                  </w14:solidFill>
                </w14:textFill>
              </w:rPr>
              <w:t>|</w:t>
            </w:r>
            <w:r w:rsidR="00C24B8C" w:rsidRPr="00C24B8C">
              <w:rPr>
                <w:rFonts w:asciiTheme="minorHAnsi" w:hAnsiTheme="minorHAnsi" w:cstheme="minorHAnsi"/>
                <w:color w:val="000000"/>
                <w:szCs w:val="20"/>
                <w:shd w:val="solid" w:color="000000" w:fill="000000"/>
                <w:fitText w:val="250" w:id="-892662527"/>
                <w14:textFill>
                  <w14:solidFill>
                    <w14:srgbClr w14:val="000000">
                      <w14:alpha w14:val="100000"/>
                    </w14:srgbClr>
                  </w14:solidFill>
                </w14:textFill>
              </w:rPr>
              <w:t>|</w:t>
            </w:r>
            <w:r w:rsidRPr="00827516">
              <w:rPr>
                <w:rFonts w:asciiTheme="minorHAnsi" w:hAnsiTheme="minorHAnsi" w:cstheme="minorHAnsi"/>
                <w:szCs w:val="20"/>
              </w:rPr>
              <w:t>–</w:t>
            </w:r>
            <w:r w:rsidR="00C24B8C" w:rsidRPr="00C24B8C">
              <w:rPr>
                <w:rFonts w:asciiTheme="minorHAnsi" w:hAnsiTheme="minorHAnsi" w:cstheme="minorHAnsi"/>
                <w:color w:val="000000"/>
                <w:spacing w:val="64"/>
                <w:szCs w:val="20"/>
                <w:shd w:val="solid" w:color="000000" w:fill="000000"/>
                <w:fitText w:val="249" w:id="-892662526"/>
                <w14:textFill>
                  <w14:solidFill>
                    <w14:srgbClr w14:val="000000">
                      <w14:alpha w14:val="100000"/>
                    </w14:srgbClr>
                  </w14:solidFill>
                </w14:textFill>
              </w:rPr>
              <w:t>|</w:t>
            </w:r>
            <w:r w:rsidR="00C24B8C" w:rsidRPr="00C24B8C">
              <w:rPr>
                <w:rFonts w:asciiTheme="minorHAnsi" w:hAnsiTheme="minorHAnsi" w:cstheme="minorHAnsi"/>
                <w:color w:val="000000"/>
                <w:szCs w:val="20"/>
                <w:shd w:val="solid" w:color="000000" w:fill="000000"/>
                <w:fitText w:val="249" w:id="-892662526"/>
                <w14:textFill>
                  <w14:solidFill>
                    <w14:srgbClr w14:val="000000">
                      <w14:alpha w14:val="100000"/>
                    </w14:srgbClr>
                  </w14:solidFill>
                </w14:textFill>
              </w:rPr>
              <w:t>|</w:t>
            </w:r>
            <w:r w:rsidRPr="00827516">
              <w:rPr>
                <w:rFonts w:asciiTheme="minorHAnsi" w:hAnsiTheme="minorHAnsi" w:cstheme="minorHAnsi"/>
                <w:szCs w:val="20"/>
              </w:rPr>
              <w:t xml:space="preserve">) for males and </w:t>
            </w:r>
            <w:r w:rsidR="00C24B8C" w:rsidRPr="00C24B8C">
              <w:rPr>
                <w:rFonts w:asciiTheme="minorHAnsi" w:hAnsiTheme="minorHAnsi" w:cstheme="minorHAnsi"/>
                <w:color w:val="000000"/>
                <w:spacing w:val="64"/>
                <w:szCs w:val="20"/>
                <w:shd w:val="solid" w:color="000000" w:fill="000000"/>
                <w:fitText w:val="249" w:id="-892662525"/>
                <w14:textFill>
                  <w14:solidFill>
                    <w14:srgbClr w14:val="000000">
                      <w14:alpha w14:val="100000"/>
                    </w14:srgbClr>
                  </w14:solidFill>
                </w14:textFill>
              </w:rPr>
              <w:t>|</w:t>
            </w:r>
            <w:r w:rsidR="00C24B8C" w:rsidRPr="00C24B8C">
              <w:rPr>
                <w:rFonts w:asciiTheme="minorHAnsi" w:hAnsiTheme="minorHAnsi" w:cstheme="minorHAnsi"/>
                <w:color w:val="000000"/>
                <w:szCs w:val="20"/>
                <w:shd w:val="solid" w:color="000000" w:fill="000000"/>
                <w:fitText w:val="249" w:id="-892662525"/>
                <w14:textFill>
                  <w14:solidFill>
                    <w14:srgbClr w14:val="000000">
                      <w14:alpha w14:val="100000"/>
                    </w14:srgbClr>
                  </w14:solidFill>
                </w14:textFill>
              </w:rPr>
              <w:t>|</w:t>
            </w:r>
            <w:r w:rsidRPr="00827516">
              <w:rPr>
                <w:rFonts w:asciiTheme="minorHAnsi" w:hAnsiTheme="minorHAnsi" w:cstheme="minorHAnsi"/>
                <w:szCs w:val="20"/>
              </w:rPr>
              <w:t xml:space="preserve"> (</w:t>
            </w:r>
            <w:r w:rsidR="00C24B8C" w:rsidRPr="00C24B8C">
              <w:rPr>
                <w:rFonts w:asciiTheme="minorHAnsi" w:hAnsiTheme="minorHAnsi" w:cstheme="minorHAnsi"/>
                <w:color w:val="000000"/>
                <w:spacing w:val="65"/>
                <w:szCs w:val="20"/>
                <w:shd w:val="solid" w:color="000000" w:fill="000000"/>
                <w:fitText w:val="250" w:id="-892662524"/>
                <w14:textFill>
                  <w14:solidFill>
                    <w14:srgbClr w14:val="000000">
                      <w14:alpha w14:val="100000"/>
                    </w14:srgbClr>
                  </w14:solidFill>
                </w14:textFill>
              </w:rPr>
              <w:t>|</w:t>
            </w:r>
            <w:r w:rsidR="00C24B8C" w:rsidRPr="00C24B8C">
              <w:rPr>
                <w:rFonts w:asciiTheme="minorHAnsi" w:hAnsiTheme="minorHAnsi" w:cstheme="minorHAnsi"/>
                <w:color w:val="000000"/>
                <w:szCs w:val="20"/>
                <w:shd w:val="solid" w:color="000000" w:fill="000000"/>
                <w:fitText w:val="250" w:id="-892662524"/>
                <w14:textFill>
                  <w14:solidFill>
                    <w14:srgbClr w14:val="000000">
                      <w14:alpha w14:val="100000"/>
                    </w14:srgbClr>
                  </w14:solidFill>
                </w14:textFill>
              </w:rPr>
              <w:t>|</w:t>
            </w:r>
            <w:r w:rsidRPr="00827516">
              <w:rPr>
                <w:rFonts w:asciiTheme="minorHAnsi" w:hAnsiTheme="minorHAnsi" w:cstheme="minorHAnsi"/>
                <w:szCs w:val="20"/>
              </w:rPr>
              <w:t>–</w:t>
            </w:r>
            <w:r w:rsidR="00C24B8C" w:rsidRPr="00C24B8C">
              <w:rPr>
                <w:rFonts w:asciiTheme="minorHAnsi" w:hAnsiTheme="minorHAnsi" w:cstheme="minorHAnsi"/>
                <w:color w:val="000000"/>
                <w:spacing w:val="84"/>
                <w:szCs w:val="20"/>
                <w:shd w:val="solid" w:color="000000" w:fill="000000"/>
                <w:fitText w:val="269" w:id="-892662523"/>
                <w14:textFill>
                  <w14:solidFill>
                    <w14:srgbClr w14:val="000000">
                      <w14:alpha w14:val="100000"/>
                    </w14:srgbClr>
                  </w14:solidFill>
                </w14:textFill>
              </w:rPr>
              <w:t>|</w:t>
            </w:r>
            <w:r w:rsidR="00C24B8C" w:rsidRPr="00C24B8C">
              <w:rPr>
                <w:rFonts w:asciiTheme="minorHAnsi" w:hAnsiTheme="minorHAnsi" w:cstheme="minorHAnsi"/>
                <w:color w:val="000000"/>
                <w:szCs w:val="20"/>
                <w:shd w:val="solid" w:color="000000" w:fill="000000"/>
                <w:fitText w:val="269" w:id="-892662523"/>
                <w14:textFill>
                  <w14:solidFill>
                    <w14:srgbClr w14:val="000000">
                      <w14:alpha w14:val="100000"/>
                    </w14:srgbClr>
                  </w14:solidFill>
                </w14:textFill>
              </w:rPr>
              <w:t>|</w:t>
            </w:r>
            <w:r w:rsidRPr="00827516">
              <w:rPr>
                <w:rFonts w:asciiTheme="minorHAnsi" w:hAnsiTheme="minorHAnsi" w:cstheme="minorHAnsi"/>
                <w:szCs w:val="20"/>
              </w:rPr>
              <w:t>) for females.</w:t>
            </w:r>
          </w:p>
        </w:tc>
      </w:tr>
      <w:tr w:rsidR="00827516" w:rsidRPr="00827516" w14:paraId="50D94555" w14:textId="77777777" w:rsidTr="00341572">
        <w:tc>
          <w:tcPr>
            <w:tcW w:w="790" w:type="pct"/>
            <w:shd w:val="clear" w:color="auto" w:fill="auto"/>
            <w:vAlign w:val="center"/>
          </w:tcPr>
          <w:p w14:paraId="2ECEB4AE" w14:textId="77777777" w:rsidR="00827516" w:rsidRPr="00827516" w:rsidRDefault="00827516" w:rsidP="00823E93">
            <w:pPr>
              <w:pStyle w:val="TableText"/>
              <w:spacing w:before="60" w:after="60"/>
              <w:rPr>
                <w:rFonts w:asciiTheme="minorHAnsi" w:hAnsiTheme="minorHAnsi" w:cstheme="minorHAnsi"/>
              </w:rPr>
            </w:pPr>
            <w:r w:rsidRPr="00827516">
              <w:rPr>
                <w:rFonts w:asciiTheme="minorHAnsi" w:hAnsiTheme="minorHAnsi" w:cstheme="minorHAnsi"/>
                <w:szCs w:val="20"/>
              </w:rPr>
              <w:t xml:space="preserve">PTCL proportion </w:t>
            </w:r>
          </w:p>
        </w:tc>
        <w:tc>
          <w:tcPr>
            <w:tcW w:w="4210" w:type="pct"/>
            <w:vAlign w:val="center"/>
          </w:tcPr>
          <w:p w14:paraId="4AF63C72" w14:textId="24F1E737" w:rsidR="00827516" w:rsidRPr="00827516" w:rsidRDefault="00C24B8C" w:rsidP="00823E93">
            <w:pPr>
              <w:pStyle w:val="TableText"/>
              <w:spacing w:before="60" w:after="60"/>
              <w:rPr>
                <w:rFonts w:asciiTheme="minorHAnsi" w:hAnsiTheme="minorHAnsi" w:cstheme="minorHAnsi"/>
                <w:i/>
              </w:rPr>
            </w:pPr>
            <w:r w:rsidRPr="00C24B8C">
              <w:rPr>
                <w:rFonts w:asciiTheme="minorHAnsi" w:hAnsiTheme="minorHAnsi" w:cstheme="minorHAnsi"/>
                <w:color w:val="000000"/>
                <w:w w:val="83"/>
                <w:szCs w:val="20"/>
                <w:shd w:val="solid" w:color="000000" w:fill="000000"/>
                <w:fitText w:val="153" w:id="-892662522"/>
                <w14:textFill>
                  <w14:solidFill>
                    <w14:srgbClr w14:val="000000">
                      <w14:alpha w14:val="100000"/>
                    </w14:srgbClr>
                  </w14:solidFill>
                </w14:textFill>
              </w:rPr>
              <w:t>||</w:t>
            </w:r>
            <w:r w:rsidR="00827516" w:rsidRPr="00827516">
              <w:rPr>
                <w:rFonts w:asciiTheme="minorHAnsi" w:hAnsiTheme="minorHAnsi" w:cstheme="minorHAnsi"/>
                <w:szCs w:val="20"/>
              </w:rPr>
              <w:t>% of NHL is mature PTCL or T/NK cell lymphomas, Australia 2015 (AIHW 2019).</w:t>
            </w:r>
          </w:p>
        </w:tc>
      </w:tr>
      <w:tr w:rsidR="00827516" w:rsidRPr="00827516" w14:paraId="6DF56DEE" w14:textId="77777777" w:rsidTr="00341572">
        <w:tc>
          <w:tcPr>
            <w:tcW w:w="790" w:type="pct"/>
            <w:shd w:val="clear" w:color="auto" w:fill="auto"/>
            <w:vAlign w:val="center"/>
          </w:tcPr>
          <w:p w14:paraId="3A45BF3F" w14:textId="244438EB" w:rsidR="00827516" w:rsidRPr="00827516" w:rsidRDefault="00827516" w:rsidP="00823E93">
            <w:pPr>
              <w:pStyle w:val="TableText"/>
              <w:spacing w:before="60" w:after="60"/>
              <w:rPr>
                <w:rFonts w:asciiTheme="minorHAnsi" w:hAnsiTheme="minorHAnsi" w:cstheme="minorHAnsi"/>
              </w:rPr>
            </w:pPr>
            <w:r w:rsidRPr="00827516">
              <w:rPr>
                <w:rFonts w:asciiTheme="minorHAnsi" w:hAnsiTheme="minorHAnsi" w:cstheme="minorHAnsi"/>
                <w:szCs w:val="20"/>
              </w:rPr>
              <w:t>CD30-posit</w:t>
            </w:r>
            <w:r w:rsidR="0004512D">
              <w:rPr>
                <w:rFonts w:asciiTheme="minorHAnsi" w:hAnsiTheme="minorHAnsi" w:cstheme="minorHAnsi"/>
                <w:szCs w:val="20"/>
              </w:rPr>
              <w:t>i</w:t>
            </w:r>
            <w:r w:rsidRPr="00827516">
              <w:rPr>
                <w:rFonts w:asciiTheme="minorHAnsi" w:hAnsiTheme="minorHAnsi" w:cstheme="minorHAnsi"/>
                <w:szCs w:val="20"/>
              </w:rPr>
              <w:t>ve</w:t>
            </w:r>
            <w:r w:rsidR="00ED78CE">
              <w:rPr>
                <w:rFonts w:asciiTheme="minorHAnsi" w:hAnsiTheme="minorHAnsi" w:cstheme="minorHAnsi"/>
                <w:szCs w:val="20"/>
              </w:rPr>
              <w:t xml:space="preserve"> </w:t>
            </w:r>
            <w:r w:rsidRPr="00827516">
              <w:rPr>
                <w:rFonts w:asciiTheme="minorHAnsi" w:hAnsiTheme="minorHAnsi" w:cstheme="minorHAnsi"/>
                <w:szCs w:val="20"/>
              </w:rPr>
              <w:t>PTCL patients</w:t>
            </w:r>
          </w:p>
        </w:tc>
        <w:tc>
          <w:tcPr>
            <w:tcW w:w="4210" w:type="pct"/>
            <w:vAlign w:val="center"/>
          </w:tcPr>
          <w:p w14:paraId="20C6A6E9" w14:textId="77777777" w:rsidR="00827516" w:rsidRPr="00827516" w:rsidRDefault="00827516" w:rsidP="00823E93">
            <w:pPr>
              <w:pStyle w:val="TableText"/>
              <w:keepNext w:val="0"/>
              <w:widowControl w:val="0"/>
              <w:spacing w:before="60" w:after="60"/>
              <w:rPr>
                <w:rFonts w:asciiTheme="minorHAnsi" w:hAnsiTheme="minorHAnsi" w:cstheme="minorHAnsi"/>
                <w:szCs w:val="20"/>
              </w:rPr>
            </w:pPr>
            <w:r w:rsidRPr="00827516">
              <w:rPr>
                <w:rFonts w:asciiTheme="minorHAnsi" w:hAnsiTheme="minorHAnsi" w:cstheme="minorHAnsi"/>
                <w:szCs w:val="20"/>
              </w:rPr>
              <w:t>CD30 positive expression estimated from Sabattini et al. 2013, Bossard et al. 2014.</w:t>
            </w:r>
          </w:p>
          <w:p w14:paraId="7FFDF602" w14:textId="77777777" w:rsidR="00827516" w:rsidRPr="00827516" w:rsidRDefault="00827516" w:rsidP="00823E93">
            <w:pPr>
              <w:pStyle w:val="TableText"/>
              <w:spacing w:before="60" w:after="60"/>
              <w:rPr>
                <w:rFonts w:asciiTheme="minorHAnsi" w:hAnsiTheme="minorHAnsi" w:cstheme="minorHAnsi"/>
                <w:i/>
              </w:rPr>
            </w:pPr>
            <w:r w:rsidRPr="00827516">
              <w:rPr>
                <w:rFonts w:asciiTheme="minorHAnsi" w:hAnsiTheme="minorHAnsi" w:cstheme="minorHAnsi"/>
                <w:szCs w:val="20"/>
              </w:rPr>
              <w:t>Proportion of PTCL cases by subtype: PTCL–NOS, AITL, ALCL ALK+, ALCL ALK-ATLL, HSTCL, EATL from Vose 2008</w:t>
            </w:r>
          </w:p>
        </w:tc>
      </w:tr>
      <w:tr w:rsidR="00827516" w:rsidRPr="00827516" w14:paraId="75E2D6E8" w14:textId="77777777" w:rsidTr="00341572">
        <w:tc>
          <w:tcPr>
            <w:tcW w:w="790" w:type="pct"/>
            <w:shd w:val="clear" w:color="auto" w:fill="auto"/>
            <w:vAlign w:val="center"/>
          </w:tcPr>
          <w:p w14:paraId="7B872AB5" w14:textId="77777777" w:rsidR="00827516" w:rsidRPr="00827516" w:rsidRDefault="00827516" w:rsidP="00823E93">
            <w:pPr>
              <w:pStyle w:val="TableText"/>
              <w:spacing w:before="60" w:after="60"/>
              <w:rPr>
                <w:rFonts w:asciiTheme="minorHAnsi" w:hAnsiTheme="minorHAnsi" w:cstheme="minorHAnsi"/>
              </w:rPr>
            </w:pPr>
            <w:r w:rsidRPr="00827516">
              <w:rPr>
                <w:rFonts w:asciiTheme="minorHAnsi" w:hAnsiTheme="minorHAnsi" w:cstheme="minorHAnsi"/>
                <w:szCs w:val="20"/>
              </w:rPr>
              <w:t>Uptake rate</w:t>
            </w:r>
          </w:p>
        </w:tc>
        <w:tc>
          <w:tcPr>
            <w:tcW w:w="4210" w:type="pct"/>
            <w:vAlign w:val="center"/>
          </w:tcPr>
          <w:p w14:paraId="4A957A9D" w14:textId="3156143E" w:rsidR="00C1459A" w:rsidRDefault="00827516" w:rsidP="00823E93">
            <w:pPr>
              <w:pStyle w:val="TableText"/>
              <w:spacing w:before="60" w:after="60"/>
              <w:rPr>
                <w:rFonts w:asciiTheme="minorHAnsi" w:hAnsiTheme="minorHAnsi" w:cstheme="minorHAnsi"/>
                <w:szCs w:val="20"/>
              </w:rPr>
            </w:pPr>
            <w:r w:rsidRPr="00827516">
              <w:rPr>
                <w:rFonts w:asciiTheme="minorHAnsi" w:hAnsiTheme="minorHAnsi" w:cstheme="minorHAnsi"/>
                <w:szCs w:val="20"/>
              </w:rPr>
              <w:t xml:space="preserve">Overall uptake: </w:t>
            </w:r>
            <w:r w:rsidR="00C24B8C" w:rsidRPr="00C24B8C">
              <w:rPr>
                <w:rFonts w:asciiTheme="minorHAnsi" w:hAnsiTheme="minorHAnsi" w:cstheme="minorHAnsi"/>
                <w:color w:val="000000"/>
                <w:spacing w:val="65"/>
                <w:szCs w:val="20"/>
                <w:shd w:val="solid" w:color="000000" w:fill="000000"/>
                <w:fitText w:val="250" w:id="-892662521"/>
                <w14:textFill>
                  <w14:solidFill>
                    <w14:srgbClr w14:val="000000">
                      <w14:alpha w14:val="100000"/>
                    </w14:srgbClr>
                  </w14:solidFill>
                </w14:textFill>
              </w:rPr>
              <w:t>|</w:t>
            </w:r>
            <w:r w:rsidR="00C24B8C" w:rsidRPr="00C24B8C">
              <w:rPr>
                <w:rFonts w:asciiTheme="minorHAnsi" w:hAnsiTheme="minorHAnsi" w:cstheme="minorHAnsi"/>
                <w:color w:val="000000"/>
                <w:szCs w:val="20"/>
                <w:shd w:val="solid" w:color="000000" w:fill="000000"/>
                <w:fitText w:val="250" w:id="-892662521"/>
                <w14:textFill>
                  <w14:solidFill>
                    <w14:srgbClr w14:val="000000">
                      <w14:alpha w14:val="100000"/>
                    </w14:srgbClr>
                  </w14:solidFill>
                </w14:textFill>
              </w:rPr>
              <w:t>|</w:t>
            </w:r>
            <w:r w:rsidRPr="00827516">
              <w:rPr>
                <w:rFonts w:asciiTheme="minorHAnsi" w:hAnsiTheme="minorHAnsi" w:cstheme="minorHAnsi"/>
                <w:szCs w:val="20"/>
              </w:rPr>
              <w:t xml:space="preserve">%, </w:t>
            </w:r>
          </w:p>
          <w:p w14:paraId="0C413194" w14:textId="288BDBF2" w:rsidR="00827516" w:rsidRPr="00A064C7" w:rsidRDefault="00C1459A" w:rsidP="00823E93">
            <w:pPr>
              <w:pStyle w:val="TableText"/>
              <w:spacing w:before="60" w:after="60"/>
              <w:rPr>
                <w:rFonts w:asciiTheme="minorHAnsi" w:hAnsiTheme="minorHAnsi" w:cstheme="minorHAnsi"/>
                <w:szCs w:val="20"/>
              </w:rPr>
            </w:pPr>
            <w:r>
              <w:rPr>
                <w:rFonts w:asciiTheme="minorHAnsi" w:hAnsiTheme="minorHAnsi" w:cstheme="minorHAnsi"/>
                <w:szCs w:val="20"/>
              </w:rPr>
              <w:t>V</w:t>
            </w:r>
            <w:r w:rsidR="00827516" w:rsidRPr="00827516">
              <w:rPr>
                <w:rFonts w:asciiTheme="minorHAnsi" w:hAnsiTheme="minorHAnsi" w:cstheme="minorHAnsi"/>
                <w:szCs w:val="20"/>
              </w:rPr>
              <w:t>aried by subtype: sALCL (</w:t>
            </w:r>
            <w:r w:rsidR="00C24B8C" w:rsidRPr="00C24B8C">
              <w:rPr>
                <w:rFonts w:asciiTheme="minorHAnsi" w:hAnsiTheme="minorHAnsi" w:cstheme="minorHAnsi" w:hint="eastAsia"/>
                <w:color w:val="000000"/>
                <w:w w:val="19"/>
                <w:szCs w:val="20"/>
                <w:shd w:val="solid" w:color="000000" w:fill="000000"/>
                <w:fitText w:val="96" w:id="-892662520"/>
                <w14:textFill>
                  <w14:solidFill>
                    <w14:srgbClr w14:val="000000">
                      <w14:alpha w14:val="100000"/>
                    </w14:srgbClr>
                  </w14:solidFill>
                </w14:textFill>
              </w:rPr>
              <w:t xml:space="preserve">　</w:t>
            </w:r>
            <w:r w:rsidR="00C24B8C" w:rsidRPr="00C24B8C">
              <w:rPr>
                <w:rFonts w:asciiTheme="minorHAnsi" w:hAnsiTheme="minorHAnsi" w:cstheme="minorHAnsi"/>
                <w:color w:val="000000"/>
                <w:w w:val="19"/>
                <w:szCs w:val="20"/>
                <w:shd w:val="solid" w:color="000000" w:fill="000000"/>
                <w:fitText w:val="96" w:id="-892662520"/>
                <w14:textFill>
                  <w14:solidFill>
                    <w14:srgbClr w14:val="000000">
                      <w14:alpha w14:val="100000"/>
                    </w14:srgbClr>
                  </w14:solidFill>
                </w14:textFill>
              </w:rPr>
              <w:t>|</w:t>
            </w:r>
            <w:r w:rsidR="00C24B8C" w:rsidRPr="00C24B8C">
              <w:rPr>
                <w:rFonts w:asciiTheme="minorHAnsi" w:hAnsiTheme="minorHAnsi" w:cstheme="minorHAnsi" w:hint="eastAsia"/>
                <w:color w:val="000000"/>
                <w:w w:val="19"/>
                <w:szCs w:val="20"/>
                <w:shd w:val="solid" w:color="000000" w:fill="000000"/>
                <w:fitText w:val="96" w:id="-892662520"/>
                <w14:textFill>
                  <w14:solidFill>
                    <w14:srgbClr w14:val="000000">
                      <w14:alpha w14:val="100000"/>
                    </w14:srgbClr>
                  </w14:solidFill>
                </w14:textFill>
              </w:rPr>
              <w:t xml:space="preserve">　</w:t>
            </w:r>
            <w:r w:rsidR="00827516" w:rsidRPr="00827516">
              <w:rPr>
                <w:rFonts w:asciiTheme="minorHAnsi" w:hAnsiTheme="minorHAnsi" w:cstheme="minorHAnsi"/>
                <w:szCs w:val="20"/>
              </w:rPr>
              <w:t>%), AITL (</w:t>
            </w:r>
            <w:r w:rsidR="00C24B8C" w:rsidRPr="00C24B8C">
              <w:rPr>
                <w:rFonts w:asciiTheme="minorHAnsi" w:hAnsiTheme="minorHAnsi" w:cstheme="minorHAnsi" w:hint="eastAsia"/>
                <w:color w:val="000000"/>
                <w:w w:val="19"/>
                <w:szCs w:val="20"/>
                <w:shd w:val="solid" w:color="000000" w:fill="000000"/>
                <w:fitText w:val="96" w:id="-892662272"/>
                <w14:textFill>
                  <w14:solidFill>
                    <w14:srgbClr w14:val="000000">
                      <w14:alpha w14:val="100000"/>
                    </w14:srgbClr>
                  </w14:solidFill>
                </w14:textFill>
              </w:rPr>
              <w:t xml:space="preserve">　</w:t>
            </w:r>
            <w:r w:rsidR="00C24B8C" w:rsidRPr="00C24B8C">
              <w:rPr>
                <w:rFonts w:asciiTheme="minorHAnsi" w:hAnsiTheme="minorHAnsi" w:cstheme="minorHAnsi"/>
                <w:color w:val="000000"/>
                <w:w w:val="19"/>
                <w:szCs w:val="20"/>
                <w:shd w:val="solid" w:color="000000" w:fill="000000"/>
                <w:fitText w:val="96" w:id="-892662272"/>
                <w14:textFill>
                  <w14:solidFill>
                    <w14:srgbClr w14:val="000000">
                      <w14:alpha w14:val="100000"/>
                    </w14:srgbClr>
                  </w14:solidFill>
                </w14:textFill>
              </w:rPr>
              <w:t>|</w:t>
            </w:r>
            <w:r w:rsidR="00C24B8C" w:rsidRPr="00C24B8C">
              <w:rPr>
                <w:rFonts w:asciiTheme="minorHAnsi" w:hAnsiTheme="minorHAnsi" w:cstheme="minorHAnsi" w:hint="eastAsia"/>
                <w:color w:val="000000"/>
                <w:w w:val="19"/>
                <w:szCs w:val="20"/>
                <w:shd w:val="solid" w:color="000000" w:fill="000000"/>
                <w:fitText w:val="96" w:id="-892662272"/>
                <w14:textFill>
                  <w14:solidFill>
                    <w14:srgbClr w14:val="000000">
                      <w14:alpha w14:val="100000"/>
                    </w14:srgbClr>
                  </w14:solidFill>
                </w14:textFill>
              </w:rPr>
              <w:t xml:space="preserve">　</w:t>
            </w:r>
            <w:r w:rsidR="00827516" w:rsidRPr="00827516">
              <w:rPr>
                <w:rFonts w:asciiTheme="minorHAnsi" w:hAnsiTheme="minorHAnsi" w:cstheme="minorHAnsi"/>
                <w:szCs w:val="20"/>
              </w:rPr>
              <w:t>%), PTCL-NOS (</w:t>
            </w:r>
            <w:r w:rsidR="00C24B8C" w:rsidRPr="00C24B8C">
              <w:rPr>
                <w:rFonts w:asciiTheme="minorHAnsi" w:hAnsiTheme="minorHAnsi" w:cstheme="minorHAnsi" w:hint="eastAsia"/>
                <w:color w:val="000000"/>
                <w:w w:val="19"/>
                <w:szCs w:val="20"/>
                <w:shd w:val="solid" w:color="000000" w:fill="000000"/>
                <w:fitText w:val="96" w:id="-892662271"/>
                <w14:textFill>
                  <w14:solidFill>
                    <w14:srgbClr w14:val="000000">
                      <w14:alpha w14:val="100000"/>
                    </w14:srgbClr>
                  </w14:solidFill>
                </w14:textFill>
              </w:rPr>
              <w:t xml:space="preserve">　</w:t>
            </w:r>
            <w:r w:rsidR="00C24B8C" w:rsidRPr="00C24B8C">
              <w:rPr>
                <w:rFonts w:asciiTheme="minorHAnsi" w:hAnsiTheme="minorHAnsi" w:cstheme="minorHAnsi"/>
                <w:color w:val="000000"/>
                <w:w w:val="19"/>
                <w:szCs w:val="20"/>
                <w:shd w:val="solid" w:color="000000" w:fill="000000"/>
                <w:fitText w:val="96" w:id="-892662271"/>
                <w14:textFill>
                  <w14:solidFill>
                    <w14:srgbClr w14:val="000000">
                      <w14:alpha w14:val="100000"/>
                    </w14:srgbClr>
                  </w14:solidFill>
                </w14:textFill>
              </w:rPr>
              <w:t>|</w:t>
            </w:r>
            <w:r w:rsidR="00C24B8C" w:rsidRPr="00C24B8C">
              <w:rPr>
                <w:rFonts w:asciiTheme="minorHAnsi" w:hAnsiTheme="minorHAnsi" w:cstheme="minorHAnsi" w:hint="eastAsia"/>
                <w:color w:val="000000"/>
                <w:w w:val="19"/>
                <w:szCs w:val="20"/>
                <w:shd w:val="solid" w:color="000000" w:fill="000000"/>
                <w:fitText w:val="96" w:id="-892662271"/>
                <w14:textFill>
                  <w14:solidFill>
                    <w14:srgbClr w14:val="000000">
                      <w14:alpha w14:val="100000"/>
                    </w14:srgbClr>
                  </w14:solidFill>
                </w14:textFill>
              </w:rPr>
              <w:t xml:space="preserve">　</w:t>
            </w:r>
            <w:r w:rsidR="00827516" w:rsidRPr="00827516">
              <w:rPr>
                <w:rFonts w:asciiTheme="minorHAnsi" w:hAnsiTheme="minorHAnsi" w:cstheme="minorHAnsi"/>
                <w:szCs w:val="20"/>
              </w:rPr>
              <w:t>%), ATLL (</w:t>
            </w:r>
            <w:r w:rsidR="00C24B8C" w:rsidRPr="00C24B8C">
              <w:rPr>
                <w:rFonts w:asciiTheme="minorHAnsi" w:hAnsiTheme="minorHAnsi" w:cstheme="minorHAnsi" w:hint="eastAsia"/>
                <w:color w:val="000000"/>
                <w:w w:val="15"/>
                <w:szCs w:val="20"/>
                <w:shd w:val="solid" w:color="000000" w:fill="000000"/>
                <w:fitText w:val="60" w:id="-892662270"/>
                <w14:textFill>
                  <w14:solidFill>
                    <w14:srgbClr w14:val="000000">
                      <w14:alpha w14:val="100000"/>
                    </w14:srgbClr>
                  </w14:solidFill>
                </w14:textFill>
              </w:rPr>
              <w:t xml:space="preserve">　</w:t>
            </w:r>
            <w:r w:rsidR="00C24B8C" w:rsidRPr="00C24B8C">
              <w:rPr>
                <w:rFonts w:asciiTheme="minorHAnsi" w:hAnsiTheme="minorHAnsi" w:cstheme="minorHAnsi"/>
                <w:color w:val="000000"/>
                <w:w w:val="15"/>
                <w:szCs w:val="20"/>
                <w:shd w:val="solid" w:color="000000" w:fill="000000"/>
                <w:fitText w:val="60" w:id="-892662270"/>
                <w14:textFill>
                  <w14:solidFill>
                    <w14:srgbClr w14:val="000000">
                      <w14:alpha w14:val="100000"/>
                    </w14:srgbClr>
                  </w14:solidFill>
                </w14:textFill>
              </w:rPr>
              <w:t>|</w:t>
            </w:r>
            <w:r w:rsidR="00C24B8C" w:rsidRPr="00C24B8C">
              <w:rPr>
                <w:rFonts w:asciiTheme="minorHAnsi" w:hAnsiTheme="minorHAnsi" w:cstheme="minorHAnsi" w:hint="eastAsia"/>
                <w:color w:val="000000"/>
                <w:spacing w:val="-13"/>
                <w:w w:val="15"/>
                <w:szCs w:val="20"/>
                <w:shd w:val="solid" w:color="000000" w:fill="000000"/>
                <w:fitText w:val="60" w:id="-892662270"/>
                <w14:textFill>
                  <w14:solidFill>
                    <w14:srgbClr w14:val="000000">
                      <w14:alpha w14:val="100000"/>
                    </w14:srgbClr>
                  </w14:solidFill>
                </w14:textFill>
              </w:rPr>
              <w:t xml:space="preserve">　</w:t>
            </w:r>
            <w:r w:rsidR="00827516" w:rsidRPr="00827516">
              <w:rPr>
                <w:rFonts w:asciiTheme="minorHAnsi" w:hAnsiTheme="minorHAnsi" w:cstheme="minorHAnsi"/>
                <w:szCs w:val="20"/>
              </w:rPr>
              <w:t>%) and EATL (</w:t>
            </w:r>
            <w:r w:rsidR="00C24B8C" w:rsidRPr="00C24B8C">
              <w:rPr>
                <w:rFonts w:asciiTheme="minorHAnsi" w:hAnsiTheme="minorHAnsi" w:cstheme="minorHAnsi" w:hint="eastAsia"/>
                <w:color w:val="000000"/>
                <w:w w:val="15"/>
                <w:szCs w:val="20"/>
                <w:shd w:val="solid" w:color="000000" w:fill="000000"/>
                <w:fitText w:val="60" w:id="-892662269"/>
                <w14:textFill>
                  <w14:solidFill>
                    <w14:srgbClr w14:val="000000">
                      <w14:alpha w14:val="100000"/>
                    </w14:srgbClr>
                  </w14:solidFill>
                </w14:textFill>
              </w:rPr>
              <w:t xml:space="preserve">　</w:t>
            </w:r>
            <w:r w:rsidR="00C24B8C" w:rsidRPr="00C24B8C">
              <w:rPr>
                <w:rFonts w:asciiTheme="minorHAnsi" w:hAnsiTheme="minorHAnsi" w:cstheme="minorHAnsi"/>
                <w:color w:val="000000"/>
                <w:w w:val="15"/>
                <w:szCs w:val="20"/>
                <w:shd w:val="solid" w:color="000000" w:fill="000000"/>
                <w:fitText w:val="60" w:id="-892662269"/>
                <w14:textFill>
                  <w14:solidFill>
                    <w14:srgbClr w14:val="000000">
                      <w14:alpha w14:val="100000"/>
                    </w14:srgbClr>
                  </w14:solidFill>
                </w14:textFill>
              </w:rPr>
              <w:t>|</w:t>
            </w:r>
            <w:r w:rsidR="00C24B8C" w:rsidRPr="00C24B8C">
              <w:rPr>
                <w:rFonts w:asciiTheme="minorHAnsi" w:hAnsiTheme="minorHAnsi" w:cstheme="minorHAnsi" w:hint="eastAsia"/>
                <w:color w:val="000000"/>
                <w:spacing w:val="-13"/>
                <w:w w:val="15"/>
                <w:szCs w:val="20"/>
                <w:shd w:val="solid" w:color="000000" w:fill="000000"/>
                <w:fitText w:val="60" w:id="-892662269"/>
                <w14:textFill>
                  <w14:solidFill>
                    <w14:srgbClr w14:val="000000">
                      <w14:alpha w14:val="100000"/>
                    </w14:srgbClr>
                  </w14:solidFill>
                </w14:textFill>
              </w:rPr>
              <w:t xml:space="preserve">　</w:t>
            </w:r>
            <w:r w:rsidR="00827516" w:rsidRPr="00827516">
              <w:rPr>
                <w:rFonts w:asciiTheme="minorHAnsi" w:hAnsiTheme="minorHAnsi" w:cstheme="minorHAnsi"/>
                <w:szCs w:val="20"/>
              </w:rPr>
              <w:t>%)</w:t>
            </w:r>
            <w:r w:rsidR="001B3663">
              <w:rPr>
                <w:rFonts w:asciiTheme="minorHAnsi" w:hAnsiTheme="minorHAnsi" w:cstheme="minorHAnsi"/>
                <w:szCs w:val="20"/>
              </w:rPr>
              <w:t>.</w:t>
            </w:r>
          </w:p>
        </w:tc>
      </w:tr>
    </w:tbl>
    <w:p w14:paraId="1A5B687C" w14:textId="33E3C508" w:rsidR="00854AD4" w:rsidRPr="001F73B7" w:rsidRDefault="00854AD4" w:rsidP="00854AD4">
      <w:pPr>
        <w:rPr>
          <w:rFonts w:cstheme="minorHAnsi"/>
          <w:snapToGrid w:val="0"/>
          <w:sz w:val="20"/>
          <w:szCs w:val="20"/>
        </w:rPr>
      </w:pPr>
      <w:r w:rsidRPr="001F73B7">
        <w:rPr>
          <w:rFonts w:cstheme="minorHAnsi"/>
          <w:bCs/>
          <w:snapToGrid w:val="0"/>
          <w:sz w:val="20"/>
          <w:szCs w:val="20"/>
        </w:rPr>
        <w:t xml:space="preserve">Source: </w:t>
      </w:r>
      <w:r w:rsidR="007C3158" w:rsidRPr="007C3158">
        <w:rPr>
          <w:rFonts w:cstheme="minorHAnsi"/>
          <w:bCs/>
          <w:snapToGrid w:val="0"/>
          <w:color w:val="000000"/>
          <w:w w:val="68"/>
          <w:sz w:val="20"/>
          <w:szCs w:val="20"/>
          <w:shd w:val="solid" w:color="000000" w:fill="000000"/>
          <w:fitText w:val="2919" w:id="-892661760"/>
          <w14:textFill>
            <w14:solidFill>
              <w14:srgbClr w14:val="000000">
                <w14:alpha w14:val="100000"/>
              </w14:srgbClr>
            </w14:solidFill>
          </w14:textFill>
        </w:rPr>
        <w:t>|||||||||||||||||||||||||||||||||||||||||||||</w:t>
      </w:r>
      <w:r w:rsidR="007C3158" w:rsidRPr="007C3158">
        <w:rPr>
          <w:rFonts w:cstheme="minorHAnsi"/>
          <w:bCs/>
          <w:snapToGrid w:val="0"/>
          <w:color w:val="000000"/>
          <w:spacing w:val="39"/>
          <w:w w:val="68"/>
          <w:sz w:val="20"/>
          <w:szCs w:val="20"/>
          <w:shd w:val="solid" w:color="000000" w:fill="000000"/>
          <w:fitText w:val="2919" w:id="-892661760"/>
          <w14:textFill>
            <w14:solidFill>
              <w14:srgbClr w14:val="000000">
                <w14:alpha w14:val="100000"/>
              </w14:srgbClr>
            </w14:solidFill>
          </w14:textFill>
        </w:rPr>
        <w:t>|</w:t>
      </w:r>
      <w:r w:rsidRPr="001F73B7">
        <w:rPr>
          <w:rFonts w:cstheme="minorHAnsi"/>
          <w:snapToGrid w:val="0"/>
          <w:sz w:val="20"/>
          <w:szCs w:val="20"/>
        </w:rPr>
        <w:t xml:space="preserve"> compiled from data presented in Section 4 of the submission.</w:t>
      </w:r>
    </w:p>
    <w:p w14:paraId="491120B9" w14:textId="4681FA74" w:rsidR="001A1CDC" w:rsidRDefault="00854AD4" w:rsidP="004E460C">
      <w:pPr>
        <w:rPr>
          <w:rFonts w:cstheme="minorHAnsi"/>
          <w:snapToGrid w:val="0"/>
          <w:sz w:val="20"/>
          <w:szCs w:val="20"/>
        </w:rPr>
      </w:pPr>
      <w:r w:rsidRPr="001F73B7">
        <w:rPr>
          <w:rFonts w:cstheme="minorHAnsi"/>
          <w:snapToGrid w:val="0"/>
          <w:sz w:val="20"/>
          <w:szCs w:val="20"/>
        </w:rPr>
        <w:t>AIHW =Australian Institute of Health Welfare; ALCL = anaplastic large cell lymphoma; AITL = angioimmunoblastic T-cell lymphoma; ATLL = adult T-cell leukaemia/lymphoma; ALK= anaplastic lymphoma kinase; DPMA = dispensed price per maximum amount; EATL= enteropathy-associated T-cell lymphoma; HSTCL = hepatosplenic T-cell lymphoma; PTCL–NOS = peripheral T-cell lymphoma not otherwise specified</w:t>
      </w:r>
    </w:p>
    <w:p w14:paraId="48DA1001" w14:textId="77777777" w:rsidR="001A1CDC" w:rsidRDefault="001A1CDC" w:rsidP="004E460C">
      <w:pPr>
        <w:rPr>
          <w:rFonts w:cstheme="minorHAnsi"/>
          <w:snapToGrid w:val="0"/>
          <w:sz w:val="20"/>
          <w:szCs w:val="20"/>
        </w:rPr>
      </w:pPr>
    </w:p>
    <w:p w14:paraId="7C6CDCBA" w14:textId="77777777" w:rsidR="001A1CDC" w:rsidRDefault="001A1CDC" w:rsidP="004E460C">
      <w:pPr>
        <w:rPr>
          <w:rFonts w:cstheme="minorHAnsi"/>
          <w:snapToGrid w:val="0"/>
          <w:sz w:val="20"/>
          <w:szCs w:val="20"/>
        </w:rPr>
      </w:pPr>
    </w:p>
    <w:p w14:paraId="3AA9A337" w14:textId="77777777" w:rsidR="001A1CDC" w:rsidRDefault="001A1CDC" w:rsidP="004E460C">
      <w:pPr>
        <w:rPr>
          <w:rFonts w:cstheme="minorHAnsi"/>
          <w:snapToGrid w:val="0"/>
          <w:sz w:val="20"/>
          <w:szCs w:val="20"/>
        </w:rPr>
      </w:pPr>
    </w:p>
    <w:p w14:paraId="7DD5D3CD" w14:textId="77777777" w:rsidR="001A1CDC" w:rsidRDefault="001A1CDC" w:rsidP="004E460C">
      <w:pPr>
        <w:rPr>
          <w:rFonts w:cstheme="minorHAnsi"/>
          <w:snapToGrid w:val="0"/>
          <w:sz w:val="20"/>
          <w:szCs w:val="20"/>
        </w:rPr>
      </w:pPr>
    </w:p>
    <w:p w14:paraId="0D6148D7" w14:textId="77777777" w:rsidR="001A1CDC" w:rsidRDefault="001A1CDC" w:rsidP="004E460C">
      <w:pPr>
        <w:rPr>
          <w:rFonts w:cstheme="minorHAnsi"/>
          <w:snapToGrid w:val="0"/>
          <w:sz w:val="20"/>
          <w:szCs w:val="20"/>
        </w:rPr>
      </w:pPr>
    </w:p>
    <w:p w14:paraId="31F12084" w14:textId="77777777" w:rsidR="001A1CDC" w:rsidRDefault="001A1CDC" w:rsidP="004E460C">
      <w:pPr>
        <w:rPr>
          <w:rFonts w:cstheme="minorHAnsi"/>
          <w:snapToGrid w:val="0"/>
          <w:sz w:val="20"/>
          <w:szCs w:val="20"/>
        </w:rPr>
      </w:pPr>
    </w:p>
    <w:p w14:paraId="679EC8C5" w14:textId="77777777" w:rsidR="001A1CDC" w:rsidRDefault="001A1CDC" w:rsidP="004E460C">
      <w:pPr>
        <w:rPr>
          <w:rFonts w:cstheme="minorHAnsi"/>
          <w:snapToGrid w:val="0"/>
          <w:sz w:val="20"/>
          <w:szCs w:val="20"/>
        </w:rPr>
      </w:pPr>
    </w:p>
    <w:p w14:paraId="67358FD7" w14:textId="77777777" w:rsidR="007C3158" w:rsidRDefault="007C3158" w:rsidP="004E460C">
      <w:pPr>
        <w:rPr>
          <w:rFonts w:cstheme="minorHAnsi"/>
          <w:snapToGrid w:val="0"/>
          <w:sz w:val="20"/>
          <w:szCs w:val="20"/>
        </w:rPr>
      </w:pPr>
    </w:p>
    <w:p w14:paraId="162C5610" w14:textId="77777777" w:rsidR="001A1CDC" w:rsidRPr="004E460C" w:rsidRDefault="001A1CDC" w:rsidP="004E460C">
      <w:pPr>
        <w:rPr>
          <w:rFonts w:cstheme="minorHAnsi"/>
          <w:snapToGrid w:val="0"/>
          <w:sz w:val="20"/>
          <w:szCs w:val="20"/>
        </w:rPr>
      </w:pPr>
    </w:p>
    <w:p w14:paraId="362D9B85" w14:textId="009EC261" w:rsidR="00F74B30" w:rsidRPr="009F62D3" w:rsidRDefault="004E73BB" w:rsidP="004E73BB">
      <w:pPr>
        <w:pStyle w:val="Tabletitle"/>
      </w:pPr>
      <w:r w:rsidRPr="009F62D3">
        <w:lastRenderedPageBreak/>
        <w:t xml:space="preserve">Table </w:t>
      </w:r>
      <w:r w:rsidR="00BD7972" w:rsidRPr="009F62D3">
        <w:t>11</w:t>
      </w:r>
      <w:r w:rsidRPr="009F62D3">
        <w:t xml:space="preserve">: </w:t>
      </w:r>
      <w:r w:rsidR="00E20234" w:rsidRPr="009F62D3">
        <w:t>P</w:t>
      </w:r>
      <w:r w:rsidR="00F556D9" w:rsidRPr="009F62D3">
        <w:t xml:space="preserve">redicted versus actual analysis </w:t>
      </w:r>
      <w:r w:rsidR="00FC49AC" w:rsidRPr="009F62D3">
        <w:t>of brentuximab vedotin for</w:t>
      </w:r>
      <w:r w:rsidR="00ED629E" w:rsidRPr="009F62D3">
        <w:t xml:space="preserve"> CD30 positive</w:t>
      </w:r>
      <w:r w:rsidR="00FC49AC" w:rsidRPr="009F62D3">
        <w:t xml:space="preserve"> PTCL </w:t>
      </w:r>
    </w:p>
    <w:tbl>
      <w:tblPr>
        <w:tblStyle w:val="TableGrid"/>
        <w:tblW w:w="5000" w:type="pct"/>
        <w:tblLook w:val="04A0" w:firstRow="1" w:lastRow="0" w:firstColumn="1" w:lastColumn="0" w:noHBand="0" w:noVBand="1"/>
      </w:tblPr>
      <w:tblGrid>
        <w:gridCol w:w="1790"/>
        <w:gridCol w:w="1790"/>
        <w:gridCol w:w="1789"/>
        <w:gridCol w:w="1789"/>
        <w:gridCol w:w="1789"/>
      </w:tblGrid>
      <w:tr w:rsidR="00404A73" w:rsidRPr="009F62D3" w14:paraId="09D2EC80" w14:textId="35FF2BEC" w:rsidTr="00404A73">
        <w:trPr>
          <w:trHeight w:val="256"/>
        </w:trPr>
        <w:tc>
          <w:tcPr>
            <w:tcW w:w="1000" w:type="pct"/>
            <w:shd w:val="clear" w:color="auto" w:fill="BFBFBF" w:themeFill="background1" w:themeFillShade="BF"/>
          </w:tcPr>
          <w:p w14:paraId="15D5AB91" w14:textId="77777777" w:rsidR="00404A73" w:rsidRPr="009F62D3" w:rsidRDefault="00404A73" w:rsidP="00823E93">
            <w:pPr>
              <w:spacing w:beforeLines="60" w:before="144" w:after="60"/>
              <w:rPr>
                <w:b/>
                <w:bCs/>
                <w:sz w:val="20"/>
                <w:szCs w:val="20"/>
              </w:rPr>
            </w:pPr>
          </w:p>
        </w:tc>
        <w:tc>
          <w:tcPr>
            <w:tcW w:w="1000" w:type="pct"/>
            <w:shd w:val="clear" w:color="auto" w:fill="BFBFBF" w:themeFill="background1" w:themeFillShade="BF"/>
          </w:tcPr>
          <w:p w14:paraId="41239B9D" w14:textId="77777777" w:rsidR="00404A73" w:rsidRPr="009F62D3" w:rsidRDefault="00404A73" w:rsidP="00823E93">
            <w:pPr>
              <w:spacing w:beforeLines="60" w:before="144" w:after="60"/>
              <w:jc w:val="center"/>
              <w:rPr>
                <w:b/>
                <w:bCs/>
                <w:sz w:val="20"/>
                <w:szCs w:val="20"/>
              </w:rPr>
            </w:pPr>
          </w:p>
        </w:tc>
        <w:tc>
          <w:tcPr>
            <w:tcW w:w="1000" w:type="pct"/>
            <w:shd w:val="clear" w:color="auto" w:fill="BFBFBF" w:themeFill="background1" w:themeFillShade="BF"/>
          </w:tcPr>
          <w:p w14:paraId="0E15A9E2" w14:textId="18168999" w:rsidR="00404A73" w:rsidRPr="009F62D3" w:rsidRDefault="00404A73" w:rsidP="00823E93">
            <w:pPr>
              <w:spacing w:beforeLines="60" w:before="144" w:after="60"/>
              <w:jc w:val="center"/>
              <w:rPr>
                <w:b/>
                <w:bCs/>
                <w:sz w:val="20"/>
                <w:szCs w:val="20"/>
              </w:rPr>
            </w:pPr>
            <w:r w:rsidRPr="009F62D3">
              <w:rPr>
                <w:b/>
                <w:bCs/>
                <w:sz w:val="20"/>
                <w:szCs w:val="20"/>
              </w:rPr>
              <w:t>Year 1</w:t>
            </w:r>
          </w:p>
        </w:tc>
        <w:tc>
          <w:tcPr>
            <w:tcW w:w="1000" w:type="pct"/>
            <w:shd w:val="clear" w:color="auto" w:fill="BFBFBF" w:themeFill="background1" w:themeFillShade="BF"/>
          </w:tcPr>
          <w:p w14:paraId="70230064" w14:textId="6D0FB7C4" w:rsidR="00404A73" w:rsidRPr="009F62D3" w:rsidRDefault="00404A73" w:rsidP="00823E93">
            <w:pPr>
              <w:spacing w:beforeLines="60" w:before="144" w:after="60"/>
              <w:jc w:val="center"/>
              <w:rPr>
                <w:b/>
                <w:bCs/>
                <w:sz w:val="20"/>
                <w:szCs w:val="20"/>
              </w:rPr>
            </w:pPr>
            <w:r w:rsidRPr="009F62D3">
              <w:rPr>
                <w:b/>
                <w:bCs/>
                <w:sz w:val="20"/>
                <w:szCs w:val="20"/>
              </w:rPr>
              <w:t>Year 2</w:t>
            </w:r>
          </w:p>
        </w:tc>
        <w:tc>
          <w:tcPr>
            <w:tcW w:w="1000" w:type="pct"/>
            <w:shd w:val="clear" w:color="auto" w:fill="BFBFBF" w:themeFill="background1" w:themeFillShade="BF"/>
          </w:tcPr>
          <w:p w14:paraId="1944D022" w14:textId="39C0D9AC" w:rsidR="00404A73" w:rsidRPr="009F62D3" w:rsidRDefault="00404A73" w:rsidP="00823E93">
            <w:pPr>
              <w:spacing w:beforeLines="60" w:before="144" w:after="60"/>
              <w:jc w:val="center"/>
              <w:rPr>
                <w:b/>
                <w:bCs/>
                <w:sz w:val="20"/>
                <w:szCs w:val="20"/>
              </w:rPr>
            </w:pPr>
            <w:r w:rsidRPr="009F62D3">
              <w:rPr>
                <w:b/>
                <w:bCs/>
                <w:sz w:val="20"/>
                <w:szCs w:val="20"/>
              </w:rPr>
              <w:t>Year 3</w:t>
            </w:r>
          </w:p>
        </w:tc>
      </w:tr>
      <w:tr w:rsidR="00404A73" w:rsidRPr="009F62D3" w14:paraId="4F152E58" w14:textId="3FAE531C" w:rsidTr="006256B5">
        <w:tc>
          <w:tcPr>
            <w:tcW w:w="1000" w:type="pct"/>
            <w:shd w:val="clear" w:color="auto" w:fill="BFBFBF" w:themeFill="background1" w:themeFillShade="BF"/>
          </w:tcPr>
          <w:p w14:paraId="3116B543" w14:textId="77777777" w:rsidR="00404A73" w:rsidRPr="009F62D3" w:rsidRDefault="00404A73" w:rsidP="00823E93">
            <w:pPr>
              <w:spacing w:beforeLines="60" w:before="144" w:after="60"/>
              <w:rPr>
                <w:b/>
                <w:bCs/>
                <w:sz w:val="20"/>
                <w:szCs w:val="20"/>
              </w:rPr>
            </w:pPr>
          </w:p>
        </w:tc>
        <w:tc>
          <w:tcPr>
            <w:tcW w:w="1000" w:type="pct"/>
            <w:shd w:val="clear" w:color="auto" w:fill="BFBFBF" w:themeFill="background1" w:themeFillShade="BF"/>
          </w:tcPr>
          <w:p w14:paraId="3E9F988C" w14:textId="77777777" w:rsidR="00404A73" w:rsidRPr="009F62D3" w:rsidRDefault="00404A73" w:rsidP="00823E93">
            <w:pPr>
              <w:spacing w:beforeLines="60" w:before="144" w:after="60"/>
              <w:jc w:val="center"/>
              <w:rPr>
                <w:b/>
                <w:bCs/>
                <w:sz w:val="20"/>
                <w:szCs w:val="20"/>
              </w:rPr>
            </w:pPr>
          </w:p>
        </w:tc>
        <w:tc>
          <w:tcPr>
            <w:tcW w:w="1000" w:type="pct"/>
            <w:tcBorders>
              <w:bottom w:val="single" w:sz="4" w:space="0" w:color="auto"/>
            </w:tcBorders>
            <w:shd w:val="clear" w:color="auto" w:fill="BFBFBF" w:themeFill="background1" w:themeFillShade="BF"/>
          </w:tcPr>
          <w:p w14:paraId="1027DDED" w14:textId="77777777" w:rsidR="00404A73" w:rsidRPr="009F62D3" w:rsidRDefault="00404A73" w:rsidP="00823E93">
            <w:pPr>
              <w:spacing w:beforeLines="60" w:before="144" w:after="60"/>
              <w:jc w:val="center"/>
              <w:rPr>
                <w:b/>
                <w:bCs/>
                <w:sz w:val="20"/>
                <w:szCs w:val="20"/>
              </w:rPr>
            </w:pPr>
            <w:r w:rsidRPr="009F62D3">
              <w:rPr>
                <w:b/>
                <w:bCs/>
                <w:sz w:val="20"/>
                <w:szCs w:val="20"/>
              </w:rPr>
              <w:t xml:space="preserve">1 September 2021- </w:t>
            </w:r>
          </w:p>
          <w:p w14:paraId="4F3490CC" w14:textId="543BAB4F" w:rsidR="00404A73" w:rsidRPr="009F62D3" w:rsidRDefault="00404A73" w:rsidP="00823E93">
            <w:pPr>
              <w:spacing w:beforeLines="60" w:before="144" w:after="60"/>
              <w:jc w:val="center"/>
              <w:rPr>
                <w:b/>
                <w:bCs/>
                <w:sz w:val="20"/>
                <w:szCs w:val="20"/>
              </w:rPr>
            </w:pPr>
            <w:r w:rsidRPr="009F62D3">
              <w:rPr>
                <w:b/>
                <w:bCs/>
                <w:sz w:val="20"/>
                <w:szCs w:val="20"/>
              </w:rPr>
              <w:t>31 August 2022</w:t>
            </w:r>
          </w:p>
        </w:tc>
        <w:tc>
          <w:tcPr>
            <w:tcW w:w="1000" w:type="pct"/>
            <w:tcBorders>
              <w:bottom w:val="single" w:sz="4" w:space="0" w:color="auto"/>
            </w:tcBorders>
            <w:shd w:val="clear" w:color="auto" w:fill="BFBFBF" w:themeFill="background1" w:themeFillShade="BF"/>
          </w:tcPr>
          <w:p w14:paraId="2814CD3C" w14:textId="77777777" w:rsidR="00404A73" w:rsidRPr="009F62D3" w:rsidRDefault="00404A73" w:rsidP="00823E93">
            <w:pPr>
              <w:spacing w:beforeLines="60" w:before="144" w:after="60"/>
              <w:jc w:val="center"/>
              <w:rPr>
                <w:b/>
                <w:bCs/>
                <w:sz w:val="20"/>
                <w:szCs w:val="20"/>
              </w:rPr>
            </w:pPr>
            <w:r w:rsidRPr="009F62D3">
              <w:rPr>
                <w:b/>
                <w:bCs/>
                <w:sz w:val="20"/>
                <w:szCs w:val="20"/>
              </w:rPr>
              <w:t xml:space="preserve">1 September 2022- </w:t>
            </w:r>
          </w:p>
          <w:p w14:paraId="2EA3CA90" w14:textId="647999F9" w:rsidR="00404A73" w:rsidRPr="009F62D3" w:rsidRDefault="00404A73" w:rsidP="00823E93">
            <w:pPr>
              <w:spacing w:beforeLines="60" w:before="144" w:after="60"/>
              <w:jc w:val="center"/>
              <w:rPr>
                <w:b/>
                <w:bCs/>
                <w:sz w:val="20"/>
                <w:szCs w:val="20"/>
              </w:rPr>
            </w:pPr>
            <w:r w:rsidRPr="009F62D3">
              <w:rPr>
                <w:b/>
                <w:bCs/>
                <w:sz w:val="20"/>
                <w:szCs w:val="20"/>
              </w:rPr>
              <w:t>31 August 2023</w:t>
            </w:r>
          </w:p>
        </w:tc>
        <w:tc>
          <w:tcPr>
            <w:tcW w:w="1000" w:type="pct"/>
            <w:tcBorders>
              <w:bottom w:val="single" w:sz="4" w:space="0" w:color="auto"/>
            </w:tcBorders>
            <w:shd w:val="clear" w:color="auto" w:fill="BFBFBF" w:themeFill="background1" w:themeFillShade="BF"/>
          </w:tcPr>
          <w:p w14:paraId="57C14D2B" w14:textId="26524494" w:rsidR="00404A73" w:rsidRPr="009F62D3" w:rsidRDefault="00404A73" w:rsidP="00823E93">
            <w:pPr>
              <w:spacing w:beforeLines="60" w:before="144" w:after="60"/>
              <w:jc w:val="center"/>
              <w:rPr>
                <w:b/>
                <w:bCs/>
                <w:sz w:val="20"/>
                <w:szCs w:val="20"/>
              </w:rPr>
            </w:pPr>
            <w:r w:rsidRPr="009F62D3">
              <w:rPr>
                <w:b/>
                <w:bCs/>
                <w:sz w:val="20"/>
                <w:szCs w:val="20"/>
              </w:rPr>
              <w:t xml:space="preserve">1 September 2023- </w:t>
            </w:r>
          </w:p>
          <w:p w14:paraId="1DB727D9" w14:textId="37AA86E1" w:rsidR="00404A73" w:rsidRPr="009F62D3" w:rsidRDefault="00404A73" w:rsidP="00823E93">
            <w:pPr>
              <w:spacing w:beforeLines="60" w:before="144" w:after="60"/>
              <w:jc w:val="center"/>
              <w:rPr>
                <w:b/>
                <w:bCs/>
                <w:sz w:val="20"/>
                <w:szCs w:val="20"/>
              </w:rPr>
            </w:pPr>
            <w:r w:rsidRPr="009F62D3">
              <w:rPr>
                <w:b/>
                <w:bCs/>
                <w:sz w:val="20"/>
                <w:szCs w:val="20"/>
              </w:rPr>
              <w:t>31 August 2024</w:t>
            </w:r>
          </w:p>
        </w:tc>
      </w:tr>
      <w:tr w:rsidR="00404A73" w:rsidRPr="009F62D3" w14:paraId="225C2121" w14:textId="4EA9E472" w:rsidTr="006256B5">
        <w:tc>
          <w:tcPr>
            <w:tcW w:w="1000" w:type="pct"/>
            <w:vMerge w:val="restart"/>
          </w:tcPr>
          <w:p w14:paraId="7A9FD6E2" w14:textId="4833A7E1" w:rsidR="00404A73" w:rsidRPr="009F62D3" w:rsidRDefault="00404A73" w:rsidP="00823E93">
            <w:pPr>
              <w:spacing w:beforeLines="60" w:before="144" w:after="60"/>
              <w:rPr>
                <w:sz w:val="20"/>
                <w:szCs w:val="20"/>
              </w:rPr>
            </w:pPr>
            <w:r w:rsidRPr="009F62D3">
              <w:rPr>
                <w:sz w:val="20"/>
                <w:szCs w:val="20"/>
              </w:rPr>
              <w:t xml:space="preserve">Patients </w:t>
            </w:r>
          </w:p>
        </w:tc>
        <w:tc>
          <w:tcPr>
            <w:tcW w:w="1000" w:type="pct"/>
          </w:tcPr>
          <w:p w14:paraId="60EABC1A" w14:textId="54881EDF" w:rsidR="00404A73" w:rsidRPr="009F62D3" w:rsidRDefault="00404A73" w:rsidP="00823E93">
            <w:pPr>
              <w:spacing w:beforeLines="60" w:before="144" w:after="60"/>
              <w:jc w:val="center"/>
              <w:rPr>
                <w:sz w:val="20"/>
                <w:szCs w:val="20"/>
              </w:rPr>
            </w:pPr>
            <w:r w:rsidRPr="009F62D3">
              <w:rPr>
                <w:sz w:val="20"/>
                <w:szCs w:val="20"/>
              </w:rPr>
              <w:t xml:space="preserve">Predicted </w:t>
            </w:r>
          </w:p>
        </w:tc>
        <w:tc>
          <w:tcPr>
            <w:tcW w:w="1000" w:type="pct"/>
            <w:shd w:val="solid" w:color="000000" w:fill="000000"/>
          </w:tcPr>
          <w:p w14:paraId="61039209" w14:textId="5840869E"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c>
          <w:tcPr>
            <w:tcW w:w="1000" w:type="pct"/>
            <w:shd w:val="solid" w:color="000000" w:fill="000000"/>
          </w:tcPr>
          <w:p w14:paraId="61065FE0" w14:textId="7B0DA160"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c>
          <w:tcPr>
            <w:tcW w:w="1000" w:type="pct"/>
            <w:shd w:val="solid" w:color="000000" w:fill="000000"/>
          </w:tcPr>
          <w:p w14:paraId="66ADCF2A" w14:textId="14D58C1B"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r>
      <w:tr w:rsidR="00404A73" w:rsidRPr="009F62D3" w14:paraId="52B84106" w14:textId="1F15A41D" w:rsidTr="006256B5">
        <w:tc>
          <w:tcPr>
            <w:tcW w:w="1000" w:type="pct"/>
            <w:vMerge/>
          </w:tcPr>
          <w:p w14:paraId="436FAB3B" w14:textId="77777777" w:rsidR="00404A73" w:rsidRPr="009F62D3" w:rsidRDefault="00404A73" w:rsidP="00823E93">
            <w:pPr>
              <w:spacing w:beforeLines="60" w:before="144" w:after="60"/>
              <w:rPr>
                <w:sz w:val="20"/>
                <w:szCs w:val="20"/>
              </w:rPr>
            </w:pPr>
          </w:p>
        </w:tc>
        <w:tc>
          <w:tcPr>
            <w:tcW w:w="1000" w:type="pct"/>
          </w:tcPr>
          <w:p w14:paraId="3326C5BE" w14:textId="03E4648B" w:rsidR="00404A73" w:rsidRPr="009F62D3" w:rsidRDefault="00404A73" w:rsidP="00823E93">
            <w:pPr>
              <w:spacing w:beforeLines="60" w:before="144" w:after="60"/>
              <w:jc w:val="center"/>
              <w:rPr>
                <w:sz w:val="20"/>
                <w:szCs w:val="20"/>
              </w:rPr>
            </w:pPr>
            <w:r w:rsidRPr="009F62D3">
              <w:rPr>
                <w:sz w:val="20"/>
                <w:szCs w:val="20"/>
              </w:rPr>
              <w:t xml:space="preserve">Actual </w:t>
            </w:r>
          </w:p>
        </w:tc>
        <w:tc>
          <w:tcPr>
            <w:tcW w:w="1000" w:type="pct"/>
            <w:tcBorders>
              <w:bottom w:val="single" w:sz="4" w:space="0" w:color="auto"/>
            </w:tcBorders>
          </w:tcPr>
          <w:p w14:paraId="2E08D1C6" w14:textId="6AA31C8A" w:rsidR="00404A73" w:rsidRPr="009F62D3" w:rsidRDefault="00404A73" w:rsidP="00823E93">
            <w:pPr>
              <w:spacing w:beforeLines="60" w:before="144" w:after="60"/>
              <w:jc w:val="center"/>
              <w:rPr>
                <w:sz w:val="20"/>
                <w:szCs w:val="20"/>
              </w:rPr>
            </w:pPr>
            <w:r w:rsidRPr="009F62D3">
              <w:rPr>
                <w:sz w:val="20"/>
                <w:szCs w:val="20"/>
              </w:rPr>
              <w:t>83</w:t>
            </w:r>
          </w:p>
        </w:tc>
        <w:tc>
          <w:tcPr>
            <w:tcW w:w="1000" w:type="pct"/>
            <w:tcBorders>
              <w:bottom w:val="single" w:sz="4" w:space="0" w:color="auto"/>
            </w:tcBorders>
          </w:tcPr>
          <w:p w14:paraId="23645C84" w14:textId="254CF175" w:rsidR="00404A73" w:rsidRPr="009F62D3" w:rsidRDefault="00404A73" w:rsidP="00823E93">
            <w:pPr>
              <w:spacing w:beforeLines="60" w:before="144" w:after="60"/>
              <w:jc w:val="center"/>
              <w:rPr>
                <w:sz w:val="20"/>
                <w:szCs w:val="20"/>
              </w:rPr>
            </w:pPr>
            <w:r w:rsidRPr="009F62D3">
              <w:rPr>
                <w:sz w:val="20"/>
                <w:szCs w:val="20"/>
              </w:rPr>
              <w:t>117</w:t>
            </w:r>
          </w:p>
        </w:tc>
        <w:tc>
          <w:tcPr>
            <w:tcW w:w="1000" w:type="pct"/>
            <w:tcBorders>
              <w:bottom w:val="single" w:sz="4" w:space="0" w:color="auto"/>
            </w:tcBorders>
          </w:tcPr>
          <w:p w14:paraId="1C45A170" w14:textId="58D94703" w:rsidR="00404A73" w:rsidRPr="009F62D3" w:rsidRDefault="002011F0" w:rsidP="00823E93">
            <w:pPr>
              <w:spacing w:beforeLines="60" w:before="144" w:after="60"/>
              <w:jc w:val="center"/>
              <w:rPr>
                <w:sz w:val="20"/>
                <w:szCs w:val="20"/>
              </w:rPr>
            </w:pPr>
            <w:r w:rsidRPr="009F62D3">
              <w:rPr>
                <w:sz w:val="20"/>
                <w:szCs w:val="20"/>
              </w:rPr>
              <w:t>100</w:t>
            </w:r>
          </w:p>
        </w:tc>
      </w:tr>
      <w:tr w:rsidR="00404A73" w:rsidRPr="009F62D3" w14:paraId="1CA65070" w14:textId="0DAEA784" w:rsidTr="006256B5">
        <w:tc>
          <w:tcPr>
            <w:tcW w:w="1000" w:type="pct"/>
            <w:vMerge/>
          </w:tcPr>
          <w:p w14:paraId="01A3553B" w14:textId="77777777" w:rsidR="00404A73" w:rsidRPr="009F62D3" w:rsidRDefault="00404A73" w:rsidP="00823E93">
            <w:pPr>
              <w:spacing w:beforeLines="60" w:before="144" w:after="60"/>
              <w:rPr>
                <w:sz w:val="20"/>
                <w:szCs w:val="20"/>
              </w:rPr>
            </w:pPr>
          </w:p>
        </w:tc>
        <w:tc>
          <w:tcPr>
            <w:tcW w:w="1000" w:type="pct"/>
          </w:tcPr>
          <w:p w14:paraId="5D7E00FB" w14:textId="65FB7934" w:rsidR="00404A73" w:rsidRPr="009F62D3" w:rsidRDefault="00404A73" w:rsidP="00823E93">
            <w:pPr>
              <w:spacing w:beforeLines="60" w:before="144" w:after="60"/>
              <w:jc w:val="center"/>
              <w:rPr>
                <w:sz w:val="20"/>
                <w:szCs w:val="20"/>
              </w:rPr>
            </w:pPr>
            <w:r w:rsidRPr="009F62D3">
              <w:rPr>
                <w:sz w:val="20"/>
                <w:szCs w:val="20"/>
              </w:rPr>
              <w:t xml:space="preserve">Difference </w:t>
            </w:r>
          </w:p>
        </w:tc>
        <w:tc>
          <w:tcPr>
            <w:tcW w:w="1000" w:type="pct"/>
            <w:tcBorders>
              <w:bottom w:val="single" w:sz="4" w:space="0" w:color="auto"/>
            </w:tcBorders>
            <w:shd w:val="solid" w:color="000000" w:fill="000000"/>
          </w:tcPr>
          <w:p w14:paraId="720967EF" w14:textId="296BF8BB"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c>
          <w:tcPr>
            <w:tcW w:w="1000" w:type="pct"/>
            <w:tcBorders>
              <w:bottom w:val="single" w:sz="4" w:space="0" w:color="auto"/>
            </w:tcBorders>
            <w:shd w:val="solid" w:color="000000" w:fill="000000"/>
          </w:tcPr>
          <w:p w14:paraId="6DE5422B" w14:textId="1F74DFCF"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c>
          <w:tcPr>
            <w:tcW w:w="1000" w:type="pct"/>
            <w:tcBorders>
              <w:bottom w:val="single" w:sz="4" w:space="0" w:color="auto"/>
            </w:tcBorders>
            <w:shd w:val="solid" w:color="000000" w:fill="000000"/>
          </w:tcPr>
          <w:p w14:paraId="005D222A" w14:textId="1870AE83"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r>
      <w:tr w:rsidR="00404A73" w:rsidRPr="009F62D3" w14:paraId="16C04186" w14:textId="36B11E8F" w:rsidTr="006256B5">
        <w:tc>
          <w:tcPr>
            <w:tcW w:w="1000" w:type="pct"/>
            <w:vMerge w:val="restart"/>
          </w:tcPr>
          <w:p w14:paraId="33688D4A" w14:textId="1D95DF8A" w:rsidR="00404A73" w:rsidRPr="009F62D3" w:rsidRDefault="00404A73" w:rsidP="00823E93">
            <w:pPr>
              <w:spacing w:beforeLines="60" w:before="144" w:after="60"/>
              <w:rPr>
                <w:sz w:val="20"/>
                <w:szCs w:val="20"/>
              </w:rPr>
            </w:pPr>
            <w:r w:rsidRPr="009F62D3">
              <w:rPr>
                <w:sz w:val="20"/>
                <w:szCs w:val="20"/>
              </w:rPr>
              <w:t xml:space="preserve">Prescriptions  </w:t>
            </w:r>
          </w:p>
        </w:tc>
        <w:tc>
          <w:tcPr>
            <w:tcW w:w="1000" w:type="pct"/>
          </w:tcPr>
          <w:p w14:paraId="08B663FE" w14:textId="10FFE542" w:rsidR="00404A73" w:rsidRPr="009F62D3" w:rsidRDefault="00404A73" w:rsidP="00823E93">
            <w:pPr>
              <w:spacing w:beforeLines="60" w:before="144" w:after="60"/>
              <w:jc w:val="center"/>
              <w:rPr>
                <w:sz w:val="20"/>
                <w:szCs w:val="20"/>
              </w:rPr>
            </w:pPr>
            <w:r w:rsidRPr="009F62D3">
              <w:rPr>
                <w:sz w:val="20"/>
                <w:szCs w:val="20"/>
              </w:rPr>
              <w:t xml:space="preserve">Predicted </w:t>
            </w:r>
          </w:p>
        </w:tc>
        <w:tc>
          <w:tcPr>
            <w:tcW w:w="1000" w:type="pct"/>
            <w:shd w:val="solid" w:color="000000" w:fill="000000"/>
          </w:tcPr>
          <w:p w14:paraId="4D0116FD" w14:textId="40A964BC"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c>
          <w:tcPr>
            <w:tcW w:w="1000" w:type="pct"/>
            <w:shd w:val="solid" w:color="000000" w:fill="000000"/>
          </w:tcPr>
          <w:p w14:paraId="3DDBD036" w14:textId="4D1677D8"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c>
          <w:tcPr>
            <w:tcW w:w="1000" w:type="pct"/>
            <w:shd w:val="solid" w:color="000000" w:fill="000000"/>
          </w:tcPr>
          <w:p w14:paraId="43EE2BB1" w14:textId="63ACCC3E"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r>
      <w:tr w:rsidR="00404A73" w:rsidRPr="009F62D3" w14:paraId="1CEEB526" w14:textId="16BF2ADF" w:rsidTr="006256B5">
        <w:tc>
          <w:tcPr>
            <w:tcW w:w="1000" w:type="pct"/>
            <w:vMerge/>
          </w:tcPr>
          <w:p w14:paraId="6A613415" w14:textId="77777777" w:rsidR="00404A73" w:rsidRPr="009F62D3" w:rsidRDefault="00404A73" w:rsidP="00823E93">
            <w:pPr>
              <w:spacing w:beforeLines="60" w:before="144" w:after="60"/>
              <w:rPr>
                <w:sz w:val="20"/>
                <w:szCs w:val="20"/>
              </w:rPr>
            </w:pPr>
          </w:p>
        </w:tc>
        <w:tc>
          <w:tcPr>
            <w:tcW w:w="1000" w:type="pct"/>
          </w:tcPr>
          <w:p w14:paraId="2E180410" w14:textId="440ACE12" w:rsidR="00404A73" w:rsidRPr="009F62D3" w:rsidRDefault="00404A73" w:rsidP="00823E93">
            <w:pPr>
              <w:spacing w:beforeLines="60" w:before="144" w:after="60"/>
              <w:jc w:val="center"/>
              <w:rPr>
                <w:sz w:val="20"/>
                <w:szCs w:val="20"/>
              </w:rPr>
            </w:pPr>
            <w:r w:rsidRPr="009F62D3">
              <w:rPr>
                <w:sz w:val="20"/>
                <w:szCs w:val="20"/>
              </w:rPr>
              <w:t xml:space="preserve">Actual </w:t>
            </w:r>
          </w:p>
        </w:tc>
        <w:tc>
          <w:tcPr>
            <w:tcW w:w="1000" w:type="pct"/>
            <w:tcBorders>
              <w:bottom w:val="single" w:sz="4" w:space="0" w:color="auto"/>
            </w:tcBorders>
          </w:tcPr>
          <w:p w14:paraId="6A60AC02" w14:textId="4F429BF4" w:rsidR="00404A73" w:rsidRPr="009F62D3" w:rsidRDefault="00404A73" w:rsidP="00823E93">
            <w:pPr>
              <w:spacing w:beforeLines="60" w:before="144" w:after="60"/>
              <w:jc w:val="center"/>
              <w:rPr>
                <w:sz w:val="20"/>
                <w:szCs w:val="20"/>
              </w:rPr>
            </w:pPr>
            <w:r w:rsidRPr="009F62D3">
              <w:rPr>
                <w:sz w:val="20"/>
                <w:szCs w:val="20"/>
              </w:rPr>
              <w:t>330</w:t>
            </w:r>
          </w:p>
        </w:tc>
        <w:tc>
          <w:tcPr>
            <w:tcW w:w="1000" w:type="pct"/>
            <w:tcBorders>
              <w:bottom w:val="single" w:sz="4" w:space="0" w:color="auto"/>
            </w:tcBorders>
          </w:tcPr>
          <w:p w14:paraId="19B3AC89" w14:textId="5211BE8D" w:rsidR="00404A73" w:rsidRPr="009F62D3" w:rsidRDefault="00404A73" w:rsidP="00823E93">
            <w:pPr>
              <w:spacing w:beforeLines="60" w:before="144" w:after="60"/>
              <w:jc w:val="center"/>
              <w:rPr>
                <w:sz w:val="20"/>
                <w:szCs w:val="20"/>
              </w:rPr>
            </w:pPr>
            <w:r w:rsidRPr="009F62D3">
              <w:rPr>
                <w:sz w:val="20"/>
                <w:szCs w:val="20"/>
              </w:rPr>
              <w:t>447</w:t>
            </w:r>
          </w:p>
        </w:tc>
        <w:tc>
          <w:tcPr>
            <w:tcW w:w="1000" w:type="pct"/>
            <w:tcBorders>
              <w:bottom w:val="single" w:sz="4" w:space="0" w:color="auto"/>
            </w:tcBorders>
          </w:tcPr>
          <w:p w14:paraId="3EDC6848" w14:textId="59D5C559" w:rsidR="00404A73" w:rsidRPr="009F62D3" w:rsidRDefault="002011F0" w:rsidP="00823E93">
            <w:pPr>
              <w:spacing w:beforeLines="60" w:before="144" w:after="60"/>
              <w:jc w:val="center"/>
              <w:rPr>
                <w:sz w:val="20"/>
                <w:szCs w:val="20"/>
              </w:rPr>
            </w:pPr>
            <w:r w:rsidRPr="009F62D3">
              <w:rPr>
                <w:sz w:val="20"/>
                <w:szCs w:val="20"/>
              </w:rPr>
              <w:t>358</w:t>
            </w:r>
          </w:p>
        </w:tc>
      </w:tr>
      <w:tr w:rsidR="00404A73" w:rsidRPr="009F62D3" w14:paraId="149CE769" w14:textId="75E45B20" w:rsidTr="006256B5">
        <w:tc>
          <w:tcPr>
            <w:tcW w:w="1000" w:type="pct"/>
            <w:vMerge/>
          </w:tcPr>
          <w:p w14:paraId="15908CF4" w14:textId="77777777" w:rsidR="00404A73" w:rsidRPr="009F62D3" w:rsidRDefault="00404A73" w:rsidP="00823E93">
            <w:pPr>
              <w:spacing w:beforeLines="60" w:before="144" w:after="60"/>
              <w:rPr>
                <w:sz w:val="20"/>
                <w:szCs w:val="20"/>
              </w:rPr>
            </w:pPr>
          </w:p>
        </w:tc>
        <w:tc>
          <w:tcPr>
            <w:tcW w:w="1000" w:type="pct"/>
          </w:tcPr>
          <w:p w14:paraId="657C1913" w14:textId="6D90721C" w:rsidR="00404A73" w:rsidRPr="009F62D3" w:rsidRDefault="00404A73" w:rsidP="00823E93">
            <w:pPr>
              <w:spacing w:beforeLines="60" w:before="144" w:after="60"/>
              <w:jc w:val="center"/>
              <w:rPr>
                <w:sz w:val="20"/>
                <w:szCs w:val="20"/>
              </w:rPr>
            </w:pPr>
            <w:r w:rsidRPr="009F62D3">
              <w:rPr>
                <w:sz w:val="20"/>
                <w:szCs w:val="20"/>
              </w:rPr>
              <w:t xml:space="preserve">Difference </w:t>
            </w:r>
          </w:p>
        </w:tc>
        <w:tc>
          <w:tcPr>
            <w:tcW w:w="1000" w:type="pct"/>
            <w:shd w:val="solid" w:color="000000" w:fill="000000"/>
          </w:tcPr>
          <w:p w14:paraId="64DAC83A" w14:textId="09432CBB"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c>
          <w:tcPr>
            <w:tcW w:w="1000" w:type="pct"/>
            <w:shd w:val="solid" w:color="000000" w:fill="000000"/>
          </w:tcPr>
          <w:p w14:paraId="384044D1" w14:textId="7E86F53A"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c>
          <w:tcPr>
            <w:tcW w:w="1000" w:type="pct"/>
            <w:shd w:val="solid" w:color="000000" w:fill="000000"/>
          </w:tcPr>
          <w:p w14:paraId="5488DE20" w14:textId="7F017B97" w:rsidR="00404A73" w:rsidRPr="006256B5" w:rsidRDefault="006256B5" w:rsidP="00823E93">
            <w:pPr>
              <w:spacing w:beforeLines="60" w:before="144" w:after="60"/>
              <w:jc w:val="center"/>
              <w:rPr>
                <w:sz w:val="20"/>
                <w:szCs w:val="20"/>
              </w:rPr>
            </w:pPr>
            <w:r w:rsidRPr="006256B5">
              <w:rPr>
                <w:color w:val="000000"/>
                <w:sz w:val="20"/>
                <w:szCs w:val="20"/>
                <w14:textFill>
                  <w14:solidFill>
                    <w14:srgbClr w14:val="000000">
                      <w14:alpha w14:val="100000"/>
                    </w14:srgbClr>
                  </w14:solidFill>
                </w14:textFill>
              </w:rPr>
              <w:t>|</w:t>
            </w:r>
          </w:p>
        </w:tc>
      </w:tr>
    </w:tbl>
    <w:p w14:paraId="1803981E" w14:textId="3A3C4997" w:rsidR="00B32AD5" w:rsidRPr="009F62D3" w:rsidRDefault="00DE06C8" w:rsidP="00B32AD5">
      <w:pPr>
        <w:rPr>
          <w:sz w:val="20"/>
          <w:szCs w:val="20"/>
        </w:rPr>
      </w:pPr>
      <w:r w:rsidRPr="009F62D3">
        <w:rPr>
          <w:sz w:val="20"/>
          <w:szCs w:val="20"/>
        </w:rPr>
        <w:t xml:space="preserve">Note: </w:t>
      </w:r>
      <w:r w:rsidR="005C725D" w:rsidRPr="009F62D3">
        <w:rPr>
          <w:sz w:val="20"/>
          <w:szCs w:val="20"/>
        </w:rPr>
        <w:t xml:space="preserve">Year 3 only includes </w:t>
      </w:r>
      <w:r w:rsidR="00033864" w:rsidRPr="009F62D3">
        <w:rPr>
          <w:sz w:val="20"/>
          <w:szCs w:val="20"/>
        </w:rPr>
        <w:t>data up to</w:t>
      </w:r>
      <w:r w:rsidR="001913A0" w:rsidRPr="009F62D3">
        <w:rPr>
          <w:sz w:val="20"/>
          <w:szCs w:val="20"/>
        </w:rPr>
        <w:t xml:space="preserve"> and including</w:t>
      </w:r>
      <w:r w:rsidR="00033864" w:rsidRPr="009F62D3">
        <w:rPr>
          <w:sz w:val="20"/>
          <w:szCs w:val="20"/>
        </w:rPr>
        <w:t xml:space="preserve"> </w:t>
      </w:r>
      <w:r w:rsidR="00317772" w:rsidRPr="009F62D3">
        <w:rPr>
          <w:sz w:val="20"/>
          <w:szCs w:val="20"/>
        </w:rPr>
        <w:t>March</w:t>
      </w:r>
      <w:r w:rsidR="00033864" w:rsidRPr="009F62D3">
        <w:rPr>
          <w:sz w:val="20"/>
          <w:szCs w:val="20"/>
        </w:rPr>
        <w:t xml:space="preserve"> 2024 and is not representative of a full listing year. </w:t>
      </w:r>
    </w:p>
    <w:p w14:paraId="27224572" w14:textId="39187D68" w:rsidR="00A45911" w:rsidRPr="009F62D3" w:rsidRDefault="00363693" w:rsidP="00B32AD5">
      <w:r w:rsidRPr="009F62D3">
        <w:t>In the first two years of PBS listing, u</w:t>
      </w:r>
      <w:r w:rsidR="00B90442" w:rsidRPr="009F62D3">
        <w:t xml:space="preserve">tilisation of brentuximab vedotin </w:t>
      </w:r>
      <w:r w:rsidR="00281D79" w:rsidRPr="009F62D3">
        <w:t xml:space="preserve">for the treatment for </w:t>
      </w:r>
      <w:r w:rsidR="00685185" w:rsidRPr="009F62D3">
        <w:t xml:space="preserve">CD30 positive </w:t>
      </w:r>
      <w:r w:rsidR="00281D79" w:rsidRPr="009F62D3">
        <w:t xml:space="preserve">PTCL </w:t>
      </w:r>
      <w:r w:rsidR="00B90442" w:rsidRPr="009F62D3">
        <w:t xml:space="preserve">was different from estimated. </w:t>
      </w:r>
      <w:r w:rsidR="00F37ED2" w:rsidRPr="009F62D3">
        <w:t xml:space="preserve">There was a </w:t>
      </w:r>
      <w:r w:rsidR="00984C7F" w:rsidRPr="009F62D3">
        <w:t>greater</w:t>
      </w:r>
      <w:r w:rsidR="002B66CB" w:rsidRPr="009F62D3">
        <w:t xml:space="preserve"> percentage</w:t>
      </w:r>
      <w:r w:rsidR="00F37ED2" w:rsidRPr="009F62D3">
        <w:t xml:space="preserve"> difference </w:t>
      </w:r>
      <w:r w:rsidRPr="009F62D3">
        <w:t xml:space="preserve">observed in </w:t>
      </w:r>
      <w:r w:rsidR="00F37ED2" w:rsidRPr="009F62D3">
        <w:t>between the predicted and</w:t>
      </w:r>
      <w:r w:rsidR="00984C7F" w:rsidRPr="009F62D3">
        <w:t xml:space="preserve"> actual</w:t>
      </w:r>
      <w:r w:rsidRPr="009F62D3">
        <w:t xml:space="preserve"> patient numbers compared to the predicted and actual prescription volume. </w:t>
      </w:r>
      <w:r w:rsidR="00984C7F" w:rsidRPr="009F62D3">
        <w:t xml:space="preserve"> </w:t>
      </w:r>
    </w:p>
    <w:p w14:paraId="2D2BA9B4" w14:textId="49F6BD6A" w:rsidR="009D38C2" w:rsidRPr="009F62D3" w:rsidRDefault="00CB1F4D" w:rsidP="00B32AD5">
      <w:r w:rsidRPr="009F62D3">
        <w:t xml:space="preserve">In the first year of listing, the number of patients </w:t>
      </w:r>
      <w:r w:rsidR="009C394B" w:rsidRPr="009F62D3">
        <w:t xml:space="preserve">treated with brentuximab vedotin for PTCL was </w:t>
      </w:r>
      <w:r w:rsidR="006256B5" w:rsidRPr="006256B5">
        <w:rPr>
          <w:color w:val="000000"/>
          <w:spacing w:val="1"/>
          <w:w w:val="59"/>
          <w:shd w:val="solid" w:color="000000" w:fill="000000"/>
          <w:fitText w:val="1325" w:id="-892660992"/>
          <w14:textFill>
            <w14:solidFill>
              <w14:srgbClr w14:val="000000">
                <w14:alpha w14:val="100000"/>
              </w14:srgbClr>
            </w14:solidFill>
          </w14:textFill>
        </w:rPr>
        <w:t>|||||||||||||||||||</w:t>
      </w:r>
      <w:r w:rsidR="006256B5" w:rsidRPr="006256B5">
        <w:rPr>
          <w:color w:val="000000"/>
          <w:spacing w:val="2"/>
          <w:w w:val="59"/>
          <w:shd w:val="solid" w:color="000000" w:fill="000000"/>
          <w:fitText w:val="1325" w:id="-892660992"/>
          <w14:textFill>
            <w14:solidFill>
              <w14:srgbClr w14:val="000000">
                <w14:alpha w14:val="100000"/>
              </w14:srgbClr>
            </w14:solidFill>
          </w14:textFill>
        </w:rPr>
        <w:t>|</w:t>
      </w:r>
      <w:r w:rsidR="00496196" w:rsidRPr="009F62D3">
        <w:t xml:space="preserve"> </w:t>
      </w:r>
      <w:r w:rsidR="009C394B" w:rsidRPr="009F62D3">
        <w:t>than estimated</w:t>
      </w:r>
      <w:r w:rsidR="00496196" w:rsidRPr="009F62D3">
        <w:t xml:space="preserve">, whereas the number of prescriptions supplied was </w:t>
      </w:r>
      <w:r w:rsidR="006256B5" w:rsidRPr="006256B5">
        <w:rPr>
          <w:color w:val="000000"/>
          <w:w w:val="64"/>
          <w:shd w:val="solid" w:color="000000" w:fill="000000"/>
          <w:fitText w:val="999" w:id="-892660991"/>
          <w14:textFill>
            <w14:solidFill>
              <w14:srgbClr w14:val="000000">
                <w14:alpha w14:val="100000"/>
              </w14:srgbClr>
            </w14:solidFill>
          </w14:textFill>
        </w:rPr>
        <w:t>||||||||||||||</w:t>
      </w:r>
      <w:r w:rsidR="006256B5">
        <w:t xml:space="preserve"> </w:t>
      </w:r>
      <w:r w:rsidR="00496196" w:rsidRPr="009F62D3">
        <w:t xml:space="preserve">than estimated. In the second year of listing, the number of patients </w:t>
      </w:r>
      <w:r w:rsidR="006256B5" w:rsidRPr="006256B5">
        <w:rPr>
          <w:color w:val="000000"/>
          <w:w w:val="69"/>
          <w:shd w:val="solid" w:color="000000" w:fill="000000"/>
          <w:fitText w:val="614" w:id="-892660990"/>
          <w14:textFill>
            <w14:solidFill>
              <w14:srgbClr w14:val="000000">
                <w14:alpha w14:val="100000"/>
              </w14:srgbClr>
            </w14:solidFill>
          </w14:textFill>
        </w:rPr>
        <w:t>||||||||</w:t>
      </w:r>
      <w:r w:rsidR="006256B5">
        <w:rPr>
          <w:highlight w:val="lightGray"/>
        </w:rPr>
        <w:t xml:space="preserve"> </w:t>
      </w:r>
      <w:r w:rsidR="00496196" w:rsidRPr="009F62D3">
        <w:t xml:space="preserve">treated with brentuximab vedotin and prescriptions </w:t>
      </w:r>
      <w:r w:rsidR="006256B5" w:rsidRPr="006256B5">
        <w:rPr>
          <w:color w:val="000000"/>
          <w:w w:val="69"/>
          <w:shd w:val="solid" w:color="000000" w:fill="000000"/>
          <w:fitText w:val="614" w:id="-892660989"/>
          <w14:textFill>
            <w14:solidFill>
              <w14:srgbClr w14:val="000000">
                <w14:alpha w14:val="100000"/>
              </w14:srgbClr>
            </w14:solidFill>
          </w14:textFill>
        </w:rPr>
        <w:t>||||||||</w:t>
      </w:r>
      <w:r w:rsidR="00496196" w:rsidRPr="009F62D3">
        <w:t xml:space="preserve"> supplied were </w:t>
      </w:r>
      <w:r w:rsidR="006256B5" w:rsidRPr="006256B5">
        <w:rPr>
          <w:color w:val="000000"/>
          <w:w w:val="63"/>
          <w:shd w:val="solid" w:color="000000" w:fill="000000"/>
          <w:fitText w:val="1114" w:id="-892660988"/>
          <w14:textFill>
            <w14:solidFill>
              <w14:srgbClr w14:val="000000">
                <w14:alpha w14:val="100000"/>
              </w14:srgbClr>
            </w14:solidFill>
          </w14:textFill>
        </w:rPr>
        <w:t>||||||||||||||||</w:t>
      </w:r>
      <w:r w:rsidR="00496196" w:rsidRPr="009F62D3">
        <w:t xml:space="preserve"> than estimated.</w:t>
      </w:r>
      <w:r w:rsidR="00496196">
        <w:t xml:space="preserve"> </w:t>
      </w:r>
    </w:p>
    <w:p w14:paraId="2E3EFFD3" w14:textId="77777777" w:rsidR="00BD7972" w:rsidRDefault="00BD7972" w:rsidP="009D38C2"/>
    <w:p w14:paraId="44B9D82D" w14:textId="794DEFB6" w:rsidR="009D38C2" w:rsidRPr="00BC0DDB" w:rsidRDefault="003C3FB3" w:rsidP="003C3FB3">
      <w:pPr>
        <w:jc w:val="center"/>
      </w:pPr>
      <w:r>
        <w:rPr>
          <w:noProof/>
        </w:rPr>
        <w:drawing>
          <wp:inline distT="0" distB="0" distL="0" distR="0" wp14:anchorId="3DF22323" wp14:editId="04C9290A">
            <wp:extent cx="4546600" cy="2705100"/>
            <wp:effectExtent l="0" t="0" r="6350" b="0"/>
            <wp:docPr id="3" name="Chart 3">
              <a:extLst xmlns:a="http://schemas.openxmlformats.org/drawingml/2006/main">
                <a:ext uri="{FF2B5EF4-FFF2-40B4-BE49-F238E27FC236}">
                  <a16:creationId xmlns:a16="http://schemas.microsoft.com/office/drawing/2014/main" id="{31FB4ED9-2F72-9C93-27CA-23BE20F788C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56B341" w14:textId="70DC83E8" w:rsidR="009D38C2" w:rsidRDefault="009D38C2" w:rsidP="009D38C2">
      <w:pPr>
        <w:pStyle w:val="Tabletitle"/>
      </w:pPr>
      <w:r>
        <w:t xml:space="preserve">Figure </w:t>
      </w:r>
      <w:r w:rsidR="0069602D">
        <w:t>6</w:t>
      </w:r>
      <w:r>
        <w:t>: Age</w:t>
      </w:r>
      <w:r w:rsidR="003C3FB3">
        <w:t xml:space="preserve"> and gender</w:t>
      </w:r>
      <w:r>
        <w:t xml:space="preserve"> distribution of initiating patients treated with brentuximab vedotin for</w:t>
      </w:r>
      <w:r w:rsidR="003F0655">
        <w:t xml:space="preserve"> CD30 positive</w:t>
      </w:r>
      <w:r>
        <w:t xml:space="preserve"> PTCL since PBS listing</w:t>
      </w:r>
    </w:p>
    <w:p w14:paraId="561D9397" w14:textId="77777777" w:rsidR="004F1CCA" w:rsidRDefault="004F1CCA" w:rsidP="00C831CA"/>
    <w:p w14:paraId="0EA647E0" w14:textId="1EBAC89D" w:rsidR="00B9677C" w:rsidRDefault="00554ED6" w:rsidP="00C831CA">
      <w:r>
        <w:t xml:space="preserve">Figure </w:t>
      </w:r>
      <w:r w:rsidR="00AF6269">
        <w:t>6</w:t>
      </w:r>
      <w:r>
        <w:t xml:space="preserve"> shows the age </w:t>
      </w:r>
      <w:r w:rsidR="003F0655">
        <w:t xml:space="preserve">and gender distribution </w:t>
      </w:r>
      <w:r w:rsidR="001E6C80">
        <w:t xml:space="preserve">of </w:t>
      </w:r>
      <w:r w:rsidR="00764782">
        <w:t xml:space="preserve">initiating patients treated with brentuximab vedotin for CD30 positive PTCL since PBS listing. Overall, </w:t>
      </w:r>
      <w:r w:rsidR="00574515">
        <w:t xml:space="preserve">the median age of patients initiating treatment was 62 years. Across all age groups, </w:t>
      </w:r>
      <w:r w:rsidR="009A7E0E">
        <w:t xml:space="preserve">a greater proportion of males initiated treatment compared to females. The median age for males was 61 years, whereas for females this was 66 years. </w:t>
      </w:r>
    </w:p>
    <w:p w14:paraId="562AA5EC" w14:textId="77777777" w:rsidR="007502FB" w:rsidRPr="007502FB" w:rsidRDefault="007502FB" w:rsidP="007502FB"/>
    <w:p w14:paraId="412DE26F" w14:textId="6F0ED990" w:rsidR="00B60C74" w:rsidRDefault="006426BB" w:rsidP="006426BB">
      <w:pPr>
        <w:pStyle w:val="Tabletitle"/>
      </w:pPr>
      <w:r w:rsidRPr="006440DD">
        <w:t xml:space="preserve">Table </w:t>
      </w:r>
      <w:r w:rsidR="00BD7972">
        <w:t>12</w:t>
      </w:r>
      <w:r>
        <w:t>: Estimated length of treatment from Kaplan Meier analysis in patients who initiated brentuximab vedotin treatment</w:t>
      </w:r>
      <w:r w:rsidR="00E231E1">
        <w:t xml:space="preserve"> for CD30 positive PTCL</w:t>
      </w:r>
      <w:r>
        <w:t xml:space="preserve">, with and without accounting for breaks </w:t>
      </w:r>
    </w:p>
    <w:tbl>
      <w:tblPr>
        <w:tblStyle w:val="TableGrid"/>
        <w:tblW w:w="0" w:type="auto"/>
        <w:tblLook w:val="04A0" w:firstRow="1" w:lastRow="0" w:firstColumn="1" w:lastColumn="0" w:noHBand="0" w:noVBand="1"/>
      </w:tblPr>
      <w:tblGrid>
        <w:gridCol w:w="1130"/>
        <w:gridCol w:w="1117"/>
        <w:gridCol w:w="1117"/>
        <w:gridCol w:w="1116"/>
        <w:gridCol w:w="1116"/>
        <w:gridCol w:w="1117"/>
        <w:gridCol w:w="1118"/>
        <w:gridCol w:w="1116"/>
      </w:tblGrid>
      <w:tr w:rsidR="007502FB" w:rsidRPr="006426BB" w14:paraId="7E707F69" w14:textId="77777777" w:rsidTr="00F1260A">
        <w:tc>
          <w:tcPr>
            <w:tcW w:w="1130" w:type="dxa"/>
            <w:vMerge w:val="restart"/>
            <w:shd w:val="clear" w:color="auto" w:fill="BFBFBF" w:themeFill="background1" w:themeFillShade="BF"/>
          </w:tcPr>
          <w:p w14:paraId="26528FB3" w14:textId="77777777" w:rsidR="007502FB" w:rsidRPr="00F1260A" w:rsidRDefault="007502FB" w:rsidP="00823E93">
            <w:pPr>
              <w:spacing w:before="60" w:after="60"/>
              <w:rPr>
                <w:b/>
                <w:bCs/>
                <w:sz w:val="20"/>
                <w:szCs w:val="20"/>
              </w:rPr>
            </w:pPr>
          </w:p>
        </w:tc>
        <w:tc>
          <w:tcPr>
            <w:tcW w:w="1117" w:type="dxa"/>
            <w:vMerge w:val="restart"/>
            <w:shd w:val="clear" w:color="auto" w:fill="BFBFBF" w:themeFill="background1" w:themeFillShade="BF"/>
          </w:tcPr>
          <w:p w14:paraId="7DDE3659" w14:textId="4D8FE0D1" w:rsidR="007502FB" w:rsidRPr="00F1260A" w:rsidRDefault="007502FB" w:rsidP="00823E93">
            <w:pPr>
              <w:spacing w:before="60" w:after="60"/>
              <w:jc w:val="center"/>
              <w:rPr>
                <w:b/>
                <w:bCs/>
                <w:sz w:val="20"/>
                <w:szCs w:val="20"/>
              </w:rPr>
            </w:pPr>
            <w:r w:rsidRPr="00F1260A">
              <w:rPr>
                <w:b/>
                <w:bCs/>
                <w:sz w:val="20"/>
                <w:szCs w:val="20"/>
              </w:rPr>
              <w:t>Number of patients</w:t>
            </w:r>
          </w:p>
        </w:tc>
        <w:tc>
          <w:tcPr>
            <w:tcW w:w="1117" w:type="dxa"/>
            <w:vMerge w:val="restart"/>
            <w:shd w:val="clear" w:color="auto" w:fill="BFBFBF" w:themeFill="background1" w:themeFillShade="BF"/>
          </w:tcPr>
          <w:p w14:paraId="50D7FF40" w14:textId="23B07F1B" w:rsidR="007502FB" w:rsidRPr="00F1260A" w:rsidRDefault="007502FB" w:rsidP="00823E93">
            <w:pPr>
              <w:spacing w:before="60" w:after="60"/>
              <w:jc w:val="center"/>
              <w:rPr>
                <w:b/>
                <w:bCs/>
                <w:sz w:val="20"/>
                <w:szCs w:val="20"/>
              </w:rPr>
            </w:pPr>
            <w:r w:rsidRPr="00F1260A">
              <w:rPr>
                <w:b/>
                <w:bCs/>
                <w:sz w:val="20"/>
                <w:szCs w:val="20"/>
              </w:rPr>
              <w:t>Censored</w:t>
            </w:r>
          </w:p>
        </w:tc>
        <w:tc>
          <w:tcPr>
            <w:tcW w:w="1116" w:type="dxa"/>
            <w:vMerge w:val="restart"/>
            <w:shd w:val="clear" w:color="auto" w:fill="BFBFBF" w:themeFill="background1" w:themeFillShade="BF"/>
          </w:tcPr>
          <w:p w14:paraId="09680B1A" w14:textId="1D6961FB" w:rsidR="007502FB" w:rsidRPr="00F1260A" w:rsidRDefault="007502FB" w:rsidP="00823E93">
            <w:pPr>
              <w:spacing w:before="60" w:after="60"/>
              <w:jc w:val="center"/>
              <w:rPr>
                <w:b/>
                <w:bCs/>
                <w:sz w:val="20"/>
                <w:szCs w:val="20"/>
              </w:rPr>
            </w:pPr>
            <w:r w:rsidRPr="00F1260A">
              <w:rPr>
                <w:b/>
                <w:bCs/>
                <w:sz w:val="20"/>
                <w:szCs w:val="20"/>
              </w:rPr>
              <w:t>Median (weeks)</w:t>
            </w:r>
          </w:p>
        </w:tc>
        <w:tc>
          <w:tcPr>
            <w:tcW w:w="1116" w:type="dxa"/>
            <w:vMerge w:val="restart"/>
            <w:shd w:val="clear" w:color="auto" w:fill="BFBFBF" w:themeFill="background1" w:themeFillShade="BF"/>
          </w:tcPr>
          <w:p w14:paraId="777E978B" w14:textId="0162163F" w:rsidR="007502FB" w:rsidRPr="00F1260A" w:rsidRDefault="007502FB" w:rsidP="00823E93">
            <w:pPr>
              <w:spacing w:before="60" w:after="60"/>
              <w:jc w:val="center"/>
              <w:rPr>
                <w:b/>
                <w:bCs/>
                <w:sz w:val="20"/>
                <w:szCs w:val="20"/>
              </w:rPr>
            </w:pPr>
            <w:r w:rsidRPr="00F1260A">
              <w:rPr>
                <w:b/>
                <w:bCs/>
                <w:sz w:val="20"/>
                <w:szCs w:val="20"/>
              </w:rPr>
              <w:t>Mean (weeks)</w:t>
            </w:r>
          </w:p>
        </w:tc>
        <w:tc>
          <w:tcPr>
            <w:tcW w:w="1117" w:type="dxa"/>
            <w:vMerge w:val="restart"/>
            <w:shd w:val="clear" w:color="auto" w:fill="BFBFBF" w:themeFill="background1" w:themeFillShade="BF"/>
          </w:tcPr>
          <w:p w14:paraId="4E88AB0D" w14:textId="3368B088" w:rsidR="007502FB" w:rsidRPr="00F1260A" w:rsidRDefault="007502FB" w:rsidP="00823E93">
            <w:pPr>
              <w:spacing w:before="60" w:after="60"/>
              <w:jc w:val="center"/>
              <w:rPr>
                <w:b/>
                <w:bCs/>
                <w:sz w:val="20"/>
                <w:szCs w:val="20"/>
              </w:rPr>
            </w:pPr>
            <w:r w:rsidRPr="00F1260A">
              <w:rPr>
                <w:b/>
                <w:bCs/>
                <w:sz w:val="20"/>
                <w:szCs w:val="20"/>
              </w:rPr>
              <w:t>Standard error</w:t>
            </w:r>
          </w:p>
        </w:tc>
        <w:tc>
          <w:tcPr>
            <w:tcW w:w="2234" w:type="dxa"/>
            <w:gridSpan w:val="2"/>
            <w:shd w:val="clear" w:color="auto" w:fill="BFBFBF" w:themeFill="background1" w:themeFillShade="BF"/>
          </w:tcPr>
          <w:p w14:paraId="495FE211" w14:textId="2AFC242A" w:rsidR="007502FB" w:rsidRPr="00F1260A" w:rsidRDefault="007502FB" w:rsidP="00823E93">
            <w:pPr>
              <w:spacing w:before="60" w:after="60"/>
              <w:jc w:val="center"/>
              <w:rPr>
                <w:b/>
                <w:bCs/>
                <w:sz w:val="20"/>
                <w:szCs w:val="20"/>
              </w:rPr>
            </w:pPr>
            <w:r w:rsidRPr="00F1260A">
              <w:rPr>
                <w:b/>
                <w:bCs/>
                <w:sz w:val="20"/>
                <w:szCs w:val="20"/>
              </w:rPr>
              <w:t>95% confidence interval (weeks)</w:t>
            </w:r>
          </w:p>
        </w:tc>
      </w:tr>
      <w:tr w:rsidR="007502FB" w:rsidRPr="006426BB" w14:paraId="45AD2770" w14:textId="77777777" w:rsidTr="006256B5">
        <w:tc>
          <w:tcPr>
            <w:tcW w:w="1130" w:type="dxa"/>
            <w:vMerge/>
            <w:shd w:val="clear" w:color="auto" w:fill="BFBFBF" w:themeFill="background1" w:themeFillShade="BF"/>
          </w:tcPr>
          <w:p w14:paraId="61B530BD" w14:textId="77777777" w:rsidR="007502FB" w:rsidRPr="00F1260A" w:rsidRDefault="007502FB" w:rsidP="00823E93">
            <w:pPr>
              <w:spacing w:before="60" w:after="60"/>
              <w:rPr>
                <w:b/>
                <w:bCs/>
                <w:sz w:val="20"/>
                <w:szCs w:val="20"/>
              </w:rPr>
            </w:pPr>
          </w:p>
        </w:tc>
        <w:tc>
          <w:tcPr>
            <w:tcW w:w="1117" w:type="dxa"/>
            <w:vMerge/>
            <w:shd w:val="clear" w:color="auto" w:fill="BFBFBF" w:themeFill="background1" w:themeFillShade="BF"/>
          </w:tcPr>
          <w:p w14:paraId="7F1BBC0A" w14:textId="77777777" w:rsidR="007502FB" w:rsidRPr="00F1260A" w:rsidRDefault="007502FB" w:rsidP="00823E93">
            <w:pPr>
              <w:spacing w:before="60" w:after="60"/>
              <w:jc w:val="center"/>
              <w:rPr>
                <w:b/>
                <w:bCs/>
                <w:sz w:val="20"/>
                <w:szCs w:val="20"/>
              </w:rPr>
            </w:pPr>
          </w:p>
        </w:tc>
        <w:tc>
          <w:tcPr>
            <w:tcW w:w="1117" w:type="dxa"/>
            <w:vMerge/>
            <w:tcBorders>
              <w:bottom w:val="single" w:sz="4" w:space="0" w:color="auto"/>
            </w:tcBorders>
            <w:shd w:val="clear" w:color="auto" w:fill="BFBFBF" w:themeFill="background1" w:themeFillShade="BF"/>
          </w:tcPr>
          <w:p w14:paraId="6609D5B9" w14:textId="77777777" w:rsidR="007502FB" w:rsidRPr="00F1260A" w:rsidRDefault="007502FB" w:rsidP="00823E93">
            <w:pPr>
              <w:spacing w:before="60" w:after="60"/>
              <w:jc w:val="center"/>
              <w:rPr>
                <w:b/>
                <w:bCs/>
                <w:sz w:val="20"/>
                <w:szCs w:val="20"/>
              </w:rPr>
            </w:pPr>
          </w:p>
        </w:tc>
        <w:tc>
          <w:tcPr>
            <w:tcW w:w="1116" w:type="dxa"/>
            <w:vMerge/>
            <w:shd w:val="clear" w:color="auto" w:fill="BFBFBF" w:themeFill="background1" w:themeFillShade="BF"/>
          </w:tcPr>
          <w:p w14:paraId="2259116C" w14:textId="77777777" w:rsidR="007502FB" w:rsidRPr="00F1260A" w:rsidRDefault="007502FB" w:rsidP="00823E93">
            <w:pPr>
              <w:spacing w:before="60" w:after="60"/>
              <w:jc w:val="center"/>
              <w:rPr>
                <w:b/>
                <w:bCs/>
                <w:sz w:val="20"/>
                <w:szCs w:val="20"/>
              </w:rPr>
            </w:pPr>
          </w:p>
        </w:tc>
        <w:tc>
          <w:tcPr>
            <w:tcW w:w="1116" w:type="dxa"/>
            <w:vMerge/>
            <w:shd w:val="clear" w:color="auto" w:fill="BFBFBF" w:themeFill="background1" w:themeFillShade="BF"/>
          </w:tcPr>
          <w:p w14:paraId="4DFE0F56" w14:textId="77777777" w:rsidR="007502FB" w:rsidRPr="00F1260A" w:rsidRDefault="007502FB" w:rsidP="00823E93">
            <w:pPr>
              <w:spacing w:before="60" w:after="60"/>
              <w:jc w:val="center"/>
              <w:rPr>
                <w:b/>
                <w:bCs/>
                <w:sz w:val="20"/>
                <w:szCs w:val="20"/>
              </w:rPr>
            </w:pPr>
          </w:p>
        </w:tc>
        <w:tc>
          <w:tcPr>
            <w:tcW w:w="1117" w:type="dxa"/>
            <w:vMerge/>
            <w:shd w:val="clear" w:color="auto" w:fill="BFBFBF" w:themeFill="background1" w:themeFillShade="BF"/>
          </w:tcPr>
          <w:p w14:paraId="269F2B70" w14:textId="77777777" w:rsidR="007502FB" w:rsidRPr="00F1260A" w:rsidRDefault="007502FB" w:rsidP="00823E93">
            <w:pPr>
              <w:spacing w:before="60" w:after="60"/>
              <w:jc w:val="center"/>
              <w:rPr>
                <w:b/>
                <w:bCs/>
                <w:sz w:val="20"/>
                <w:szCs w:val="20"/>
              </w:rPr>
            </w:pPr>
          </w:p>
        </w:tc>
        <w:tc>
          <w:tcPr>
            <w:tcW w:w="1118" w:type="dxa"/>
            <w:shd w:val="clear" w:color="auto" w:fill="BFBFBF" w:themeFill="background1" w:themeFillShade="BF"/>
          </w:tcPr>
          <w:p w14:paraId="43522F52" w14:textId="0EB1A02D" w:rsidR="007502FB" w:rsidRPr="00F1260A" w:rsidRDefault="007502FB" w:rsidP="00823E93">
            <w:pPr>
              <w:spacing w:before="60" w:after="60"/>
              <w:jc w:val="center"/>
              <w:rPr>
                <w:b/>
                <w:bCs/>
                <w:sz w:val="20"/>
                <w:szCs w:val="20"/>
              </w:rPr>
            </w:pPr>
            <w:r w:rsidRPr="00F1260A">
              <w:rPr>
                <w:b/>
                <w:bCs/>
                <w:sz w:val="20"/>
                <w:szCs w:val="20"/>
              </w:rPr>
              <w:t>Lower limit</w:t>
            </w:r>
          </w:p>
        </w:tc>
        <w:tc>
          <w:tcPr>
            <w:tcW w:w="1116" w:type="dxa"/>
            <w:shd w:val="clear" w:color="auto" w:fill="BFBFBF" w:themeFill="background1" w:themeFillShade="BF"/>
          </w:tcPr>
          <w:p w14:paraId="42EE2924" w14:textId="2604185B" w:rsidR="007502FB" w:rsidRPr="00F1260A" w:rsidRDefault="007502FB" w:rsidP="00823E93">
            <w:pPr>
              <w:spacing w:before="60" w:after="60"/>
              <w:jc w:val="center"/>
              <w:rPr>
                <w:b/>
                <w:bCs/>
                <w:sz w:val="20"/>
                <w:szCs w:val="20"/>
              </w:rPr>
            </w:pPr>
            <w:r w:rsidRPr="00F1260A">
              <w:rPr>
                <w:b/>
                <w:bCs/>
                <w:sz w:val="20"/>
                <w:szCs w:val="20"/>
              </w:rPr>
              <w:t>Upper limit</w:t>
            </w:r>
          </w:p>
        </w:tc>
      </w:tr>
      <w:tr w:rsidR="00F1260A" w:rsidRPr="006426BB" w14:paraId="0F74F8DF" w14:textId="77777777" w:rsidTr="006256B5">
        <w:tc>
          <w:tcPr>
            <w:tcW w:w="1130" w:type="dxa"/>
          </w:tcPr>
          <w:p w14:paraId="688FB0E8" w14:textId="15C1E984" w:rsidR="006426BB" w:rsidRPr="006426BB" w:rsidRDefault="006426BB" w:rsidP="00823E93">
            <w:pPr>
              <w:spacing w:before="60" w:after="60"/>
              <w:rPr>
                <w:sz w:val="20"/>
                <w:szCs w:val="20"/>
              </w:rPr>
            </w:pPr>
            <w:r w:rsidRPr="006426BB">
              <w:rPr>
                <w:sz w:val="20"/>
                <w:szCs w:val="20"/>
              </w:rPr>
              <w:t xml:space="preserve">Without accounting for breaks </w:t>
            </w:r>
          </w:p>
        </w:tc>
        <w:tc>
          <w:tcPr>
            <w:tcW w:w="1117" w:type="dxa"/>
          </w:tcPr>
          <w:p w14:paraId="3CD4EC29" w14:textId="649346CE" w:rsidR="006426BB" w:rsidRPr="006426BB" w:rsidRDefault="00D83775" w:rsidP="00823E93">
            <w:pPr>
              <w:spacing w:before="60" w:after="60"/>
              <w:jc w:val="center"/>
              <w:rPr>
                <w:sz w:val="20"/>
                <w:szCs w:val="20"/>
              </w:rPr>
            </w:pPr>
            <w:r>
              <w:rPr>
                <w:sz w:val="20"/>
                <w:szCs w:val="20"/>
              </w:rPr>
              <w:t>177</w:t>
            </w:r>
          </w:p>
        </w:tc>
        <w:tc>
          <w:tcPr>
            <w:tcW w:w="1117" w:type="dxa"/>
            <w:tcBorders>
              <w:bottom w:val="single" w:sz="4" w:space="0" w:color="auto"/>
            </w:tcBorders>
            <w:shd w:val="solid" w:color="000000" w:fill="000000"/>
          </w:tcPr>
          <w:p w14:paraId="4F74B50A" w14:textId="22B12C16" w:rsidR="006426BB" w:rsidRPr="006256B5" w:rsidRDefault="006256B5" w:rsidP="00823E93">
            <w:pPr>
              <w:spacing w:before="60" w:after="60"/>
              <w:jc w:val="center"/>
              <w:rPr>
                <w:sz w:val="20"/>
                <w:szCs w:val="20"/>
              </w:rPr>
            </w:pPr>
            <w:r w:rsidRPr="006256B5">
              <w:rPr>
                <w:rFonts w:hint="eastAsia"/>
                <w:color w:val="000000"/>
                <w:w w:val="15"/>
                <w:sz w:val="20"/>
                <w:szCs w:val="20"/>
                <w:fitText w:val="60" w:id="-892660736"/>
                <w14:textFill>
                  <w14:solidFill>
                    <w14:srgbClr w14:val="000000">
                      <w14:alpha w14:val="100000"/>
                    </w14:srgbClr>
                  </w14:solidFill>
                </w14:textFill>
              </w:rPr>
              <w:t xml:space="preserve">　</w:t>
            </w:r>
            <w:r w:rsidRPr="006256B5">
              <w:rPr>
                <w:color w:val="000000"/>
                <w:w w:val="15"/>
                <w:sz w:val="20"/>
                <w:szCs w:val="20"/>
                <w:fitText w:val="60" w:id="-892660736"/>
                <w14:textFill>
                  <w14:solidFill>
                    <w14:srgbClr w14:val="000000">
                      <w14:alpha w14:val="100000"/>
                    </w14:srgbClr>
                  </w14:solidFill>
                </w14:textFill>
              </w:rPr>
              <w:t>|</w:t>
            </w:r>
            <w:r w:rsidRPr="006256B5">
              <w:rPr>
                <w:rFonts w:hint="eastAsia"/>
                <w:color w:val="000000"/>
                <w:spacing w:val="-13"/>
                <w:w w:val="15"/>
                <w:sz w:val="20"/>
                <w:szCs w:val="20"/>
                <w:fitText w:val="60" w:id="-892660736"/>
                <w14:textFill>
                  <w14:solidFill>
                    <w14:srgbClr w14:val="000000">
                      <w14:alpha w14:val="100000"/>
                    </w14:srgbClr>
                  </w14:solidFill>
                </w14:textFill>
              </w:rPr>
              <w:t xml:space="preserve">　</w:t>
            </w:r>
          </w:p>
        </w:tc>
        <w:tc>
          <w:tcPr>
            <w:tcW w:w="1116" w:type="dxa"/>
          </w:tcPr>
          <w:p w14:paraId="4B5219CC" w14:textId="55FA9679" w:rsidR="006426BB" w:rsidRPr="006426BB" w:rsidRDefault="00D10DA5" w:rsidP="00823E93">
            <w:pPr>
              <w:spacing w:before="60" w:after="60"/>
              <w:jc w:val="center"/>
              <w:rPr>
                <w:sz w:val="20"/>
                <w:szCs w:val="20"/>
              </w:rPr>
            </w:pPr>
            <w:r>
              <w:rPr>
                <w:sz w:val="20"/>
                <w:szCs w:val="20"/>
              </w:rPr>
              <w:t>17.4</w:t>
            </w:r>
          </w:p>
        </w:tc>
        <w:tc>
          <w:tcPr>
            <w:tcW w:w="1116" w:type="dxa"/>
          </w:tcPr>
          <w:p w14:paraId="27B486CB" w14:textId="0B33E902" w:rsidR="006426BB" w:rsidRPr="006426BB" w:rsidRDefault="00D10DA5" w:rsidP="00823E93">
            <w:pPr>
              <w:spacing w:before="60" w:after="60"/>
              <w:jc w:val="center"/>
              <w:rPr>
                <w:sz w:val="20"/>
                <w:szCs w:val="20"/>
              </w:rPr>
            </w:pPr>
            <w:r>
              <w:rPr>
                <w:sz w:val="20"/>
                <w:szCs w:val="20"/>
              </w:rPr>
              <w:t>15.4</w:t>
            </w:r>
          </w:p>
        </w:tc>
        <w:tc>
          <w:tcPr>
            <w:tcW w:w="1117" w:type="dxa"/>
          </w:tcPr>
          <w:p w14:paraId="53A3F1DC" w14:textId="168C4ACF" w:rsidR="006426BB" w:rsidRPr="006426BB" w:rsidRDefault="00D10DA5" w:rsidP="00823E93">
            <w:pPr>
              <w:spacing w:before="60" w:after="60"/>
              <w:jc w:val="center"/>
              <w:rPr>
                <w:sz w:val="20"/>
                <w:szCs w:val="20"/>
              </w:rPr>
            </w:pPr>
            <w:r>
              <w:rPr>
                <w:sz w:val="20"/>
                <w:szCs w:val="20"/>
              </w:rPr>
              <w:t>0.6</w:t>
            </w:r>
          </w:p>
        </w:tc>
        <w:tc>
          <w:tcPr>
            <w:tcW w:w="1118" w:type="dxa"/>
          </w:tcPr>
          <w:p w14:paraId="53827623" w14:textId="43D08409" w:rsidR="006426BB" w:rsidRPr="006426BB" w:rsidRDefault="002B36D1" w:rsidP="00823E93">
            <w:pPr>
              <w:spacing w:before="60" w:after="60"/>
              <w:jc w:val="center"/>
              <w:rPr>
                <w:sz w:val="20"/>
                <w:szCs w:val="20"/>
              </w:rPr>
            </w:pPr>
            <w:r>
              <w:rPr>
                <w:sz w:val="20"/>
                <w:szCs w:val="20"/>
              </w:rPr>
              <w:t>14.3</w:t>
            </w:r>
          </w:p>
        </w:tc>
        <w:tc>
          <w:tcPr>
            <w:tcW w:w="1116" w:type="dxa"/>
          </w:tcPr>
          <w:p w14:paraId="4EFB0829" w14:textId="42D098AD" w:rsidR="006426BB" w:rsidRPr="006426BB" w:rsidRDefault="002B36D1" w:rsidP="00823E93">
            <w:pPr>
              <w:spacing w:before="60" w:after="60"/>
              <w:jc w:val="center"/>
              <w:rPr>
                <w:sz w:val="20"/>
                <w:szCs w:val="20"/>
              </w:rPr>
            </w:pPr>
            <w:r>
              <w:rPr>
                <w:sz w:val="20"/>
                <w:szCs w:val="20"/>
              </w:rPr>
              <w:t>16.5</w:t>
            </w:r>
          </w:p>
        </w:tc>
      </w:tr>
      <w:tr w:rsidR="006426BB" w:rsidRPr="006426BB" w14:paraId="5A21FBC1" w14:textId="77777777" w:rsidTr="006256B5">
        <w:tc>
          <w:tcPr>
            <w:tcW w:w="1130" w:type="dxa"/>
          </w:tcPr>
          <w:p w14:paraId="34176FC5" w14:textId="743A229E" w:rsidR="006426BB" w:rsidRPr="006426BB" w:rsidRDefault="006426BB" w:rsidP="00823E93">
            <w:pPr>
              <w:spacing w:before="60" w:after="60"/>
              <w:rPr>
                <w:sz w:val="20"/>
                <w:szCs w:val="20"/>
              </w:rPr>
            </w:pPr>
            <w:r w:rsidRPr="006426BB">
              <w:rPr>
                <w:sz w:val="20"/>
                <w:szCs w:val="20"/>
              </w:rPr>
              <w:t xml:space="preserve">Accounting for breaks </w:t>
            </w:r>
          </w:p>
        </w:tc>
        <w:tc>
          <w:tcPr>
            <w:tcW w:w="1117" w:type="dxa"/>
          </w:tcPr>
          <w:p w14:paraId="0227AB11" w14:textId="738ACD95" w:rsidR="006426BB" w:rsidRPr="006426BB" w:rsidRDefault="00D83775" w:rsidP="00823E93">
            <w:pPr>
              <w:spacing w:before="60" w:after="60"/>
              <w:jc w:val="center"/>
              <w:rPr>
                <w:sz w:val="20"/>
                <w:szCs w:val="20"/>
              </w:rPr>
            </w:pPr>
            <w:r>
              <w:rPr>
                <w:sz w:val="20"/>
                <w:szCs w:val="20"/>
              </w:rPr>
              <w:t>177</w:t>
            </w:r>
          </w:p>
        </w:tc>
        <w:tc>
          <w:tcPr>
            <w:tcW w:w="1117" w:type="dxa"/>
            <w:shd w:val="solid" w:color="000000" w:fill="000000"/>
          </w:tcPr>
          <w:p w14:paraId="46DA5E20" w14:textId="5402F44F" w:rsidR="006426BB" w:rsidRPr="006256B5" w:rsidRDefault="006256B5" w:rsidP="00823E93">
            <w:pPr>
              <w:spacing w:before="60" w:after="60"/>
              <w:jc w:val="center"/>
              <w:rPr>
                <w:sz w:val="20"/>
                <w:szCs w:val="20"/>
              </w:rPr>
            </w:pPr>
            <w:r w:rsidRPr="006256B5">
              <w:rPr>
                <w:rFonts w:hint="eastAsia"/>
                <w:color w:val="000000"/>
                <w:w w:val="15"/>
                <w:sz w:val="20"/>
                <w:szCs w:val="20"/>
                <w:fitText w:val="60" w:id="-892660735"/>
                <w14:textFill>
                  <w14:solidFill>
                    <w14:srgbClr w14:val="000000">
                      <w14:alpha w14:val="100000"/>
                    </w14:srgbClr>
                  </w14:solidFill>
                </w14:textFill>
              </w:rPr>
              <w:t xml:space="preserve">　</w:t>
            </w:r>
            <w:r w:rsidRPr="006256B5">
              <w:rPr>
                <w:color w:val="000000"/>
                <w:w w:val="15"/>
                <w:sz w:val="20"/>
                <w:szCs w:val="20"/>
                <w:fitText w:val="60" w:id="-892660735"/>
                <w14:textFill>
                  <w14:solidFill>
                    <w14:srgbClr w14:val="000000">
                      <w14:alpha w14:val="100000"/>
                    </w14:srgbClr>
                  </w14:solidFill>
                </w14:textFill>
              </w:rPr>
              <w:t>|</w:t>
            </w:r>
            <w:r w:rsidRPr="006256B5">
              <w:rPr>
                <w:rFonts w:hint="eastAsia"/>
                <w:color w:val="000000"/>
                <w:spacing w:val="-13"/>
                <w:w w:val="15"/>
                <w:sz w:val="20"/>
                <w:szCs w:val="20"/>
                <w:fitText w:val="60" w:id="-892660735"/>
                <w14:textFill>
                  <w14:solidFill>
                    <w14:srgbClr w14:val="000000">
                      <w14:alpha w14:val="100000"/>
                    </w14:srgbClr>
                  </w14:solidFill>
                </w14:textFill>
              </w:rPr>
              <w:t xml:space="preserve">　</w:t>
            </w:r>
          </w:p>
        </w:tc>
        <w:tc>
          <w:tcPr>
            <w:tcW w:w="1116" w:type="dxa"/>
          </w:tcPr>
          <w:p w14:paraId="4259DF3F" w14:textId="4CE295CD" w:rsidR="006426BB" w:rsidRPr="006426BB" w:rsidRDefault="00E70DA9" w:rsidP="00823E93">
            <w:pPr>
              <w:spacing w:before="60" w:after="60"/>
              <w:jc w:val="center"/>
              <w:rPr>
                <w:sz w:val="20"/>
                <w:szCs w:val="20"/>
              </w:rPr>
            </w:pPr>
            <w:r>
              <w:rPr>
                <w:sz w:val="20"/>
                <w:szCs w:val="20"/>
              </w:rPr>
              <w:t>16</w:t>
            </w:r>
          </w:p>
        </w:tc>
        <w:tc>
          <w:tcPr>
            <w:tcW w:w="1116" w:type="dxa"/>
          </w:tcPr>
          <w:p w14:paraId="0CD65AC4" w14:textId="05DFEC31" w:rsidR="006426BB" w:rsidRPr="006426BB" w:rsidRDefault="00D835E7" w:rsidP="00823E93">
            <w:pPr>
              <w:spacing w:before="60" w:after="60"/>
              <w:jc w:val="center"/>
              <w:rPr>
                <w:sz w:val="20"/>
                <w:szCs w:val="20"/>
              </w:rPr>
            </w:pPr>
            <w:r>
              <w:rPr>
                <w:sz w:val="20"/>
                <w:szCs w:val="20"/>
              </w:rPr>
              <w:t>14.3</w:t>
            </w:r>
          </w:p>
        </w:tc>
        <w:tc>
          <w:tcPr>
            <w:tcW w:w="1117" w:type="dxa"/>
          </w:tcPr>
          <w:p w14:paraId="1664D3BE" w14:textId="648B6D80" w:rsidR="006426BB" w:rsidRPr="006426BB" w:rsidRDefault="00E70DA9" w:rsidP="00823E93">
            <w:pPr>
              <w:spacing w:before="60" w:after="60"/>
              <w:jc w:val="center"/>
              <w:rPr>
                <w:sz w:val="20"/>
                <w:szCs w:val="20"/>
              </w:rPr>
            </w:pPr>
            <w:r>
              <w:rPr>
                <w:sz w:val="20"/>
                <w:szCs w:val="20"/>
              </w:rPr>
              <w:t>0.4</w:t>
            </w:r>
          </w:p>
        </w:tc>
        <w:tc>
          <w:tcPr>
            <w:tcW w:w="1118" w:type="dxa"/>
          </w:tcPr>
          <w:p w14:paraId="351BDEE4" w14:textId="5ED00238" w:rsidR="006426BB" w:rsidRPr="006426BB" w:rsidRDefault="00E70DA9" w:rsidP="00823E93">
            <w:pPr>
              <w:spacing w:before="60" w:after="60"/>
              <w:jc w:val="center"/>
              <w:rPr>
                <w:sz w:val="20"/>
                <w:szCs w:val="20"/>
              </w:rPr>
            </w:pPr>
            <w:r>
              <w:rPr>
                <w:sz w:val="20"/>
                <w:szCs w:val="20"/>
              </w:rPr>
              <w:t>13.5</w:t>
            </w:r>
          </w:p>
        </w:tc>
        <w:tc>
          <w:tcPr>
            <w:tcW w:w="1116" w:type="dxa"/>
          </w:tcPr>
          <w:p w14:paraId="09429385" w14:textId="49C05399" w:rsidR="006426BB" w:rsidRPr="006426BB" w:rsidRDefault="00E70DA9" w:rsidP="00823E93">
            <w:pPr>
              <w:spacing w:before="60" w:after="60"/>
              <w:jc w:val="center"/>
              <w:rPr>
                <w:sz w:val="20"/>
                <w:szCs w:val="20"/>
              </w:rPr>
            </w:pPr>
            <w:r>
              <w:rPr>
                <w:sz w:val="20"/>
                <w:szCs w:val="20"/>
              </w:rPr>
              <w:t>15.2</w:t>
            </w:r>
          </w:p>
        </w:tc>
      </w:tr>
    </w:tbl>
    <w:p w14:paraId="3EF305DF" w14:textId="77777777" w:rsidR="00B9677C" w:rsidRDefault="00B9677C" w:rsidP="00C831CA"/>
    <w:p w14:paraId="29AE5F58" w14:textId="77777777" w:rsidR="003651A0" w:rsidRDefault="003651A0" w:rsidP="00C831CA"/>
    <w:p w14:paraId="70B82BEC" w14:textId="512DCF02" w:rsidR="00337819" w:rsidRDefault="00D10DA5" w:rsidP="001A1CDC">
      <w:pPr>
        <w:jc w:val="center"/>
      </w:pPr>
      <w:r>
        <w:rPr>
          <w:noProof/>
        </w:rPr>
        <w:drawing>
          <wp:inline distT="0" distB="0" distL="0" distR="0" wp14:anchorId="656B5D63" wp14:editId="3D2B056D">
            <wp:extent cx="4167963" cy="3126089"/>
            <wp:effectExtent l="0" t="0" r="0" b="635"/>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3">
                      <a:extLst>
                        <a:ext uri="{96DAC541-7B7A-43D3-8B79-37D633B846F1}">
                          <asvg:svgBlip xmlns:asvg="http://schemas.microsoft.com/office/drawing/2016/SVG/main" r:embed="rId24"/>
                        </a:ext>
                      </a:extLst>
                    </a:blip>
                    <a:stretch>
                      <a:fillRect/>
                    </a:stretch>
                  </pic:blipFill>
                  <pic:spPr>
                    <a:xfrm>
                      <a:off x="0" y="0"/>
                      <a:ext cx="4167963" cy="3126089"/>
                    </a:xfrm>
                    <a:prstGeom prst="rect">
                      <a:avLst/>
                    </a:prstGeom>
                  </pic:spPr>
                </pic:pic>
              </a:graphicData>
            </a:graphic>
          </wp:inline>
        </w:drawing>
      </w:r>
    </w:p>
    <w:p w14:paraId="53F9CE5F" w14:textId="17E986A4" w:rsidR="00B9677C" w:rsidRDefault="00B9677C" w:rsidP="00B9677C">
      <w:pPr>
        <w:pStyle w:val="Tabletitle"/>
      </w:pPr>
      <w:r>
        <w:t xml:space="preserve">Figure </w:t>
      </w:r>
      <w:r w:rsidR="003651A0">
        <w:t>7</w:t>
      </w:r>
      <w:r>
        <w:t xml:space="preserve">: </w:t>
      </w:r>
      <w:r w:rsidR="00E231E1">
        <w:t>Estimated length of treatment from Kaplan Meier analysis in patients who initiated brentuximab vedotin treatment for CD30 positive PTCL, without accounting for breaks</w:t>
      </w:r>
    </w:p>
    <w:p w14:paraId="0A49377B" w14:textId="77777777" w:rsidR="00B9677C" w:rsidRDefault="00B9677C" w:rsidP="00C831CA"/>
    <w:p w14:paraId="02F78202" w14:textId="6C63F5B6" w:rsidR="00E231E1" w:rsidRDefault="00444388" w:rsidP="00444388">
      <w:pPr>
        <w:jc w:val="center"/>
      </w:pPr>
      <w:r>
        <w:rPr>
          <w:noProof/>
        </w:rPr>
        <w:drawing>
          <wp:inline distT="0" distB="0" distL="0" distR="0" wp14:anchorId="51D62779" wp14:editId="34380C6C">
            <wp:extent cx="4093535" cy="3070265"/>
            <wp:effectExtent l="0" t="0" r="2540"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4102896" cy="3077286"/>
                    </a:xfrm>
                    <a:prstGeom prst="rect">
                      <a:avLst/>
                    </a:prstGeom>
                  </pic:spPr>
                </pic:pic>
              </a:graphicData>
            </a:graphic>
          </wp:inline>
        </w:drawing>
      </w:r>
    </w:p>
    <w:p w14:paraId="0191A845" w14:textId="2BAAA662" w:rsidR="00E231E1" w:rsidRDefault="00E231E1" w:rsidP="00E231E1">
      <w:pPr>
        <w:pStyle w:val="Tabletitle"/>
      </w:pPr>
      <w:r>
        <w:t xml:space="preserve">Figure </w:t>
      </w:r>
      <w:r w:rsidR="003651A0">
        <w:t>8</w:t>
      </w:r>
      <w:r>
        <w:t>: Estimated length of treatment from Kaplan Meier analysis in patients who initiated brentuximab vedotin treatment for CD30 positive PTCL, accounting for breaks</w:t>
      </w:r>
    </w:p>
    <w:p w14:paraId="700C790F" w14:textId="77777777" w:rsidR="00B9677C" w:rsidRDefault="00B9677C" w:rsidP="00C831CA"/>
    <w:p w14:paraId="7A91EF52" w14:textId="45FB7504" w:rsidR="001A1CDC" w:rsidRDefault="006E0B35" w:rsidP="009F62D3">
      <w:pPr>
        <w:rPr>
          <w:rFonts w:eastAsiaTheme="majorEastAsia" w:cstheme="majorBidi"/>
          <w:b/>
          <w:bCs/>
          <w:sz w:val="32"/>
          <w:szCs w:val="32"/>
        </w:rPr>
      </w:pPr>
      <w:r>
        <w:t>The PBS r</w:t>
      </w:r>
      <w:r w:rsidR="00BF1663">
        <w:t>estriction for brentuximab vedotin for CD30 positive PTCL state</w:t>
      </w:r>
      <w:r w:rsidR="00F85444">
        <w:t>d</w:t>
      </w:r>
      <w:r w:rsidR="00BF1663">
        <w:t xml:space="preserve"> for</w:t>
      </w:r>
      <w:r w:rsidR="005E283D">
        <w:t xml:space="preserve"> the</w:t>
      </w:r>
      <w:r w:rsidR="00BF1663">
        <w:t xml:space="preserve"> initial treatment</w:t>
      </w:r>
      <w:r w:rsidR="005E283D">
        <w:t xml:space="preserve"> phase, patients must not exceed 6 treatment cycles</w:t>
      </w:r>
      <w:r w:rsidR="00CA4CA6">
        <w:t xml:space="preserve"> (18 weeks)</w:t>
      </w:r>
      <w:r w:rsidR="007E1DDB">
        <w:t xml:space="preserve">, and for continuing treatment </w:t>
      </w:r>
      <w:r w:rsidR="00CA4CA6">
        <w:t xml:space="preserve">patients must not exceed </w:t>
      </w:r>
      <w:r w:rsidR="007E1DDB">
        <w:t>only 2 cycles</w:t>
      </w:r>
      <w:r w:rsidR="00CA4CA6">
        <w:t xml:space="preserve"> (6 weeks)</w:t>
      </w:r>
      <w:r w:rsidR="007E1DDB">
        <w:t xml:space="preserve">. </w:t>
      </w:r>
      <w:r w:rsidR="00CA4CA6">
        <w:t>As shown in Table 1</w:t>
      </w:r>
      <w:r w:rsidR="00BD7972">
        <w:t>2</w:t>
      </w:r>
      <w:r w:rsidR="00CA4CA6">
        <w:t xml:space="preserve"> and Figure 7 above, the median treatment duration for </w:t>
      </w:r>
      <w:r w:rsidR="005D3069">
        <w:t>patients who initiated treatment during the first two years of listing was 17</w:t>
      </w:r>
      <w:r w:rsidR="000F3696">
        <w:t xml:space="preserve">.4 weeks. When accounting for breaks, </w:t>
      </w:r>
      <w:r w:rsidR="00AD5B86">
        <w:t>median treatment duration was 16 weeks (Table 1</w:t>
      </w:r>
      <w:r w:rsidR="00BD7972">
        <w:t>2</w:t>
      </w:r>
      <w:r w:rsidR="00AD5B86">
        <w:t xml:space="preserve"> and Figure 8). </w:t>
      </w:r>
    </w:p>
    <w:p w14:paraId="3555DFBA" w14:textId="3DEE5078" w:rsidR="00591512" w:rsidRDefault="00AB3733" w:rsidP="00F73113">
      <w:pPr>
        <w:pStyle w:val="Heading1"/>
      </w:pPr>
      <w:r>
        <w:t>D</w:t>
      </w:r>
      <w:r w:rsidR="007346C7" w:rsidRPr="005E22C2">
        <w:t>iscussion</w:t>
      </w:r>
    </w:p>
    <w:p w14:paraId="383DF3B5" w14:textId="55EFD769" w:rsidR="00774130" w:rsidRDefault="003C005C" w:rsidP="00F1132C">
      <w:r>
        <w:t xml:space="preserve">At the time of this review, the PBS listings </w:t>
      </w:r>
      <w:r w:rsidR="00EB3A91">
        <w:t>of brentuximab vedotin for</w:t>
      </w:r>
      <w:r>
        <w:t xml:space="preserve"> </w:t>
      </w:r>
      <w:r w:rsidR="00E6024C">
        <w:t xml:space="preserve">the </w:t>
      </w:r>
      <w:r>
        <w:t xml:space="preserve">initial treatment of </w:t>
      </w:r>
      <w:r w:rsidR="006E681D">
        <w:t xml:space="preserve">CD30 positive </w:t>
      </w:r>
      <w:r w:rsidR="00EB3A91">
        <w:t xml:space="preserve">CTCL and </w:t>
      </w:r>
      <w:r w:rsidR="006C2194">
        <w:t xml:space="preserve">PTCL </w:t>
      </w:r>
      <w:r w:rsidR="00F85444">
        <w:t>we</w:t>
      </w:r>
      <w:r w:rsidR="00E6024C">
        <w:t>re</w:t>
      </w:r>
      <w:r w:rsidR="006C2194">
        <w:t xml:space="preserve"> </w:t>
      </w:r>
      <w:r w:rsidR="00F556BC">
        <w:t xml:space="preserve">both </w:t>
      </w:r>
      <w:r w:rsidR="00525D6A">
        <w:t>Authority Required (Written)</w:t>
      </w:r>
      <w:r w:rsidR="00F556BC">
        <w:t xml:space="preserve"> listings</w:t>
      </w:r>
      <w:r w:rsidR="00525D6A">
        <w:t xml:space="preserve">. </w:t>
      </w:r>
      <w:r w:rsidR="00F556BC">
        <w:t xml:space="preserve">The </w:t>
      </w:r>
      <w:r w:rsidR="00E67C98">
        <w:t>number of written authority approvals for CTCL ha</w:t>
      </w:r>
      <w:r w:rsidR="008A1CA2">
        <w:t>d</w:t>
      </w:r>
      <w:r w:rsidR="00E67C98">
        <w:t xml:space="preserve"> slightly varied across financial years, ranging from 18 to 35 approvals per financial year, with </w:t>
      </w:r>
      <w:r w:rsidR="00A561C8">
        <w:t xml:space="preserve">the lowest of 18 approvals during the </w:t>
      </w:r>
      <w:r w:rsidR="00017799">
        <w:t>2021/22 financial year</w:t>
      </w:r>
      <w:r w:rsidR="003A0037">
        <w:t xml:space="preserve">, which may </w:t>
      </w:r>
      <w:r w:rsidR="00EB3E17">
        <w:t>have been</w:t>
      </w:r>
      <w:r w:rsidR="00017799">
        <w:t xml:space="preserve"> due to </w:t>
      </w:r>
      <w:r w:rsidR="001A4C44">
        <w:t>the impact</w:t>
      </w:r>
      <w:r w:rsidR="003A0037">
        <w:t>s</w:t>
      </w:r>
      <w:r w:rsidR="001A4C44">
        <w:t xml:space="preserve"> of the COVID-19 pandemic</w:t>
      </w:r>
      <w:r w:rsidR="00E67C98">
        <w:t xml:space="preserve">. </w:t>
      </w:r>
    </w:p>
    <w:p w14:paraId="4A5A174C" w14:textId="4F5AF05A" w:rsidR="00125F13" w:rsidRDefault="00F556BC" w:rsidP="00774130">
      <w:r>
        <w:t xml:space="preserve">In contrast, the number </w:t>
      </w:r>
      <w:r w:rsidR="00031A19">
        <w:t xml:space="preserve">of </w:t>
      </w:r>
      <w:r>
        <w:t>written authority approvals</w:t>
      </w:r>
      <w:r w:rsidR="00031A19">
        <w:t xml:space="preserve"> for </w:t>
      </w:r>
      <w:r w:rsidR="00774130">
        <w:t xml:space="preserve">previously untreated CD30 positive PTCL </w:t>
      </w:r>
      <w:r w:rsidR="005E08C0">
        <w:t>ha</w:t>
      </w:r>
      <w:r w:rsidR="008A1CA2">
        <w:t>d</w:t>
      </w:r>
      <w:r w:rsidR="005E08C0">
        <w:t xml:space="preserve"> </w:t>
      </w:r>
      <w:r w:rsidR="00507A7F">
        <w:t>increased</w:t>
      </w:r>
      <w:r>
        <w:t xml:space="preserve"> since PBS listing</w:t>
      </w:r>
      <w:r w:rsidR="00BE47FB">
        <w:t xml:space="preserve">, from 80 </w:t>
      </w:r>
      <w:r w:rsidR="00E64782">
        <w:t xml:space="preserve">approvals in 2021/22 to </w:t>
      </w:r>
      <w:r w:rsidR="002A0648">
        <w:t>11</w:t>
      </w:r>
      <w:r w:rsidR="005E08C0">
        <w:t>3</w:t>
      </w:r>
      <w:r w:rsidR="002A0648">
        <w:t xml:space="preserve"> approvals in 202</w:t>
      </w:r>
      <w:r w:rsidR="005E08C0">
        <w:t>2</w:t>
      </w:r>
      <w:r w:rsidR="00507A7F">
        <w:t>/2</w:t>
      </w:r>
      <w:r w:rsidR="005E08C0">
        <w:t>3</w:t>
      </w:r>
      <w:r w:rsidR="00507A7F">
        <w:t xml:space="preserve">. </w:t>
      </w:r>
      <w:r w:rsidR="00010704">
        <w:t xml:space="preserve">Utilisation of </w:t>
      </w:r>
      <w:r w:rsidR="00B040F2">
        <w:t xml:space="preserve">brentuximab vedotin was different from estimated, with a </w:t>
      </w:r>
      <w:r w:rsidR="003F4149" w:rsidRPr="003F4149">
        <w:rPr>
          <w:color w:val="000000"/>
          <w:w w:val="67"/>
          <w:shd w:val="solid" w:color="000000" w:fill="000000"/>
          <w:fitText w:val="595" w:id="-892660734"/>
          <w14:textFill>
            <w14:solidFill>
              <w14:srgbClr w14:val="000000">
                <w14:alpha w14:val="100000"/>
              </w14:srgbClr>
            </w14:solidFill>
          </w14:textFill>
        </w:rPr>
        <w:t>||||||||</w:t>
      </w:r>
      <w:r w:rsidR="00B06631">
        <w:t xml:space="preserve"> percentage</w:t>
      </w:r>
      <w:r w:rsidR="00B040F2">
        <w:t xml:space="preserve"> difference </w:t>
      </w:r>
      <w:r w:rsidR="00B06631">
        <w:t xml:space="preserve">in the number of patients treated compared to the number of prescriptions supplied. </w:t>
      </w:r>
      <w:r w:rsidR="003A0037">
        <w:t xml:space="preserve">In its second year of listing, </w:t>
      </w:r>
      <w:r w:rsidR="00B729F9" w:rsidRPr="009F62D3">
        <w:t>both</w:t>
      </w:r>
      <w:r w:rsidR="009E7F58" w:rsidRPr="009F62D3">
        <w:t xml:space="preserve"> the</w:t>
      </w:r>
      <w:r w:rsidR="00B729F9" w:rsidRPr="009F62D3">
        <w:t xml:space="preserve"> actual number of patients treated and prescriptions supplied were </w:t>
      </w:r>
      <w:r w:rsidR="003F4149" w:rsidRPr="003F4149">
        <w:rPr>
          <w:color w:val="000000"/>
          <w:w w:val="69"/>
          <w:shd w:val="solid" w:color="000000" w:fill="000000"/>
          <w:fitText w:val="614" w:id="-892660733"/>
          <w14:textFill>
            <w14:solidFill>
              <w14:srgbClr w14:val="000000">
                <w14:alpha w14:val="100000"/>
              </w14:srgbClr>
            </w14:solidFill>
          </w14:textFill>
        </w:rPr>
        <w:t>||||||||</w:t>
      </w:r>
      <w:r w:rsidR="00B729F9" w:rsidRPr="009F62D3">
        <w:t xml:space="preserve"> than</w:t>
      </w:r>
      <w:r w:rsidR="00B729F9">
        <w:t xml:space="preserve"> estimated. </w:t>
      </w:r>
    </w:p>
    <w:p w14:paraId="53D5047E" w14:textId="45125807" w:rsidR="00354D81" w:rsidRPr="00240959" w:rsidRDefault="00125F13" w:rsidP="00240959">
      <w:pPr>
        <w:pStyle w:val="3-BodyText"/>
        <w:ind w:left="0" w:firstLine="0"/>
        <w:jc w:val="left"/>
      </w:pPr>
      <w:r>
        <w:lastRenderedPageBreak/>
        <w:t xml:space="preserve">The financial estimates assumed </w:t>
      </w:r>
      <w:r w:rsidR="003F4149" w:rsidRPr="003F4149">
        <w:rPr>
          <w:color w:val="000000"/>
          <w:w w:val="78"/>
          <w:shd w:val="solid" w:color="000000" w:fill="000000"/>
          <w:fitText w:val="173" w:id="-892660480"/>
          <w14:textFill>
            <w14:solidFill>
              <w14:srgbClr w14:val="000000">
                <w14:alpha w14:val="100000"/>
              </w14:srgbClr>
            </w14:solidFill>
          </w14:textFill>
        </w:rPr>
        <w:t>||</w:t>
      </w:r>
      <w:r>
        <w:t xml:space="preserve">% of NHL patients would have PTCL and the treatment uptake rate would be </w:t>
      </w:r>
      <w:r w:rsidR="003F4149" w:rsidRPr="003F4149">
        <w:rPr>
          <w:rFonts w:cstheme="minorHAnsi"/>
          <w:color w:val="000000"/>
          <w:w w:val="69"/>
          <w:szCs w:val="20"/>
          <w:shd w:val="solid" w:color="000000" w:fill="000000"/>
          <w:fitText w:val="307" w:id="-892660479"/>
          <w14:textFill>
            <w14:solidFill>
              <w14:srgbClr w14:val="000000">
                <w14:alpha w14:val="100000"/>
              </w14:srgbClr>
            </w14:solidFill>
          </w14:textFill>
        </w:rPr>
        <w:t>||||</w:t>
      </w:r>
      <w:r w:rsidRPr="00827516">
        <w:rPr>
          <w:rFonts w:cstheme="minorHAnsi"/>
          <w:szCs w:val="20"/>
        </w:rPr>
        <w:t>%</w:t>
      </w:r>
      <w:r>
        <w:rPr>
          <w:rFonts w:cstheme="minorHAnsi"/>
          <w:szCs w:val="20"/>
        </w:rPr>
        <w:t xml:space="preserve">. </w:t>
      </w:r>
      <w:r w:rsidR="00F66B74" w:rsidRPr="008E3F1A">
        <w:t xml:space="preserve">The univariate sensitivity analyses presented in the submission and conducted during the evaluation showed that the </w:t>
      </w:r>
      <w:r w:rsidR="00C11550">
        <w:t xml:space="preserve">financial </w:t>
      </w:r>
      <w:r w:rsidR="00F66B74" w:rsidRPr="008E3F1A">
        <w:t xml:space="preserve">estimates were sensitive to </w:t>
      </w:r>
      <w:r w:rsidR="00D701A2" w:rsidRPr="008E3F1A">
        <w:t xml:space="preserve">the assumed proportion of </w:t>
      </w:r>
      <w:r w:rsidR="00D701A2">
        <w:t xml:space="preserve">NHL </w:t>
      </w:r>
      <w:r w:rsidR="00D701A2" w:rsidRPr="008E3F1A">
        <w:t>patients with PTCL</w:t>
      </w:r>
      <w:r w:rsidR="00D701A2">
        <w:t xml:space="preserve"> and </w:t>
      </w:r>
      <w:r w:rsidR="00F66B74" w:rsidRPr="008E3F1A">
        <w:t xml:space="preserve">the </w:t>
      </w:r>
      <w:r w:rsidR="00185587">
        <w:t>treatment</w:t>
      </w:r>
      <w:r w:rsidR="00F66B74" w:rsidRPr="008E3F1A">
        <w:t xml:space="preserve"> uptake </w:t>
      </w:r>
      <w:r w:rsidR="00F66B74" w:rsidRPr="009F62D3">
        <w:t>rate</w:t>
      </w:r>
      <w:r w:rsidR="00D701A2" w:rsidRPr="009F62D3">
        <w:t>s</w:t>
      </w:r>
      <w:r w:rsidR="00F66B74" w:rsidRPr="009F62D3">
        <w:t xml:space="preserve"> </w:t>
      </w:r>
      <w:r w:rsidR="00031A19" w:rsidRPr="009F62D3">
        <w:t xml:space="preserve">(paragraph </w:t>
      </w:r>
      <w:r w:rsidR="0083018A" w:rsidRPr="009F62D3">
        <w:t>6.55 brentuximab vedotin</w:t>
      </w:r>
      <w:r w:rsidR="00A369A8" w:rsidRPr="009F62D3">
        <w:t>,</w:t>
      </w:r>
      <w:r w:rsidR="0083018A" w:rsidRPr="009F62D3">
        <w:t xml:space="preserve"> Public Summary Document, March 2021 PBAC Meeting)</w:t>
      </w:r>
      <w:r w:rsidR="00F66B74" w:rsidRPr="009F62D3">
        <w:t>.</w:t>
      </w:r>
      <w:r w:rsidR="005B4E8C" w:rsidRPr="009F62D3">
        <w:t xml:space="preserve"> </w:t>
      </w:r>
      <w:r w:rsidR="00240959" w:rsidRPr="009F62D3">
        <w:rPr>
          <w:rFonts w:cstheme="minorHAnsi"/>
          <w:szCs w:val="20"/>
        </w:rPr>
        <w:t xml:space="preserve">Findings from </w:t>
      </w:r>
      <w:r w:rsidR="008714D6" w:rsidRPr="009F62D3">
        <w:rPr>
          <w:rFonts w:cstheme="minorHAnsi"/>
          <w:szCs w:val="20"/>
        </w:rPr>
        <w:t>a</w:t>
      </w:r>
      <w:r w:rsidR="00240959" w:rsidRPr="009F62D3">
        <w:rPr>
          <w:rFonts w:cstheme="minorHAnsi"/>
          <w:szCs w:val="20"/>
        </w:rPr>
        <w:t xml:space="preserve"> 5 year </w:t>
      </w:r>
      <w:r w:rsidR="00B05357" w:rsidRPr="009F62D3">
        <w:rPr>
          <w:rFonts w:cstheme="minorHAnsi"/>
          <w:szCs w:val="20"/>
        </w:rPr>
        <w:t>update</w:t>
      </w:r>
      <w:r w:rsidR="00240959" w:rsidRPr="009F62D3">
        <w:rPr>
          <w:rFonts w:cstheme="minorHAnsi"/>
          <w:szCs w:val="20"/>
        </w:rPr>
        <w:t xml:space="preserve"> from the ECHELON-2 trial show</w:t>
      </w:r>
      <w:r w:rsidR="00E73504">
        <w:rPr>
          <w:rFonts w:cstheme="minorHAnsi"/>
          <w:szCs w:val="20"/>
        </w:rPr>
        <w:t>ed that</w:t>
      </w:r>
      <w:r w:rsidR="00240959" w:rsidRPr="009F62D3">
        <w:rPr>
          <w:rFonts w:cstheme="minorHAnsi"/>
          <w:szCs w:val="20"/>
        </w:rPr>
        <w:t xml:space="preserve"> </w:t>
      </w:r>
      <w:r w:rsidR="00F15DFF" w:rsidRPr="009F62D3">
        <w:rPr>
          <w:rFonts w:cstheme="minorHAnsi"/>
          <w:szCs w:val="20"/>
        </w:rPr>
        <w:t xml:space="preserve">brentuximab vedotin </w:t>
      </w:r>
      <w:r w:rsidR="00427987" w:rsidRPr="009F62D3">
        <w:rPr>
          <w:rFonts w:cstheme="minorHAnsi"/>
          <w:szCs w:val="20"/>
        </w:rPr>
        <w:t>ha</w:t>
      </w:r>
      <w:r w:rsidR="00E73504">
        <w:rPr>
          <w:rFonts w:cstheme="minorHAnsi"/>
          <w:szCs w:val="20"/>
        </w:rPr>
        <w:t>d</w:t>
      </w:r>
      <w:r w:rsidR="00427987" w:rsidRPr="009F62D3">
        <w:rPr>
          <w:rFonts w:cstheme="minorHAnsi"/>
          <w:szCs w:val="20"/>
        </w:rPr>
        <w:t xml:space="preserve"> continued </w:t>
      </w:r>
      <w:r w:rsidR="00F15DFF" w:rsidRPr="009F62D3">
        <w:rPr>
          <w:rFonts w:cstheme="minorHAnsi"/>
          <w:szCs w:val="20"/>
        </w:rPr>
        <w:t xml:space="preserve">to provide an improvement in </w:t>
      </w:r>
      <w:r w:rsidR="00A0753A" w:rsidRPr="009F62D3">
        <w:rPr>
          <w:rFonts w:cstheme="minorHAnsi"/>
          <w:szCs w:val="20"/>
        </w:rPr>
        <w:t>progression</w:t>
      </w:r>
      <w:r w:rsidR="00E35028" w:rsidRPr="009F62D3">
        <w:rPr>
          <w:rFonts w:cstheme="minorHAnsi"/>
          <w:szCs w:val="20"/>
        </w:rPr>
        <w:t>-free survival and overall survival</w:t>
      </w:r>
      <w:bookmarkStart w:id="1" w:name="_Ref177653485"/>
      <w:r w:rsidR="00390879" w:rsidRPr="009F62D3">
        <w:rPr>
          <w:rStyle w:val="FootnoteReference"/>
          <w:rFonts w:cstheme="minorHAnsi"/>
          <w:szCs w:val="20"/>
        </w:rPr>
        <w:footnoteReference w:id="7"/>
      </w:r>
      <w:bookmarkEnd w:id="1"/>
      <w:r w:rsidR="008714D6" w:rsidRPr="009F62D3">
        <w:rPr>
          <w:rFonts w:cstheme="minorHAnsi"/>
          <w:szCs w:val="20"/>
        </w:rPr>
        <w:t xml:space="preserve"> </w:t>
      </w:r>
      <w:r w:rsidR="00B47E60" w:rsidRPr="009F62D3">
        <w:rPr>
          <w:rFonts w:cstheme="minorHAnsi"/>
          <w:szCs w:val="20"/>
        </w:rPr>
        <w:t xml:space="preserve">and </w:t>
      </w:r>
      <w:r w:rsidR="00E35028" w:rsidRPr="009F62D3">
        <w:rPr>
          <w:rFonts w:cstheme="minorHAnsi"/>
          <w:szCs w:val="20"/>
        </w:rPr>
        <w:t xml:space="preserve">may </w:t>
      </w:r>
      <w:r w:rsidR="00BF3D9C" w:rsidRPr="009F62D3">
        <w:rPr>
          <w:rFonts w:cstheme="minorHAnsi"/>
          <w:szCs w:val="20"/>
        </w:rPr>
        <w:t xml:space="preserve">have </w:t>
      </w:r>
      <w:r w:rsidR="009C7C6D" w:rsidRPr="009F62D3">
        <w:rPr>
          <w:rFonts w:cstheme="minorHAnsi"/>
          <w:szCs w:val="20"/>
        </w:rPr>
        <w:t>contribute</w:t>
      </w:r>
      <w:r w:rsidR="00BF3D9C" w:rsidRPr="009F62D3">
        <w:rPr>
          <w:rFonts w:cstheme="minorHAnsi"/>
          <w:szCs w:val="20"/>
        </w:rPr>
        <w:t>d</w:t>
      </w:r>
      <w:r w:rsidR="009C7C6D" w:rsidRPr="009F62D3">
        <w:rPr>
          <w:rFonts w:cstheme="minorHAnsi"/>
          <w:szCs w:val="20"/>
        </w:rPr>
        <w:t xml:space="preserve"> to the </w:t>
      </w:r>
      <w:r w:rsidR="00BF3D9C" w:rsidRPr="009F62D3">
        <w:rPr>
          <w:rFonts w:cstheme="minorHAnsi"/>
          <w:szCs w:val="20"/>
        </w:rPr>
        <w:t>greater</w:t>
      </w:r>
      <w:r w:rsidR="009C7C6D" w:rsidRPr="009F62D3">
        <w:rPr>
          <w:rFonts w:cstheme="minorHAnsi"/>
          <w:szCs w:val="20"/>
        </w:rPr>
        <w:t xml:space="preserve"> than estimated treatment uptake rates.</w:t>
      </w:r>
      <w:r w:rsidR="009C7C6D">
        <w:rPr>
          <w:rFonts w:cstheme="minorHAnsi"/>
          <w:szCs w:val="20"/>
        </w:rPr>
        <w:t xml:space="preserve"> </w:t>
      </w:r>
    </w:p>
    <w:p w14:paraId="2ECBFE48" w14:textId="60E43E25" w:rsidR="001310AE" w:rsidRDefault="00AD62AE" w:rsidP="00F73113">
      <w:pPr>
        <w:pStyle w:val="Heading1"/>
      </w:pPr>
      <w:r>
        <w:t>DUSC consideration</w:t>
      </w:r>
    </w:p>
    <w:p w14:paraId="06C6BAA9" w14:textId="75648692" w:rsidR="00F73F88" w:rsidRPr="00725F0A" w:rsidRDefault="00F73F88" w:rsidP="00F73F88">
      <w:r w:rsidRPr="00725F0A">
        <w:t xml:space="preserve">DUSC noted the increase in utilisation of brentuximab vedotin for PTCL over time and noted the number of patients treated was </w:t>
      </w:r>
      <w:r w:rsidR="003F4149" w:rsidRPr="003F4149">
        <w:rPr>
          <w:color w:val="000000"/>
          <w:w w:val="69"/>
          <w:shd w:val="solid" w:color="000000" w:fill="000000"/>
          <w:fitText w:val="615" w:id="-892660478"/>
          <w14:textFill>
            <w14:solidFill>
              <w14:srgbClr w14:val="000000">
                <w14:alpha w14:val="100000"/>
              </w14:srgbClr>
            </w14:solidFill>
          </w14:textFill>
        </w:rPr>
        <w:t>||||||||</w:t>
      </w:r>
      <w:r w:rsidRPr="00725F0A">
        <w:t xml:space="preserve"> in the first year of listing and both the number of patients treated and prescriptions supplied were </w:t>
      </w:r>
      <w:r w:rsidR="003F4149" w:rsidRPr="003F4149">
        <w:rPr>
          <w:color w:val="000000"/>
          <w:w w:val="69"/>
          <w:shd w:val="solid" w:color="000000" w:fill="000000"/>
          <w:fitText w:val="614" w:id="-892660477"/>
          <w14:textFill>
            <w14:solidFill>
              <w14:srgbClr w14:val="000000">
                <w14:alpha w14:val="100000"/>
              </w14:srgbClr>
            </w14:solidFill>
          </w14:textFill>
        </w:rPr>
        <w:t>||||||||</w:t>
      </w:r>
      <w:r w:rsidRPr="00725F0A">
        <w:t xml:space="preserve"> than estimated in the second year of listing. DUSC noted the Authority Required (Written) PBS listing and considered use outside of the indication to be unlikely. DUSC noted findings from a 5 year update from the ECHELON-2 trial</w:t>
      </w:r>
      <w:r w:rsidR="009446E9" w:rsidRPr="009446E9">
        <w:rPr>
          <w:vertAlign w:val="superscript"/>
        </w:rPr>
        <w:fldChar w:fldCharType="begin"/>
      </w:r>
      <w:r w:rsidR="009446E9" w:rsidRPr="009446E9">
        <w:rPr>
          <w:vertAlign w:val="superscript"/>
        </w:rPr>
        <w:instrText xml:space="preserve"> NOTEREF _Ref177653485 \h </w:instrText>
      </w:r>
      <w:r w:rsidR="009446E9">
        <w:rPr>
          <w:vertAlign w:val="superscript"/>
        </w:rPr>
        <w:instrText xml:space="preserve"> \* MERGEFORMAT </w:instrText>
      </w:r>
      <w:r w:rsidR="009446E9" w:rsidRPr="009446E9">
        <w:rPr>
          <w:vertAlign w:val="superscript"/>
        </w:rPr>
      </w:r>
      <w:r w:rsidR="009446E9" w:rsidRPr="009446E9">
        <w:rPr>
          <w:vertAlign w:val="superscript"/>
        </w:rPr>
        <w:fldChar w:fldCharType="separate"/>
      </w:r>
      <w:r w:rsidR="00245EEA">
        <w:rPr>
          <w:vertAlign w:val="superscript"/>
        </w:rPr>
        <w:t>6</w:t>
      </w:r>
      <w:r w:rsidR="009446E9" w:rsidRPr="009446E9">
        <w:rPr>
          <w:vertAlign w:val="superscript"/>
        </w:rPr>
        <w:fldChar w:fldCharType="end"/>
      </w:r>
      <w:r w:rsidRPr="00725F0A">
        <w:t xml:space="preserve"> were published following PBS</w:t>
      </w:r>
      <w:r w:rsidR="009446E9">
        <w:t xml:space="preserve"> listing</w:t>
      </w:r>
      <w:r w:rsidRPr="00725F0A">
        <w:t xml:space="preserve"> and may have contributed to the increased treatment uptake rate. Additionally, DUSC considered the lack of CD30+ treatment options for PTCL may have contributed to the high treatment uptake of brentuximab vedotin.</w:t>
      </w:r>
    </w:p>
    <w:p w14:paraId="6B64DE61" w14:textId="0548CEE6" w:rsidR="00F73F88" w:rsidRPr="00725F0A" w:rsidRDefault="00F73F88" w:rsidP="00F73F88">
      <w:r w:rsidRPr="00725F0A">
        <w:t xml:space="preserve">DUSC noted the PTCL submission estimated an overall treatment uptake rate of </w:t>
      </w:r>
      <w:r w:rsidR="002634AB" w:rsidRPr="002634AB">
        <w:rPr>
          <w:color w:val="000000"/>
          <w:w w:val="69"/>
          <w:shd w:val="solid" w:color="000000" w:fill="000000"/>
          <w:fitText w:val="307" w:id="-892660223"/>
          <w14:textFill>
            <w14:solidFill>
              <w14:srgbClr w14:val="000000">
                <w14:alpha w14:val="100000"/>
              </w14:srgbClr>
            </w14:solidFill>
          </w14:textFill>
        </w:rPr>
        <w:t>||||</w:t>
      </w:r>
      <w:r w:rsidRPr="00725F0A">
        <w:t>% based on treatment uptake rates from several PTCL subtypes</w:t>
      </w:r>
      <w:r w:rsidR="002634AB">
        <w:t xml:space="preserve">: </w:t>
      </w:r>
      <w:r w:rsidRPr="00725F0A">
        <w:t xml:space="preserve">sALCL </w:t>
      </w:r>
      <w:r w:rsidR="002634AB">
        <w:t>(</w:t>
      </w:r>
      <w:r w:rsidR="002634AB" w:rsidRPr="002634AB">
        <w:rPr>
          <w:rFonts w:hint="eastAsia"/>
          <w:color w:val="000000"/>
          <w:w w:val="19"/>
          <w:shd w:val="solid" w:color="000000" w:fill="000000"/>
          <w:fitText w:val="115" w:id="-892660224"/>
          <w14:textFill>
            <w14:solidFill>
              <w14:srgbClr w14:val="000000">
                <w14:alpha w14:val="100000"/>
              </w14:srgbClr>
            </w14:solidFill>
          </w14:textFill>
        </w:rPr>
        <w:t xml:space="preserve">　</w:t>
      </w:r>
      <w:r w:rsidR="002634AB" w:rsidRPr="002634AB">
        <w:rPr>
          <w:color w:val="000000"/>
          <w:w w:val="19"/>
          <w:shd w:val="solid" w:color="000000" w:fill="000000"/>
          <w:fitText w:val="115" w:id="-892660224"/>
          <w14:textFill>
            <w14:solidFill>
              <w14:srgbClr w14:val="000000">
                <w14:alpha w14:val="100000"/>
              </w14:srgbClr>
            </w14:solidFill>
          </w14:textFill>
        </w:rPr>
        <w:t>|</w:t>
      </w:r>
      <w:r w:rsidR="002634AB" w:rsidRPr="002634AB">
        <w:rPr>
          <w:rFonts w:hint="eastAsia"/>
          <w:color w:val="000000"/>
          <w:w w:val="19"/>
          <w:shd w:val="solid" w:color="000000" w:fill="000000"/>
          <w:fitText w:val="115" w:id="-892660224"/>
          <w14:textFill>
            <w14:solidFill>
              <w14:srgbClr w14:val="000000">
                <w14:alpha w14:val="100000"/>
              </w14:srgbClr>
            </w14:solidFill>
          </w14:textFill>
        </w:rPr>
        <w:t xml:space="preserve">　</w:t>
      </w:r>
      <w:r w:rsidRPr="002163AE">
        <w:t>%),</w:t>
      </w:r>
      <w:r w:rsidRPr="00725F0A">
        <w:t xml:space="preserve"> </w:t>
      </w:r>
      <w:r w:rsidRPr="00725F0A">
        <w:rPr>
          <w:snapToGrid w:val="0"/>
        </w:rPr>
        <w:t>angioimmunoblastic T-cell lymphoma</w:t>
      </w:r>
      <w:r w:rsidRPr="00725F0A">
        <w:t xml:space="preserve"> (</w:t>
      </w:r>
      <w:r w:rsidR="003F4149" w:rsidRPr="003F4149">
        <w:rPr>
          <w:rFonts w:hint="eastAsia"/>
          <w:color w:val="000000"/>
          <w:w w:val="19"/>
          <w:shd w:val="solid" w:color="000000" w:fill="000000"/>
          <w:fitText w:val="115" w:id="-892660476"/>
          <w14:textFill>
            <w14:solidFill>
              <w14:srgbClr w14:val="000000">
                <w14:alpha w14:val="100000"/>
              </w14:srgbClr>
            </w14:solidFill>
          </w14:textFill>
        </w:rPr>
        <w:t xml:space="preserve">　</w:t>
      </w:r>
      <w:r w:rsidR="003F4149" w:rsidRPr="003F4149">
        <w:rPr>
          <w:color w:val="000000"/>
          <w:w w:val="19"/>
          <w:shd w:val="solid" w:color="000000" w:fill="000000"/>
          <w:fitText w:val="115" w:id="-892660476"/>
          <w14:textFill>
            <w14:solidFill>
              <w14:srgbClr w14:val="000000">
                <w14:alpha w14:val="100000"/>
              </w14:srgbClr>
            </w14:solidFill>
          </w14:textFill>
        </w:rPr>
        <w:t>|</w:t>
      </w:r>
      <w:r w:rsidR="003F4149" w:rsidRPr="003F4149">
        <w:rPr>
          <w:rFonts w:hint="eastAsia"/>
          <w:color w:val="000000"/>
          <w:w w:val="19"/>
          <w:shd w:val="solid" w:color="000000" w:fill="000000"/>
          <w:fitText w:val="115" w:id="-892660476"/>
          <w14:textFill>
            <w14:solidFill>
              <w14:srgbClr w14:val="000000">
                <w14:alpha w14:val="100000"/>
              </w14:srgbClr>
            </w14:solidFill>
          </w14:textFill>
        </w:rPr>
        <w:t xml:space="preserve">　</w:t>
      </w:r>
      <w:r w:rsidRPr="00725F0A">
        <w:t xml:space="preserve">%), </w:t>
      </w:r>
      <w:r w:rsidRPr="00725F0A">
        <w:rPr>
          <w:snapToGrid w:val="0"/>
        </w:rPr>
        <w:t>peripheral T-cell lymphoma not otherwise specified</w:t>
      </w:r>
      <w:r w:rsidRPr="00725F0A">
        <w:t xml:space="preserve"> (</w:t>
      </w:r>
      <w:r w:rsidR="003F4149" w:rsidRPr="003F4149">
        <w:rPr>
          <w:rFonts w:hint="eastAsia"/>
          <w:color w:val="000000"/>
          <w:w w:val="22"/>
          <w:shd w:val="solid" w:color="000000" w:fill="000000"/>
          <w:fitText w:val="135" w:id="-892660474"/>
          <w14:textFill>
            <w14:solidFill>
              <w14:srgbClr w14:val="000000">
                <w14:alpha w14:val="100000"/>
              </w14:srgbClr>
            </w14:solidFill>
          </w14:textFill>
        </w:rPr>
        <w:t xml:space="preserve">　</w:t>
      </w:r>
      <w:r w:rsidR="003F4149" w:rsidRPr="003F4149">
        <w:rPr>
          <w:color w:val="000000"/>
          <w:w w:val="22"/>
          <w:shd w:val="solid" w:color="000000" w:fill="000000"/>
          <w:fitText w:val="135" w:id="-892660474"/>
          <w14:textFill>
            <w14:solidFill>
              <w14:srgbClr w14:val="000000">
                <w14:alpha w14:val="100000"/>
              </w14:srgbClr>
            </w14:solidFill>
          </w14:textFill>
        </w:rPr>
        <w:t>|</w:t>
      </w:r>
      <w:r w:rsidR="003F4149" w:rsidRPr="003F4149">
        <w:rPr>
          <w:rFonts w:hint="eastAsia"/>
          <w:color w:val="000000"/>
          <w:w w:val="22"/>
          <w:shd w:val="solid" w:color="000000" w:fill="000000"/>
          <w:fitText w:val="135" w:id="-892660474"/>
          <w14:textFill>
            <w14:solidFill>
              <w14:srgbClr w14:val="000000">
                <w14:alpha w14:val="100000"/>
              </w14:srgbClr>
            </w14:solidFill>
          </w14:textFill>
        </w:rPr>
        <w:t xml:space="preserve">　</w:t>
      </w:r>
      <w:r w:rsidRPr="00725F0A">
        <w:t xml:space="preserve">%), </w:t>
      </w:r>
      <w:r w:rsidRPr="00725F0A">
        <w:rPr>
          <w:snapToGrid w:val="0"/>
        </w:rPr>
        <w:t>adult T-cell leukaemia/lymphoma</w:t>
      </w:r>
      <w:r w:rsidRPr="00725F0A">
        <w:t xml:space="preserve"> (</w:t>
      </w:r>
      <w:r w:rsidR="003F4149" w:rsidRPr="003F4149">
        <w:rPr>
          <w:rFonts w:hint="eastAsia"/>
          <w:color w:val="000000"/>
          <w:w w:val="15"/>
          <w:shd w:val="solid" w:color="000000" w:fill="000000"/>
          <w:fitText w:val="60" w:id="-892660475"/>
          <w14:textFill>
            <w14:solidFill>
              <w14:srgbClr w14:val="000000">
                <w14:alpha w14:val="100000"/>
              </w14:srgbClr>
            </w14:solidFill>
          </w14:textFill>
        </w:rPr>
        <w:t xml:space="preserve">　</w:t>
      </w:r>
      <w:r w:rsidR="003F4149" w:rsidRPr="003F4149">
        <w:rPr>
          <w:color w:val="000000"/>
          <w:w w:val="15"/>
          <w:shd w:val="solid" w:color="000000" w:fill="000000"/>
          <w:fitText w:val="60" w:id="-892660475"/>
          <w14:textFill>
            <w14:solidFill>
              <w14:srgbClr w14:val="000000">
                <w14:alpha w14:val="100000"/>
              </w14:srgbClr>
            </w14:solidFill>
          </w14:textFill>
        </w:rPr>
        <w:t>|</w:t>
      </w:r>
      <w:r w:rsidR="003F4149" w:rsidRPr="003F4149">
        <w:rPr>
          <w:rFonts w:hint="eastAsia"/>
          <w:color w:val="000000"/>
          <w:spacing w:val="-27"/>
          <w:w w:val="15"/>
          <w:shd w:val="solid" w:color="000000" w:fill="000000"/>
          <w:fitText w:val="60" w:id="-892660475"/>
          <w14:textFill>
            <w14:solidFill>
              <w14:srgbClr w14:val="000000">
                <w14:alpha w14:val="100000"/>
              </w14:srgbClr>
            </w14:solidFill>
          </w14:textFill>
        </w:rPr>
        <w:t xml:space="preserve">　</w:t>
      </w:r>
      <w:r w:rsidRPr="00725F0A">
        <w:t xml:space="preserve">%) and </w:t>
      </w:r>
      <w:r w:rsidRPr="00725F0A">
        <w:rPr>
          <w:snapToGrid w:val="0"/>
        </w:rPr>
        <w:t>enteropathy-associated T-cell lymphoma</w:t>
      </w:r>
      <w:r w:rsidRPr="00725F0A">
        <w:t xml:space="preserve"> (</w:t>
      </w:r>
      <w:r w:rsidR="002634AB" w:rsidRPr="002634AB">
        <w:rPr>
          <w:rFonts w:hint="eastAsia"/>
          <w:color w:val="000000"/>
          <w:w w:val="15"/>
          <w:shd w:val="solid" w:color="000000" w:fill="000000"/>
          <w:fitText w:val="60" w:id="-892660222"/>
          <w14:textFill>
            <w14:solidFill>
              <w14:srgbClr w14:val="000000">
                <w14:alpha w14:val="100000"/>
              </w14:srgbClr>
            </w14:solidFill>
          </w14:textFill>
        </w:rPr>
        <w:t xml:space="preserve">　</w:t>
      </w:r>
      <w:r w:rsidR="002634AB" w:rsidRPr="002634AB">
        <w:rPr>
          <w:color w:val="000000"/>
          <w:w w:val="15"/>
          <w:shd w:val="solid" w:color="000000" w:fill="000000"/>
          <w:fitText w:val="60" w:id="-892660222"/>
          <w14:textFill>
            <w14:solidFill>
              <w14:srgbClr w14:val="000000">
                <w14:alpha w14:val="100000"/>
              </w14:srgbClr>
            </w14:solidFill>
          </w14:textFill>
        </w:rPr>
        <w:t>|</w:t>
      </w:r>
      <w:r w:rsidR="002634AB" w:rsidRPr="002634AB">
        <w:rPr>
          <w:rFonts w:hint="eastAsia"/>
          <w:color w:val="000000"/>
          <w:spacing w:val="-27"/>
          <w:w w:val="15"/>
          <w:shd w:val="solid" w:color="000000" w:fill="000000"/>
          <w:fitText w:val="60" w:id="-892660222"/>
          <w14:textFill>
            <w14:solidFill>
              <w14:srgbClr w14:val="000000">
                <w14:alpha w14:val="100000"/>
              </w14:srgbClr>
            </w14:solidFill>
          </w14:textFill>
        </w:rPr>
        <w:t xml:space="preserve">　</w:t>
      </w:r>
      <w:r w:rsidRPr="00725F0A">
        <w:t>%). DUSC commented on the complex approach used and noted 43.22% of patients showed a CD30+ expression score of ≥2+ which could have been used to estimate the treatment uptake rate.</w:t>
      </w:r>
      <w:r w:rsidRPr="00725F0A">
        <w:rPr>
          <w:vertAlign w:val="superscript"/>
        </w:rPr>
        <w:footnoteReference w:id="8"/>
      </w:r>
      <w:r w:rsidRPr="00725F0A">
        <w:t xml:space="preserve">            </w:t>
      </w:r>
    </w:p>
    <w:p w14:paraId="76CEF0E5" w14:textId="4F70E881" w:rsidR="00F73F88" w:rsidRPr="00725F0A" w:rsidRDefault="00F73F88" w:rsidP="00F73F88">
      <w:pPr>
        <w:rPr>
          <w:lang w:val="en-US"/>
        </w:rPr>
      </w:pPr>
      <w:r w:rsidRPr="00725F0A">
        <w:t xml:space="preserve">DUSC considered the impact of the COVID-19 pandemic on the delay on the diagnosis and treatment of patients and noted the decrease in the number of patients initiating CTCL treatment in the 2022/23 financial year as well as the lower percentage difference in the actual number of PTCL patients treated in the first year (1 September 2021- 31 August 2022) compared to the second year of listing (1 September 2022- 31 August 2023). </w:t>
      </w:r>
    </w:p>
    <w:p w14:paraId="26B11475" w14:textId="7303E847" w:rsidR="00AD62AE" w:rsidRPr="00725F0A" w:rsidRDefault="00F73F88" w:rsidP="00BD1948">
      <w:r w:rsidRPr="00725F0A">
        <w:rPr>
          <w:rFonts w:eastAsia="Calibri" w:cs="Times New Roman"/>
        </w:rPr>
        <w:t xml:space="preserve">DUSC noted CTCL and sALCL are subtypes of PTCL and currently PBS-listed as second-line therapies.  DUSC noted the submission assumed there would be a </w:t>
      </w:r>
      <w:r w:rsidR="002634AB" w:rsidRPr="002634AB">
        <w:rPr>
          <w:rFonts w:eastAsia="Calibri" w:cs="Times New Roman"/>
          <w:color w:val="000000"/>
          <w:w w:val="69"/>
          <w:shd w:val="solid" w:color="000000" w:fill="000000"/>
          <w:fitText w:val="307" w:id="-892659968"/>
          <w14:textFill>
            <w14:solidFill>
              <w14:srgbClr w14:val="000000">
                <w14:alpha w14:val="100000"/>
              </w14:srgbClr>
            </w14:solidFill>
          </w14:textFill>
        </w:rPr>
        <w:t>||||</w:t>
      </w:r>
      <w:r w:rsidRPr="00725F0A">
        <w:rPr>
          <w:rFonts w:eastAsia="Calibri" w:cs="Times New Roman"/>
        </w:rPr>
        <w:t>% reduction in the use of brentuximab vedotin for relapsed/refractory sALCL patients.</w:t>
      </w:r>
      <w:r w:rsidRPr="00725F0A">
        <w:rPr>
          <w:rFonts w:eastAsia="Calibri" w:cs="Arial"/>
          <w:snapToGrid w:val="0"/>
        </w:rPr>
        <w:t xml:space="preserve"> DUSC noted a 19% decrease in the number of patients treated for sALCL between the 2021/22 and 2022/23 financial </w:t>
      </w:r>
      <w:r w:rsidRPr="00725F0A">
        <w:rPr>
          <w:rFonts w:eastAsia="Calibri" w:cs="Arial"/>
          <w:snapToGrid w:val="0"/>
        </w:rPr>
        <w:lastRenderedPageBreak/>
        <w:t>years</w:t>
      </w:r>
      <w:r w:rsidRPr="00725F0A">
        <w:rPr>
          <w:rFonts w:eastAsia="Calibri" w:cs="Times New Roman"/>
        </w:rPr>
        <w:t>. DUSC considered patients would more likely initiate treatment in the first line setting following the listing of brentuximab vedotin for PTCL.</w:t>
      </w:r>
      <w:r w:rsidRPr="00725F0A">
        <w:rPr>
          <w:rFonts w:eastAsia="Calibri" w:cs="Arial"/>
          <w:snapToGrid w:val="0"/>
        </w:rPr>
        <w:t xml:space="preserve"> </w:t>
      </w:r>
      <w:r w:rsidRPr="00725F0A">
        <w:rPr>
          <w:rFonts w:eastAsia="Calibri" w:cs="Times New Roman"/>
        </w:rPr>
        <w:t>However, DUSC noted that the review was only based on 30 months of data and considered that the market had not yet stabilised.</w:t>
      </w:r>
    </w:p>
    <w:p w14:paraId="08B0DDF8" w14:textId="32A49F42" w:rsidR="00AD62AE" w:rsidRDefault="00AD62AE" w:rsidP="00AD62AE">
      <w:pPr>
        <w:pStyle w:val="Heading1"/>
      </w:pPr>
      <w:r>
        <w:t>DUSC actions</w:t>
      </w:r>
    </w:p>
    <w:p w14:paraId="4269EC03" w14:textId="574A8F9B" w:rsidR="00B04427" w:rsidRDefault="00CB0978" w:rsidP="00BD1948">
      <w:r>
        <w:t xml:space="preserve">DUSC </w:t>
      </w:r>
      <w:r w:rsidR="00D6660C">
        <w:t>requested t</w:t>
      </w:r>
      <w:r w:rsidR="0089188D">
        <w:t xml:space="preserve">hat the report be provided to the PBAC for consideration. </w:t>
      </w:r>
    </w:p>
    <w:p w14:paraId="256844EB" w14:textId="77777777" w:rsidR="00D63DBF" w:rsidRDefault="00D63DBF" w:rsidP="00D63DBF">
      <w:pPr>
        <w:pStyle w:val="Heading1"/>
      </w:pPr>
      <w:r w:rsidRPr="0092516A">
        <w:t>Context for analysis</w:t>
      </w:r>
    </w:p>
    <w:p w14:paraId="2C28B51A" w14:textId="77777777" w:rsidR="00D63DBF" w:rsidRDefault="00D63DBF" w:rsidP="00D63DBF">
      <w:r>
        <w:t>The DUSC is a Sub Committee of the Pharmaceutical Benefits Advisory Committee (PBAC). The DUSC assesses estimates on projected usage and financial cost of medicines.</w:t>
      </w:r>
    </w:p>
    <w:p w14:paraId="30B87618" w14:textId="77777777" w:rsidR="00D63DBF" w:rsidRDefault="00D63DBF" w:rsidP="00D63DBF">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2F9753C8" w14:textId="77777777" w:rsidR="00D63DBF" w:rsidRDefault="00D63DBF" w:rsidP="00D63DBF">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5B75EA0F" w14:textId="77777777" w:rsidR="00D63DBF" w:rsidRDefault="00D63DBF" w:rsidP="00D63DBF">
      <w:r>
        <w:t>The utilisation analysis report was provided to the pharmaceutical sponsors of each drug and comments on the report were provided to DUSC prior to its consideration of the analysis.</w:t>
      </w:r>
    </w:p>
    <w:p w14:paraId="55A12973" w14:textId="77777777" w:rsidR="00D63DBF" w:rsidRDefault="00D63DBF" w:rsidP="00D63DBF">
      <w:pPr>
        <w:pStyle w:val="Heading1"/>
      </w:pPr>
      <w:r>
        <w:t>Sponsor</w:t>
      </w:r>
      <w:r w:rsidRPr="0092516A">
        <w:t>s</w:t>
      </w:r>
      <w:r>
        <w:t>’</w:t>
      </w:r>
      <w:r w:rsidRPr="0092516A">
        <w:t xml:space="preserve"> comments</w:t>
      </w:r>
    </w:p>
    <w:p w14:paraId="1A557CFB" w14:textId="6E23E3A3" w:rsidR="00C4276A" w:rsidRDefault="00014DDC" w:rsidP="00D63DBF">
      <w:r w:rsidRPr="00C4276A">
        <w:rPr>
          <w:rFonts w:cstheme="minorHAnsi"/>
        </w:rPr>
        <w:t>Takeda Pharmaceuticals Australia Pty. Ltd.</w:t>
      </w:r>
      <w:r w:rsidRPr="00C4276A">
        <w:t xml:space="preserve">: </w:t>
      </w:r>
      <w:r w:rsidR="00C24B8C">
        <w:t xml:space="preserve">The sponsor has no comment. </w:t>
      </w:r>
    </w:p>
    <w:p w14:paraId="3AAAC950" w14:textId="77777777" w:rsidR="00D63DBF" w:rsidRDefault="00D63DBF" w:rsidP="00D63DBF">
      <w:pPr>
        <w:pStyle w:val="Heading1"/>
      </w:pPr>
      <w:r w:rsidRPr="00A4020E">
        <w:t>Disclaimer</w:t>
      </w:r>
    </w:p>
    <w:p w14:paraId="44F9CA5E" w14:textId="77777777" w:rsidR="00D63DBF" w:rsidRDefault="00D63DBF" w:rsidP="00D63DBF">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3DD55CDA" w14:textId="77777777" w:rsidR="00D63DBF" w:rsidRDefault="00D63DBF" w:rsidP="00D63DBF">
      <w:r>
        <w:t xml:space="preserve">The Department of Health and Aged Care has made all reasonable efforts to ensure that information provided in this report is accurate. The information provided in this report was up-to-date when it was considered by the Drug Utilisation Sub-committee of the </w:t>
      </w:r>
      <w:r>
        <w:lastRenderedPageBreak/>
        <w:t>Pharmaceutical Benefits Advisory Committee.  The context for that information may have changed since publication.</w:t>
      </w:r>
    </w:p>
    <w:p w14:paraId="3D57F5D5" w14:textId="77777777" w:rsidR="00D63DBF" w:rsidRDefault="00D63DBF" w:rsidP="00D63DBF">
      <w:r>
        <w:t xml:space="preserve">To the extent provided by law, the Department of Health and Aged Care makes no warranties or representations as to accuracy or completeness of information contained in this report. </w:t>
      </w:r>
    </w:p>
    <w:p w14:paraId="727EAFA9" w14:textId="77777777" w:rsidR="00D63DBF" w:rsidRDefault="00D63DBF" w:rsidP="00D63DBF">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153F4D0E" w14:textId="77777777" w:rsidR="00B04427" w:rsidRDefault="00B04427" w:rsidP="00BD1948"/>
    <w:sectPr w:rsidR="00B04427" w:rsidSect="00DD188C">
      <w:footerReference w:type="even" r:id="rId27"/>
      <w:footerReference w:type="default" r:id="rId28"/>
      <w:footerReference w:type="first" r:id="rId29"/>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95B6F" w14:textId="77777777" w:rsidR="00145836" w:rsidRDefault="00145836" w:rsidP="00A35800">
      <w:r>
        <w:separator/>
      </w:r>
    </w:p>
  </w:endnote>
  <w:endnote w:type="continuationSeparator" w:id="0">
    <w:p w14:paraId="1F4E61D3" w14:textId="77777777" w:rsidR="00145836" w:rsidRDefault="00145836" w:rsidP="00A35800">
      <w:r>
        <w:continuationSeparator/>
      </w:r>
    </w:p>
  </w:endnote>
  <w:endnote w:type="continuationNotice" w:id="1">
    <w:p w14:paraId="6227F802" w14:textId="77777777" w:rsidR="00145836" w:rsidRDefault="00145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0682B98" w14:textId="32213AE3" w:rsidR="000E72C6" w:rsidRPr="000E72C6" w:rsidRDefault="005E2E93" w:rsidP="000E72C6">
            <w:pPr>
              <w:pStyle w:val="Footer"/>
              <w:jc w:val="center"/>
              <w:rPr>
                <w:i/>
                <w:sz w:val="20"/>
              </w:rPr>
            </w:pPr>
            <w:r>
              <w:rPr>
                <w:i/>
                <w:sz w:val="20"/>
              </w:rPr>
              <w:t>Public Release Document, June 2024 DUSC Meeting</w:t>
            </w:r>
          </w:p>
          <w:p w14:paraId="10292A9A" w14:textId="275D445E"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F0A4E">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F0A4E">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F9EA" w14:textId="77777777" w:rsidR="00145836" w:rsidRDefault="00145836" w:rsidP="00A35800">
      <w:r>
        <w:separator/>
      </w:r>
    </w:p>
  </w:footnote>
  <w:footnote w:type="continuationSeparator" w:id="0">
    <w:p w14:paraId="128C38DC" w14:textId="77777777" w:rsidR="00145836" w:rsidRDefault="00145836" w:rsidP="00A35800">
      <w:r>
        <w:continuationSeparator/>
      </w:r>
    </w:p>
  </w:footnote>
  <w:footnote w:type="continuationNotice" w:id="1">
    <w:p w14:paraId="221D33DB" w14:textId="77777777" w:rsidR="00145836" w:rsidRDefault="00145836">
      <w:pPr>
        <w:spacing w:after="0"/>
      </w:pPr>
    </w:p>
  </w:footnote>
  <w:footnote w:id="2">
    <w:p w14:paraId="3FA7D86B" w14:textId="77777777" w:rsidR="001C28A9" w:rsidRDefault="001C28A9" w:rsidP="001C28A9">
      <w:pPr>
        <w:pStyle w:val="FootnoteText"/>
      </w:pPr>
      <w:r w:rsidRPr="00C1459A">
        <w:rPr>
          <w:rStyle w:val="FootnoteReference"/>
          <w:szCs w:val="18"/>
        </w:rPr>
        <w:footnoteRef/>
      </w:r>
      <w:r w:rsidRPr="00C1459A">
        <w:rPr>
          <w:szCs w:val="18"/>
        </w:rPr>
        <w:t xml:space="preserve"> Lymphoma Australia. Peripheral T-cell Lymphoma (PTCL). Accessed from: https://www.lymphoma.org.au/types-of-lymphoma/non-hodgkin-lymphoma/lymphoma-t-cell/peripheral-t-cell-lymphoma-ptcl/</w:t>
      </w:r>
    </w:p>
  </w:footnote>
  <w:footnote w:id="3">
    <w:p w14:paraId="4E507AB6" w14:textId="171FF395" w:rsidR="00F91E7E" w:rsidRDefault="00F91E7E">
      <w:pPr>
        <w:pStyle w:val="FootnoteText"/>
      </w:pPr>
      <w:r>
        <w:rPr>
          <w:rStyle w:val="FootnoteReference"/>
        </w:rPr>
        <w:footnoteRef/>
      </w:r>
      <w:r>
        <w:t xml:space="preserve"> </w:t>
      </w:r>
      <w:r w:rsidR="00174349">
        <w:rPr>
          <w:szCs w:val="18"/>
        </w:rPr>
        <w:t>Adcetris</w:t>
      </w:r>
      <w:r w:rsidR="00A643D0">
        <w:rPr>
          <w:szCs w:val="18"/>
        </w:rPr>
        <w:t xml:space="preserve"> </w:t>
      </w:r>
      <w:r w:rsidR="00174349">
        <w:rPr>
          <w:szCs w:val="18"/>
        </w:rPr>
        <w:t xml:space="preserve">(brentuximab vedotin). Australian Approved Product Information. </w:t>
      </w:r>
      <w:r w:rsidR="00B60D66">
        <w:rPr>
          <w:szCs w:val="18"/>
        </w:rPr>
        <w:t>Sydney</w:t>
      </w:r>
      <w:r w:rsidR="00174349">
        <w:rPr>
          <w:szCs w:val="18"/>
        </w:rPr>
        <w:t xml:space="preserve">: </w:t>
      </w:r>
      <w:r w:rsidR="00B60D66">
        <w:rPr>
          <w:szCs w:val="18"/>
        </w:rPr>
        <w:t>Takeda Pharmaceuticals Australia Pty. Ltd</w:t>
      </w:r>
      <w:r w:rsidR="00174349">
        <w:rPr>
          <w:szCs w:val="18"/>
        </w:rPr>
        <w:t>. Approved day</w:t>
      </w:r>
      <w:r w:rsidR="00FA28F7">
        <w:rPr>
          <w:szCs w:val="18"/>
        </w:rPr>
        <w:t xml:space="preserve"> 20 December 2013</w:t>
      </w:r>
      <w:r w:rsidR="00174349">
        <w:rPr>
          <w:szCs w:val="18"/>
        </w:rPr>
        <w:t>, update</w:t>
      </w:r>
      <w:r w:rsidR="00FA28F7">
        <w:rPr>
          <w:szCs w:val="18"/>
        </w:rPr>
        <w:t>d 9 January 2024</w:t>
      </w:r>
      <w:r w:rsidR="00174349">
        <w:rPr>
          <w:szCs w:val="18"/>
        </w:rPr>
        <w:t>. Available from &lt;</w:t>
      </w:r>
      <w:r w:rsidR="00174349" w:rsidRPr="00CD4486">
        <w:t xml:space="preserve"> </w:t>
      </w:r>
      <w:r w:rsidR="00174349" w:rsidRPr="00CD4486">
        <w:rPr>
          <w:szCs w:val="18"/>
        </w:rPr>
        <w:t>https://www.tga.gov.au/product-information-pi</w:t>
      </w:r>
      <w:r w:rsidR="00174349">
        <w:rPr>
          <w:szCs w:val="18"/>
        </w:rPr>
        <w:t>.&gt;</w:t>
      </w:r>
    </w:p>
  </w:footnote>
  <w:footnote w:id="4">
    <w:p w14:paraId="57231C5D" w14:textId="74CB2B3E" w:rsidR="0004278B" w:rsidRDefault="0004278B">
      <w:pPr>
        <w:pStyle w:val="FootnoteText"/>
      </w:pPr>
      <w:r>
        <w:rPr>
          <w:rStyle w:val="FootnoteReference"/>
        </w:rPr>
        <w:footnoteRef/>
      </w:r>
      <w:r>
        <w:t xml:space="preserve"> </w:t>
      </w:r>
      <w:r>
        <w:rPr>
          <w:szCs w:val="18"/>
        </w:rPr>
        <w:t>Adcetris (brentuximab vedotin). Australian Approved Consumer Medicines Information. Sydney: Takeda Pharmaceuticals Australia Pty. Ltd. Approved day 20 December 2013, updated 9 January 2024. Available from &lt;</w:t>
      </w:r>
      <w:r w:rsidRPr="00CD4486">
        <w:t xml:space="preserve"> </w:t>
      </w:r>
      <w:r w:rsidRPr="00CD4486">
        <w:rPr>
          <w:szCs w:val="18"/>
        </w:rPr>
        <w:t>https://www.tga.gov.au/product-information-pi</w:t>
      </w:r>
      <w:r>
        <w:rPr>
          <w:szCs w:val="18"/>
        </w:rPr>
        <w:t>.&gt;</w:t>
      </w:r>
    </w:p>
  </w:footnote>
  <w:footnote w:id="5">
    <w:p w14:paraId="2F681D86" w14:textId="26D0D169" w:rsidR="00C50D5A" w:rsidRPr="00E21F10" w:rsidRDefault="00C50D5A" w:rsidP="00E21F10">
      <w:pPr>
        <w:rPr>
          <w:rFonts w:cstheme="minorHAnsi"/>
          <w:color w:val="222222"/>
          <w:shd w:val="clear" w:color="auto" w:fill="FFFFFF"/>
        </w:rPr>
      </w:pPr>
      <w:r>
        <w:rPr>
          <w:rStyle w:val="FootnoteReference"/>
        </w:rPr>
        <w:footnoteRef/>
      </w:r>
      <w:r>
        <w:t xml:space="preserve"> </w:t>
      </w:r>
      <w:r w:rsidR="007D40A9">
        <w:rPr>
          <w:sz w:val="20"/>
          <w:szCs w:val="20"/>
        </w:rPr>
        <w:t xml:space="preserve">Department of Health and Aged Care. PBS News: 1 September 2022 updates as part of the Digital Transformation of Authority Required (Written) listings. </w:t>
      </w:r>
      <w:r w:rsidR="00E21F10">
        <w:rPr>
          <w:sz w:val="20"/>
          <w:szCs w:val="20"/>
        </w:rPr>
        <w:t xml:space="preserve">Accessed from: </w:t>
      </w:r>
      <w:r w:rsidRPr="00C50D5A">
        <w:rPr>
          <w:rFonts w:cstheme="minorHAnsi"/>
          <w:color w:val="222222"/>
          <w:sz w:val="20"/>
          <w:szCs w:val="20"/>
          <w:shd w:val="clear" w:color="auto" w:fill="FFFFFF"/>
        </w:rPr>
        <w:t>https://www.pbs.gov.au/info/news/2022/08/1-september-2022-updates-as-part-of-the-digital-transformation</w:t>
      </w:r>
    </w:p>
  </w:footnote>
  <w:footnote w:id="6">
    <w:p w14:paraId="0A4DD767" w14:textId="6B3A91EE" w:rsidR="00576B18" w:rsidRPr="00BC5AE2" w:rsidRDefault="00576B18" w:rsidP="00576B18">
      <w:pPr>
        <w:pStyle w:val="FootnoteText"/>
        <w:rPr>
          <w:sz w:val="20"/>
        </w:rPr>
      </w:pPr>
      <w:r w:rsidRPr="00BC5AE2">
        <w:rPr>
          <w:rStyle w:val="FootnoteReference"/>
          <w:sz w:val="20"/>
        </w:rPr>
        <w:footnoteRef/>
      </w:r>
      <w:r w:rsidRPr="00BC5AE2">
        <w:rPr>
          <w:sz w:val="20"/>
        </w:rPr>
        <w:t xml:space="preserve"> PBS statistics</w:t>
      </w:r>
      <w:r>
        <w:rPr>
          <w:sz w:val="20"/>
        </w:rPr>
        <w:t xml:space="preserve">. Australian Government </w:t>
      </w:r>
      <w:r w:rsidR="006804E0" w:rsidRPr="006804E0">
        <w:rPr>
          <w:sz w:val="20"/>
        </w:rPr>
        <w:t>Services Australia</w:t>
      </w:r>
      <w:r>
        <w:rPr>
          <w:sz w:val="20"/>
        </w:rPr>
        <w:t>. Canberra. Available from &lt;</w:t>
      </w:r>
      <w:hyperlink r:id="rId1" w:history="1">
        <w:r>
          <w:rPr>
            <w:rStyle w:val="Hyperlink"/>
            <w:sz w:val="20"/>
          </w:rPr>
          <w:t>http://www.medicareaustralia.gov.au/provider/pbs/stats.jsp</w:t>
        </w:r>
      </w:hyperlink>
      <w:r>
        <w:rPr>
          <w:sz w:val="20"/>
        </w:rPr>
        <w:t>&gt;.</w:t>
      </w:r>
    </w:p>
  </w:footnote>
  <w:footnote w:id="7">
    <w:p w14:paraId="2516245B" w14:textId="54099753" w:rsidR="00390879" w:rsidRDefault="00390879">
      <w:pPr>
        <w:pStyle w:val="FootnoteText"/>
      </w:pPr>
      <w:r>
        <w:rPr>
          <w:rStyle w:val="FootnoteReference"/>
        </w:rPr>
        <w:footnoteRef/>
      </w:r>
      <w:r>
        <w:t xml:space="preserve"> </w:t>
      </w:r>
      <w:r w:rsidR="004E54FA" w:rsidRPr="004E54FA">
        <w:rPr>
          <w:rFonts w:cstheme="minorHAnsi"/>
          <w:color w:val="212121"/>
          <w:szCs w:val="18"/>
          <w:shd w:val="clear" w:color="auto" w:fill="FFFFFF"/>
        </w:rPr>
        <w:t>Horwitz S, O'Connor OA, Pro B, et al. The ECHELON-2 Trial: 5-year results of a randomized, phase III study of brentuximab vedotin with chemotherapy for CD30-positive peripheral T-cell lymphoma. </w:t>
      </w:r>
      <w:r w:rsidR="004E54FA" w:rsidRPr="004E54FA">
        <w:rPr>
          <w:rFonts w:cstheme="minorHAnsi"/>
          <w:i/>
          <w:iCs/>
          <w:color w:val="212121"/>
          <w:szCs w:val="18"/>
          <w:shd w:val="clear" w:color="auto" w:fill="FFFFFF"/>
        </w:rPr>
        <w:t>Ann Oncol</w:t>
      </w:r>
      <w:r w:rsidR="004E54FA" w:rsidRPr="004E54FA">
        <w:rPr>
          <w:rFonts w:cstheme="minorHAnsi"/>
          <w:color w:val="212121"/>
          <w:szCs w:val="18"/>
          <w:shd w:val="clear" w:color="auto" w:fill="FFFFFF"/>
        </w:rPr>
        <w:t>. 2022;33(3):288-298. doi:10.1016/j.annonc.2021.12.002</w:t>
      </w:r>
    </w:p>
  </w:footnote>
  <w:footnote w:id="8">
    <w:p w14:paraId="57373AA9" w14:textId="77777777" w:rsidR="00F73F88" w:rsidRDefault="00F73F88" w:rsidP="00F73F88">
      <w:pPr>
        <w:pStyle w:val="FootnoteText"/>
      </w:pPr>
      <w:r>
        <w:rPr>
          <w:rStyle w:val="FootnoteReference"/>
        </w:rPr>
        <w:footnoteRef/>
      </w:r>
      <w:r>
        <w:t xml:space="preserve"> </w:t>
      </w:r>
      <w:r w:rsidRPr="007C6F26">
        <w:rPr>
          <w:color w:val="212529"/>
          <w:shd w:val="clear" w:color="auto" w:fill="FFFFFF"/>
        </w:rPr>
        <w:t>Sabattini E, Pizzi M, Tabanelli V, et al. CD30 expression in peripheral T-cell lymphomas. Haematologica 2013;98(8):e81-e82; doi:10.3324/haematol.2013.084913.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51A1"/>
    <w:multiLevelType w:val="hybridMultilevel"/>
    <w:tmpl w:val="853C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34B0"/>
    <w:multiLevelType w:val="hybridMultilevel"/>
    <w:tmpl w:val="07C8E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9608D"/>
    <w:multiLevelType w:val="hybridMultilevel"/>
    <w:tmpl w:val="CDB4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8345B"/>
    <w:multiLevelType w:val="hybridMultilevel"/>
    <w:tmpl w:val="6C40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231D3F"/>
    <w:multiLevelType w:val="hybridMultilevel"/>
    <w:tmpl w:val="6D2E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F7E51"/>
    <w:multiLevelType w:val="hybridMultilevel"/>
    <w:tmpl w:val="A51C9C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06FE8"/>
    <w:multiLevelType w:val="hybridMultilevel"/>
    <w:tmpl w:val="AF8E6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C793E"/>
    <w:multiLevelType w:val="multilevel"/>
    <w:tmpl w:val="B4C2F528"/>
    <w:lvl w:ilvl="0">
      <w:start w:val="8"/>
      <w:numFmt w:val="decimal"/>
      <w:lvlText w:val="%1"/>
      <w:lvlJc w:val="left"/>
      <w:pPr>
        <w:ind w:left="360" w:hanging="360"/>
      </w:pPr>
      <w:rPr>
        <w:rFonts w:asciiTheme="minorHAnsi" w:hAnsiTheme="minorHAnsi" w:hint="default"/>
        <w:sz w:val="22"/>
      </w:rPr>
    </w:lvl>
    <w:lvl w:ilvl="1">
      <w:start w:val="2"/>
      <w:numFmt w:val="decimal"/>
      <w:lvlText w:val="%1.%2"/>
      <w:lvlJc w:val="left"/>
      <w:pPr>
        <w:ind w:left="720" w:hanging="720"/>
      </w:pPr>
      <w:rPr>
        <w:rFonts w:asciiTheme="minorHAnsi" w:hAnsiTheme="minorHAnsi" w:hint="default"/>
        <w:sz w:val="24"/>
        <w:szCs w:val="24"/>
      </w:rPr>
    </w:lvl>
    <w:lvl w:ilvl="2">
      <w:start w:val="1"/>
      <w:numFmt w:val="decimal"/>
      <w:lvlText w:val="%1.%2.%3"/>
      <w:lvlJc w:val="left"/>
      <w:pPr>
        <w:ind w:left="1080" w:hanging="1080"/>
      </w:pPr>
      <w:rPr>
        <w:rFonts w:asciiTheme="minorHAnsi" w:hAnsiTheme="minorHAnsi" w:hint="default"/>
        <w:sz w:val="22"/>
      </w:rPr>
    </w:lvl>
    <w:lvl w:ilvl="3">
      <w:start w:val="1"/>
      <w:numFmt w:val="decimal"/>
      <w:lvlText w:val="%1.%2.%3.%4"/>
      <w:lvlJc w:val="left"/>
      <w:pPr>
        <w:ind w:left="1080" w:hanging="1080"/>
      </w:pPr>
      <w:rPr>
        <w:rFonts w:asciiTheme="minorHAnsi" w:hAnsiTheme="minorHAnsi" w:hint="default"/>
        <w:sz w:val="22"/>
      </w:rPr>
    </w:lvl>
    <w:lvl w:ilvl="4">
      <w:start w:val="1"/>
      <w:numFmt w:val="decimal"/>
      <w:lvlText w:val="%1.%2.%3.%4.%5"/>
      <w:lvlJc w:val="left"/>
      <w:pPr>
        <w:ind w:left="1440" w:hanging="1440"/>
      </w:pPr>
      <w:rPr>
        <w:rFonts w:asciiTheme="minorHAnsi" w:hAnsiTheme="minorHAnsi" w:hint="default"/>
        <w:sz w:val="22"/>
      </w:rPr>
    </w:lvl>
    <w:lvl w:ilvl="5">
      <w:start w:val="1"/>
      <w:numFmt w:val="decimal"/>
      <w:lvlText w:val="%1.%2.%3.%4.%5.%6"/>
      <w:lvlJc w:val="left"/>
      <w:pPr>
        <w:ind w:left="1800" w:hanging="1800"/>
      </w:pPr>
      <w:rPr>
        <w:rFonts w:asciiTheme="minorHAnsi" w:hAnsiTheme="minorHAnsi" w:hint="default"/>
        <w:sz w:val="22"/>
      </w:rPr>
    </w:lvl>
    <w:lvl w:ilvl="6">
      <w:start w:val="1"/>
      <w:numFmt w:val="decimal"/>
      <w:lvlText w:val="%1.%2.%3.%4.%5.%6.%7"/>
      <w:lvlJc w:val="left"/>
      <w:pPr>
        <w:ind w:left="2160" w:hanging="2160"/>
      </w:pPr>
      <w:rPr>
        <w:rFonts w:asciiTheme="minorHAnsi" w:hAnsiTheme="minorHAnsi" w:hint="default"/>
        <w:sz w:val="22"/>
      </w:rPr>
    </w:lvl>
    <w:lvl w:ilvl="7">
      <w:start w:val="1"/>
      <w:numFmt w:val="decimal"/>
      <w:lvlText w:val="%1.%2.%3.%4.%5.%6.%7.%8"/>
      <w:lvlJc w:val="left"/>
      <w:pPr>
        <w:ind w:left="2160" w:hanging="2160"/>
      </w:pPr>
      <w:rPr>
        <w:rFonts w:asciiTheme="minorHAnsi" w:hAnsiTheme="minorHAnsi" w:hint="default"/>
        <w:sz w:val="22"/>
      </w:rPr>
    </w:lvl>
    <w:lvl w:ilvl="8">
      <w:start w:val="1"/>
      <w:numFmt w:val="decimal"/>
      <w:lvlText w:val="%1.%2.%3.%4.%5.%6.%7.%8.%9"/>
      <w:lvlJc w:val="left"/>
      <w:pPr>
        <w:ind w:left="2520" w:hanging="2520"/>
      </w:pPr>
      <w:rPr>
        <w:rFonts w:asciiTheme="minorHAnsi" w:hAnsiTheme="minorHAnsi" w:hint="default"/>
        <w:sz w:val="22"/>
      </w:rPr>
    </w:lvl>
  </w:abstractNum>
  <w:abstractNum w:abstractNumId="10" w15:restartNumberingAfterBreak="0">
    <w:nsid w:val="3BA433E0"/>
    <w:multiLevelType w:val="hybridMultilevel"/>
    <w:tmpl w:val="A364B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1021F"/>
    <w:multiLevelType w:val="hybridMultilevel"/>
    <w:tmpl w:val="0AD85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8D67A6"/>
    <w:multiLevelType w:val="hybridMultilevel"/>
    <w:tmpl w:val="9FEC877E"/>
    <w:lvl w:ilvl="0" w:tplc="8708BECA">
      <w:start w:val="1"/>
      <w:numFmt w:val="bullet"/>
      <w:lvlText w:val=""/>
      <w:lvlJc w:val="left"/>
      <w:pPr>
        <w:ind w:left="720" w:hanging="360"/>
      </w:pPr>
      <w:rPr>
        <w:rFonts w:ascii="Symbol" w:hAnsi="Symbol" w:hint="default"/>
      </w:rPr>
    </w:lvl>
    <w:lvl w:ilvl="1" w:tplc="848C7E78">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D3CFC"/>
    <w:multiLevelType w:val="hybridMultilevel"/>
    <w:tmpl w:val="AE322A4C"/>
    <w:lvl w:ilvl="0" w:tplc="6A6C51D0">
      <w:start w:val="1"/>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28E45BF"/>
    <w:multiLevelType w:val="hybridMultilevel"/>
    <w:tmpl w:val="C7B4B950"/>
    <w:lvl w:ilvl="0" w:tplc="BA3E6710">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B408DF"/>
    <w:multiLevelType w:val="hybridMultilevel"/>
    <w:tmpl w:val="FD96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9D63B8"/>
    <w:multiLevelType w:val="multilevel"/>
    <w:tmpl w:val="9D6A827E"/>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401977"/>
    <w:multiLevelType w:val="hybridMultilevel"/>
    <w:tmpl w:val="36DCE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880EB7"/>
    <w:multiLevelType w:val="hybridMultilevel"/>
    <w:tmpl w:val="27568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2963EE0"/>
    <w:multiLevelType w:val="hybridMultilevel"/>
    <w:tmpl w:val="9C0C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85AED71A"/>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B90BBE"/>
    <w:multiLevelType w:val="hybridMultilevel"/>
    <w:tmpl w:val="A47832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50544337">
    <w:abstractNumId w:val="19"/>
  </w:num>
  <w:num w:numId="2" w16cid:durableId="1310943459">
    <w:abstractNumId w:val="18"/>
  </w:num>
  <w:num w:numId="3" w16cid:durableId="1239709270">
    <w:abstractNumId w:val="7"/>
  </w:num>
  <w:num w:numId="4" w16cid:durableId="1725524708">
    <w:abstractNumId w:val="16"/>
  </w:num>
  <w:num w:numId="5" w16cid:durableId="175579208">
    <w:abstractNumId w:val="22"/>
  </w:num>
  <w:num w:numId="6" w16cid:durableId="1446731796">
    <w:abstractNumId w:val="8"/>
  </w:num>
  <w:num w:numId="7" w16cid:durableId="1984045727">
    <w:abstractNumId w:val="20"/>
  </w:num>
  <w:num w:numId="8" w16cid:durableId="972444584">
    <w:abstractNumId w:val="2"/>
  </w:num>
  <w:num w:numId="9" w16cid:durableId="272833068">
    <w:abstractNumId w:val="12"/>
  </w:num>
  <w:num w:numId="10" w16cid:durableId="755593234">
    <w:abstractNumId w:val="21"/>
  </w:num>
  <w:num w:numId="11" w16cid:durableId="592055888">
    <w:abstractNumId w:val="10"/>
  </w:num>
  <w:num w:numId="12" w16cid:durableId="1981691765">
    <w:abstractNumId w:val="13"/>
  </w:num>
  <w:num w:numId="13" w16cid:durableId="2064912725">
    <w:abstractNumId w:val="5"/>
  </w:num>
  <w:num w:numId="14" w16cid:durableId="1071657034">
    <w:abstractNumId w:val="3"/>
  </w:num>
  <w:num w:numId="15" w16cid:durableId="1314870889">
    <w:abstractNumId w:val="6"/>
  </w:num>
  <w:num w:numId="16" w16cid:durableId="1553926993">
    <w:abstractNumId w:val="15"/>
  </w:num>
  <w:num w:numId="17" w16cid:durableId="1121145489">
    <w:abstractNumId w:val="1"/>
  </w:num>
  <w:num w:numId="18" w16cid:durableId="1700355671">
    <w:abstractNumId w:val="14"/>
  </w:num>
  <w:num w:numId="19" w16cid:durableId="2070029453">
    <w:abstractNumId w:val="9"/>
  </w:num>
  <w:num w:numId="20" w16cid:durableId="2146117832">
    <w:abstractNumId w:val="11"/>
  </w:num>
  <w:num w:numId="21" w16cid:durableId="860708291">
    <w:abstractNumId w:val="17"/>
  </w:num>
  <w:num w:numId="22" w16cid:durableId="383064262">
    <w:abstractNumId w:val="4"/>
  </w:num>
  <w:num w:numId="23" w16cid:durableId="83781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142E"/>
    <w:rsid w:val="00002C32"/>
    <w:rsid w:val="00002DCE"/>
    <w:rsid w:val="00004105"/>
    <w:rsid w:val="0000761A"/>
    <w:rsid w:val="00007991"/>
    <w:rsid w:val="00007E85"/>
    <w:rsid w:val="00010704"/>
    <w:rsid w:val="000108EF"/>
    <w:rsid w:val="000132E2"/>
    <w:rsid w:val="00013465"/>
    <w:rsid w:val="00014DDC"/>
    <w:rsid w:val="00017799"/>
    <w:rsid w:val="00021BBF"/>
    <w:rsid w:val="000220D2"/>
    <w:rsid w:val="000226B3"/>
    <w:rsid w:val="00024549"/>
    <w:rsid w:val="00025FFB"/>
    <w:rsid w:val="000263BF"/>
    <w:rsid w:val="00031A19"/>
    <w:rsid w:val="00033864"/>
    <w:rsid w:val="00037D52"/>
    <w:rsid w:val="0004278B"/>
    <w:rsid w:val="00044843"/>
    <w:rsid w:val="0004512D"/>
    <w:rsid w:val="0004512F"/>
    <w:rsid w:val="00045A98"/>
    <w:rsid w:val="000524B9"/>
    <w:rsid w:val="00052622"/>
    <w:rsid w:val="000544B6"/>
    <w:rsid w:val="00054DF9"/>
    <w:rsid w:val="00055102"/>
    <w:rsid w:val="00060034"/>
    <w:rsid w:val="0006028E"/>
    <w:rsid w:val="000604AF"/>
    <w:rsid w:val="0007173F"/>
    <w:rsid w:val="000742F3"/>
    <w:rsid w:val="000801AD"/>
    <w:rsid w:val="0008255A"/>
    <w:rsid w:val="0008320B"/>
    <w:rsid w:val="00083CA6"/>
    <w:rsid w:val="00085317"/>
    <w:rsid w:val="00086C11"/>
    <w:rsid w:val="00086EC5"/>
    <w:rsid w:val="0008756F"/>
    <w:rsid w:val="00090DD7"/>
    <w:rsid w:val="000910D7"/>
    <w:rsid w:val="00094DCF"/>
    <w:rsid w:val="00095E91"/>
    <w:rsid w:val="000A0B30"/>
    <w:rsid w:val="000A11F5"/>
    <w:rsid w:val="000A2E6D"/>
    <w:rsid w:val="000A57C8"/>
    <w:rsid w:val="000A6CFD"/>
    <w:rsid w:val="000B0982"/>
    <w:rsid w:val="000B3278"/>
    <w:rsid w:val="000B35EA"/>
    <w:rsid w:val="000B5668"/>
    <w:rsid w:val="000B60B6"/>
    <w:rsid w:val="000B6E8F"/>
    <w:rsid w:val="000B796C"/>
    <w:rsid w:val="000C02BA"/>
    <w:rsid w:val="000C090C"/>
    <w:rsid w:val="000C2694"/>
    <w:rsid w:val="000C2C14"/>
    <w:rsid w:val="000C46BB"/>
    <w:rsid w:val="000C4D9D"/>
    <w:rsid w:val="000C50A6"/>
    <w:rsid w:val="000C7C4B"/>
    <w:rsid w:val="000C7D8B"/>
    <w:rsid w:val="000D09B2"/>
    <w:rsid w:val="000D30CF"/>
    <w:rsid w:val="000E051E"/>
    <w:rsid w:val="000E45EA"/>
    <w:rsid w:val="000E485D"/>
    <w:rsid w:val="000E5407"/>
    <w:rsid w:val="000E6230"/>
    <w:rsid w:val="000E6998"/>
    <w:rsid w:val="000E72C6"/>
    <w:rsid w:val="000F13C1"/>
    <w:rsid w:val="000F1893"/>
    <w:rsid w:val="000F2F51"/>
    <w:rsid w:val="000F3696"/>
    <w:rsid w:val="000F4E4E"/>
    <w:rsid w:val="000F6223"/>
    <w:rsid w:val="000F69C1"/>
    <w:rsid w:val="00103B75"/>
    <w:rsid w:val="00104AF4"/>
    <w:rsid w:val="001051D8"/>
    <w:rsid w:val="001077A1"/>
    <w:rsid w:val="00107BFF"/>
    <w:rsid w:val="001106E1"/>
    <w:rsid w:val="001111E7"/>
    <w:rsid w:val="00112BC0"/>
    <w:rsid w:val="00112BDC"/>
    <w:rsid w:val="00113CF8"/>
    <w:rsid w:val="00113D74"/>
    <w:rsid w:val="00113E27"/>
    <w:rsid w:val="00113E6B"/>
    <w:rsid w:val="00114F99"/>
    <w:rsid w:val="00115ABA"/>
    <w:rsid w:val="00116528"/>
    <w:rsid w:val="001173D6"/>
    <w:rsid w:val="00117C5C"/>
    <w:rsid w:val="00120A2F"/>
    <w:rsid w:val="00125B6D"/>
    <w:rsid w:val="00125F13"/>
    <w:rsid w:val="001310AE"/>
    <w:rsid w:val="00132A59"/>
    <w:rsid w:val="00134128"/>
    <w:rsid w:val="0013560D"/>
    <w:rsid w:val="00135E23"/>
    <w:rsid w:val="001364BA"/>
    <w:rsid w:val="00136771"/>
    <w:rsid w:val="00137026"/>
    <w:rsid w:val="00137229"/>
    <w:rsid w:val="0014132C"/>
    <w:rsid w:val="001420B3"/>
    <w:rsid w:val="001420D0"/>
    <w:rsid w:val="0014298B"/>
    <w:rsid w:val="001443ED"/>
    <w:rsid w:val="00145836"/>
    <w:rsid w:val="001460C4"/>
    <w:rsid w:val="00147DA7"/>
    <w:rsid w:val="00151FE2"/>
    <w:rsid w:val="001520C8"/>
    <w:rsid w:val="001536E3"/>
    <w:rsid w:val="001562AE"/>
    <w:rsid w:val="0015691C"/>
    <w:rsid w:val="00156B1F"/>
    <w:rsid w:val="001618D2"/>
    <w:rsid w:val="001621F7"/>
    <w:rsid w:val="001624D7"/>
    <w:rsid w:val="001662CB"/>
    <w:rsid w:val="00171C69"/>
    <w:rsid w:val="00174349"/>
    <w:rsid w:val="00175B4B"/>
    <w:rsid w:val="00177B86"/>
    <w:rsid w:val="00181613"/>
    <w:rsid w:val="00182052"/>
    <w:rsid w:val="00182563"/>
    <w:rsid w:val="00182585"/>
    <w:rsid w:val="00184DD7"/>
    <w:rsid w:val="00185587"/>
    <w:rsid w:val="00191182"/>
    <w:rsid w:val="001913A0"/>
    <w:rsid w:val="0019664D"/>
    <w:rsid w:val="00197A04"/>
    <w:rsid w:val="001A0036"/>
    <w:rsid w:val="001A1CDC"/>
    <w:rsid w:val="001A4C44"/>
    <w:rsid w:val="001A6103"/>
    <w:rsid w:val="001B3663"/>
    <w:rsid w:val="001B3ED3"/>
    <w:rsid w:val="001B4993"/>
    <w:rsid w:val="001B5D37"/>
    <w:rsid w:val="001B6603"/>
    <w:rsid w:val="001B7DB2"/>
    <w:rsid w:val="001C219B"/>
    <w:rsid w:val="001C28A9"/>
    <w:rsid w:val="001C2940"/>
    <w:rsid w:val="001C4016"/>
    <w:rsid w:val="001C548D"/>
    <w:rsid w:val="001C6024"/>
    <w:rsid w:val="001C6A5D"/>
    <w:rsid w:val="001D2F04"/>
    <w:rsid w:val="001D5715"/>
    <w:rsid w:val="001E0E9A"/>
    <w:rsid w:val="001E0F2A"/>
    <w:rsid w:val="001E1902"/>
    <w:rsid w:val="001E20D8"/>
    <w:rsid w:val="001E2CA1"/>
    <w:rsid w:val="001E31A6"/>
    <w:rsid w:val="001E42C7"/>
    <w:rsid w:val="001E4CAB"/>
    <w:rsid w:val="001E602A"/>
    <w:rsid w:val="001E6C80"/>
    <w:rsid w:val="001E7A33"/>
    <w:rsid w:val="001F0A4E"/>
    <w:rsid w:val="001F2F3E"/>
    <w:rsid w:val="001F4906"/>
    <w:rsid w:val="001F6110"/>
    <w:rsid w:val="001F73B7"/>
    <w:rsid w:val="001F7C4A"/>
    <w:rsid w:val="002011F0"/>
    <w:rsid w:val="00201797"/>
    <w:rsid w:val="0020578A"/>
    <w:rsid w:val="00206448"/>
    <w:rsid w:val="00207628"/>
    <w:rsid w:val="00207631"/>
    <w:rsid w:val="0021062E"/>
    <w:rsid w:val="002106C7"/>
    <w:rsid w:val="00210F22"/>
    <w:rsid w:val="00214013"/>
    <w:rsid w:val="0021485F"/>
    <w:rsid w:val="002163AE"/>
    <w:rsid w:val="00220C32"/>
    <w:rsid w:val="00220FC1"/>
    <w:rsid w:val="00222E9A"/>
    <w:rsid w:val="00225F7D"/>
    <w:rsid w:val="0022668A"/>
    <w:rsid w:val="002273D6"/>
    <w:rsid w:val="00227A97"/>
    <w:rsid w:val="00231262"/>
    <w:rsid w:val="0023179D"/>
    <w:rsid w:val="002317D4"/>
    <w:rsid w:val="00236459"/>
    <w:rsid w:val="00236DC6"/>
    <w:rsid w:val="00240959"/>
    <w:rsid w:val="0024118D"/>
    <w:rsid w:val="002414B7"/>
    <w:rsid w:val="00245EEA"/>
    <w:rsid w:val="00246DE0"/>
    <w:rsid w:val="00247792"/>
    <w:rsid w:val="00247A0F"/>
    <w:rsid w:val="0025389D"/>
    <w:rsid w:val="00253B59"/>
    <w:rsid w:val="00253EE3"/>
    <w:rsid w:val="00254E02"/>
    <w:rsid w:val="002607CD"/>
    <w:rsid w:val="0026265F"/>
    <w:rsid w:val="002634AB"/>
    <w:rsid w:val="00263618"/>
    <w:rsid w:val="00267B2F"/>
    <w:rsid w:val="002707B2"/>
    <w:rsid w:val="002714FE"/>
    <w:rsid w:val="00271867"/>
    <w:rsid w:val="00271CAE"/>
    <w:rsid w:val="0027362B"/>
    <w:rsid w:val="002754A5"/>
    <w:rsid w:val="00281D79"/>
    <w:rsid w:val="002829E7"/>
    <w:rsid w:val="00282A48"/>
    <w:rsid w:val="0028364B"/>
    <w:rsid w:val="0028438B"/>
    <w:rsid w:val="002847E2"/>
    <w:rsid w:val="00286C3A"/>
    <w:rsid w:val="002903BB"/>
    <w:rsid w:val="0029207A"/>
    <w:rsid w:val="002930F5"/>
    <w:rsid w:val="00295238"/>
    <w:rsid w:val="002970DE"/>
    <w:rsid w:val="002A0648"/>
    <w:rsid w:val="002A06B7"/>
    <w:rsid w:val="002A3772"/>
    <w:rsid w:val="002A382B"/>
    <w:rsid w:val="002A7F85"/>
    <w:rsid w:val="002B2A23"/>
    <w:rsid w:val="002B36D1"/>
    <w:rsid w:val="002B3D3A"/>
    <w:rsid w:val="002B4F72"/>
    <w:rsid w:val="002B50E8"/>
    <w:rsid w:val="002B5B17"/>
    <w:rsid w:val="002B61FC"/>
    <w:rsid w:val="002B66CB"/>
    <w:rsid w:val="002C0FA6"/>
    <w:rsid w:val="002C4CB0"/>
    <w:rsid w:val="002C6117"/>
    <w:rsid w:val="002C6E0C"/>
    <w:rsid w:val="002D0130"/>
    <w:rsid w:val="002D074C"/>
    <w:rsid w:val="002D144A"/>
    <w:rsid w:val="002D3E99"/>
    <w:rsid w:val="002D4FBC"/>
    <w:rsid w:val="002E03B9"/>
    <w:rsid w:val="002E19A3"/>
    <w:rsid w:val="002E212B"/>
    <w:rsid w:val="002E3337"/>
    <w:rsid w:val="002E3E90"/>
    <w:rsid w:val="002E6C17"/>
    <w:rsid w:val="002E6D03"/>
    <w:rsid w:val="002E7ABD"/>
    <w:rsid w:val="002F2F8A"/>
    <w:rsid w:val="002F4348"/>
    <w:rsid w:val="002F49A8"/>
    <w:rsid w:val="002F57D8"/>
    <w:rsid w:val="002F5E66"/>
    <w:rsid w:val="002F61CA"/>
    <w:rsid w:val="002F7A89"/>
    <w:rsid w:val="0030010D"/>
    <w:rsid w:val="00302FB1"/>
    <w:rsid w:val="003032E8"/>
    <w:rsid w:val="00304C90"/>
    <w:rsid w:val="00310004"/>
    <w:rsid w:val="003100A2"/>
    <w:rsid w:val="003129C8"/>
    <w:rsid w:val="003146F7"/>
    <w:rsid w:val="00317772"/>
    <w:rsid w:val="00326369"/>
    <w:rsid w:val="00331E69"/>
    <w:rsid w:val="00332D6A"/>
    <w:rsid w:val="00334C5A"/>
    <w:rsid w:val="0033504C"/>
    <w:rsid w:val="003356C6"/>
    <w:rsid w:val="00336816"/>
    <w:rsid w:val="003370D0"/>
    <w:rsid w:val="00337355"/>
    <w:rsid w:val="00337819"/>
    <w:rsid w:val="003402E4"/>
    <w:rsid w:val="00340F95"/>
    <w:rsid w:val="00341079"/>
    <w:rsid w:val="00341572"/>
    <w:rsid w:val="00341C3E"/>
    <w:rsid w:val="0034324F"/>
    <w:rsid w:val="00345167"/>
    <w:rsid w:val="003472BE"/>
    <w:rsid w:val="00350E86"/>
    <w:rsid w:val="003531ED"/>
    <w:rsid w:val="00354D81"/>
    <w:rsid w:val="00356129"/>
    <w:rsid w:val="00360B9A"/>
    <w:rsid w:val="00361254"/>
    <w:rsid w:val="003615F6"/>
    <w:rsid w:val="00363693"/>
    <w:rsid w:val="00364D5F"/>
    <w:rsid w:val="003651A0"/>
    <w:rsid w:val="0037290C"/>
    <w:rsid w:val="00372ADF"/>
    <w:rsid w:val="00372FFD"/>
    <w:rsid w:val="00373997"/>
    <w:rsid w:val="0037547B"/>
    <w:rsid w:val="003756AB"/>
    <w:rsid w:val="00376FFB"/>
    <w:rsid w:val="0038590D"/>
    <w:rsid w:val="0039017F"/>
    <w:rsid w:val="00390879"/>
    <w:rsid w:val="00391B28"/>
    <w:rsid w:val="00393F32"/>
    <w:rsid w:val="003945DA"/>
    <w:rsid w:val="00394AEE"/>
    <w:rsid w:val="003A0037"/>
    <w:rsid w:val="003A223F"/>
    <w:rsid w:val="003A3AC3"/>
    <w:rsid w:val="003A5165"/>
    <w:rsid w:val="003A6C85"/>
    <w:rsid w:val="003A7301"/>
    <w:rsid w:val="003B02E8"/>
    <w:rsid w:val="003B0E99"/>
    <w:rsid w:val="003B11B6"/>
    <w:rsid w:val="003B3D77"/>
    <w:rsid w:val="003B77DC"/>
    <w:rsid w:val="003C005C"/>
    <w:rsid w:val="003C0F14"/>
    <w:rsid w:val="003C1003"/>
    <w:rsid w:val="003C232F"/>
    <w:rsid w:val="003C2D98"/>
    <w:rsid w:val="003C3FB3"/>
    <w:rsid w:val="003C523B"/>
    <w:rsid w:val="003D356A"/>
    <w:rsid w:val="003D3A96"/>
    <w:rsid w:val="003D3B9C"/>
    <w:rsid w:val="003D48B3"/>
    <w:rsid w:val="003D5CE9"/>
    <w:rsid w:val="003E09D0"/>
    <w:rsid w:val="003E71CB"/>
    <w:rsid w:val="003F0655"/>
    <w:rsid w:val="003F25C7"/>
    <w:rsid w:val="003F2890"/>
    <w:rsid w:val="003F379C"/>
    <w:rsid w:val="003F4149"/>
    <w:rsid w:val="003F6201"/>
    <w:rsid w:val="00400785"/>
    <w:rsid w:val="004007C3"/>
    <w:rsid w:val="00402D66"/>
    <w:rsid w:val="00404A73"/>
    <w:rsid w:val="00404F03"/>
    <w:rsid w:val="0040630B"/>
    <w:rsid w:val="00407626"/>
    <w:rsid w:val="00407719"/>
    <w:rsid w:val="00410333"/>
    <w:rsid w:val="004114C6"/>
    <w:rsid w:val="00412051"/>
    <w:rsid w:val="00412B8B"/>
    <w:rsid w:val="00413F0D"/>
    <w:rsid w:val="0041518A"/>
    <w:rsid w:val="00415840"/>
    <w:rsid w:val="00415AF4"/>
    <w:rsid w:val="004212E0"/>
    <w:rsid w:val="00421618"/>
    <w:rsid w:val="00423B94"/>
    <w:rsid w:val="00423CD2"/>
    <w:rsid w:val="00423D84"/>
    <w:rsid w:val="004268F5"/>
    <w:rsid w:val="00427987"/>
    <w:rsid w:val="0043082E"/>
    <w:rsid w:val="00430B98"/>
    <w:rsid w:val="0043350B"/>
    <w:rsid w:val="004338D2"/>
    <w:rsid w:val="00434F05"/>
    <w:rsid w:val="00435E4F"/>
    <w:rsid w:val="004370BB"/>
    <w:rsid w:val="00444388"/>
    <w:rsid w:val="004443A0"/>
    <w:rsid w:val="004518E4"/>
    <w:rsid w:val="00452739"/>
    <w:rsid w:val="00453B5E"/>
    <w:rsid w:val="00454424"/>
    <w:rsid w:val="004544FD"/>
    <w:rsid w:val="00454634"/>
    <w:rsid w:val="00460766"/>
    <w:rsid w:val="0046156D"/>
    <w:rsid w:val="00463731"/>
    <w:rsid w:val="004637DC"/>
    <w:rsid w:val="00463A6C"/>
    <w:rsid w:val="0046400A"/>
    <w:rsid w:val="00465CF9"/>
    <w:rsid w:val="004668E2"/>
    <w:rsid w:val="00466EA4"/>
    <w:rsid w:val="00467B25"/>
    <w:rsid w:val="0047290F"/>
    <w:rsid w:val="00474312"/>
    <w:rsid w:val="00476BEE"/>
    <w:rsid w:val="004800D3"/>
    <w:rsid w:val="00481108"/>
    <w:rsid w:val="00481FBA"/>
    <w:rsid w:val="00487059"/>
    <w:rsid w:val="0048761C"/>
    <w:rsid w:val="0049042B"/>
    <w:rsid w:val="004908FE"/>
    <w:rsid w:val="00490D01"/>
    <w:rsid w:val="004925D0"/>
    <w:rsid w:val="00495473"/>
    <w:rsid w:val="00496196"/>
    <w:rsid w:val="00496D85"/>
    <w:rsid w:val="004A1721"/>
    <w:rsid w:val="004A259B"/>
    <w:rsid w:val="004A3E14"/>
    <w:rsid w:val="004A458E"/>
    <w:rsid w:val="004A6202"/>
    <w:rsid w:val="004A7018"/>
    <w:rsid w:val="004B2316"/>
    <w:rsid w:val="004B23E7"/>
    <w:rsid w:val="004B306F"/>
    <w:rsid w:val="004B3ABE"/>
    <w:rsid w:val="004B7232"/>
    <w:rsid w:val="004C3186"/>
    <w:rsid w:val="004C5042"/>
    <w:rsid w:val="004C5753"/>
    <w:rsid w:val="004C5DCF"/>
    <w:rsid w:val="004D1C4E"/>
    <w:rsid w:val="004D2CFB"/>
    <w:rsid w:val="004D308C"/>
    <w:rsid w:val="004D3D13"/>
    <w:rsid w:val="004D3E92"/>
    <w:rsid w:val="004D3EE1"/>
    <w:rsid w:val="004D6161"/>
    <w:rsid w:val="004E1774"/>
    <w:rsid w:val="004E4422"/>
    <w:rsid w:val="004E460C"/>
    <w:rsid w:val="004E500C"/>
    <w:rsid w:val="004E54FA"/>
    <w:rsid w:val="004E73BB"/>
    <w:rsid w:val="004F10F2"/>
    <w:rsid w:val="004F1CCA"/>
    <w:rsid w:val="004F3665"/>
    <w:rsid w:val="004F73B9"/>
    <w:rsid w:val="00500250"/>
    <w:rsid w:val="0050050F"/>
    <w:rsid w:val="00503998"/>
    <w:rsid w:val="0050623B"/>
    <w:rsid w:val="005065D6"/>
    <w:rsid w:val="00507A7F"/>
    <w:rsid w:val="00507AF9"/>
    <w:rsid w:val="005119C6"/>
    <w:rsid w:val="00515DD3"/>
    <w:rsid w:val="00521654"/>
    <w:rsid w:val="00523181"/>
    <w:rsid w:val="00524713"/>
    <w:rsid w:val="00524D13"/>
    <w:rsid w:val="00524FB2"/>
    <w:rsid w:val="00525D6A"/>
    <w:rsid w:val="00530BC0"/>
    <w:rsid w:val="00530BED"/>
    <w:rsid w:val="0053335C"/>
    <w:rsid w:val="005339F6"/>
    <w:rsid w:val="00534ED1"/>
    <w:rsid w:val="00542DC3"/>
    <w:rsid w:val="005434AB"/>
    <w:rsid w:val="0054387D"/>
    <w:rsid w:val="005453AC"/>
    <w:rsid w:val="00551A77"/>
    <w:rsid w:val="00554ED6"/>
    <w:rsid w:val="0055723A"/>
    <w:rsid w:val="005614DD"/>
    <w:rsid w:val="00563229"/>
    <w:rsid w:val="00564DFE"/>
    <w:rsid w:val="005742E2"/>
    <w:rsid w:val="00574515"/>
    <w:rsid w:val="0057451E"/>
    <w:rsid w:val="00574E8A"/>
    <w:rsid w:val="00576B18"/>
    <w:rsid w:val="00576E1E"/>
    <w:rsid w:val="005807E4"/>
    <w:rsid w:val="00581044"/>
    <w:rsid w:val="00581821"/>
    <w:rsid w:val="00584C1A"/>
    <w:rsid w:val="00587724"/>
    <w:rsid w:val="00590E1F"/>
    <w:rsid w:val="00591512"/>
    <w:rsid w:val="00593B0D"/>
    <w:rsid w:val="005A1902"/>
    <w:rsid w:val="005A2CCE"/>
    <w:rsid w:val="005A487B"/>
    <w:rsid w:val="005A4D2F"/>
    <w:rsid w:val="005A57D8"/>
    <w:rsid w:val="005A6348"/>
    <w:rsid w:val="005A7BA3"/>
    <w:rsid w:val="005B276C"/>
    <w:rsid w:val="005B2D91"/>
    <w:rsid w:val="005B48B4"/>
    <w:rsid w:val="005B4E8C"/>
    <w:rsid w:val="005B5BDF"/>
    <w:rsid w:val="005B5D6B"/>
    <w:rsid w:val="005C1408"/>
    <w:rsid w:val="005C225D"/>
    <w:rsid w:val="005C2397"/>
    <w:rsid w:val="005C4511"/>
    <w:rsid w:val="005C6661"/>
    <w:rsid w:val="005C6E3B"/>
    <w:rsid w:val="005C725D"/>
    <w:rsid w:val="005C7761"/>
    <w:rsid w:val="005C7BC7"/>
    <w:rsid w:val="005D01D3"/>
    <w:rsid w:val="005D0A0D"/>
    <w:rsid w:val="005D18CE"/>
    <w:rsid w:val="005D194B"/>
    <w:rsid w:val="005D3069"/>
    <w:rsid w:val="005D474B"/>
    <w:rsid w:val="005D6D4F"/>
    <w:rsid w:val="005E085C"/>
    <w:rsid w:val="005E08C0"/>
    <w:rsid w:val="005E0C40"/>
    <w:rsid w:val="005E147D"/>
    <w:rsid w:val="005E22C2"/>
    <w:rsid w:val="005E24FE"/>
    <w:rsid w:val="005E27CA"/>
    <w:rsid w:val="005E283D"/>
    <w:rsid w:val="005E2A10"/>
    <w:rsid w:val="005E2E93"/>
    <w:rsid w:val="005E3090"/>
    <w:rsid w:val="005E3684"/>
    <w:rsid w:val="005E57BB"/>
    <w:rsid w:val="005F0017"/>
    <w:rsid w:val="005F350A"/>
    <w:rsid w:val="005F60D4"/>
    <w:rsid w:val="006014F1"/>
    <w:rsid w:val="00610AEC"/>
    <w:rsid w:val="00610C34"/>
    <w:rsid w:val="00612C80"/>
    <w:rsid w:val="00613546"/>
    <w:rsid w:val="0061357B"/>
    <w:rsid w:val="00614A7D"/>
    <w:rsid w:val="006170AD"/>
    <w:rsid w:val="006256B5"/>
    <w:rsid w:val="0062587A"/>
    <w:rsid w:val="0062609D"/>
    <w:rsid w:val="00626C98"/>
    <w:rsid w:val="00626EF5"/>
    <w:rsid w:val="006343CA"/>
    <w:rsid w:val="006353C6"/>
    <w:rsid w:val="0063631C"/>
    <w:rsid w:val="006373DE"/>
    <w:rsid w:val="0063757B"/>
    <w:rsid w:val="006377CE"/>
    <w:rsid w:val="006426BB"/>
    <w:rsid w:val="0064453D"/>
    <w:rsid w:val="006461A0"/>
    <w:rsid w:val="006501CD"/>
    <w:rsid w:val="00651878"/>
    <w:rsid w:val="006537D9"/>
    <w:rsid w:val="00661558"/>
    <w:rsid w:val="00661D45"/>
    <w:rsid w:val="00664A48"/>
    <w:rsid w:val="00665DEF"/>
    <w:rsid w:val="006714CF"/>
    <w:rsid w:val="0067413A"/>
    <w:rsid w:val="00675BB1"/>
    <w:rsid w:val="006775F1"/>
    <w:rsid w:val="006804E0"/>
    <w:rsid w:val="00680BBE"/>
    <w:rsid w:val="00681299"/>
    <w:rsid w:val="006814D8"/>
    <w:rsid w:val="00683736"/>
    <w:rsid w:val="00685185"/>
    <w:rsid w:val="00687DE2"/>
    <w:rsid w:val="00692AA7"/>
    <w:rsid w:val="0069602D"/>
    <w:rsid w:val="00697FEC"/>
    <w:rsid w:val="006A1526"/>
    <w:rsid w:val="006A175F"/>
    <w:rsid w:val="006A2728"/>
    <w:rsid w:val="006A2A42"/>
    <w:rsid w:val="006A3B50"/>
    <w:rsid w:val="006A44F5"/>
    <w:rsid w:val="006A4E65"/>
    <w:rsid w:val="006B2C80"/>
    <w:rsid w:val="006B4537"/>
    <w:rsid w:val="006B554F"/>
    <w:rsid w:val="006B5F85"/>
    <w:rsid w:val="006B6929"/>
    <w:rsid w:val="006B709B"/>
    <w:rsid w:val="006C05ED"/>
    <w:rsid w:val="006C2194"/>
    <w:rsid w:val="006C3ADA"/>
    <w:rsid w:val="006C3EA7"/>
    <w:rsid w:val="006C49B1"/>
    <w:rsid w:val="006C54AF"/>
    <w:rsid w:val="006C5B76"/>
    <w:rsid w:val="006C6D91"/>
    <w:rsid w:val="006D57B8"/>
    <w:rsid w:val="006D5F84"/>
    <w:rsid w:val="006D60ED"/>
    <w:rsid w:val="006D6F95"/>
    <w:rsid w:val="006E0181"/>
    <w:rsid w:val="006E0B35"/>
    <w:rsid w:val="006E5338"/>
    <w:rsid w:val="006E681D"/>
    <w:rsid w:val="006E6D60"/>
    <w:rsid w:val="006F16F5"/>
    <w:rsid w:val="006F3E54"/>
    <w:rsid w:val="006F454E"/>
    <w:rsid w:val="006F458B"/>
    <w:rsid w:val="006F541C"/>
    <w:rsid w:val="006F5524"/>
    <w:rsid w:val="006F6D72"/>
    <w:rsid w:val="006F7AE1"/>
    <w:rsid w:val="007005A4"/>
    <w:rsid w:val="00700C0E"/>
    <w:rsid w:val="007024C3"/>
    <w:rsid w:val="007025D0"/>
    <w:rsid w:val="00705DAD"/>
    <w:rsid w:val="00706413"/>
    <w:rsid w:val="0071119E"/>
    <w:rsid w:val="00711DAE"/>
    <w:rsid w:val="0071313E"/>
    <w:rsid w:val="007158FE"/>
    <w:rsid w:val="00721FD1"/>
    <w:rsid w:val="00722967"/>
    <w:rsid w:val="00723A02"/>
    <w:rsid w:val="007247B9"/>
    <w:rsid w:val="00724C24"/>
    <w:rsid w:val="00725C2C"/>
    <w:rsid w:val="00725F0A"/>
    <w:rsid w:val="00727D85"/>
    <w:rsid w:val="00730686"/>
    <w:rsid w:val="0073093B"/>
    <w:rsid w:val="00733F2E"/>
    <w:rsid w:val="007346C7"/>
    <w:rsid w:val="00736041"/>
    <w:rsid w:val="00740225"/>
    <w:rsid w:val="007408C7"/>
    <w:rsid w:val="00743829"/>
    <w:rsid w:val="00743CF6"/>
    <w:rsid w:val="00746095"/>
    <w:rsid w:val="00746413"/>
    <w:rsid w:val="007465DA"/>
    <w:rsid w:val="0074679D"/>
    <w:rsid w:val="00747870"/>
    <w:rsid w:val="007502FB"/>
    <w:rsid w:val="00752C7F"/>
    <w:rsid w:val="007557C8"/>
    <w:rsid w:val="0075585B"/>
    <w:rsid w:val="0075755B"/>
    <w:rsid w:val="007624B9"/>
    <w:rsid w:val="00763004"/>
    <w:rsid w:val="00763C9E"/>
    <w:rsid w:val="00764782"/>
    <w:rsid w:val="00765D37"/>
    <w:rsid w:val="00765EE9"/>
    <w:rsid w:val="0076659F"/>
    <w:rsid w:val="00767B1A"/>
    <w:rsid w:val="00774130"/>
    <w:rsid w:val="0077581B"/>
    <w:rsid w:val="00776598"/>
    <w:rsid w:val="00783431"/>
    <w:rsid w:val="00784C14"/>
    <w:rsid w:val="0078770B"/>
    <w:rsid w:val="0079082C"/>
    <w:rsid w:val="00791ACF"/>
    <w:rsid w:val="00792350"/>
    <w:rsid w:val="00792948"/>
    <w:rsid w:val="00795973"/>
    <w:rsid w:val="00796E84"/>
    <w:rsid w:val="00797603"/>
    <w:rsid w:val="007A0A1D"/>
    <w:rsid w:val="007A3ADE"/>
    <w:rsid w:val="007A4F6F"/>
    <w:rsid w:val="007A5733"/>
    <w:rsid w:val="007A5774"/>
    <w:rsid w:val="007A5B16"/>
    <w:rsid w:val="007A6287"/>
    <w:rsid w:val="007B03D3"/>
    <w:rsid w:val="007B1340"/>
    <w:rsid w:val="007B1641"/>
    <w:rsid w:val="007B27DE"/>
    <w:rsid w:val="007B6758"/>
    <w:rsid w:val="007C1AB3"/>
    <w:rsid w:val="007C2F5E"/>
    <w:rsid w:val="007C3158"/>
    <w:rsid w:val="007C7F93"/>
    <w:rsid w:val="007D2135"/>
    <w:rsid w:val="007D40A9"/>
    <w:rsid w:val="007E1A29"/>
    <w:rsid w:val="007E1DDB"/>
    <w:rsid w:val="007E3264"/>
    <w:rsid w:val="007E5B1A"/>
    <w:rsid w:val="007E5B6E"/>
    <w:rsid w:val="007F1064"/>
    <w:rsid w:val="007F1DE8"/>
    <w:rsid w:val="007F33CC"/>
    <w:rsid w:val="007F6966"/>
    <w:rsid w:val="00800EC9"/>
    <w:rsid w:val="00801E74"/>
    <w:rsid w:val="00803108"/>
    <w:rsid w:val="00803616"/>
    <w:rsid w:val="0080485E"/>
    <w:rsid w:val="008101A2"/>
    <w:rsid w:val="008142B4"/>
    <w:rsid w:val="00815536"/>
    <w:rsid w:val="00822B34"/>
    <w:rsid w:val="008232D0"/>
    <w:rsid w:val="00823E93"/>
    <w:rsid w:val="0082723C"/>
    <w:rsid w:val="00827516"/>
    <w:rsid w:val="0083018A"/>
    <w:rsid w:val="00830A97"/>
    <w:rsid w:val="00830C06"/>
    <w:rsid w:val="00832324"/>
    <w:rsid w:val="0083288C"/>
    <w:rsid w:val="00833F06"/>
    <w:rsid w:val="00835337"/>
    <w:rsid w:val="0083565D"/>
    <w:rsid w:val="00835EA4"/>
    <w:rsid w:val="008403BC"/>
    <w:rsid w:val="00845DCE"/>
    <w:rsid w:val="00846DCD"/>
    <w:rsid w:val="00847DC1"/>
    <w:rsid w:val="00851D85"/>
    <w:rsid w:val="008520AB"/>
    <w:rsid w:val="008544DC"/>
    <w:rsid w:val="00854AD4"/>
    <w:rsid w:val="00857304"/>
    <w:rsid w:val="00857404"/>
    <w:rsid w:val="00860CCB"/>
    <w:rsid w:val="00867558"/>
    <w:rsid w:val="0087045A"/>
    <w:rsid w:val="008714D6"/>
    <w:rsid w:val="00871798"/>
    <w:rsid w:val="0087320E"/>
    <w:rsid w:val="008740A3"/>
    <w:rsid w:val="00874584"/>
    <w:rsid w:val="008757D5"/>
    <w:rsid w:val="00880861"/>
    <w:rsid w:val="00881CBF"/>
    <w:rsid w:val="00882926"/>
    <w:rsid w:val="00883C49"/>
    <w:rsid w:val="008913B1"/>
    <w:rsid w:val="0089188D"/>
    <w:rsid w:val="008918D0"/>
    <w:rsid w:val="0089297B"/>
    <w:rsid w:val="0089364A"/>
    <w:rsid w:val="008940AB"/>
    <w:rsid w:val="008965AB"/>
    <w:rsid w:val="008A0365"/>
    <w:rsid w:val="008A1CA2"/>
    <w:rsid w:val="008A3A63"/>
    <w:rsid w:val="008A4F28"/>
    <w:rsid w:val="008A777C"/>
    <w:rsid w:val="008B659B"/>
    <w:rsid w:val="008B7838"/>
    <w:rsid w:val="008C0434"/>
    <w:rsid w:val="008C197D"/>
    <w:rsid w:val="008C36CA"/>
    <w:rsid w:val="008C5B41"/>
    <w:rsid w:val="008D1D2C"/>
    <w:rsid w:val="008D1FAD"/>
    <w:rsid w:val="008D44C2"/>
    <w:rsid w:val="008E3F8C"/>
    <w:rsid w:val="008E59DB"/>
    <w:rsid w:val="008E7816"/>
    <w:rsid w:val="008E7B24"/>
    <w:rsid w:val="008F1B2B"/>
    <w:rsid w:val="008F294F"/>
    <w:rsid w:val="008F3180"/>
    <w:rsid w:val="008F6157"/>
    <w:rsid w:val="008F6E85"/>
    <w:rsid w:val="008F7D37"/>
    <w:rsid w:val="008F7DEA"/>
    <w:rsid w:val="00902FD0"/>
    <w:rsid w:val="009053D3"/>
    <w:rsid w:val="0090691F"/>
    <w:rsid w:val="00912508"/>
    <w:rsid w:val="00914DF2"/>
    <w:rsid w:val="00924B81"/>
    <w:rsid w:val="0093111F"/>
    <w:rsid w:val="00931C42"/>
    <w:rsid w:val="00933132"/>
    <w:rsid w:val="00933135"/>
    <w:rsid w:val="00935689"/>
    <w:rsid w:val="00937442"/>
    <w:rsid w:val="00937A4C"/>
    <w:rsid w:val="009409D2"/>
    <w:rsid w:val="00943811"/>
    <w:rsid w:val="009446E9"/>
    <w:rsid w:val="009457CA"/>
    <w:rsid w:val="00950FA5"/>
    <w:rsid w:val="00951B98"/>
    <w:rsid w:val="00951F06"/>
    <w:rsid w:val="009522DC"/>
    <w:rsid w:val="00952D93"/>
    <w:rsid w:val="0095303B"/>
    <w:rsid w:val="00953EB2"/>
    <w:rsid w:val="00954139"/>
    <w:rsid w:val="00961BC7"/>
    <w:rsid w:val="00962726"/>
    <w:rsid w:val="00962D92"/>
    <w:rsid w:val="00963695"/>
    <w:rsid w:val="009663B6"/>
    <w:rsid w:val="0096684E"/>
    <w:rsid w:val="009712DF"/>
    <w:rsid w:val="009720C0"/>
    <w:rsid w:val="00973D87"/>
    <w:rsid w:val="00973E6F"/>
    <w:rsid w:val="00974A47"/>
    <w:rsid w:val="009772DC"/>
    <w:rsid w:val="0097761A"/>
    <w:rsid w:val="00980286"/>
    <w:rsid w:val="00981146"/>
    <w:rsid w:val="009814E6"/>
    <w:rsid w:val="00984C7F"/>
    <w:rsid w:val="009851FF"/>
    <w:rsid w:val="00990DCF"/>
    <w:rsid w:val="009925F3"/>
    <w:rsid w:val="009938B8"/>
    <w:rsid w:val="00994EC7"/>
    <w:rsid w:val="00994F1D"/>
    <w:rsid w:val="009A4CD6"/>
    <w:rsid w:val="009A537C"/>
    <w:rsid w:val="009A5D18"/>
    <w:rsid w:val="009A7E0E"/>
    <w:rsid w:val="009B09B4"/>
    <w:rsid w:val="009B5F62"/>
    <w:rsid w:val="009C0886"/>
    <w:rsid w:val="009C19EE"/>
    <w:rsid w:val="009C2540"/>
    <w:rsid w:val="009C28D0"/>
    <w:rsid w:val="009C35F2"/>
    <w:rsid w:val="009C394B"/>
    <w:rsid w:val="009C4A21"/>
    <w:rsid w:val="009C5562"/>
    <w:rsid w:val="009C5EF7"/>
    <w:rsid w:val="009C7782"/>
    <w:rsid w:val="009C7C6D"/>
    <w:rsid w:val="009D1135"/>
    <w:rsid w:val="009D1ED5"/>
    <w:rsid w:val="009D2B2C"/>
    <w:rsid w:val="009D38C2"/>
    <w:rsid w:val="009D3BC0"/>
    <w:rsid w:val="009D46BC"/>
    <w:rsid w:val="009D4C13"/>
    <w:rsid w:val="009D61EB"/>
    <w:rsid w:val="009E21A7"/>
    <w:rsid w:val="009E3C2D"/>
    <w:rsid w:val="009E7F58"/>
    <w:rsid w:val="009F327E"/>
    <w:rsid w:val="009F4767"/>
    <w:rsid w:val="009F48A8"/>
    <w:rsid w:val="009F55D1"/>
    <w:rsid w:val="009F62D3"/>
    <w:rsid w:val="009F6D72"/>
    <w:rsid w:val="00A0038A"/>
    <w:rsid w:val="00A0065F"/>
    <w:rsid w:val="00A050D8"/>
    <w:rsid w:val="00A064C7"/>
    <w:rsid w:val="00A0753A"/>
    <w:rsid w:val="00A07EA5"/>
    <w:rsid w:val="00A103ED"/>
    <w:rsid w:val="00A12A08"/>
    <w:rsid w:val="00A133EC"/>
    <w:rsid w:val="00A13C60"/>
    <w:rsid w:val="00A1438B"/>
    <w:rsid w:val="00A15134"/>
    <w:rsid w:val="00A15ED4"/>
    <w:rsid w:val="00A17527"/>
    <w:rsid w:val="00A20729"/>
    <w:rsid w:val="00A23F04"/>
    <w:rsid w:val="00A24929"/>
    <w:rsid w:val="00A267DB"/>
    <w:rsid w:val="00A27E7A"/>
    <w:rsid w:val="00A31587"/>
    <w:rsid w:val="00A341A3"/>
    <w:rsid w:val="00A3422E"/>
    <w:rsid w:val="00A34354"/>
    <w:rsid w:val="00A35800"/>
    <w:rsid w:val="00A369A8"/>
    <w:rsid w:val="00A43150"/>
    <w:rsid w:val="00A441D2"/>
    <w:rsid w:val="00A45321"/>
    <w:rsid w:val="00A45911"/>
    <w:rsid w:val="00A510E3"/>
    <w:rsid w:val="00A52918"/>
    <w:rsid w:val="00A53D6F"/>
    <w:rsid w:val="00A54728"/>
    <w:rsid w:val="00A547B3"/>
    <w:rsid w:val="00A54B7C"/>
    <w:rsid w:val="00A561C8"/>
    <w:rsid w:val="00A57501"/>
    <w:rsid w:val="00A6194E"/>
    <w:rsid w:val="00A62C90"/>
    <w:rsid w:val="00A6388A"/>
    <w:rsid w:val="00A643D0"/>
    <w:rsid w:val="00A70E82"/>
    <w:rsid w:val="00A8085E"/>
    <w:rsid w:val="00A80B14"/>
    <w:rsid w:val="00A83901"/>
    <w:rsid w:val="00A84CAD"/>
    <w:rsid w:val="00A84CEE"/>
    <w:rsid w:val="00A856D4"/>
    <w:rsid w:val="00A85DC7"/>
    <w:rsid w:val="00A87731"/>
    <w:rsid w:val="00A87A62"/>
    <w:rsid w:val="00A90E50"/>
    <w:rsid w:val="00A935DB"/>
    <w:rsid w:val="00A95F79"/>
    <w:rsid w:val="00A95FA5"/>
    <w:rsid w:val="00A96D92"/>
    <w:rsid w:val="00A97EF8"/>
    <w:rsid w:val="00AA0E53"/>
    <w:rsid w:val="00AA2239"/>
    <w:rsid w:val="00AA279F"/>
    <w:rsid w:val="00AA400B"/>
    <w:rsid w:val="00AA434E"/>
    <w:rsid w:val="00AA767D"/>
    <w:rsid w:val="00AB199C"/>
    <w:rsid w:val="00AB2C37"/>
    <w:rsid w:val="00AB3733"/>
    <w:rsid w:val="00AB454D"/>
    <w:rsid w:val="00AB588C"/>
    <w:rsid w:val="00AB7770"/>
    <w:rsid w:val="00AB7897"/>
    <w:rsid w:val="00AC080B"/>
    <w:rsid w:val="00AC3877"/>
    <w:rsid w:val="00AC5054"/>
    <w:rsid w:val="00AC55AF"/>
    <w:rsid w:val="00AC7EE0"/>
    <w:rsid w:val="00AD554B"/>
    <w:rsid w:val="00AD5B86"/>
    <w:rsid w:val="00AD62AE"/>
    <w:rsid w:val="00AD7585"/>
    <w:rsid w:val="00AE23EA"/>
    <w:rsid w:val="00AE3F6A"/>
    <w:rsid w:val="00AE4BAC"/>
    <w:rsid w:val="00AE6104"/>
    <w:rsid w:val="00AE66D5"/>
    <w:rsid w:val="00AE6A9C"/>
    <w:rsid w:val="00AF188C"/>
    <w:rsid w:val="00AF1A46"/>
    <w:rsid w:val="00AF1E90"/>
    <w:rsid w:val="00AF207C"/>
    <w:rsid w:val="00AF2B25"/>
    <w:rsid w:val="00AF2FDD"/>
    <w:rsid w:val="00AF5A53"/>
    <w:rsid w:val="00AF6269"/>
    <w:rsid w:val="00AF6B27"/>
    <w:rsid w:val="00AF70F0"/>
    <w:rsid w:val="00B01F9A"/>
    <w:rsid w:val="00B02DF1"/>
    <w:rsid w:val="00B034FC"/>
    <w:rsid w:val="00B040F2"/>
    <w:rsid w:val="00B04427"/>
    <w:rsid w:val="00B05310"/>
    <w:rsid w:val="00B05357"/>
    <w:rsid w:val="00B06631"/>
    <w:rsid w:val="00B073E5"/>
    <w:rsid w:val="00B10A0B"/>
    <w:rsid w:val="00B14112"/>
    <w:rsid w:val="00B1570C"/>
    <w:rsid w:val="00B15AF9"/>
    <w:rsid w:val="00B17680"/>
    <w:rsid w:val="00B2058D"/>
    <w:rsid w:val="00B226F3"/>
    <w:rsid w:val="00B22AD6"/>
    <w:rsid w:val="00B232CA"/>
    <w:rsid w:val="00B253EA"/>
    <w:rsid w:val="00B30D85"/>
    <w:rsid w:val="00B32AD5"/>
    <w:rsid w:val="00B32BA6"/>
    <w:rsid w:val="00B32D69"/>
    <w:rsid w:val="00B35A4A"/>
    <w:rsid w:val="00B35B0B"/>
    <w:rsid w:val="00B35D62"/>
    <w:rsid w:val="00B36188"/>
    <w:rsid w:val="00B368F7"/>
    <w:rsid w:val="00B43855"/>
    <w:rsid w:val="00B44F40"/>
    <w:rsid w:val="00B453CF"/>
    <w:rsid w:val="00B46A29"/>
    <w:rsid w:val="00B47E60"/>
    <w:rsid w:val="00B47F0D"/>
    <w:rsid w:val="00B51F53"/>
    <w:rsid w:val="00B537D6"/>
    <w:rsid w:val="00B53972"/>
    <w:rsid w:val="00B543B8"/>
    <w:rsid w:val="00B5745B"/>
    <w:rsid w:val="00B60C74"/>
    <w:rsid w:val="00B60D66"/>
    <w:rsid w:val="00B63FD7"/>
    <w:rsid w:val="00B676A9"/>
    <w:rsid w:val="00B6771E"/>
    <w:rsid w:val="00B70150"/>
    <w:rsid w:val="00B70772"/>
    <w:rsid w:val="00B729F9"/>
    <w:rsid w:val="00B816D9"/>
    <w:rsid w:val="00B84DA4"/>
    <w:rsid w:val="00B878BB"/>
    <w:rsid w:val="00B90442"/>
    <w:rsid w:val="00B9120F"/>
    <w:rsid w:val="00B9216C"/>
    <w:rsid w:val="00B924A4"/>
    <w:rsid w:val="00B9677C"/>
    <w:rsid w:val="00B972DD"/>
    <w:rsid w:val="00B9746D"/>
    <w:rsid w:val="00B975AD"/>
    <w:rsid w:val="00BA2C9D"/>
    <w:rsid w:val="00BA76CB"/>
    <w:rsid w:val="00BB0D1A"/>
    <w:rsid w:val="00BB1CCD"/>
    <w:rsid w:val="00BB1D3B"/>
    <w:rsid w:val="00BB5131"/>
    <w:rsid w:val="00BC0DDB"/>
    <w:rsid w:val="00BC35ED"/>
    <w:rsid w:val="00BD1948"/>
    <w:rsid w:val="00BD49A7"/>
    <w:rsid w:val="00BD5570"/>
    <w:rsid w:val="00BD5FE2"/>
    <w:rsid w:val="00BD6135"/>
    <w:rsid w:val="00BD7871"/>
    <w:rsid w:val="00BD7972"/>
    <w:rsid w:val="00BE0BFC"/>
    <w:rsid w:val="00BE205A"/>
    <w:rsid w:val="00BE2C58"/>
    <w:rsid w:val="00BE3802"/>
    <w:rsid w:val="00BE47FB"/>
    <w:rsid w:val="00BF1150"/>
    <w:rsid w:val="00BF15D9"/>
    <w:rsid w:val="00BF1663"/>
    <w:rsid w:val="00BF238E"/>
    <w:rsid w:val="00BF2F4A"/>
    <w:rsid w:val="00BF2F55"/>
    <w:rsid w:val="00BF3D9C"/>
    <w:rsid w:val="00BF544D"/>
    <w:rsid w:val="00C0076F"/>
    <w:rsid w:val="00C02799"/>
    <w:rsid w:val="00C0301C"/>
    <w:rsid w:val="00C050B6"/>
    <w:rsid w:val="00C1045A"/>
    <w:rsid w:val="00C10F12"/>
    <w:rsid w:val="00C11550"/>
    <w:rsid w:val="00C14319"/>
    <w:rsid w:val="00C14504"/>
    <w:rsid w:val="00C1459A"/>
    <w:rsid w:val="00C156B8"/>
    <w:rsid w:val="00C16160"/>
    <w:rsid w:val="00C20A12"/>
    <w:rsid w:val="00C227E9"/>
    <w:rsid w:val="00C245EA"/>
    <w:rsid w:val="00C24B8C"/>
    <w:rsid w:val="00C256F6"/>
    <w:rsid w:val="00C3097E"/>
    <w:rsid w:val="00C312FA"/>
    <w:rsid w:val="00C31541"/>
    <w:rsid w:val="00C33259"/>
    <w:rsid w:val="00C35756"/>
    <w:rsid w:val="00C35878"/>
    <w:rsid w:val="00C35ECC"/>
    <w:rsid w:val="00C3608D"/>
    <w:rsid w:val="00C361A8"/>
    <w:rsid w:val="00C36938"/>
    <w:rsid w:val="00C377AA"/>
    <w:rsid w:val="00C37BDA"/>
    <w:rsid w:val="00C40DF4"/>
    <w:rsid w:val="00C41246"/>
    <w:rsid w:val="00C4276A"/>
    <w:rsid w:val="00C42D5F"/>
    <w:rsid w:val="00C43697"/>
    <w:rsid w:val="00C44268"/>
    <w:rsid w:val="00C44FCF"/>
    <w:rsid w:val="00C4515D"/>
    <w:rsid w:val="00C45E5F"/>
    <w:rsid w:val="00C46291"/>
    <w:rsid w:val="00C503CF"/>
    <w:rsid w:val="00C50D5A"/>
    <w:rsid w:val="00C51640"/>
    <w:rsid w:val="00C54380"/>
    <w:rsid w:val="00C5686C"/>
    <w:rsid w:val="00C56EBC"/>
    <w:rsid w:val="00C57B37"/>
    <w:rsid w:val="00C63412"/>
    <w:rsid w:val="00C64C71"/>
    <w:rsid w:val="00C70005"/>
    <w:rsid w:val="00C714D0"/>
    <w:rsid w:val="00C75BD7"/>
    <w:rsid w:val="00C76973"/>
    <w:rsid w:val="00C8035D"/>
    <w:rsid w:val="00C831CA"/>
    <w:rsid w:val="00C85314"/>
    <w:rsid w:val="00C85462"/>
    <w:rsid w:val="00C90EF4"/>
    <w:rsid w:val="00C9282A"/>
    <w:rsid w:val="00C93828"/>
    <w:rsid w:val="00C952EB"/>
    <w:rsid w:val="00C95F30"/>
    <w:rsid w:val="00C973B8"/>
    <w:rsid w:val="00CA015A"/>
    <w:rsid w:val="00CA023F"/>
    <w:rsid w:val="00CA0EE4"/>
    <w:rsid w:val="00CA10B9"/>
    <w:rsid w:val="00CA1187"/>
    <w:rsid w:val="00CA1885"/>
    <w:rsid w:val="00CA4505"/>
    <w:rsid w:val="00CA4CA6"/>
    <w:rsid w:val="00CA5D0A"/>
    <w:rsid w:val="00CA77F3"/>
    <w:rsid w:val="00CB0978"/>
    <w:rsid w:val="00CB09A5"/>
    <w:rsid w:val="00CB1F1B"/>
    <w:rsid w:val="00CB1F4D"/>
    <w:rsid w:val="00CB280C"/>
    <w:rsid w:val="00CB3682"/>
    <w:rsid w:val="00CB4509"/>
    <w:rsid w:val="00CC068F"/>
    <w:rsid w:val="00CC1AA3"/>
    <w:rsid w:val="00CC41A0"/>
    <w:rsid w:val="00CC50CE"/>
    <w:rsid w:val="00CD4486"/>
    <w:rsid w:val="00CD58B5"/>
    <w:rsid w:val="00CD5ED4"/>
    <w:rsid w:val="00CD6A92"/>
    <w:rsid w:val="00CD79E0"/>
    <w:rsid w:val="00CE050A"/>
    <w:rsid w:val="00CE1857"/>
    <w:rsid w:val="00CE247C"/>
    <w:rsid w:val="00CE55DC"/>
    <w:rsid w:val="00CF06ED"/>
    <w:rsid w:val="00CF4612"/>
    <w:rsid w:val="00CF4860"/>
    <w:rsid w:val="00CF5E22"/>
    <w:rsid w:val="00CF6D46"/>
    <w:rsid w:val="00CF758C"/>
    <w:rsid w:val="00CF780F"/>
    <w:rsid w:val="00D01734"/>
    <w:rsid w:val="00D02BBF"/>
    <w:rsid w:val="00D06A44"/>
    <w:rsid w:val="00D106B7"/>
    <w:rsid w:val="00D10DA5"/>
    <w:rsid w:val="00D11AB1"/>
    <w:rsid w:val="00D151EB"/>
    <w:rsid w:val="00D1751E"/>
    <w:rsid w:val="00D20027"/>
    <w:rsid w:val="00D22348"/>
    <w:rsid w:val="00D2265D"/>
    <w:rsid w:val="00D300E0"/>
    <w:rsid w:val="00D30B74"/>
    <w:rsid w:val="00D374CD"/>
    <w:rsid w:val="00D40323"/>
    <w:rsid w:val="00D4049E"/>
    <w:rsid w:val="00D40F13"/>
    <w:rsid w:val="00D4676D"/>
    <w:rsid w:val="00D50B9B"/>
    <w:rsid w:val="00D546E9"/>
    <w:rsid w:val="00D60B4C"/>
    <w:rsid w:val="00D61748"/>
    <w:rsid w:val="00D61A4C"/>
    <w:rsid w:val="00D637B1"/>
    <w:rsid w:val="00D63DBF"/>
    <w:rsid w:val="00D64A66"/>
    <w:rsid w:val="00D650CE"/>
    <w:rsid w:val="00D655A5"/>
    <w:rsid w:val="00D66135"/>
    <w:rsid w:val="00D6660C"/>
    <w:rsid w:val="00D701A2"/>
    <w:rsid w:val="00D70B23"/>
    <w:rsid w:val="00D70B4E"/>
    <w:rsid w:val="00D71719"/>
    <w:rsid w:val="00D71BF6"/>
    <w:rsid w:val="00D7455F"/>
    <w:rsid w:val="00D771D9"/>
    <w:rsid w:val="00D77425"/>
    <w:rsid w:val="00D776DA"/>
    <w:rsid w:val="00D776F1"/>
    <w:rsid w:val="00D8043F"/>
    <w:rsid w:val="00D81DF0"/>
    <w:rsid w:val="00D820D7"/>
    <w:rsid w:val="00D82837"/>
    <w:rsid w:val="00D835E7"/>
    <w:rsid w:val="00D83775"/>
    <w:rsid w:val="00D84E68"/>
    <w:rsid w:val="00D864A6"/>
    <w:rsid w:val="00D86A46"/>
    <w:rsid w:val="00D8758B"/>
    <w:rsid w:val="00D87AF2"/>
    <w:rsid w:val="00D93CB7"/>
    <w:rsid w:val="00D942B3"/>
    <w:rsid w:val="00D94863"/>
    <w:rsid w:val="00DA1D58"/>
    <w:rsid w:val="00DA315A"/>
    <w:rsid w:val="00DA728E"/>
    <w:rsid w:val="00DA7D09"/>
    <w:rsid w:val="00DB1711"/>
    <w:rsid w:val="00DC2630"/>
    <w:rsid w:val="00DC4748"/>
    <w:rsid w:val="00DC49E9"/>
    <w:rsid w:val="00DC55E4"/>
    <w:rsid w:val="00DC7D71"/>
    <w:rsid w:val="00DD188C"/>
    <w:rsid w:val="00DD1B30"/>
    <w:rsid w:val="00DD29A3"/>
    <w:rsid w:val="00DD29AA"/>
    <w:rsid w:val="00DD35E0"/>
    <w:rsid w:val="00DD48EE"/>
    <w:rsid w:val="00DD4C03"/>
    <w:rsid w:val="00DD4DF5"/>
    <w:rsid w:val="00DD5802"/>
    <w:rsid w:val="00DD66B5"/>
    <w:rsid w:val="00DE06C8"/>
    <w:rsid w:val="00DE0B96"/>
    <w:rsid w:val="00DE10B9"/>
    <w:rsid w:val="00DE31C9"/>
    <w:rsid w:val="00DE360F"/>
    <w:rsid w:val="00DE36A3"/>
    <w:rsid w:val="00DE43BF"/>
    <w:rsid w:val="00DE497B"/>
    <w:rsid w:val="00DF0B13"/>
    <w:rsid w:val="00DF0CD5"/>
    <w:rsid w:val="00DF0E57"/>
    <w:rsid w:val="00DF2EB8"/>
    <w:rsid w:val="00DF36B9"/>
    <w:rsid w:val="00DF4A94"/>
    <w:rsid w:val="00DF4DA2"/>
    <w:rsid w:val="00DF6003"/>
    <w:rsid w:val="00DF6068"/>
    <w:rsid w:val="00E00095"/>
    <w:rsid w:val="00E010D7"/>
    <w:rsid w:val="00E03816"/>
    <w:rsid w:val="00E041A3"/>
    <w:rsid w:val="00E05187"/>
    <w:rsid w:val="00E066C3"/>
    <w:rsid w:val="00E076EA"/>
    <w:rsid w:val="00E10D8C"/>
    <w:rsid w:val="00E1125C"/>
    <w:rsid w:val="00E1174A"/>
    <w:rsid w:val="00E11AD9"/>
    <w:rsid w:val="00E11DEE"/>
    <w:rsid w:val="00E1353A"/>
    <w:rsid w:val="00E14EBF"/>
    <w:rsid w:val="00E154AB"/>
    <w:rsid w:val="00E1564B"/>
    <w:rsid w:val="00E20234"/>
    <w:rsid w:val="00E206C0"/>
    <w:rsid w:val="00E208A0"/>
    <w:rsid w:val="00E214F9"/>
    <w:rsid w:val="00E21F10"/>
    <w:rsid w:val="00E231E1"/>
    <w:rsid w:val="00E25B49"/>
    <w:rsid w:val="00E26632"/>
    <w:rsid w:val="00E30963"/>
    <w:rsid w:val="00E30D97"/>
    <w:rsid w:val="00E31A56"/>
    <w:rsid w:val="00E32EE6"/>
    <w:rsid w:val="00E347D8"/>
    <w:rsid w:val="00E35028"/>
    <w:rsid w:val="00E36798"/>
    <w:rsid w:val="00E37032"/>
    <w:rsid w:val="00E371EA"/>
    <w:rsid w:val="00E408F8"/>
    <w:rsid w:val="00E41190"/>
    <w:rsid w:val="00E423E1"/>
    <w:rsid w:val="00E43985"/>
    <w:rsid w:val="00E439CE"/>
    <w:rsid w:val="00E5382D"/>
    <w:rsid w:val="00E6024C"/>
    <w:rsid w:val="00E61833"/>
    <w:rsid w:val="00E63B30"/>
    <w:rsid w:val="00E64429"/>
    <w:rsid w:val="00E64782"/>
    <w:rsid w:val="00E65871"/>
    <w:rsid w:val="00E677DD"/>
    <w:rsid w:val="00E67C98"/>
    <w:rsid w:val="00E7031F"/>
    <w:rsid w:val="00E70DA9"/>
    <w:rsid w:val="00E73504"/>
    <w:rsid w:val="00E73B56"/>
    <w:rsid w:val="00E74C53"/>
    <w:rsid w:val="00E7594B"/>
    <w:rsid w:val="00E803F8"/>
    <w:rsid w:val="00E83669"/>
    <w:rsid w:val="00E855B4"/>
    <w:rsid w:val="00E86226"/>
    <w:rsid w:val="00E865EC"/>
    <w:rsid w:val="00E9012C"/>
    <w:rsid w:val="00E9251C"/>
    <w:rsid w:val="00E925BA"/>
    <w:rsid w:val="00E93AF9"/>
    <w:rsid w:val="00E95B7C"/>
    <w:rsid w:val="00E967B6"/>
    <w:rsid w:val="00E978DB"/>
    <w:rsid w:val="00EA1F74"/>
    <w:rsid w:val="00EA27CE"/>
    <w:rsid w:val="00EA454D"/>
    <w:rsid w:val="00EA4C2C"/>
    <w:rsid w:val="00EA6453"/>
    <w:rsid w:val="00EA7615"/>
    <w:rsid w:val="00EB3A91"/>
    <w:rsid w:val="00EB3E17"/>
    <w:rsid w:val="00EB4688"/>
    <w:rsid w:val="00EB6C07"/>
    <w:rsid w:val="00EB6F4F"/>
    <w:rsid w:val="00EC028D"/>
    <w:rsid w:val="00EC1B10"/>
    <w:rsid w:val="00EC3EA9"/>
    <w:rsid w:val="00ED23E0"/>
    <w:rsid w:val="00ED42EA"/>
    <w:rsid w:val="00ED623B"/>
    <w:rsid w:val="00ED629E"/>
    <w:rsid w:val="00ED633B"/>
    <w:rsid w:val="00ED6848"/>
    <w:rsid w:val="00ED78CE"/>
    <w:rsid w:val="00ED7919"/>
    <w:rsid w:val="00EE22F8"/>
    <w:rsid w:val="00EE241A"/>
    <w:rsid w:val="00EE2BBB"/>
    <w:rsid w:val="00EE455C"/>
    <w:rsid w:val="00EE478C"/>
    <w:rsid w:val="00EF2E19"/>
    <w:rsid w:val="00EF4F8D"/>
    <w:rsid w:val="00F002DA"/>
    <w:rsid w:val="00F0158E"/>
    <w:rsid w:val="00F01AD1"/>
    <w:rsid w:val="00F1132C"/>
    <w:rsid w:val="00F1200A"/>
    <w:rsid w:val="00F1260A"/>
    <w:rsid w:val="00F15DD5"/>
    <w:rsid w:val="00F15DFF"/>
    <w:rsid w:val="00F16C35"/>
    <w:rsid w:val="00F17345"/>
    <w:rsid w:val="00F17D4B"/>
    <w:rsid w:val="00F23139"/>
    <w:rsid w:val="00F248A0"/>
    <w:rsid w:val="00F25AC1"/>
    <w:rsid w:val="00F2755E"/>
    <w:rsid w:val="00F346B0"/>
    <w:rsid w:val="00F36BF9"/>
    <w:rsid w:val="00F37ED2"/>
    <w:rsid w:val="00F40A80"/>
    <w:rsid w:val="00F40EEF"/>
    <w:rsid w:val="00F42D0A"/>
    <w:rsid w:val="00F43271"/>
    <w:rsid w:val="00F43AF7"/>
    <w:rsid w:val="00F43E02"/>
    <w:rsid w:val="00F44D6A"/>
    <w:rsid w:val="00F45C84"/>
    <w:rsid w:val="00F52003"/>
    <w:rsid w:val="00F524C5"/>
    <w:rsid w:val="00F52C14"/>
    <w:rsid w:val="00F54A1D"/>
    <w:rsid w:val="00F556BC"/>
    <w:rsid w:val="00F556D9"/>
    <w:rsid w:val="00F6139E"/>
    <w:rsid w:val="00F6607E"/>
    <w:rsid w:val="00F66B74"/>
    <w:rsid w:val="00F66CD5"/>
    <w:rsid w:val="00F67A9A"/>
    <w:rsid w:val="00F70DAB"/>
    <w:rsid w:val="00F70F4E"/>
    <w:rsid w:val="00F729C2"/>
    <w:rsid w:val="00F72A5F"/>
    <w:rsid w:val="00F72FF9"/>
    <w:rsid w:val="00F73113"/>
    <w:rsid w:val="00F73F88"/>
    <w:rsid w:val="00F74B30"/>
    <w:rsid w:val="00F753DB"/>
    <w:rsid w:val="00F75FC4"/>
    <w:rsid w:val="00F82433"/>
    <w:rsid w:val="00F82A21"/>
    <w:rsid w:val="00F8416E"/>
    <w:rsid w:val="00F85444"/>
    <w:rsid w:val="00F85981"/>
    <w:rsid w:val="00F87263"/>
    <w:rsid w:val="00F91E7E"/>
    <w:rsid w:val="00F936C1"/>
    <w:rsid w:val="00F93725"/>
    <w:rsid w:val="00F9458F"/>
    <w:rsid w:val="00FA0EF6"/>
    <w:rsid w:val="00FA28F7"/>
    <w:rsid w:val="00FA3368"/>
    <w:rsid w:val="00FA3B18"/>
    <w:rsid w:val="00FA3F90"/>
    <w:rsid w:val="00FA465B"/>
    <w:rsid w:val="00FA4890"/>
    <w:rsid w:val="00FA68B0"/>
    <w:rsid w:val="00FA6AE8"/>
    <w:rsid w:val="00FB3EBC"/>
    <w:rsid w:val="00FB482A"/>
    <w:rsid w:val="00FB4DB1"/>
    <w:rsid w:val="00FB4F43"/>
    <w:rsid w:val="00FB6291"/>
    <w:rsid w:val="00FB77FA"/>
    <w:rsid w:val="00FB7EFF"/>
    <w:rsid w:val="00FC0871"/>
    <w:rsid w:val="00FC12AD"/>
    <w:rsid w:val="00FC2446"/>
    <w:rsid w:val="00FC2508"/>
    <w:rsid w:val="00FC3C70"/>
    <w:rsid w:val="00FC49AC"/>
    <w:rsid w:val="00FC4A73"/>
    <w:rsid w:val="00FC559C"/>
    <w:rsid w:val="00FC5730"/>
    <w:rsid w:val="00FC68DB"/>
    <w:rsid w:val="00FC70BD"/>
    <w:rsid w:val="00FC7F0D"/>
    <w:rsid w:val="00FD057D"/>
    <w:rsid w:val="00FD1D7A"/>
    <w:rsid w:val="00FD3405"/>
    <w:rsid w:val="00FE1D64"/>
    <w:rsid w:val="00FE280A"/>
    <w:rsid w:val="00FE645A"/>
    <w:rsid w:val="00FE67B3"/>
    <w:rsid w:val="00FE76FF"/>
    <w:rsid w:val="00FF1298"/>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1"/>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aliases w:val="Table Title"/>
    <w:basedOn w:val="DefaultParagraphFont"/>
    <w:uiPriority w:val="99"/>
    <w:unhideWhenUsed/>
    <w:qFormat/>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ullet point,List Paragraph1,List Paragraph11,Recommendation,Bullet List,Table Legend,Bullet1,Bullet 1,Section 5,Styl moj,Akapit z listą11,L,Bullet Point,Bulletr List Paragraph,Content descriptions,FooterText"/>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Revision">
    <w:name w:val="Revision"/>
    <w:hidden/>
    <w:uiPriority w:val="99"/>
    <w:semiHidden/>
    <w:rsid w:val="00BD6135"/>
    <w:pPr>
      <w:spacing w:after="0" w:line="240" w:lineRule="auto"/>
    </w:pPr>
    <w:rPr>
      <w:sz w:val="24"/>
      <w:szCs w:val="24"/>
    </w:rPr>
  </w:style>
  <w:style w:type="character" w:customStyle="1" w:styleId="ListParagraphChar">
    <w:name w:val="List Paragraph Char"/>
    <w:aliases w:val="BulletPoints Char,Numbered para Char,Bullet point Char,List Paragraph1 Char,List Paragraph11 Char,Recommendation Char,Bullet List Char,Table Legend Char,Bullet1 Char,Bullet 1 Char,Section 5 Char,Styl moj Char,Akapit z listą11 Char"/>
    <w:basedOn w:val="DefaultParagraphFont"/>
    <w:link w:val="ListParagraph"/>
    <w:uiPriority w:val="34"/>
    <w:qFormat/>
    <w:locked/>
    <w:rsid w:val="00356129"/>
    <w:rPr>
      <w:sz w:val="24"/>
      <w:szCs w:val="24"/>
    </w:rPr>
  </w:style>
  <w:style w:type="paragraph" w:styleId="NormalWeb">
    <w:name w:val="Normal (Web)"/>
    <w:basedOn w:val="Normal"/>
    <w:uiPriority w:val="99"/>
    <w:unhideWhenUsed/>
    <w:rsid w:val="008C197D"/>
    <w:pPr>
      <w:spacing w:before="100" w:beforeAutospacing="1" w:after="100" w:afterAutospacing="1"/>
    </w:pPr>
    <w:rPr>
      <w:rFonts w:ascii="Times New Roman" w:eastAsia="Times New Roman" w:hAnsi="Times New Roman" w:cs="Times New Roman"/>
    </w:rPr>
  </w:style>
  <w:style w:type="paragraph" w:customStyle="1" w:styleId="COMexecsummbulletlist">
    <w:name w:val="COM exec summ bullet list"/>
    <w:basedOn w:val="ListParagraph"/>
    <w:link w:val="COMexecsummbulletlistChar"/>
    <w:qFormat/>
    <w:rsid w:val="00E439CE"/>
    <w:pPr>
      <w:spacing w:after="120"/>
      <w:ind w:left="1134" w:hanging="360"/>
      <w:contextualSpacing w:val="0"/>
      <w:jc w:val="both"/>
    </w:pPr>
    <w:rPr>
      <w:rFonts w:eastAsia="Times New Roman" w:cs="Arial"/>
      <w:snapToGrid w:val="0"/>
    </w:rPr>
  </w:style>
  <w:style w:type="character" w:customStyle="1" w:styleId="COMexecsummbulletlistChar">
    <w:name w:val="COM exec summ bullet list Char"/>
    <w:basedOn w:val="ListParagraphChar"/>
    <w:link w:val="COMexecsummbulletlist"/>
    <w:rsid w:val="00E439CE"/>
    <w:rPr>
      <w:rFonts w:eastAsia="Times New Roman" w:cs="Arial"/>
      <w:snapToGrid w:val="0"/>
      <w:sz w:val="24"/>
      <w:szCs w:val="24"/>
    </w:rPr>
  </w:style>
  <w:style w:type="paragraph" w:customStyle="1" w:styleId="COMH1numbered">
    <w:name w:val="COM H1 numbered"/>
    <w:next w:val="Normal"/>
    <w:qFormat/>
    <w:rsid w:val="00E439CE"/>
    <w:pPr>
      <w:keepNext/>
      <w:numPr>
        <w:numId w:val="10"/>
      </w:numPr>
      <w:spacing w:before="240" w:after="120" w:line="240" w:lineRule="auto"/>
      <w:outlineLvl w:val="0"/>
    </w:pPr>
    <w:rPr>
      <w:rFonts w:eastAsia="Times New Roman" w:cs="Arial"/>
      <w:b/>
      <w:snapToGrid w:val="0"/>
      <w:sz w:val="32"/>
      <w:szCs w:val="32"/>
    </w:rPr>
  </w:style>
  <w:style w:type="paragraph" w:customStyle="1" w:styleId="COMexecsumnumberedpara">
    <w:name w:val="COM exec sum numbered para"/>
    <w:basedOn w:val="ListParagraph"/>
    <w:link w:val="COMexecsumnumberedparaChar"/>
    <w:qFormat/>
    <w:rsid w:val="00E439CE"/>
    <w:pPr>
      <w:numPr>
        <w:ilvl w:val="1"/>
        <w:numId w:val="10"/>
      </w:numPr>
      <w:spacing w:after="120"/>
      <w:contextualSpacing w:val="0"/>
      <w:jc w:val="both"/>
    </w:pPr>
    <w:rPr>
      <w:rFonts w:eastAsia="Times New Roman" w:cs="Arial"/>
      <w:snapToGrid w:val="0"/>
    </w:rPr>
  </w:style>
  <w:style w:type="character" w:customStyle="1" w:styleId="COMexecsumnumberedparaChar">
    <w:name w:val="COM exec sum numbered para Char"/>
    <w:basedOn w:val="ListParagraphChar"/>
    <w:link w:val="COMexecsumnumberedpara"/>
    <w:rsid w:val="00E439CE"/>
    <w:rPr>
      <w:rFonts w:eastAsia="Times New Roman" w:cs="Arial"/>
      <w:snapToGrid w:val="0"/>
      <w:sz w:val="24"/>
      <w:szCs w:val="24"/>
    </w:rPr>
  </w:style>
  <w:style w:type="paragraph" w:customStyle="1" w:styleId="2-SectionHeading">
    <w:name w:val="2-Section Heading"/>
    <w:qFormat/>
    <w:rsid w:val="00763C9E"/>
    <w:pPr>
      <w:keepNext/>
      <w:spacing w:before="240" w:after="120" w:line="240" w:lineRule="auto"/>
      <w:ind w:left="720" w:hanging="720"/>
      <w:outlineLvl w:val="0"/>
    </w:pPr>
    <w:rPr>
      <w:rFonts w:eastAsia="Times New Roman" w:cs="Arial"/>
      <w:b/>
      <w:snapToGrid w:val="0"/>
      <w:sz w:val="32"/>
      <w:szCs w:val="32"/>
    </w:rPr>
  </w:style>
  <w:style w:type="paragraph" w:customStyle="1" w:styleId="3-BodyText">
    <w:name w:val="3-Body Text"/>
    <w:basedOn w:val="ListParagraph"/>
    <w:link w:val="3-BodyTextChar"/>
    <w:qFormat/>
    <w:rsid w:val="00763C9E"/>
    <w:pPr>
      <w:spacing w:after="120"/>
      <w:ind w:hanging="720"/>
      <w:contextualSpacing w:val="0"/>
      <w:jc w:val="both"/>
    </w:pPr>
    <w:rPr>
      <w:rFonts w:eastAsia="Times New Roman" w:cs="Arial"/>
      <w:snapToGrid w:val="0"/>
    </w:rPr>
  </w:style>
  <w:style w:type="character" w:customStyle="1" w:styleId="3-BodyTextChar">
    <w:name w:val="3-Body Text Char"/>
    <w:basedOn w:val="DefaultParagraphFont"/>
    <w:link w:val="3-BodyText"/>
    <w:rsid w:val="00763C9E"/>
    <w:rPr>
      <w:rFonts w:eastAsia="Times New Roman" w:cs="Arial"/>
      <w:snapToGrid w:val="0"/>
      <w:sz w:val="24"/>
      <w:szCs w:val="24"/>
    </w:rPr>
  </w:style>
  <w:style w:type="paragraph" w:customStyle="1" w:styleId="TableText">
    <w:name w:val="Table Text"/>
    <w:link w:val="TableTextChar"/>
    <w:qFormat/>
    <w:rsid w:val="00854AD4"/>
    <w:pPr>
      <w:keepNext/>
      <w:spacing w:after="0" w:line="240" w:lineRule="auto"/>
    </w:pPr>
    <w:rPr>
      <w:rFonts w:ascii="Arial Narrow" w:eastAsiaTheme="majorEastAsia" w:hAnsi="Arial Narrow" w:cstheme="majorBidi"/>
      <w:bCs/>
      <w:sz w:val="20"/>
      <w:szCs w:val="24"/>
    </w:rPr>
  </w:style>
  <w:style w:type="paragraph" w:customStyle="1" w:styleId="In-tableHeading">
    <w:name w:val="In-table Heading"/>
    <w:qFormat/>
    <w:rsid w:val="00854AD4"/>
    <w:pPr>
      <w:keepNext/>
      <w:spacing w:after="0" w:line="240" w:lineRule="auto"/>
    </w:pPr>
    <w:rPr>
      <w:rFonts w:ascii="Arial Narrow" w:eastAsiaTheme="majorEastAsia" w:hAnsi="Arial Narrow" w:cs="Times New Roman"/>
      <w:b/>
      <w:sz w:val="20"/>
      <w:szCs w:val="24"/>
      <w:lang w:val="en-US"/>
    </w:rPr>
  </w:style>
  <w:style w:type="paragraph" w:customStyle="1" w:styleId="TableFigureHeading">
    <w:name w:val="Table/Figure Heading"/>
    <w:next w:val="In-tableHeading"/>
    <w:link w:val="TableFigureHeadingChar"/>
    <w:qFormat/>
    <w:rsid w:val="00854AD4"/>
    <w:pPr>
      <w:keepNext/>
      <w:spacing w:after="0" w:line="240" w:lineRule="auto"/>
    </w:pPr>
    <w:rPr>
      <w:rFonts w:ascii="Arial Narrow" w:eastAsiaTheme="majorEastAsia" w:hAnsi="Arial Narrow" w:cstheme="majorBidi"/>
      <w:b/>
      <w:bCs/>
      <w:sz w:val="20"/>
      <w:szCs w:val="24"/>
    </w:rPr>
  </w:style>
  <w:style w:type="character" w:customStyle="1" w:styleId="TableFigureHeadingChar">
    <w:name w:val="Table/Figure Heading Char"/>
    <w:basedOn w:val="DefaultParagraphFont"/>
    <w:link w:val="TableFigureHeading"/>
    <w:rsid w:val="00854AD4"/>
    <w:rPr>
      <w:rFonts w:ascii="Arial Narrow" w:eastAsiaTheme="majorEastAsia" w:hAnsi="Arial Narrow" w:cstheme="majorBidi"/>
      <w:b/>
      <w:bCs/>
      <w:sz w:val="20"/>
      <w:szCs w:val="24"/>
    </w:rPr>
  </w:style>
  <w:style w:type="character" w:customStyle="1" w:styleId="TableTextChar">
    <w:name w:val="Table Text Char"/>
    <w:basedOn w:val="DefaultParagraphFont"/>
    <w:link w:val="TableText"/>
    <w:rsid w:val="00854AD4"/>
    <w:rPr>
      <w:rFonts w:ascii="Arial Narrow" w:eastAsiaTheme="majorEastAsia" w:hAnsi="Arial Narrow" w:cstheme="majorBidi"/>
      <w:bCs/>
      <w:sz w:val="20"/>
      <w:szCs w:val="24"/>
    </w:rPr>
  </w:style>
  <w:style w:type="character" w:styleId="UnresolvedMention">
    <w:name w:val="Unresolved Mention"/>
    <w:basedOn w:val="DefaultParagraphFont"/>
    <w:uiPriority w:val="99"/>
    <w:semiHidden/>
    <w:unhideWhenUsed/>
    <w:rsid w:val="00A0038A"/>
    <w:rPr>
      <w:color w:val="605E5C"/>
      <w:shd w:val="clear" w:color="auto" w:fill="E1DFDD"/>
    </w:rPr>
  </w:style>
  <w:style w:type="character" w:styleId="FollowedHyperlink">
    <w:name w:val="FollowedHyperlink"/>
    <w:basedOn w:val="DefaultParagraphFont"/>
    <w:uiPriority w:val="99"/>
    <w:semiHidden/>
    <w:unhideWhenUsed/>
    <w:rsid w:val="00E21F10"/>
    <w:rPr>
      <w:color w:val="800080" w:themeColor="followedHyperlink"/>
      <w:u w:val="single"/>
    </w:rPr>
  </w:style>
  <w:style w:type="paragraph" w:customStyle="1" w:styleId="BoxBullet">
    <w:name w:val="BoxBullet"/>
    <w:basedOn w:val="BoxText"/>
    <w:rsid w:val="008F1B2B"/>
    <w:pPr>
      <w:numPr>
        <w:numId w:val="14"/>
      </w:numPr>
    </w:pPr>
  </w:style>
  <w:style w:type="paragraph" w:customStyle="1" w:styleId="BoxText">
    <w:name w:val="BoxText"/>
    <w:basedOn w:val="Normal"/>
    <w:qFormat/>
    <w:rsid w:val="008F1B2B"/>
    <w:pPr>
      <w:pBdr>
        <w:top w:val="single" w:sz="4" w:space="4" w:color="000000"/>
        <w:left w:val="single" w:sz="4" w:space="4" w:color="000000"/>
        <w:bottom w:val="single" w:sz="4" w:space="4" w:color="000000"/>
        <w:right w:val="single" w:sz="4" w:space="4" w:color="000000"/>
      </w:pBdr>
      <w:spacing w:before="120" w:after="120"/>
    </w:pPr>
    <w:rPr>
      <w:rFonts w:ascii="Calibri" w:eastAsia="Times New Roman" w:hAnsi="Calibri" w:cs="Times New Roman"/>
      <w:color w:val="000000"/>
      <w:szCs w:val="20"/>
    </w:rPr>
  </w:style>
  <w:style w:type="paragraph" w:customStyle="1" w:styleId="PBACHeading1">
    <w:name w:val="PBAC Heading 1"/>
    <w:qFormat/>
    <w:rsid w:val="00C57B37"/>
    <w:pPr>
      <w:spacing w:after="0" w:line="240" w:lineRule="auto"/>
      <w:ind w:left="720" w:hanging="720"/>
    </w:pPr>
    <w:rPr>
      <w:rFonts w:ascii="Calibri" w:eastAsia="Times New Roman" w:hAnsi="Calibri" w:cs="Arial"/>
      <w:b/>
      <w:snapToGrid w:val="0"/>
      <w:sz w:val="32"/>
      <w:lang w:eastAsia="en-US"/>
    </w:rPr>
  </w:style>
  <w:style w:type="paragraph" w:customStyle="1" w:styleId="pf0">
    <w:name w:val="pf0"/>
    <w:basedOn w:val="Normal"/>
    <w:rsid w:val="007B27D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7B27DE"/>
    <w:rPr>
      <w:rFonts w:ascii="Segoe UI" w:hAnsi="Segoe UI" w:cs="Segoe UI" w:hint="default"/>
      <w:sz w:val="18"/>
      <w:szCs w:val="18"/>
    </w:rPr>
  </w:style>
  <w:style w:type="paragraph" w:styleId="EndnoteText">
    <w:name w:val="endnote text"/>
    <w:basedOn w:val="Normal"/>
    <w:link w:val="EndnoteTextChar"/>
    <w:uiPriority w:val="99"/>
    <w:semiHidden/>
    <w:unhideWhenUsed/>
    <w:rsid w:val="0004278B"/>
    <w:pPr>
      <w:spacing w:after="0"/>
    </w:pPr>
    <w:rPr>
      <w:sz w:val="20"/>
      <w:szCs w:val="20"/>
    </w:rPr>
  </w:style>
  <w:style w:type="character" w:customStyle="1" w:styleId="EndnoteTextChar">
    <w:name w:val="Endnote Text Char"/>
    <w:basedOn w:val="DefaultParagraphFont"/>
    <w:link w:val="EndnoteText"/>
    <w:uiPriority w:val="99"/>
    <w:semiHidden/>
    <w:rsid w:val="0004278B"/>
    <w:rPr>
      <w:sz w:val="20"/>
      <w:szCs w:val="20"/>
    </w:rPr>
  </w:style>
  <w:style w:type="character" w:styleId="EndnoteReference">
    <w:name w:val="endnote reference"/>
    <w:basedOn w:val="DefaultParagraphFont"/>
    <w:uiPriority w:val="99"/>
    <w:semiHidden/>
    <w:unhideWhenUsed/>
    <w:rsid w:val="00042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905">
      <w:bodyDiv w:val="1"/>
      <w:marLeft w:val="0"/>
      <w:marRight w:val="0"/>
      <w:marTop w:val="0"/>
      <w:marBottom w:val="0"/>
      <w:divBdr>
        <w:top w:val="none" w:sz="0" w:space="0" w:color="auto"/>
        <w:left w:val="none" w:sz="0" w:space="0" w:color="auto"/>
        <w:bottom w:val="none" w:sz="0" w:space="0" w:color="auto"/>
        <w:right w:val="none" w:sz="0" w:space="0" w:color="auto"/>
      </w:divBdr>
    </w:div>
    <w:div w:id="94521730">
      <w:bodyDiv w:val="1"/>
      <w:marLeft w:val="0"/>
      <w:marRight w:val="0"/>
      <w:marTop w:val="0"/>
      <w:marBottom w:val="0"/>
      <w:divBdr>
        <w:top w:val="none" w:sz="0" w:space="0" w:color="auto"/>
        <w:left w:val="none" w:sz="0" w:space="0" w:color="auto"/>
        <w:bottom w:val="none" w:sz="0" w:space="0" w:color="auto"/>
        <w:right w:val="none" w:sz="0" w:space="0" w:color="auto"/>
      </w:divBdr>
    </w:div>
    <w:div w:id="265235724">
      <w:bodyDiv w:val="1"/>
      <w:marLeft w:val="0"/>
      <w:marRight w:val="0"/>
      <w:marTop w:val="0"/>
      <w:marBottom w:val="0"/>
      <w:divBdr>
        <w:top w:val="none" w:sz="0" w:space="0" w:color="auto"/>
        <w:left w:val="none" w:sz="0" w:space="0" w:color="auto"/>
        <w:bottom w:val="none" w:sz="0" w:space="0" w:color="auto"/>
        <w:right w:val="none" w:sz="0" w:space="0" w:color="auto"/>
      </w:divBdr>
    </w:div>
    <w:div w:id="282005866">
      <w:bodyDiv w:val="1"/>
      <w:marLeft w:val="0"/>
      <w:marRight w:val="0"/>
      <w:marTop w:val="0"/>
      <w:marBottom w:val="0"/>
      <w:divBdr>
        <w:top w:val="none" w:sz="0" w:space="0" w:color="auto"/>
        <w:left w:val="none" w:sz="0" w:space="0" w:color="auto"/>
        <w:bottom w:val="none" w:sz="0" w:space="0" w:color="auto"/>
        <w:right w:val="none" w:sz="0" w:space="0" w:color="auto"/>
      </w:divBdr>
    </w:div>
    <w:div w:id="321540935">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1000409">
      <w:bodyDiv w:val="1"/>
      <w:marLeft w:val="0"/>
      <w:marRight w:val="0"/>
      <w:marTop w:val="0"/>
      <w:marBottom w:val="0"/>
      <w:divBdr>
        <w:top w:val="none" w:sz="0" w:space="0" w:color="auto"/>
        <w:left w:val="none" w:sz="0" w:space="0" w:color="auto"/>
        <w:bottom w:val="none" w:sz="0" w:space="0" w:color="auto"/>
        <w:right w:val="none" w:sz="0" w:space="0" w:color="auto"/>
      </w:divBdr>
    </w:div>
    <w:div w:id="488406945">
      <w:bodyDiv w:val="1"/>
      <w:marLeft w:val="0"/>
      <w:marRight w:val="0"/>
      <w:marTop w:val="0"/>
      <w:marBottom w:val="0"/>
      <w:divBdr>
        <w:top w:val="none" w:sz="0" w:space="0" w:color="auto"/>
        <w:left w:val="none" w:sz="0" w:space="0" w:color="auto"/>
        <w:bottom w:val="none" w:sz="0" w:space="0" w:color="auto"/>
        <w:right w:val="none" w:sz="0" w:space="0" w:color="auto"/>
      </w:divBdr>
    </w:div>
    <w:div w:id="542448194">
      <w:bodyDiv w:val="1"/>
      <w:marLeft w:val="0"/>
      <w:marRight w:val="0"/>
      <w:marTop w:val="0"/>
      <w:marBottom w:val="0"/>
      <w:divBdr>
        <w:top w:val="none" w:sz="0" w:space="0" w:color="auto"/>
        <w:left w:val="none" w:sz="0" w:space="0" w:color="auto"/>
        <w:bottom w:val="none" w:sz="0" w:space="0" w:color="auto"/>
        <w:right w:val="none" w:sz="0" w:space="0" w:color="auto"/>
      </w:divBdr>
    </w:div>
    <w:div w:id="681934724">
      <w:bodyDiv w:val="1"/>
      <w:marLeft w:val="0"/>
      <w:marRight w:val="0"/>
      <w:marTop w:val="0"/>
      <w:marBottom w:val="0"/>
      <w:divBdr>
        <w:top w:val="none" w:sz="0" w:space="0" w:color="auto"/>
        <w:left w:val="none" w:sz="0" w:space="0" w:color="auto"/>
        <w:bottom w:val="none" w:sz="0" w:space="0" w:color="auto"/>
        <w:right w:val="none" w:sz="0" w:space="0" w:color="auto"/>
      </w:divBdr>
    </w:div>
    <w:div w:id="762072771">
      <w:bodyDiv w:val="1"/>
      <w:marLeft w:val="0"/>
      <w:marRight w:val="0"/>
      <w:marTop w:val="0"/>
      <w:marBottom w:val="0"/>
      <w:divBdr>
        <w:top w:val="none" w:sz="0" w:space="0" w:color="auto"/>
        <w:left w:val="none" w:sz="0" w:space="0" w:color="auto"/>
        <w:bottom w:val="none" w:sz="0" w:space="0" w:color="auto"/>
        <w:right w:val="none" w:sz="0" w:space="0" w:color="auto"/>
      </w:divBdr>
    </w:div>
    <w:div w:id="841430896">
      <w:bodyDiv w:val="1"/>
      <w:marLeft w:val="0"/>
      <w:marRight w:val="0"/>
      <w:marTop w:val="0"/>
      <w:marBottom w:val="0"/>
      <w:divBdr>
        <w:top w:val="none" w:sz="0" w:space="0" w:color="auto"/>
        <w:left w:val="none" w:sz="0" w:space="0" w:color="auto"/>
        <w:bottom w:val="none" w:sz="0" w:space="0" w:color="auto"/>
        <w:right w:val="none" w:sz="0" w:space="0" w:color="auto"/>
      </w:divBdr>
    </w:div>
    <w:div w:id="932787257">
      <w:bodyDiv w:val="1"/>
      <w:marLeft w:val="0"/>
      <w:marRight w:val="0"/>
      <w:marTop w:val="0"/>
      <w:marBottom w:val="0"/>
      <w:divBdr>
        <w:top w:val="none" w:sz="0" w:space="0" w:color="auto"/>
        <w:left w:val="none" w:sz="0" w:space="0" w:color="auto"/>
        <w:bottom w:val="none" w:sz="0" w:space="0" w:color="auto"/>
        <w:right w:val="none" w:sz="0" w:space="0" w:color="auto"/>
      </w:divBdr>
    </w:div>
    <w:div w:id="985012986">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40541006">
      <w:bodyDiv w:val="1"/>
      <w:marLeft w:val="0"/>
      <w:marRight w:val="0"/>
      <w:marTop w:val="0"/>
      <w:marBottom w:val="0"/>
      <w:divBdr>
        <w:top w:val="none" w:sz="0" w:space="0" w:color="auto"/>
        <w:left w:val="none" w:sz="0" w:space="0" w:color="auto"/>
        <w:bottom w:val="none" w:sz="0" w:space="0" w:color="auto"/>
        <w:right w:val="none" w:sz="0" w:space="0" w:color="auto"/>
      </w:divBdr>
    </w:div>
    <w:div w:id="1239753536">
      <w:bodyDiv w:val="1"/>
      <w:marLeft w:val="0"/>
      <w:marRight w:val="0"/>
      <w:marTop w:val="0"/>
      <w:marBottom w:val="0"/>
      <w:divBdr>
        <w:top w:val="none" w:sz="0" w:space="0" w:color="auto"/>
        <w:left w:val="none" w:sz="0" w:space="0" w:color="auto"/>
        <w:bottom w:val="none" w:sz="0" w:space="0" w:color="auto"/>
        <w:right w:val="none" w:sz="0" w:space="0" w:color="auto"/>
      </w:divBdr>
    </w:div>
    <w:div w:id="1251818704">
      <w:bodyDiv w:val="1"/>
      <w:marLeft w:val="0"/>
      <w:marRight w:val="0"/>
      <w:marTop w:val="0"/>
      <w:marBottom w:val="0"/>
      <w:divBdr>
        <w:top w:val="none" w:sz="0" w:space="0" w:color="auto"/>
        <w:left w:val="none" w:sz="0" w:space="0" w:color="auto"/>
        <w:bottom w:val="none" w:sz="0" w:space="0" w:color="auto"/>
        <w:right w:val="none" w:sz="0" w:space="0" w:color="auto"/>
      </w:divBdr>
    </w:div>
    <w:div w:id="1455710830">
      <w:bodyDiv w:val="1"/>
      <w:marLeft w:val="0"/>
      <w:marRight w:val="0"/>
      <w:marTop w:val="0"/>
      <w:marBottom w:val="0"/>
      <w:divBdr>
        <w:top w:val="none" w:sz="0" w:space="0" w:color="auto"/>
        <w:left w:val="none" w:sz="0" w:space="0" w:color="auto"/>
        <w:bottom w:val="none" w:sz="0" w:space="0" w:color="auto"/>
        <w:right w:val="none" w:sz="0" w:space="0" w:color="auto"/>
      </w:divBdr>
    </w:div>
    <w:div w:id="1583180312">
      <w:bodyDiv w:val="1"/>
      <w:marLeft w:val="0"/>
      <w:marRight w:val="0"/>
      <w:marTop w:val="0"/>
      <w:marBottom w:val="0"/>
      <w:divBdr>
        <w:top w:val="none" w:sz="0" w:space="0" w:color="auto"/>
        <w:left w:val="none" w:sz="0" w:space="0" w:color="auto"/>
        <w:bottom w:val="none" w:sz="0" w:space="0" w:color="auto"/>
        <w:right w:val="none" w:sz="0" w:space="0" w:color="auto"/>
      </w:divBdr>
    </w:div>
    <w:div w:id="1599368591">
      <w:bodyDiv w:val="1"/>
      <w:marLeft w:val="0"/>
      <w:marRight w:val="0"/>
      <w:marTop w:val="0"/>
      <w:marBottom w:val="0"/>
      <w:divBdr>
        <w:top w:val="none" w:sz="0" w:space="0" w:color="auto"/>
        <w:left w:val="none" w:sz="0" w:space="0" w:color="auto"/>
        <w:bottom w:val="none" w:sz="0" w:space="0" w:color="auto"/>
        <w:right w:val="none" w:sz="0" w:space="0" w:color="auto"/>
      </w:divBdr>
    </w:div>
    <w:div w:id="20388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chart" Target="charts/chart2.xml"/><Relationship Id="rId26" Type="http://schemas.openxmlformats.org/officeDocument/2006/relationships/image" Target="media/image4.sv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chart" Target="charts/chart1.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pbs.gov.au/info/industry/listing/elements/pbac-meetings/psd/2021-03/brentuximab-vedotin-powder-for-iv-infusion-50-mg-adcetri" TargetMode="External"/><Relationship Id="rId20" Type="http://schemas.openxmlformats.org/officeDocument/2006/relationships/chart" Target="charts/chart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hyperlink" Target="https://www.pbs.gov.au/info/industry/listing/elements/pbac-meetings/psd/2018-11/Brentuximab-Vedotin-psd-november-2018"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http://www.pbs.gov.au/pbs/home" TargetMode="Externa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info/industry/listing/elements/pbac-meetings/psd/2018-07/Brentuximab-psd-july-2018" TargetMode="External"/><Relationship Id="rId22" Type="http://schemas.openxmlformats.org/officeDocument/2006/relationships/chart" Target="charts/chart6.xm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BRENTUXIMAB%20VEDOTIN/brentuximab%20vedotin%20DUSC%20revi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BRENTUXIMAB%20VEDOTIN/brentuximab%20vedotin%20DUSC%20revi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BRENTUXIMAB%20VEDOTIN/brentuximab%20vedotin%20DUSC%20revi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BRENTUXIMAB%20VEDOTIN/brentuximab%20vedotin%20DUSC%20revie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BRENTUXIMAB%20VEDOTIN/brentuximab%20vedotin%20DUSC%20revie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BRENTUXIMAB%20VEDOTIN/brentuximab.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[brentuximab vedotin DUSC review.xlsx]Sheet2!PivotTable3</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Sheet2!$R$1:$R$2</c:f>
              <c:strCache>
                <c:ptCount val="1"/>
                <c:pt idx="0">
                  <c:v>CTCL</c:v>
                </c:pt>
              </c:strCache>
            </c:strRef>
          </c:tx>
          <c:spPr>
            <a:ln w="28575" cap="rnd">
              <a:solidFill>
                <a:schemeClr val="accent1"/>
              </a:solidFill>
              <a:round/>
            </a:ln>
            <a:effectLst/>
          </c:spPr>
          <c:marker>
            <c:symbol val="none"/>
          </c:marker>
          <c:cat>
            <c:strRef>
              <c:f>Sheet2!$Q$3:$Q$8</c:f>
              <c:strCache>
                <c:ptCount val="5"/>
                <c:pt idx="0">
                  <c:v>2019/20</c:v>
                </c:pt>
                <c:pt idx="1">
                  <c:v>2020/21</c:v>
                </c:pt>
                <c:pt idx="2">
                  <c:v>2021/22</c:v>
                </c:pt>
                <c:pt idx="3">
                  <c:v>2022/23</c:v>
                </c:pt>
                <c:pt idx="4">
                  <c:v>2023/24</c:v>
                </c:pt>
              </c:strCache>
            </c:strRef>
          </c:cat>
          <c:val>
            <c:numRef>
              <c:f>Sheet2!$R$3:$R$8</c:f>
              <c:numCache>
                <c:formatCode>General</c:formatCode>
                <c:ptCount val="5"/>
                <c:pt idx="0">
                  <c:v>50</c:v>
                </c:pt>
                <c:pt idx="1">
                  <c:v>51</c:v>
                </c:pt>
                <c:pt idx="2">
                  <c:v>31</c:v>
                </c:pt>
                <c:pt idx="3">
                  <c:v>36</c:v>
                </c:pt>
                <c:pt idx="4">
                  <c:v>32</c:v>
                </c:pt>
              </c:numCache>
            </c:numRef>
          </c:val>
          <c:smooth val="0"/>
          <c:extLst>
            <c:ext xmlns:c16="http://schemas.microsoft.com/office/drawing/2014/chart" uri="{C3380CC4-5D6E-409C-BE32-E72D297353CC}">
              <c16:uniqueId val="{00000000-C683-4A47-AB18-AE0E0A3F606C}"/>
            </c:ext>
          </c:extLst>
        </c:ser>
        <c:ser>
          <c:idx val="1"/>
          <c:order val="1"/>
          <c:tx>
            <c:strRef>
              <c:f>Sheet2!$S$1:$S$2</c:f>
              <c:strCache>
                <c:ptCount val="1"/>
                <c:pt idx="0">
                  <c:v>PTCL</c:v>
                </c:pt>
              </c:strCache>
            </c:strRef>
          </c:tx>
          <c:spPr>
            <a:ln w="28575" cap="rnd">
              <a:solidFill>
                <a:schemeClr val="accent2"/>
              </a:solidFill>
              <a:round/>
            </a:ln>
            <a:effectLst/>
          </c:spPr>
          <c:marker>
            <c:symbol val="none"/>
          </c:marker>
          <c:cat>
            <c:strRef>
              <c:f>Sheet2!$Q$3:$Q$8</c:f>
              <c:strCache>
                <c:ptCount val="5"/>
                <c:pt idx="0">
                  <c:v>2019/20</c:v>
                </c:pt>
                <c:pt idx="1">
                  <c:v>2020/21</c:v>
                </c:pt>
                <c:pt idx="2">
                  <c:v>2021/22</c:v>
                </c:pt>
                <c:pt idx="3">
                  <c:v>2022/23</c:v>
                </c:pt>
                <c:pt idx="4">
                  <c:v>2023/24</c:v>
                </c:pt>
              </c:strCache>
            </c:strRef>
          </c:cat>
          <c:val>
            <c:numRef>
              <c:f>Sheet2!$S$3:$S$8</c:f>
              <c:numCache>
                <c:formatCode>General</c:formatCode>
                <c:ptCount val="5"/>
                <c:pt idx="2">
                  <c:v>64</c:v>
                </c:pt>
                <c:pt idx="3">
                  <c:v>113</c:v>
                </c:pt>
                <c:pt idx="4">
                  <c:v>114</c:v>
                </c:pt>
              </c:numCache>
            </c:numRef>
          </c:val>
          <c:smooth val="0"/>
          <c:extLst>
            <c:ext xmlns:c16="http://schemas.microsoft.com/office/drawing/2014/chart" uri="{C3380CC4-5D6E-409C-BE32-E72D297353CC}">
              <c16:uniqueId val="{00000001-C683-4A47-AB18-AE0E0A3F606C}"/>
            </c:ext>
          </c:extLst>
        </c:ser>
        <c:ser>
          <c:idx val="2"/>
          <c:order val="2"/>
          <c:tx>
            <c:strRef>
              <c:f>Sheet2!$T$1:$T$2</c:f>
              <c:strCache>
                <c:ptCount val="1"/>
                <c:pt idx="0">
                  <c:v>sALCL</c:v>
                </c:pt>
              </c:strCache>
            </c:strRef>
          </c:tx>
          <c:spPr>
            <a:ln w="28575" cap="rnd">
              <a:solidFill>
                <a:schemeClr val="accent3"/>
              </a:solidFill>
              <a:round/>
            </a:ln>
            <a:effectLst/>
          </c:spPr>
          <c:marker>
            <c:symbol val="none"/>
          </c:marker>
          <c:cat>
            <c:strRef>
              <c:f>Sheet2!$Q$3:$Q$8</c:f>
              <c:strCache>
                <c:ptCount val="5"/>
                <c:pt idx="0">
                  <c:v>2019/20</c:v>
                </c:pt>
                <c:pt idx="1">
                  <c:v>2020/21</c:v>
                </c:pt>
                <c:pt idx="2">
                  <c:v>2021/22</c:v>
                </c:pt>
                <c:pt idx="3">
                  <c:v>2022/23</c:v>
                </c:pt>
                <c:pt idx="4">
                  <c:v>2023/24</c:v>
                </c:pt>
              </c:strCache>
            </c:strRef>
          </c:cat>
          <c:val>
            <c:numRef>
              <c:f>Sheet2!$T$3:$T$8</c:f>
              <c:numCache>
                <c:formatCode>General</c:formatCode>
                <c:ptCount val="5"/>
                <c:pt idx="0">
                  <c:v>48</c:v>
                </c:pt>
                <c:pt idx="1">
                  <c:v>46</c:v>
                </c:pt>
                <c:pt idx="2">
                  <c:v>47</c:v>
                </c:pt>
                <c:pt idx="3">
                  <c:v>38</c:v>
                </c:pt>
                <c:pt idx="4">
                  <c:v>25</c:v>
                </c:pt>
              </c:numCache>
            </c:numRef>
          </c:val>
          <c:smooth val="0"/>
          <c:extLst>
            <c:ext xmlns:c16="http://schemas.microsoft.com/office/drawing/2014/chart" uri="{C3380CC4-5D6E-409C-BE32-E72D297353CC}">
              <c16:uniqueId val="{00000002-C683-4A47-AB18-AE0E0A3F606C}"/>
            </c:ext>
          </c:extLst>
        </c:ser>
        <c:dLbls>
          <c:showLegendKey val="0"/>
          <c:showVal val="0"/>
          <c:showCatName val="0"/>
          <c:showSerName val="0"/>
          <c:showPercent val="0"/>
          <c:showBubbleSize val="0"/>
        </c:dLbls>
        <c:smooth val="0"/>
        <c:axId val="1308230448"/>
        <c:axId val="1308230808"/>
      </c:lineChart>
      <c:catAx>
        <c:axId val="1308230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230808"/>
        <c:crosses val="autoZero"/>
        <c:auto val="1"/>
        <c:lblAlgn val="ctr"/>
        <c:lblOffset val="100"/>
        <c:noMultiLvlLbl val="0"/>
      </c:catAx>
      <c:valAx>
        <c:axId val="1308230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23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[brentuximab vedotin DUSC review.xlsx]Sheet2!PivotTable6</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Sheet2!$R$53:$R$54</c:f>
              <c:strCache>
                <c:ptCount val="1"/>
                <c:pt idx="0">
                  <c:v>CTCL</c:v>
                </c:pt>
              </c:strCache>
            </c:strRef>
          </c:tx>
          <c:spPr>
            <a:ln w="28575" cap="rnd">
              <a:solidFill>
                <a:schemeClr val="accent1"/>
              </a:solidFill>
              <a:round/>
            </a:ln>
            <a:effectLst/>
          </c:spPr>
          <c:marker>
            <c:symbol val="none"/>
          </c:marker>
          <c:cat>
            <c:strRef>
              <c:f>Sheet2!$Q$55:$Q$60</c:f>
              <c:strCache>
                <c:ptCount val="5"/>
                <c:pt idx="0">
                  <c:v>2019/20</c:v>
                </c:pt>
                <c:pt idx="1">
                  <c:v>2020/21</c:v>
                </c:pt>
                <c:pt idx="2">
                  <c:v>2021/22</c:v>
                </c:pt>
                <c:pt idx="3">
                  <c:v>2022/23</c:v>
                </c:pt>
                <c:pt idx="4">
                  <c:v>2023/24</c:v>
                </c:pt>
              </c:strCache>
            </c:strRef>
          </c:cat>
          <c:val>
            <c:numRef>
              <c:f>Sheet2!$R$55:$R$60</c:f>
              <c:numCache>
                <c:formatCode>General</c:formatCode>
                <c:ptCount val="5"/>
                <c:pt idx="0">
                  <c:v>39</c:v>
                </c:pt>
                <c:pt idx="1">
                  <c:v>33</c:v>
                </c:pt>
                <c:pt idx="2">
                  <c:v>16</c:v>
                </c:pt>
                <c:pt idx="3">
                  <c:v>27</c:v>
                </c:pt>
                <c:pt idx="4">
                  <c:v>21</c:v>
                </c:pt>
              </c:numCache>
            </c:numRef>
          </c:val>
          <c:smooth val="0"/>
          <c:extLst>
            <c:ext xmlns:c16="http://schemas.microsoft.com/office/drawing/2014/chart" uri="{C3380CC4-5D6E-409C-BE32-E72D297353CC}">
              <c16:uniqueId val="{00000000-6A13-48A1-9DA3-D29D6AE9B1D6}"/>
            </c:ext>
          </c:extLst>
        </c:ser>
        <c:ser>
          <c:idx val="1"/>
          <c:order val="1"/>
          <c:tx>
            <c:strRef>
              <c:f>Sheet2!$S$53:$S$54</c:f>
              <c:strCache>
                <c:ptCount val="1"/>
                <c:pt idx="0">
                  <c:v>PTCL</c:v>
                </c:pt>
              </c:strCache>
            </c:strRef>
          </c:tx>
          <c:spPr>
            <a:ln w="28575" cap="rnd">
              <a:solidFill>
                <a:schemeClr val="accent2"/>
              </a:solidFill>
              <a:round/>
            </a:ln>
            <a:effectLst/>
          </c:spPr>
          <c:marker>
            <c:symbol val="none"/>
          </c:marker>
          <c:cat>
            <c:strRef>
              <c:f>Sheet2!$Q$55:$Q$60</c:f>
              <c:strCache>
                <c:ptCount val="5"/>
                <c:pt idx="0">
                  <c:v>2019/20</c:v>
                </c:pt>
                <c:pt idx="1">
                  <c:v>2020/21</c:v>
                </c:pt>
                <c:pt idx="2">
                  <c:v>2021/22</c:v>
                </c:pt>
                <c:pt idx="3">
                  <c:v>2022/23</c:v>
                </c:pt>
                <c:pt idx="4">
                  <c:v>2023/24</c:v>
                </c:pt>
              </c:strCache>
            </c:strRef>
          </c:cat>
          <c:val>
            <c:numRef>
              <c:f>Sheet2!$S$55:$S$60</c:f>
              <c:numCache>
                <c:formatCode>General</c:formatCode>
                <c:ptCount val="5"/>
                <c:pt idx="2">
                  <c:v>64</c:v>
                </c:pt>
                <c:pt idx="3">
                  <c:v>94</c:v>
                </c:pt>
                <c:pt idx="4">
                  <c:v>90</c:v>
                </c:pt>
              </c:numCache>
            </c:numRef>
          </c:val>
          <c:smooth val="0"/>
          <c:extLst>
            <c:ext xmlns:c16="http://schemas.microsoft.com/office/drawing/2014/chart" uri="{C3380CC4-5D6E-409C-BE32-E72D297353CC}">
              <c16:uniqueId val="{00000001-6A13-48A1-9DA3-D29D6AE9B1D6}"/>
            </c:ext>
          </c:extLst>
        </c:ser>
        <c:ser>
          <c:idx val="2"/>
          <c:order val="2"/>
          <c:tx>
            <c:strRef>
              <c:f>Sheet2!$T$53:$T$54</c:f>
              <c:strCache>
                <c:ptCount val="1"/>
                <c:pt idx="0">
                  <c:v>sALCL</c:v>
                </c:pt>
              </c:strCache>
            </c:strRef>
          </c:tx>
          <c:spPr>
            <a:ln w="28575" cap="rnd">
              <a:solidFill>
                <a:schemeClr val="accent3"/>
              </a:solidFill>
              <a:round/>
            </a:ln>
            <a:effectLst/>
          </c:spPr>
          <c:marker>
            <c:symbol val="none"/>
          </c:marker>
          <c:cat>
            <c:strRef>
              <c:f>Sheet2!$Q$55:$Q$60</c:f>
              <c:strCache>
                <c:ptCount val="5"/>
                <c:pt idx="0">
                  <c:v>2019/20</c:v>
                </c:pt>
                <c:pt idx="1">
                  <c:v>2020/21</c:v>
                </c:pt>
                <c:pt idx="2">
                  <c:v>2021/22</c:v>
                </c:pt>
                <c:pt idx="3">
                  <c:v>2022/23</c:v>
                </c:pt>
                <c:pt idx="4">
                  <c:v>2023/24</c:v>
                </c:pt>
              </c:strCache>
            </c:strRef>
          </c:cat>
          <c:val>
            <c:numRef>
              <c:f>Sheet2!$T$55:$T$60</c:f>
              <c:numCache>
                <c:formatCode>General</c:formatCode>
                <c:ptCount val="5"/>
                <c:pt idx="0">
                  <c:v>35</c:v>
                </c:pt>
                <c:pt idx="1">
                  <c:v>34</c:v>
                </c:pt>
                <c:pt idx="2">
                  <c:v>29</c:v>
                </c:pt>
                <c:pt idx="3">
                  <c:v>25</c:v>
                </c:pt>
                <c:pt idx="4">
                  <c:v>16</c:v>
                </c:pt>
              </c:numCache>
            </c:numRef>
          </c:val>
          <c:smooth val="0"/>
          <c:extLst>
            <c:ext xmlns:c16="http://schemas.microsoft.com/office/drawing/2014/chart" uri="{C3380CC4-5D6E-409C-BE32-E72D297353CC}">
              <c16:uniqueId val="{00000002-6A13-48A1-9DA3-D29D6AE9B1D6}"/>
            </c:ext>
          </c:extLst>
        </c:ser>
        <c:dLbls>
          <c:showLegendKey val="0"/>
          <c:showVal val="0"/>
          <c:showCatName val="0"/>
          <c:showSerName val="0"/>
          <c:showPercent val="0"/>
          <c:showBubbleSize val="0"/>
        </c:dLbls>
        <c:smooth val="0"/>
        <c:axId val="1525813184"/>
        <c:axId val="942782832"/>
      </c:lineChart>
      <c:catAx>
        <c:axId val="1525813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782832"/>
        <c:crosses val="autoZero"/>
        <c:auto val="1"/>
        <c:lblAlgn val="ctr"/>
        <c:lblOffset val="100"/>
        <c:noMultiLvlLbl val="0"/>
      </c:catAx>
      <c:valAx>
        <c:axId val="942782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81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[brentuximab vedotin DUSC review.xlsx]Sheet2!PivotTable11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Sheet2!$R$71:$R$72</c:f>
              <c:strCache>
                <c:ptCount val="1"/>
                <c:pt idx="0">
                  <c:v>CTCL</c:v>
                </c:pt>
              </c:strCache>
            </c:strRef>
          </c:tx>
          <c:spPr>
            <a:solidFill>
              <a:schemeClr val="accent1"/>
            </a:solidFill>
            <a:ln>
              <a:noFill/>
            </a:ln>
            <a:effectLst/>
          </c:spPr>
          <c:invertIfNegative val="0"/>
          <c:cat>
            <c:strRef>
              <c:f>Sheet2!$Q$73:$Q$78</c:f>
              <c:strCache>
                <c:ptCount val="5"/>
                <c:pt idx="0">
                  <c:v>2019/20</c:v>
                </c:pt>
                <c:pt idx="1">
                  <c:v>2020/21</c:v>
                </c:pt>
                <c:pt idx="2">
                  <c:v>2021/22</c:v>
                </c:pt>
                <c:pt idx="3">
                  <c:v>2022/23</c:v>
                </c:pt>
                <c:pt idx="4">
                  <c:v>2023/24</c:v>
                </c:pt>
              </c:strCache>
            </c:strRef>
          </c:cat>
          <c:val>
            <c:numRef>
              <c:f>Sheet2!$R$73:$R$78</c:f>
              <c:numCache>
                <c:formatCode>General</c:formatCode>
                <c:ptCount val="5"/>
                <c:pt idx="0">
                  <c:v>35</c:v>
                </c:pt>
                <c:pt idx="1">
                  <c:v>29</c:v>
                </c:pt>
                <c:pt idx="2">
                  <c:v>18</c:v>
                </c:pt>
                <c:pt idx="3">
                  <c:v>25</c:v>
                </c:pt>
                <c:pt idx="4">
                  <c:v>20</c:v>
                </c:pt>
              </c:numCache>
            </c:numRef>
          </c:val>
          <c:extLst>
            <c:ext xmlns:c16="http://schemas.microsoft.com/office/drawing/2014/chart" uri="{C3380CC4-5D6E-409C-BE32-E72D297353CC}">
              <c16:uniqueId val="{00000000-7AA0-44EB-8F9F-7BC7E5289C4E}"/>
            </c:ext>
          </c:extLst>
        </c:ser>
        <c:ser>
          <c:idx val="1"/>
          <c:order val="1"/>
          <c:tx>
            <c:strRef>
              <c:f>Sheet2!$S$71:$S$72</c:f>
              <c:strCache>
                <c:ptCount val="1"/>
                <c:pt idx="0">
                  <c:v>PTCL</c:v>
                </c:pt>
              </c:strCache>
            </c:strRef>
          </c:tx>
          <c:spPr>
            <a:solidFill>
              <a:schemeClr val="accent2"/>
            </a:solidFill>
            <a:ln>
              <a:noFill/>
            </a:ln>
            <a:effectLst/>
          </c:spPr>
          <c:invertIfNegative val="0"/>
          <c:cat>
            <c:strRef>
              <c:f>Sheet2!$Q$73:$Q$78</c:f>
              <c:strCache>
                <c:ptCount val="5"/>
                <c:pt idx="0">
                  <c:v>2019/20</c:v>
                </c:pt>
                <c:pt idx="1">
                  <c:v>2020/21</c:v>
                </c:pt>
                <c:pt idx="2">
                  <c:v>2021/22</c:v>
                </c:pt>
                <c:pt idx="3">
                  <c:v>2022/23</c:v>
                </c:pt>
                <c:pt idx="4">
                  <c:v>2023/24</c:v>
                </c:pt>
              </c:strCache>
            </c:strRef>
          </c:cat>
          <c:val>
            <c:numRef>
              <c:f>Sheet2!$S$73:$S$78</c:f>
              <c:numCache>
                <c:formatCode>General</c:formatCode>
                <c:ptCount val="5"/>
                <c:pt idx="2">
                  <c:v>80</c:v>
                </c:pt>
                <c:pt idx="3">
                  <c:v>113</c:v>
                </c:pt>
                <c:pt idx="4">
                  <c:v>118</c:v>
                </c:pt>
              </c:numCache>
            </c:numRef>
          </c:val>
          <c:extLst>
            <c:ext xmlns:c16="http://schemas.microsoft.com/office/drawing/2014/chart" uri="{C3380CC4-5D6E-409C-BE32-E72D297353CC}">
              <c16:uniqueId val="{00000001-7AA0-44EB-8F9F-7BC7E5289C4E}"/>
            </c:ext>
          </c:extLst>
        </c:ser>
        <c:ser>
          <c:idx val="2"/>
          <c:order val="2"/>
          <c:tx>
            <c:strRef>
              <c:f>Sheet2!$T$71:$T$72</c:f>
              <c:strCache>
                <c:ptCount val="1"/>
                <c:pt idx="0">
                  <c:v>sALCL</c:v>
                </c:pt>
              </c:strCache>
            </c:strRef>
          </c:tx>
          <c:spPr>
            <a:solidFill>
              <a:schemeClr val="accent3"/>
            </a:solidFill>
            <a:ln>
              <a:noFill/>
            </a:ln>
            <a:effectLst/>
          </c:spPr>
          <c:invertIfNegative val="0"/>
          <c:cat>
            <c:strRef>
              <c:f>Sheet2!$Q$73:$Q$78</c:f>
              <c:strCache>
                <c:ptCount val="5"/>
                <c:pt idx="0">
                  <c:v>2019/20</c:v>
                </c:pt>
                <c:pt idx="1">
                  <c:v>2020/21</c:v>
                </c:pt>
                <c:pt idx="2">
                  <c:v>2021/22</c:v>
                </c:pt>
                <c:pt idx="3">
                  <c:v>2022/23</c:v>
                </c:pt>
                <c:pt idx="4">
                  <c:v>2023/24</c:v>
                </c:pt>
              </c:strCache>
            </c:strRef>
          </c:cat>
          <c:val>
            <c:numRef>
              <c:f>Sheet2!$T$73:$T$78</c:f>
              <c:numCache>
                <c:formatCode>General</c:formatCode>
                <c:ptCount val="5"/>
                <c:pt idx="0">
                  <c:v>31</c:v>
                </c:pt>
                <c:pt idx="1">
                  <c:v>31</c:v>
                </c:pt>
                <c:pt idx="2">
                  <c:v>22</c:v>
                </c:pt>
                <c:pt idx="3">
                  <c:v>22</c:v>
                </c:pt>
                <c:pt idx="4">
                  <c:v>10</c:v>
                </c:pt>
              </c:numCache>
            </c:numRef>
          </c:val>
          <c:extLst>
            <c:ext xmlns:c16="http://schemas.microsoft.com/office/drawing/2014/chart" uri="{C3380CC4-5D6E-409C-BE32-E72D297353CC}">
              <c16:uniqueId val="{00000002-7AA0-44EB-8F9F-7BC7E5289C4E}"/>
            </c:ext>
          </c:extLst>
        </c:ser>
        <c:dLbls>
          <c:showLegendKey val="0"/>
          <c:showVal val="0"/>
          <c:showCatName val="0"/>
          <c:showSerName val="0"/>
          <c:showPercent val="0"/>
          <c:showBubbleSize val="0"/>
        </c:dLbls>
        <c:gapWidth val="219"/>
        <c:overlap val="-27"/>
        <c:axId val="1068079824"/>
        <c:axId val="1068072984"/>
      </c:barChart>
      <c:catAx>
        <c:axId val="1068079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072984"/>
        <c:crosses val="autoZero"/>
        <c:auto val="1"/>
        <c:lblAlgn val="ctr"/>
        <c:lblOffset val="100"/>
        <c:noMultiLvlLbl val="0"/>
      </c:catAx>
      <c:valAx>
        <c:axId val="106807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approvals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07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[brentuximab vedotin DUSC review.xlsx]Sheet2!PivotTable4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Sheet2!$R$18:$R$19</c:f>
              <c:strCache>
                <c:ptCount val="1"/>
                <c:pt idx="0">
                  <c:v>CTCL</c:v>
                </c:pt>
              </c:strCache>
            </c:strRef>
          </c:tx>
          <c:spPr>
            <a:ln w="28575" cap="rnd">
              <a:solidFill>
                <a:schemeClr val="accent1"/>
              </a:solidFill>
              <a:round/>
            </a:ln>
            <a:effectLst/>
          </c:spPr>
          <c:marker>
            <c:symbol val="none"/>
          </c:marker>
          <c:cat>
            <c:strRef>
              <c:f>Sheet2!$Q$20:$Q$25</c:f>
              <c:strCache>
                <c:ptCount val="5"/>
                <c:pt idx="0">
                  <c:v>2019/20</c:v>
                </c:pt>
                <c:pt idx="1">
                  <c:v>2020/21</c:v>
                </c:pt>
                <c:pt idx="2">
                  <c:v>2021/22</c:v>
                </c:pt>
                <c:pt idx="3">
                  <c:v>2022/23</c:v>
                </c:pt>
                <c:pt idx="4">
                  <c:v>2023/24</c:v>
                </c:pt>
              </c:strCache>
            </c:strRef>
          </c:cat>
          <c:val>
            <c:numRef>
              <c:f>Sheet2!$R$20:$R$25</c:f>
              <c:numCache>
                <c:formatCode>General</c:formatCode>
                <c:ptCount val="5"/>
                <c:pt idx="0">
                  <c:v>226</c:v>
                </c:pt>
                <c:pt idx="1">
                  <c:v>289</c:v>
                </c:pt>
                <c:pt idx="2">
                  <c:v>137</c:v>
                </c:pt>
                <c:pt idx="3">
                  <c:v>207</c:v>
                </c:pt>
                <c:pt idx="4">
                  <c:v>148</c:v>
                </c:pt>
              </c:numCache>
            </c:numRef>
          </c:val>
          <c:smooth val="0"/>
          <c:extLst>
            <c:ext xmlns:c16="http://schemas.microsoft.com/office/drawing/2014/chart" uri="{C3380CC4-5D6E-409C-BE32-E72D297353CC}">
              <c16:uniqueId val="{00000000-C15C-45F0-B819-19A4B7CD5B63}"/>
            </c:ext>
          </c:extLst>
        </c:ser>
        <c:ser>
          <c:idx val="1"/>
          <c:order val="1"/>
          <c:tx>
            <c:strRef>
              <c:f>Sheet2!$S$18:$S$19</c:f>
              <c:strCache>
                <c:ptCount val="1"/>
                <c:pt idx="0">
                  <c:v>PTCL</c:v>
                </c:pt>
              </c:strCache>
            </c:strRef>
          </c:tx>
          <c:spPr>
            <a:ln w="28575" cap="rnd">
              <a:solidFill>
                <a:schemeClr val="accent2"/>
              </a:solidFill>
              <a:round/>
            </a:ln>
            <a:effectLst/>
          </c:spPr>
          <c:marker>
            <c:symbol val="none"/>
          </c:marker>
          <c:cat>
            <c:strRef>
              <c:f>Sheet2!$Q$20:$Q$25</c:f>
              <c:strCache>
                <c:ptCount val="5"/>
                <c:pt idx="0">
                  <c:v>2019/20</c:v>
                </c:pt>
                <c:pt idx="1">
                  <c:v>2020/21</c:v>
                </c:pt>
                <c:pt idx="2">
                  <c:v>2021/22</c:v>
                </c:pt>
                <c:pt idx="3">
                  <c:v>2022/23</c:v>
                </c:pt>
                <c:pt idx="4">
                  <c:v>2023/24</c:v>
                </c:pt>
              </c:strCache>
            </c:strRef>
          </c:cat>
          <c:val>
            <c:numRef>
              <c:f>Sheet2!$S$20:$S$25</c:f>
              <c:numCache>
                <c:formatCode>General</c:formatCode>
                <c:ptCount val="5"/>
                <c:pt idx="2">
                  <c:v>252</c:v>
                </c:pt>
                <c:pt idx="3">
                  <c:v>428</c:v>
                </c:pt>
                <c:pt idx="4">
                  <c:v>455</c:v>
                </c:pt>
              </c:numCache>
            </c:numRef>
          </c:val>
          <c:smooth val="0"/>
          <c:extLst>
            <c:ext xmlns:c16="http://schemas.microsoft.com/office/drawing/2014/chart" uri="{C3380CC4-5D6E-409C-BE32-E72D297353CC}">
              <c16:uniqueId val="{00000001-C15C-45F0-B819-19A4B7CD5B63}"/>
            </c:ext>
          </c:extLst>
        </c:ser>
        <c:ser>
          <c:idx val="2"/>
          <c:order val="2"/>
          <c:tx>
            <c:strRef>
              <c:f>Sheet2!$T$18:$T$19</c:f>
              <c:strCache>
                <c:ptCount val="1"/>
                <c:pt idx="0">
                  <c:v>sALCL</c:v>
                </c:pt>
              </c:strCache>
            </c:strRef>
          </c:tx>
          <c:spPr>
            <a:ln w="28575" cap="rnd">
              <a:solidFill>
                <a:schemeClr val="accent3"/>
              </a:solidFill>
              <a:round/>
            </a:ln>
            <a:effectLst/>
          </c:spPr>
          <c:marker>
            <c:symbol val="none"/>
          </c:marker>
          <c:cat>
            <c:strRef>
              <c:f>Sheet2!$Q$20:$Q$25</c:f>
              <c:strCache>
                <c:ptCount val="5"/>
                <c:pt idx="0">
                  <c:v>2019/20</c:v>
                </c:pt>
                <c:pt idx="1">
                  <c:v>2020/21</c:v>
                </c:pt>
                <c:pt idx="2">
                  <c:v>2021/22</c:v>
                </c:pt>
                <c:pt idx="3">
                  <c:v>2022/23</c:v>
                </c:pt>
                <c:pt idx="4">
                  <c:v>2023/24</c:v>
                </c:pt>
              </c:strCache>
            </c:strRef>
          </c:cat>
          <c:val>
            <c:numRef>
              <c:f>Sheet2!$T$20:$T$25</c:f>
              <c:numCache>
                <c:formatCode>General</c:formatCode>
                <c:ptCount val="5"/>
                <c:pt idx="0">
                  <c:v>205</c:v>
                </c:pt>
                <c:pt idx="1">
                  <c:v>198</c:v>
                </c:pt>
                <c:pt idx="2">
                  <c:v>225</c:v>
                </c:pt>
                <c:pt idx="3">
                  <c:v>225</c:v>
                </c:pt>
                <c:pt idx="4">
                  <c:v>107</c:v>
                </c:pt>
              </c:numCache>
            </c:numRef>
          </c:val>
          <c:smooth val="0"/>
          <c:extLst>
            <c:ext xmlns:c16="http://schemas.microsoft.com/office/drawing/2014/chart" uri="{C3380CC4-5D6E-409C-BE32-E72D297353CC}">
              <c16:uniqueId val="{00000002-C15C-45F0-B819-19A4B7CD5B63}"/>
            </c:ext>
          </c:extLst>
        </c:ser>
        <c:dLbls>
          <c:showLegendKey val="0"/>
          <c:showVal val="0"/>
          <c:showCatName val="0"/>
          <c:showSerName val="0"/>
          <c:showPercent val="0"/>
          <c:showBubbleSize val="0"/>
        </c:dLbls>
        <c:smooth val="0"/>
        <c:axId val="1233551176"/>
        <c:axId val="1233563416"/>
      </c:lineChart>
      <c:catAx>
        <c:axId val="1233551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563416"/>
        <c:crosses val="autoZero"/>
        <c:auto val="1"/>
        <c:lblAlgn val="ctr"/>
        <c:lblOffset val="100"/>
        <c:noMultiLvlLbl val="0"/>
      </c:catAx>
      <c:valAx>
        <c:axId val="1233563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551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[brentuximab vedotin DUSC review.xlsx]Sheet2!PivotTable5</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Sheet2!$R$34:$R$35</c:f>
              <c:strCache>
                <c:ptCount val="1"/>
                <c:pt idx="0">
                  <c:v>CTCL</c:v>
                </c:pt>
              </c:strCache>
            </c:strRef>
          </c:tx>
          <c:spPr>
            <a:solidFill>
              <a:schemeClr val="accent1"/>
            </a:solidFill>
            <a:ln>
              <a:noFill/>
            </a:ln>
            <a:effectLst/>
          </c:spPr>
          <c:invertIfNegative val="0"/>
          <c:cat>
            <c:strRef>
              <c:f>Sheet2!$Q$36:$Q$41</c:f>
              <c:strCache>
                <c:ptCount val="5"/>
                <c:pt idx="0">
                  <c:v>2019/20</c:v>
                </c:pt>
                <c:pt idx="1">
                  <c:v>2020/21</c:v>
                </c:pt>
                <c:pt idx="2">
                  <c:v>2021/22</c:v>
                </c:pt>
                <c:pt idx="3">
                  <c:v>2022/23</c:v>
                </c:pt>
                <c:pt idx="4">
                  <c:v>2023/24</c:v>
                </c:pt>
              </c:strCache>
            </c:strRef>
          </c:cat>
          <c:val>
            <c:numRef>
              <c:f>Sheet2!$R$36:$R$41</c:f>
              <c:numCache>
                <c:formatCode>_-"$"* #,##0_-;\-"$"* #,##0_-;_-"$"* "-"??_-;_-@_-</c:formatCode>
                <c:ptCount val="5"/>
                <c:pt idx="0">
                  <c:v>3230533.55</c:v>
                </c:pt>
                <c:pt idx="1">
                  <c:v>4323213.6500000004</c:v>
                </c:pt>
                <c:pt idx="2">
                  <c:v>1804868.26</c:v>
                </c:pt>
                <c:pt idx="3">
                  <c:v>2839633.84</c:v>
                </c:pt>
                <c:pt idx="4">
                  <c:v>2008276.03</c:v>
                </c:pt>
              </c:numCache>
            </c:numRef>
          </c:val>
          <c:extLst>
            <c:ext xmlns:c16="http://schemas.microsoft.com/office/drawing/2014/chart" uri="{C3380CC4-5D6E-409C-BE32-E72D297353CC}">
              <c16:uniqueId val="{00000000-3968-427D-B217-174AD7840581}"/>
            </c:ext>
          </c:extLst>
        </c:ser>
        <c:ser>
          <c:idx val="1"/>
          <c:order val="1"/>
          <c:tx>
            <c:strRef>
              <c:f>Sheet2!$S$34:$S$35</c:f>
              <c:strCache>
                <c:ptCount val="1"/>
                <c:pt idx="0">
                  <c:v>PTCL</c:v>
                </c:pt>
              </c:strCache>
            </c:strRef>
          </c:tx>
          <c:spPr>
            <a:solidFill>
              <a:schemeClr val="accent2"/>
            </a:solidFill>
            <a:ln>
              <a:noFill/>
            </a:ln>
            <a:effectLst/>
          </c:spPr>
          <c:invertIfNegative val="0"/>
          <c:cat>
            <c:strRef>
              <c:f>Sheet2!$Q$36:$Q$41</c:f>
              <c:strCache>
                <c:ptCount val="5"/>
                <c:pt idx="0">
                  <c:v>2019/20</c:v>
                </c:pt>
                <c:pt idx="1">
                  <c:v>2020/21</c:v>
                </c:pt>
                <c:pt idx="2">
                  <c:v>2021/22</c:v>
                </c:pt>
                <c:pt idx="3">
                  <c:v>2022/23</c:v>
                </c:pt>
                <c:pt idx="4">
                  <c:v>2023/24</c:v>
                </c:pt>
              </c:strCache>
            </c:strRef>
          </c:cat>
          <c:val>
            <c:numRef>
              <c:f>Sheet2!$S$36:$S$41</c:f>
              <c:numCache>
                <c:formatCode>General</c:formatCode>
                <c:ptCount val="5"/>
                <c:pt idx="2" formatCode="_-&quot;$&quot;* #,##0_-;\-&quot;$&quot;* #,##0_-;_-&quot;$&quot;* &quot;-&quot;??_-;_-@_-">
                  <c:v>3763992.38</c:v>
                </c:pt>
                <c:pt idx="3" formatCode="_-&quot;$&quot;* #,##0_-;\-&quot;$&quot;* #,##0_-;_-&quot;$&quot;* &quot;-&quot;??_-;_-@_-">
                  <c:v>6497011.2400000002</c:v>
                </c:pt>
                <c:pt idx="4" formatCode="_-&quot;$&quot;* #,##0_-;\-&quot;$&quot;* #,##0_-;_-&quot;$&quot;* &quot;-&quot;??_-;_-@_-">
                  <c:v>6944531.4400000004</c:v>
                </c:pt>
              </c:numCache>
            </c:numRef>
          </c:val>
          <c:extLst>
            <c:ext xmlns:c16="http://schemas.microsoft.com/office/drawing/2014/chart" uri="{C3380CC4-5D6E-409C-BE32-E72D297353CC}">
              <c16:uniqueId val="{00000001-3968-427D-B217-174AD7840581}"/>
            </c:ext>
          </c:extLst>
        </c:ser>
        <c:ser>
          <c:idx val="2"/>
          <c:order val="2"/>
          <c:tx>
            <c:strRef>
              <c:f>Sheet2!$T$34:$T$35</c:f>
              <c:strCache>
                <c:ptCount val="1"/>
                <c:pt idx="0">
                  <c:v>sALCL</c:v>
                </c:pt>
              </c:strCache>
            </c:strRef>
          </c:tx>
          <c:spPr>
            <a:solidFill>
              <a:schemeClr val="accent3"/>
            </a:solidFill>
            <a:ln>
              <a:noFill/>
            </a:ln>
            <a:effectLst/>
          </c:spPr>
          <c:invertIfNegative val="0"/>
          <c:cat>
            <c:strRef>
              <c:f>Sheet2!$Q$36:$Q$41</c:f>
              <c:strCache>
                <c:ptCount val="5"/>
                <c:pt idx="0">
                  <c:v>2019/20</c:v>
                </c:pt>
                <c:pt idx="1">
                  <c:v>2020/21</c:v>
                </c:pt>
                <c:pt idx="2">
                  <c:v>2021/22</c:v>
                </c:pt>
                <c:pt idx="3">
                  <c:v>2022/23</c:v>
                </c:pt>
                <c:pt idx="4">
                  <c:v>2023/24</c:v>
                </c:pt>
              </c:strCache>
            </c:strRef>
          </c:cat>
          <c:val>
            <c:numRef>
              <c:f>Sheet2!$T$36:$T$41</c:f>
              <c:numCache>
                <c:formatCode>_-"$"* #,##0_-;\-"$"* #,##0_-;_-"$"* "-"??_-;_-@_-</c:formatCode>
                <c:ptCount val="5"/>
                <c:pt idx="0">
                  <c:v>2866253.42</c:v>
                </c:pt>
                <c:pt idx="1">
                  <c:v>2834295.69</c:v>
                </c:pt>
                <c:pt idx="2">
                  <c:v>3132583.13</c:v>
                </c:pt>
                <c:pt idx="3">
                  <c:v>3148278.63</c:v>
                </c:pt>
                <c:pt idx="4">
                  <c:v>1451040.04</c:v>
                </c:pt>
              </c:numCache>
            </c:numRef>
          </c:val>
          <c:extLst>
            <c:ext xmlns:c16="http://schemas.microsoft.com/office/drawing/2014/chart" uri="{C3380CC4-5D6E-409C-BE32-E72D297353CC}">
              <c16:uniqueId val="{00000002-3968-427D-B217-174AD7840581}"/>
            </c:ext>
          </c:extLst>
        </c:ser>
        <c:dLbls>
          <c:showLegendKey val="0"/>
          <c:showVal val="0"/>
          <c:showCatName val="0"/>
          <c:showSerName val="0"/>
          <c:showPercent val="0"/>
          <c:showBubbleSize val="0"/>
        </c:dLbls>
        <c:gapWidth val="219"/>
        <c:overlap val="-27"/>
        <c:axId val="1061926096"/>
        <c:axId val="1061919976"/>
      </c:barChart>
      <c:catAx>
        <c:axId val="1061926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919976"/>
        <c:crosses val="autoZero"/>
        <c:auto val="1"/>
        <c:lblAlgn val="ctr"/>
        <c:lblOffset val="100"/>
        <c:noMultiLvlLbl val="0"/>
      </c:catAx>
      <c:valAx>
        <c:axId val="1061919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92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[brentuximab.xlsx]Sheet6!PivotTable8</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Sheet6!$R$1:$R$2</c:f>
              <c:strCache>
                <c:ptCount val="1"/>
                <c:pt idx="0">
                  <c:v>Female</c:v>
                </c:pt>
              </c:strCache>
            </c:strRef>
          </c:tx>
          <c:spPr>
            <a:solidFill>
              <a:schemeClr val="accent2"/>
            </a:solidFill>
            <a:ln>
              <a:noFill/>
            </a:ln>
            <a:effectLst/>
          </c:spPr>
          <c:invertIfNegative val="0"/>
          <c:cat>
            <c:strRef>
              <c:f>Sheet6!$Q$3:$Q$9</c:f>
              <c:strCache>
                <c:ptCount val="6"/>
                <c:pt idx="0">
                  <c:v>&lt;40 yrs</c:v>
                </c:pt>
                <c:pt idx="1">
                  <c:v>40-49 yrs</c:v>
                </c:pt>
                <c:pt idx="2">
                  <c:v>50-59 yrs</c:v>
                </c:pt>
                <c:pt idx="3">
                  <c:v>60-69 yrs</c:v>
                </c:pt>
                <c:pt idx="4">
                  <c:v>70-79 yrs</c:v>
                </c:pt>
                <c:pt idx="5">
                  <c:v>80+ yrs</c:v>
                </c:pt>
              </c:strCache>
            </c:strRef>
          </c:cat>
          <c:val>
            <c:numRef>
              <c:f>Sheet6!$R$3:$R$9</c:f>
              <c:numCache>
                <c:formatCode>General</c:formatCode>
                <c:ptCount val="6"/>
                <c:pt idx="0">
                  <c:v>8</c:v>
                </c:pt>
                <c:pt idx="1">
                  <c:v>12</c:v>
                </c:pt>
                <c:pt idx="2">
                  <c:v>10</c:v>
                </c:pt>
                <c:pt idx="3">
                  <c:v>17</c:v>
                </c:pt>
                <c:pt idx="4">
                  <c:v>18</c:v>
                </c:pt>
                <c:pt idx="5">
                  <c:v>9</c:v>
                </c:pt>
              </c:numCache>
            </c:numRef>
          </c:val>
          <c:extLst>
            <c:ext xmlns:c16="http://schemas.microsoft.com/office/drawing/2014/chart" uri="{C3380CC4-5D6E-409C-BE32-E72D297353CC}">
              <c16:uniqueId val="{00000000-C0D0-4410-82B3-2E5A0D643FC0}"/>
            </c:ext>
          </c:extLst>
        </c:ser>
        <c:ser>
          <c:idx val="1"/>
          <c:order val="1"/>
          <c:tx>
            <c:strRef>
              <c:f>Sheet6!$S$1:$S$2</c:f>
              <c:strCache>
                <c:ptCount val="1"/>
                <c:pt idx="0">
                  <c:v>Male</c:v>
                </c:pt>
              </c:strCache>
            </c:strRef>
          </c:tx>
          <c:spPr>
            <a:solidFill>
              <a:schemeClr val="accent1"/>
            </a:solidFill>
            <a:ln>
              <a:noFill/>
            </a:ln>
            <a:effectLst/>
          </c:spPr>
          <c:invertIfNegative val="0"/>
          <c:cat>
            <c:strRef>
              <c:f>Sheet6!$Q$3:$Q$9</c:f>
              <c:strCache>
                <c:ptCount val="6"/>
                <c:pt idx="0">
                  <c:v>&lt;40 yrs</c:v>
                </c:pt>
                <c:pt idx="1">
                  <c:v>40-49 yrs</c:v>
                </c:pt>
                <c:pt idx="2">
                  <c:v>50-59 yrs</c:v>
                </c:pt>
                <c:pt idx="3">
                  <c:v>60-69 yrs</c:v>
                </c:pt>
                <c:pt idx="4">
                  <c:v>70-79 yrs</c:v>
                </c:pt>
                <c:pt idx="5">
                  <c:v>80+ yrs</c:v>
                </c:pt>
              </c:strCache>
            </c:strRef>
          </c:cat>
          <c:val>
            <c:numRef>
              <c:f>Sheet6!$S$3:$S$9</c:f>
              <c:numCache>
                <c:formatCode>General</c:formatCode>
                <c:ptCount val="6"/>
                <c:pt idx="0">
                  <c:v>27</c:v>
                </c:pt>
                <c:pt idx="1">
                  <c:v>14</c:v>
                </c:pt>
                <c:pt idx="2">
                  <c:v>19</c:v>
                </c:pt>
                <c:pt idx="3">
                  <c:v>36</c:v>
                </c:pt>
                <c:pt idx="4">
                  <c:v>31</c:v>
                </c:pt>
                <c:pt idx="5">
                  <c:v>14</c:v>
                </c:pt>
              </c:numCache>
            </c:numRef>
          </c:val>
          <c:extLst>
            <c:ext xmlns:c16="http://schemas.microsoft.com/office/drawing/2014/chart" uri="{C3380CC4-5D6E-409C-BE32-E72D297353CC}">
              <c16:uniqueId val="{00000001-C0D0-4410-82B3-2E5A0D643FC0}"/>
            </c:ext>
          </c:extLst>
        </c:ser>
        <c:dLbls>
          <c:showLegendKey val="0"/>
          <c:showVal val="0"/>
          <c:showCatName val="0"/>
          <c:showSerName val="0"/>
          <c:showPercent val="0"/>
          <c:showBubbleSize val="0"/>
        </c:dLbls>
        <c:gapWidth val="219"/>
        <c:overlap val="-27"/>
        <c:axId val="901994016"/>
        <c:axId val="901992936"/>
      </c:barChart>
      <c:catAx>
        <c:axId val="901994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1992936"/>
        <c:crosses val="autoZero"/>
        <c:auto val="1"/>
        <c:lblAlgn val="ctr"/>
        <c:lblOffset val="100"/>
        <c:noMultiLvlLbl val="0"/>
      </c:catAx>
      <c:valAx>
        <c:axId val="901992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199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F82B-27DE-4369-A0C3-FBA3FE9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5028</Words>
  <Characters>28665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2024-10-25T01:07:00Z</dcterms:created>
  <dcterms:modified xsi:type="dcterms:W3CDTF">2024-10-25T02:15:00Z</dcterms:modified>
</cp:coreProperties>
</file>