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208F7002" w:rsidR="00832324" w:rsidRDefault="0008008E" w:rsidP="00F73113">
      <w:pPr>
        <w:pStyle w:val="Title"/>
      </w:pPr>
      <w:r>
        <w:t>Romosozumab</w:t>
      </w:r>
      <w:r w:rsidR="007D12FB">
        <w:t xml:space="preserve"> for severe established osteoporosis</w:t>
      </w:r>
      <w:r w:rsidR="00FC7C5D">
        <w:t>: 24 month predicted versus actual analysis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34780EA8" w:rsidR="009053D3" w:rsidRPr="00F73113" w:rsidRDefault="00FB5CC0" w:rsidP="00F73113">
      <w:pPr>
        <w:pStyle w:val="Meetingdate"/>
      </w:pPr>
      <w:r>
        <w:t xml:space="preserve">February </w:t>
      </w:r>
      <w:r w:rsidR="00D151EB" w:rsidRPr="00F73113">
        <w:t>20</w:t>
      </w:r>
      <w:r>
        <w:t>24</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0DE7EC1B" w14:textId="1A9586EA" w:rsidR="00404F03" w:rsidRDefault="00897AA8" w:rsidP="006B5F85">
      <w:pPr>
        <w:rPr>
          <w:highlight w:val="yellow"/>
        </w:rPr>
      </w:pPr>
      <w:r>
        <w:t xml:space="preserve">To review the utilisation of </w:t>
      </w:r>
      <w:r w:rsidR="00060722">
        <w:t>rom</w:t>
      </w:r>
      <w:r w:rsidR="00671120">
        <w:t>o</w:t>
      </w:r>
      <w:r w:rsidR="00060722">
        <w:t xml:space="preserve">sozumab </w:t>
      </w:r>
      <w:r>
        <w:t>for severe established osteoporosis as well as medicines for the treatment of osteoporosis</w:t>
      </w:r>
      <w:r w:rsidR="00711598">
        <w:t xml:space="preserve">.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09C7D56C" w:rsidR="002D144A" w:rsidRPr="002D144A" w:rsidRDefault="00C77EA3" w:rsidP="002D144A">
      <w:r>
        <w:t>Romosozumab</w:t>
      </w:r>
      <w:r w:rsidR="00D223A6">
        <w:t xml:space="preserve"> was</w:t>
      </w:r>
      <w:r w:rsidR="00E755D1">
        <w:t xml:space="preserve"> </w:t>
      </w:r>
      <w:r w:rsidR="00D223A6">
        <w:t>first PBS-listed</w:t>
      </w:r>
      <w:r>
        <w:t xml:space="preserve"> for the</w:t>
      </w:r>
      <w:r w:rsidR="00D223A6">
        <w:t xml:space="preserve"> </w:t>
      </w:r>
      <w:r w:rsidR="00761444">
        <w:t xml:space="preserve">treatment of severe osteoporosis in patients who have experienced a prior fracture while on anti-resorptive therapy on 1 April 2021. </w:t>
      </w:r>
    </w:p>
    <w:p w14:paraId="526743BB" w14:textId="77777777" w:rsidR="005C6661" w:rsidRDefault="005C6661" w:rsidP="00CF5E22">
      <w:pPr>
        <w:pStyle w:val="Heading3"/>
      </w:pPr>
      <w:r>
        <w:t>Data Source / methodology</w:t>
      </w:r>
    </w:p>
    <w:p w14:paraId="3C74AB36" w14:textId="7F2A28AF" w:rsidR="006804E0" w:rsidRDefault="006804E0" w:rsidP="005C6661">
      <w:pPr>
        <w:pStyle w:val="NoSpacing"/>
      </w:pPr>
      <w:r w:rsidRPr="006804E0">
        <w:t>Data extracted from the PBS database maintained by Department of Health and Aged Care, processed by Services Australia were used for the analyses.</w:t>
      </w:r>
    </w:p>
    <w:p w14:paraId="7599E7C1" w14:textId="77777777" w:rsidR="005C6661" w:rsidRDefault="005C6661" w:rsidP="00CF5E22">
      <w:pPr>
        <w:pStyle w:val="Heading3"/>
      </w:pPr>
      <w:r>
        <w:t>Key Findings</w:t>
      </w:r>
    </w:p>
    <w:p w14:paraId="013B8A7D" w14:textId="011A1058" w:rsidR="005C6661" w:rsidRPr="004B197C" w:rsidRDefault="0069387E" w:rsidP="005C6661">
      <w:pPr>
        <w:pStyle w:val="NoSpacing"/>
        <w:numPr>
          <w:ilvl w:val="0"/>
          <w:numId w:val="1"/>
        </w:numPr>
      </w:pPr>
      <w:r w:rsidRPr="004B197C">
        <w:t xml:space="preserve">In 2022, </w:t>
      </w:r>
      <w:r w:rsidR="00CE1FA8">
        <w:t>725</w:t>
      </w:r>
      <w:r w:rsidR="00076B9B">
        <w:t>,</w:t>
      </w:r>
      <w:r w:rsidR="00CE1FA8">
        <w:t>01</w:t>
      </w:r>
      <w:r w:rsidR="00076B9B" w:rsidRPr="00076B9B">
        <w:t>7</w:t>
      </w:r>
      <w:r w:rsidR="00076B9B">
        <w:t xml:space="preserve"> </w:t>
      </w:r>
      <w:r w:rsidR="0072264D" w:rsidRPr="004B197C">
        <w:t xml:space="preserve">patients were supplied </w:t>
      </w:r>
      <w:r w:rsidR="00076B9B" w:rsidRPr="00076B9B">
        <w:t>2</w:t>
      </w:r>
      <w:r w:rsidR="00076B9B">
        <w:t>,</w:t>
      </w:r>
      <w:r w:rsidR="00811E34">
        <w:t>256,178</w:t>
      </w:r>
      <w:r w:rsidR="00C77EA3">
        <w:t xml:space="preserve"> </w:t>
      </w:r>
      <w:r w:rsidR="0072264D" w:rsidRPr="004B197C">
        <w:t xml:space="preserve">prescriptions for the treatment </w:t>
      </w:r>
      <w:r w:rsidR="00230AF5" w:rsidRPr="004B197C">
        <w:t xml:space="preserve">of osteoporosis. </w:t>
      </w:r>
    </w:p>
    <w:p w14:paraId="3925CEC9" w14:textId="6C117BBD" w:rsidR="00B0652D" w:rsidRPr="004B197C" w:rsidRDefault="00230AF5" w:rsidP="00034F32">
      <w:pPr>
        <w:pStyle w:val="NoSpacing"/>
        <w:numPr>
          <w:ilvl w:val="0"/>
          <w:numId w:val="1"/>
        </w:numPr>
      </w:pPr>
      <w:r w:rsidRPr="004B197C">
        <w:t xml:space="preserve">In 2021, </w:t>
      </w:r>
      <w:r w:rsidR="00811E34">
        <w:t>688</w:t>
      </w:r>
      <w:r w:rsidR="00076B9B">
        <w:t>,</w:t>
      </w:r>
      <w:r w:rsidR="00811E34">
        <w:t>642</w:t>
      </w:r>
      <w:r w:rsidR="00076B9B">
        <w:t xml:space="preserve"> </w:t>
      </w:r>
      <w:r w:rsidRPr="004B197C">
        <w:t xml:space="preserve">patients were supplied </w:t>
      </w:r>
      <w:r w:rsidR="00076B9B" w:rsidRPr="00076B9B">
        <w:t>2</w:t>
      </w:r>
      <w:r w:rsidR="00076B9B">
        <w:t>,</w:t>
      </w:r>
      <w:r w:rsidR="00811E34">
        <w:t>215,894</w:t>
      </w:r>
      <w:r w:rsidR="00076B9B">
        <w:t xml:space="preserve"> </w:t>
      </w:r>
      <w:r w:rsidRPr="004B197C">
        <w:t>prescriptions for the treatment of osteoporosis.</w:t>
      </w:r>
    </w:p>
    <w:p w14:paraId="6C721AD7" w14:textId="148DAD0A" w:rsidR="002532B3" w:rsidRPr="004B197C" w:rsidRDefault="002532B3" w:rsidP="00167199">
      <w:pPr>
        <w:pStyle w:val="NoSpacing"/>
        <w:numPr>
          <w:ilvl w:val="0"/>
          <w:numId w:val="1"/>
        </w:numPr>
      </w:pPr>
      <w:r w:rsidRPr="004B197C">
        <w:t xml:space="preserve">Overall, patients were most commonly treated with </w:t>
      </w:r>
      <w:r w:rsidRPr="00907FA2">
        <w:t>denosumab</w:t>
      </w:r>
      <w:r w:rsidRPr="004B197C">
        <w:t xml:space="preserve">. </w:t>
      </w:r>
    </w:p>
    <w:p w14:paraId="2F74D4F7" w14:textId="21A32FEF" w:rsidR="00832CA0" w:rsidRPr="004B197C" w:rsidRDefault="00832CA0" w:rsidP="00167199">
      <w:pPr>
        <w:pStyle w:val="NoSpacing"/>
        <w:numPr>
          <w:ilvl w:val="0"/>
          <w:numId w:val="1"/>
        </w:numPr>
      </w:pPr>
      <w:r w:rsidRPr="004B197C">
        <w:t xml:space="preserve">Utilisation of romosozumab was different from estimated. </w:t>
      </w:r>
      <w:r w:rsidR="00907FA2">
        <w:t xml:space="preserve">In </w:t>
      </w:r>
      <w:r w:rsidR="002942B4">
        <w:t xml:space="preserve">its first year of listing, </w:t>
      </w:r>
      <w:r w:rsidR="00B62432">
        <w:t>705 patients were supplied 3,977 romosozumab prescriptions. In its second year of listing, 1</w:t>
      </w:r>
      <w:r w:rsidR="00811E34">
        <w:t>,</w:t>
      </w:r>
      <w:r w:rsidR="00B62432">
        <w:t xml:space="preserve">516 patients were supplied 8,739 prescriptions. </w:t>
      </w:r>
    </w:p>
    <w:p w14:paraId="35A4280F" w14:textId="063C6BE0" w:rsidR="00DE431F" w:rsidRPr="004B197C" w:rsidRDefault="00DE431F" w:rsidP="004B197C">
      <w:pPr>
        <w:pStyle w:val="NoSpacing"/>
        <w:numPr>
          <w:ilvl w:val="0"/>
          <w:numId w:val="1"/>
        </w:numPr>
      </w:pPr>
      <w:r>
        <w:t>Only 4</w:t>
      </w:r>
      <w:r w:rsidR="00AF799E">
        <w:t>9</w:t>
      </w:r>
      <w:r>
        <w:t>%</w:t>
      </w:r>
      <w:r w:rsidR="00592B47">
        <w:t xml:space="preserve"> patients </w:t>
      </w:r>
      <w:r>
        <w:t xml:space="preserve">were </w:t>
      </w:r>
      <w:r w:rsidR="00B47114">
        <w:t xml:space="preserve">identified </w:t>
      </w:r>
      <w:r>
        <w:t xml:space="preserve">to have </w:t>
      </w:r>
      <w:r w:rsidR="008F1717">
        <w:t>successfully</w:t>
      </w:r>
      <w:r>
        <w:t xml:space="preserve"> transitioned to an </w:t>
      </w:r>
      <w:r w:rsidR="008F1717">
        <w:t>anti</w:t>
      </w:r>
      <w:r w:rsidR="00394861">
        <w:t>-</w:t>
      </w:r>
      <w:r w:rsidR="008F1717">
        <w:t>resorptive</w:t>
      </w:r>
      <w:r>
        <w:t xml:space="preserve"> after stopping treatment with </w:t>
      </w:r>
      <w:r w:rsidR="008F1717">
        <w:t xml:space="preserve">romosozumab. </w:t>
      </w:r>
    </w:p>
    <w:p w14:paraId="38B57ECC" w14:textId="77777777" w:rsidR="00BB0D1A" w:rsidRDefault="00BB0D1A">
      <w:pPr>
        <w:spacing w:line="276" w:lineRule="auto"/>
        <w:rPr>
          <w:rFonts w:eastAsiaTheme="majorEastAsia" w:cstheme="majorBidi"/>
          <w:b/>
          <w:bCs/>
          <w:sz w:val="32"/>
          <w:szCs w:val="26"/>
        </w:rPr>
      </w:pPr>
      <w:r>
        <w:br w:type="page"/>
      </w:r>
    </w:p>
    <w:p w14:paraId="7627C6B9" w14:textId="71159CB0" w:rsidR="00586ABB" w:rsidRDefault="00E677DD" w:rsidP="00BA5D90">
      <w:pPr>
        <w:pStyle w:val="Heading1"/>
      </w:pPr>
      <w:r w:rsidRPr="00CF5E22">
        <w:lastRenderedPageBreak/>
        <w:t xml:space="preserve">Purpose of </w:t>
      </w:r>
      <w:r w:rsidR="00D151EB" w:rsidRPr="00CF5E22">
        <w:t>analysis</w:t>
      </w:r>
    </w:p>
    <w:p w14:paraId="5E33F695" w14:textId="1C1A389C" w:rsidR="00586ABB" w:rsidRDefault="0092322C" w:rsidP="00586ABB">
      <w:pPr>
        <w:pStyle w:val="NoSpacing"/>
      </w:pPr>
      <w:r>
        <w:t xml:space="preserve">To review the utilisation of romosozumab </w:t>
      </w:r>
      <w:r w:rsidR="00DD4420">
        <w:t>PBS listed for severe established osteoporosis</w:t>
      </w:r>
      <w:r w:rsidR="00195076">
        <w:t xml:space="preserve"> (second-line setting)</w:t>
      </w:r>
      <w:r w:rsidR="001D5DE4">
        <w:t xml:space="preserve"> as well as </w:t>
      </w:r>
      <w:r w:rsidR="001E09DC">
        <w:t xml:space="preserve">other </w:t>
      </w:r>
      <w:r w:rsidR="001D5DE4">
        <w:t>medicines for the treatment of osteoporosis</w:t>
      </w:r>
      <w:r w:rsidR="0080054D">
        <w:t xml:space="preserve">, as requested by DUSC at its </w:t>
      </w:r>
      <w:r w:rsidR="00427C57">
        <w:t xml:space="preserve">September 2023 meeting. In its consideration of romosozumab </w:t>
      </w:r>
      <w:r w:rsidR="00677AD0">
        <w:t xml:space="preserve">for severe established osteoporosis, the PBAC requested DUSC conduct a </w:t>
      </w:r>
      <w:r w:rsidR="00574F02">
        <w:t xml:space="preserve">utilisation </w:t>
      </w:r>
      <w:r w:rsidR="002C0F59">
        <w:t xml:space="preserve">review of </w:t>
      </w:r>
      <w:r w:rsidR="00574F02">
        <w:t xml:space="preserve">romosozumab </w:t>
      </w:r>
      <w:r w:rsidR="009C0FF2">
        <w:t xml:space="preserve">including an </w:t>
      </w:r>
      <w:r w:rsidR="003A1941">
        <w:t xml:space="preserve">investigation of the success of transitioning patients from romosozumab to anti-resorptive therapy. </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665A1E2B" w14:textId="77777777" w:rsidR="00626C22" w:rsidRDefault="00626C22" w:rsidP="00626C22">
      <w:r>
        <w:t>Osteoporosis is a condition in which bones become weak and fragile increasing the risk of fractures. Osteoporosis is asymptomatic and often remains undiagnosed until a person presents with a fracture. Bone strength can be compromised to such an extent that a minor bump or a fall from standing height can cause a fracture (minimal trauma fracture). Some fractures, especially those in the vertebrae, never come to medical attention.</w:t>
      </w:r>
      <w:r>
        <w:rPr>
          <w:rStyle w:val="FootnoteReference"/>
        </w:rPr>
        <w:footnoteReference w:id="1"/>
      </w:r>
      <w:r>
        <w:rPr>
          <w:vertAlign w:val="superscript"/>
        </w:rPr>
        <w:t>,</w:t>
      </w:r>
      <w:r>
        <w:rPr>
          <w:rStyle w:val="FootnoteReference"/>
        </w:rPr>
        <w:footnoteReference w:id="2"/>
      </w:r>
      <w:r>
        <w:rPr>
          <w:vertAlign w:val="superscript"/>
        </w:rPr>
        <w:t>,</w:t>
      </w:r>
      <w:r>
        <w:rPr>
          <w:rStyle w:val="FootnoteReference"/>
        </w:rPr>
        <w:footnoteReference w:id="3"/>
      </w:r>
      <w:r>
        <w:t xml:space="preserve"> </w:t>
      </w:r>
    </w:p>
    <w:p w14:paraId="19F2D673" w14:textId="77777777" w:rsidR="00626C22" w:rsidRDefault="00626C22" w:rsidP="00626C22">
      <w:r>
        <w:t>Bone mineral density (BMD) describes the density and the mineral content of bones. It is measured via dual energy X-ray absorptiometry (DEXA) scanning, typically of the hip and spine. The result is reported as a T-score, which is the difference (in standard deviations) between the person's measurement and the reference standard of the mean BMD of young adults. People with a BMD of 2.5 or more standard deviations below normal peak bone mass (ie, a T-score of –2.5 or less) are considered to have osteoporosis.</w:t>
      </w:r>
      <w:r>
        <w:rPr>
          <w:vertAlign w:val="superscript"/>
        </w:rPr>
        <w:t xml:space="preserve">5,6 </w:t>
      </w:r>
    </w:p>
    <w:p w14:paraId="1419B5F3" w14:textId="3F4BD432" w:rsidR="00626C22" w:rsidRDefault="00626C22" w:rsidP="00626C22">
      <w:r>
        <w:t>Estimates from the 2017–18 National Health Survey (NHS) suggest that approximately 924,000 Australians have osteoporosis, based on self-reported data. Osteoporosis is more common in older Australians and among women. More than a quarter of Australian women over the age of 75 years report having osteoporosis.</w:t>
      </w:r>
      <w:r>
        <w:rPr>
          <w:vertAlign w:val="superscript"/>
        </w:rPr>
        <w:t>4</w:t>
      </w:r>
      <w:r>
        <w:t xml:space="preserve"> </w:t>
      </w:r>
    </w:p>
    <w:p w14:paraId="6472AA53" w14:textId="34650F50" w:rsidR="00AC2DEF" w:rsidRDefault="002A6718" w:rsidP="00AC2DEF">
      <w:r>
        <w:t xml:space="preserve">The osteoporosis medicines included in this analysis </w:t>
      </w:r>
      <w:r w:rsidR="00583830">
        <w:t>were</w:t>
      </w:r>
      <w:r>
        <w:t>:</w:t>
      </w:r>
    </w:p>
    <w:p w14:paraId="3E2829F6" w14:textId="5101E4C9" w:rsidR="00AC2DEF" w:rsidRDefault="00FF14CC" w:rsidP="00AC2DEF">
      <w:pPr>
        <w:pStyle w:val="ListParagraph"/>
        <w:numPr>
          <w:ilvl w:val="0"/>
          <w:numId w:val="1"/>
        </w:numPr>
      </w:pPr>
      <w:r>
        <w:t>a</w:t>
      </w:r>
      <w:r w:rsidR="0079489B">
        <w:t>nti</w:t>
      </w:r>
      <w:r w:rsidR="00AC2DEF">
        <w:t xml:space="preserve">-resorptive agents: </w:t>
      </w:r>
    </w:p>
    <w:p w14:paraId="3C3944FB" w14:textId="4684CC82" w:rsidR="00AC2DEF" w:rsidRPr="00AC2DEF" w:rsidRDefault="00AC2DEF" w:rsidP="00AC2DEF">
      <w:pPr>
        <w:pStyle w:val="ListParagraph"/>
        <w:numPr>
          <w:ilvl w:val="0"/>
          <w:numId w:val="23"/>
        </w:numPr>
      </w:pPr>
      <w:r w:rsidRPr="00AC2DEF">
        <w:t xml:space="preserve">bisphosphonates alone and in combination with colecalciferol </w:t>
      </w:r>
      <w:r w:rsidRPr="00FF14CC">
        <w:t>and/or</w:t>
      </w:r>
      <w:r w:rsidRPr="00AC2DEF">
        <w:t xml:space="preserve"> calcium carbonate (alendronate, risedronate and zoledronic acid</w:t>
      </w:r>
      <w:r>
        <w:t>)</w:t>
      </w:r>
      <w:r w:rsidR="003E541E">
        <w:t xml:space="preserve">. </w:t>
      </w:r>
    </w:p>
    <w:p w14:paraId="39D0E572" w14:textId="24093BF8" w:rsidR="00AC2DEF" w:rsidRPr="00AC2DEF" w:rsidRDefault="002A6718" w:rsidP="00AC2DEF">
      <w:pPr>
        <w:pStyle w:val="ListParagraph"/>
        <w:numPr>
          <w:ilvl w:val="0"/>
          <w:numId w:val="23"/>
        </w:numPr>
      </w:pPr>
      <w:r w:rsidRPr="00AC2DEF">
        <w:t>denosumab</w:t>
      </w:r>
      <w:r w:rsidR="00583830">
        <w:t>.</w:t>
      </w:r>
    </w:p>
    <w:p w14:paraId="4A665CF1" w14:textId="7C723470" w:rsidR="00AC2DEF" w:rsidRPr="00AC2DEF" w:rsidRDefault="00583830" w:rsidP="00AC2DEF">
      <w:pPr>
        <w:pStyle w:val="ListParagraph"/>
        <w:numPr>
          <w:ilvl w:val="0"/>
          <w:numId w:val="23"/>
        </w:numPr>
      </w:pPr>
      <w:r>
        <w:t>r</w:t>
      </w:r>
      <w:r w:rsidR="002A6718" w:rsidRPr="00AC2DEF">
        <w:t>aloxifene</w:t>
      </w:r>
      <w:r>
        <w:t>.</w:t>
      </w:r>
    </w:p>
    <w:p w14:paraId="23E9DCC4" w14:textId="4452A1BA" w:rsidR="00AC2DEF" w:rsidRDefault="00AC2DEF" w:rsidP="00AC2DEF">
      <w:pPr>
        <w:pStyle w:val="ListParagraph"/>
        <w:numPr>
          <w:ilvl w:val="0"/>
          <w:numId w:val="1"/>
        </w:numPr>
      </w:pPr>
      <w:r>
        <w:t>romosozumab</w:t>
      </w:r>
      <w:r w:rsidR="00583830">
        <w:t>.</w:t>
      </w:r>
    </w:p>
    <w:p w14:paraId="669AF0C7" w14:textId="52C3A94C" w:rsidR="00AC2DEF" w:rsidRDefault="00B97352" w:rsidP="00AC2DEF">
      <w:pPr>
        <w:pStyle w:val="ListParagraph"/>
        <w:numPr>
          <w:ilvl w:val="0"/>
          <w:numId w:val="1"/>
        </w:numPr>
      </w:pPr>
      <w:r>
        <w:t>t</w:t>
      </w:r>
      <w:r w:rsidR="002A6718">
        <w:t>eriparatide</w:t>
      </w:r>
      <w:r w:rsidR="00FA52E4">
        <w:t xml:space="preserve">. </w:t>
      </w:r>
    </w:p>
    <w:p w14:paraId="2E8A2DC4" w14:textId="479BE1B9" w:rsidR="003F0314" w:rsidRDefault="002A6718" w:rsidP="00AC2DEF">
      <w:pPr>
        <w:pStyle w:val="ListParagraph"/>
        <w:numPr>
          <w:ilvl w:val="0"/>
          <w:numId w:val="1"/>
        </w:numPr>
      </w:pPr>
      <w:r>
        <w:lastRenderedPageBreak/>
        <w:t>calcitriol.</w:t>
      </w:r>
    </w:p>
    <w:p w14:paraId="0183A567" w14:textId="413DF87B" w:rsidR="007247B9" w:rsidRDefault="007247B9" w:rsidP="00CF5E22">
      <w:pPr>
        <w:pStyle w:val="Heading2"/>
      </w:pPr>
      <w:r>
        <w:t>Pharmacology</w:t>
      </w:r>
    </w:p>
    <w:p w14:paraId="3393B38E" w14:textId="7C516545" w:rsidR="00706BFB" w:rsidRPr="007247B9" w:rsidRDefault="00706BFB" w:rsidP="00AE4BAC">
      <w:r>
        <w:t xml:space="preserve">See Appendix A. </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72C6DE9" w14:textId="6DF1A344" w:rsidR="00497459" w:rsidRPr="00C20213" w:rsidRDefault="00497459" w:rsidP="00497459">
      <w:pPr>
        <w:spacing w:after="0"/>
      </w:pPr>
      <w:r>
        <w:rPr>
          <w:b/>
          <w:shd w:val="clear" w:color="auto" w:fill="FFFFFF" w:themeFill="background1"/>
        </w:rPr>
        <w:t>Table 1: TGA approved osteoporosis</w:t>
      </w:r>
      <w:r w:rsidR="00DC69DE">
        <w:rPr>
          <w:b/>
          <w:shd w:val="clear" w:color="auto" w:fill="FFFFFF" w:themeFill="background1"/>
        </w:rPr>
        <w:t xml:space="preserve"> </w:t>
      </w:r>
      <w:r>
        <w:rPr>
          <w:b/>
          <w:shd w:val="clear" w:color="auto" w:fill="FFFFFF" w:themeFill="background1"/>
        </w:rPr>
        <w:t xml:space="preserve">indications </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059"/>
      </w:tblGrid>
      <w:tr w:rsidR="00DC69DE" w14:paraId="24BE0504" w14:textId="77777777" w:rsidTr="00107083">
        <w:trPr>
          <w:trHeight w:val="154"/>
          <w:tblHeader/>
        </w:trPr>
        <w:tc>
          <w:tcPr>
            <w:tcW w:w="1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942E47C" w14:textId="5BBD8DB2" w:rsidR="00DC69DE" w:rsidRPr="00DC69DE" w:rsidRDefault="00DC69DE" w:rsidP="00DC69DE">
            <w:pPr>
              <w:spacing w:before="60" w:afterLines="60" w:after="144" w:line="276" w:lineRule="auto"/>
              <w:rPr>
                <w:b/>
                <w:bCs/>
                <w:color w:val="000000"/>
                <w:sz w:val="20"/>
                <w:szCs w:val="20"/>
                <w:lang w:eastAsia="en-US"/>
              </w:rPr>
            </w:pPr>
            <w:r w:rsidRPr="00DC69DE">
              <w:rPr>
                <w:b/>
                <w:bCs/>
                <w:color w:val="000000"/>
                <w:sz w:val="20"/>
                <w:szCs w:val="20"/>
                <w:lang w:eastAsia="en-US"/>
              </w:rPr>
              <w:t xml:space="preserve">Drug </w:t>
            </w:r>
          </w:p>
        </w:tc>
        <w:tc>
          <w:tcPr>
            <w:tcW w:w="7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444955" w14:textId="301348D3" w:rsidR="00DC69DE" w:rsidRPr="00DC69DE" w:rsidRDefault="00DC69DE" w:rsidP="00DC69DE">
            <w:pPr>
              <w:spacing w:before="60" w:afterLines="60" w:after="144" w:line="276" w:lineRule="auto"/>
              <w:rPr>
                <w:rFonts w:eastAsia="Symbol" w:cstheme="minorHAnsi"/>
                <w:b/>
                <w:bCs/>
                <w:color w:val="000000"/>
                <w:sz w:val="20"/>
                <w:szCs w:val="20"/>
                <w:lang w:eastAsia="en-US"/>
              </w:rPr>
            </w:pPr>
            <w:r w:rsidRPr="00DC69DE">
              <w:rPr>
                <w:rFonts w:eastAsia="Symbol" w:cstheme="minorHAnsi"/>
                <w:b/>
                <w:bCs/>
                <w:color w:val="000000"/>
                <w:sz w:val="20"/>
                <w:szCs w:val="20"/>
                <w:lang w:eastAsia="en-US"/>
              </w:rPr>
              <w:t>TGA Indication</w:t>
            </w:r>
          </w:p>
        </w:tc>
      </w:tr>
      <w:tr w:rsidR="00497459" w14:paraId="543701A8" w14:textId="77777777" w:rsidTr="00107083">
        <w:trPr>
          <w:trHeight w:val="977"/>
        </w:trPr>
        <w:tc>
          <w:tcPr>
            <w:tcW w:w="1603" w:type="dxa"/>
            <w:tcBorders>
              <w:top w:val="single" w:sz="4" w:space="0" w:color="auto"/>
              <w:left w:val="single" w:sz="4" w:space="0" w:color="auto"/>
              <w:bottom w:val="single" w:sz="4" w:space="0" w:color="auto"/>
              <w:right w:val="single" w:sz="4" w:space="0" w:color="auto"/>
            </w:tcBorders>
            <w:noWrap/>
            <w:hideMark/>
          </w:tcPr>
          <w:p w14:paraId="1E81406A" w14:textId="77777777" w:rsidR="00497459" w:rsidRDefault="00497459" w:rsidP="00DC69DE">
            <w:pPr>
              <w:spacing w:before="60" w:afterLines="60" w:after="144" w:line="276" w:lineRule="auto"/>
              <w:rPr>
                <w:color w:val="000000"/>
                <w:sz w:val="20"/>
                <w:szCs w:val="20"/>
                <w:lang w:eastAsia="en-US"/>
              </w:rPr>
            </w:pPr>
            <w:r>
              <w:rPr>
                <w:color w:val="000000"/>
                <w:sz w:val="20"/>
                <w:szCs w:val="20"/>
                <w:lang w:eastAsia="en-US"/>
              </w:rPr>
              <w:t xml:space="preserve">Alendronate and combinations </w:t>
            </w:r>
          </w:p>
        </w:tc>
        <w:tc>
          <w:tcPr>
            <w:tcW w:w="7059" w:type="dxa"/>
            <w:tcBorders>
              <w:top w:val="single" w:sz="4" w:space="0" w:color="auto"/>
              <w:left w:val="single" w:sz="4" w:space="0" w:color="auto"/>
              <w:bottom w:val="single" w:sz="4" w:space="0" w:color="auto"/>
              <w:right w:val="single" w:sz="4" w:space="0" w:color="auto"/>
            </w:tcBorders>
            <w:hideMark/>
          </w:tcPr>
          <w:p w14:paraId="5F90E1E5" w14:textId="77777777" w:rsidR="00497459" w:rsidRDefault="00497459" w:rsidP="00DC69DE">
            <w:pPr>
              <w:spacing w:before="60" w:afterLines="60" w:after="144" w:line="276" w:lineRule="auto"/>
              <w:rPr>
                <w:rFonts w:eastAsia="Times New Roman" w:cs="Times New Roman"/>
                <w:color w:val="000000"/>
                <w:sz w:val="20"/>
                <w:szCs w:val="20"/>
                <w:lang w:eastAsia="en-US"/>
              </w:rPr>
            </w:pP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of osteoporosis, including glucocorticoid-induced osteoporosis. </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and prevention of glucocorticoid-induced osteoporosis in those patients on long term corticosteroid therapy.</w:t>
            </w:r>
          </w:p>
        </w:tc>
      </w:tr>
      <w:tr w:rsidR="00497459" w14:paraId="6711291A" w14:textId="77777777" w:rsidTr="00107083">
        <w:trPr>
          <w:trHeight w:val="64"/>
        </w:trPr>
        <w:tc>
          <w:tcPr>
            <w:tcW w:w="1603" w:type="dxa"/>
            <w:tcBorders>
              <w:top w:val="single" w:sz="4" w:space="0" w:color="auto"/>
              <w:left w:val="single" w:sz="4" w:space="0" w:color="auto"/>
              <w:bottom w:val="single" w:sz="4" w:space="0" w:color="auto"/>
              <w:right w:val="single" w:sz="4" w:space="0" w:color="auto"/>
            </w:tcBorders>
            <w:noWrap/>
            <w:hideMark/>
          </w:tcPr>
          <w:p w14:paraId="5D476059" w14:textId="77777777" w:rsidR="00497459" w:rsidRDefault="00497459" w:rsidP="00DC69DE">
            <w:pPr>
              <w:spacing w:before="60" w:afterLines="60" w:after="144" w:line="276" w:lineRule="auto"/>
              <w:rPr>
                <w:color w:val="000000"/>
                <w:sz w:val="20"/>
                <w:szCs w:val="20"/>
                <w:lang w:eastAsia="en-US"/>
              </w:rPr>
            </w:pPr>
            <w:r>
              <w:rPr>
                <w:color w:val="000000"/>
                <w:sz w:val="20"/>
                <w:szCs w:val="20"/>
                <w:lang w:eastAsia="en-US"/>
              </w:rPr>
              <w:t>Calcitriol</w:t>
            </w:r>
          </w:p>
        </w:tc>
        <w:tc>
          <w:tcPr>
            <w:tcW w:w="7059" w:type="dxa"/>
            <w:tcBorders>
              <w:top w:val="single" w:sz="4" w:space="0" w:color="auto"/>
              <w:left w:val="single" w:sz="4" w:space="0" w:color="auto"/>
              <w:bottom w:val="single" w:sz="4" w:space="0" w:color="auto"/>
              <w:right w:val="single" w:sz="4" w:space="0" w:color="auto"/>
            </w:tcBorders>
            <w:hideMark/>
          </w:tcPr>
          <w:p w14:paraId="164819C4" w14:textId="77777777" w:rsidR="00497459" w:rsidRDefault="00497459" w:rsidP="00DC69DE">
            <w:pPr>
              <w:spacing w:before="60" w:afterLines="60" w:after="144" w:line="276" w:lineRule="auto"/>
              <w:rPr>
                <w:rFonts w:eastAsia="Times New Roman" w:cs="Times New Roman"/>
                <w:color w:val="000000"/>
                <w:sz w:val="20"/>
                <w:szCs w:val="20"/>
                <w:lang w:eastAsia="en-US"/>
              </w:rPr>
            </w:pP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of established osteoporosis diagnosed by objective measuring techniques, such as densitometry, or by radiographic evidence of atraumatic fracture. </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Prevention of corticosteroid-induced osteoporosis in patients commencing oral steroid therapy in a dose and regimen expected to result in a significant bone loss.</w:t>
            </w:r>
          </w:p>
        </w:tc>
      </w:tr>
      <w:tr w:rsidR="00497459" w14:paraId="46FCB1C3" w14:textId="77777777" w:rsidTr="00107083">
        <w:trPr>
          <w:trHeight w:val="280"/>
        </w:trPr>
        <w:tc>
          <w:tcPr>
            <w:tcW w:w="1603" w:type="dxa"/>
            <w:tcBorders>
              <w:top w:val="single" w:sz="4" w:space="0" w:color="auto"/>
              <w:left w:val="single" w:sz="4" w:space="0" w:color="auto"/>
              <w:bottom w:val="single" w:sz="4" w:space="0" w:color="auto"/>
              <w:right w:val="single" w:sz="4" w:space="0" w:color="auto"/>
            </w:tcBorders>
            <w:noWrap/>
            <w:hideMark/>
          </w:tcPr>
          <w:p w14:paraId="1862AD6E" w14:textId="77777777" w:rsidR="00497459" w:rsidRDefault="00497459" w:rsidP="00DC69DE">
            <w:pPr>
              <w:spacing w:before="60" w:afterLines="60" w:after="144" w:line="276" w:lineRule="auto"/>
              <w:rPr>
                <w:color w:val="000000"/>
                <w:sz w:val="20"/>
                <w:szCs w:val="20"/>
                <w:lang w:eastAsia="en-US"/>
              </w:rPr>
            </w:pPr>
            <w:r>
              <w:rPr>
                <w:color w:val="000000"/>
                <w:sz w:val="20"/>
                <w:szCs w:val="20"/>
                <w:lang w:eastAsia="en-US"/>
              </w:rPr>
              <w:t>Denosumab</w:t>
            </w:r>
          </w:p>
        </w:tc>
        <w:tc>
          <w:tcPr>
            <w:tcW w:w="7059" w:type="dxa"/>
            <w:tcBorders>
              <w:top w:val="single" w:sz="4" w:space="0" w:color="auto"/>
              <w:left w:val="single" w:sz="4" w:space="0" w:color="auto"/>
              <w:bottom w:val="single" w:sz="4" w:space="0" w:color="auto"/>
              <w:right w:val="single" w:sz="4" w:space="0" w:color="auto"/>
            </w:tcBorders>
            <w:hideMark/>
          </w:tcPr>
          <w:p w14:paraId="1CA4066B" w14:textId="77777777" w:rsidR="00497459" w:rsidRDefault="00497459" w:rsidP="00DC69DE">
            <w:pPr>
              <w:spacing w:before="60" w:afterLines="60" w:after="144" w:line="276" w:lineRule="auto"/>
              <w:rPr>
                <w:rFonts w:eastAsia="Times New Roman" w:cs="Times New Roman"/>
                <w:color w:val="000000"/>
                <w:sz w:val="20"/>
                <w:szCs w:val="20"/>
                <w:lang w:eastAsia="en-US"/>
              </w:rPr>
            </w:pP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The treatment of osteoporosis in postmenopausal women. </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to increase bone mass in men with osteopenia receiving androgen deprivation therapy for non-metastatic prostate cancer.</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to increase bone mass in men with osteoporosis at increased risk of fracture.</w:t>
            </w:r>
          </w:p>
          <w:p w14:paraId="5B96E5DA" w14:textId="77777777" w:rsidR="00497459" w:rsidRDefault="00497459" w:rsidP="00DC69DE">
            <w:pPr>
              <w:spacing w:before="60" w:afterLines="60" w:after="144" w:line="276" w:lineRule="auto"/>
              <w:rPr>
                <w:rFonts w:eastAsia="Times New Roman" w:cs="Times New Roman"/>
                <w:color w:val="000000"/>
                <w:sz w:val="20"/>
                <w:szCs w:val="20"/>
                <w:lang w:eastAsia="en-US"/>
              </w:rPr>
            </w:pP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w:t>
            </w:r>
            <w:r w:rsidRPr="005E51A3">
              <w:rPr>
                <w:rFonts w:eastAsia="Times New Roman" w:cs="Times New Roman"/>
                <w:color w:val="000000"/>
                <w:sz w:val="20"/>
                <w:szCs w:val="20"/>
                <w:lang w:eastAsia="en-US"/>
              </w:rPr>
              <w:t>Treatment to increase bone mass in women and men at increased risk of fracture due to</w:t>
            </w:r>
            <w:r>
              <w:rPr>
                <w:rFonts w:eastAsia="Times New Roman" w:cs="Times New Roman"/>
                <w:color w:val="000000"/>
                <w:sz w:val="20"/>
                <w:szCs w:val="20"/>
                <w:lang w:eastAsia="en-US"/>
              </w:rPr>
              <w:t xml:space="preserve"> </w:t>
            </w:r>
            <w:r w:rsidRPr="005E51A3">
              <w:rPr>
                <w:rFonts w:eastAsia="Times New Roman" w:cs="Times New Roman"/>
                <w:color w:val="000000"/>
                <w:sz w:val="20"/>
                <w:szCs w:val="20"/>
                <w:lang w:eastAsia="en-US"/>
              </w:rPr>
              <w:t>long-term systemic glucocorticoid therapy</w:t>
            </w:r>
            <w:r>
              <w:rPr>
                <w:rFonts w:eastAsia="Times New Roman" w:cs="Times New Roman"/>
                <w:color w:val="000000"/>
                <w:sz w:val="20"/>
                <w:szCs w:val="20"/>
                <w:lang w:eastAsia="en-US"/>
              </w:rPr>
              <w:t>.</w:t>
            </w:r>
          </w:p>
        </w:tc>
      </w:tr>
      <w:tr w:rsidR="00497459" w14:paraId="60C0F637" w14:textId="77777777" w:rsidTr="00107083">
        <w:trPr>
          <w:trHeight w:val="64"/>
        </w:trPr>
        <w:tc>
          <w:tcPr>
            <w:tcW w:w="1603" w:type="dxa"/>
            <w:tcBorders>
              <w:top w:val="single" w:sz="4" w:space="0" w:color="auto"/>
              <w:left w:val="single" w:sz="4" w:space="0" w:color="auto"/>
              <w:bottom w:val="single" w:sz="4" w:space="0" w:color="auto"/>
              <w:right w:val="single" w:sz="4" w:space="0" w:color="auto"/>
            </w:tcBorders>
            <w:noWrap/>
            <w:hideMark/>
          </w:tcPr>
          <w:p w14:paraId="673C7050" w14:textId="77777777" w:rsidR="00497459" w:rsidRDefault="00497459" w:rsidP="00DC69DE">
            <w:pPr>
              <w:spacing w:before="60" w:afterLines="60" w:after="144" w:line="276" w:lineRule="auto"/>
              <w:rPr>
                <w:color w:val="000000"/>
                <w:sz w:val="20"/>
                <w:szCs w:val="20"/>
                <w:lang w:eastAsia="en-US"/>
              </w:rPr>
            </w:pPr>
            <w:r>
              <w:rPr>
                <w:color w:val="000000"/>
                <w:sz w:val="20"/>
                <w:szCs w:val="20"/>
                <w:lang w:eastAsia="en-US"/>
              </w:rPr>
              <w:t>Raloxifene</w:t>
            </w:r>
          </w:p>
        </w:tc>
        <w:tc>
          <w:tcPr>
            <w:tcW w:w="7059" w:type="dxa"/>
            <w:tcBorders>
              <w:top w:val="single" w:sz="4" w:space="0" w:color="auto"/>
              <w:left w:val="single" w:sz="4" w:space="0" w:color="auto"/>
              <w:bottom w:val="single" w:sz="4" w:space="0" w:color="auto"/>
              <w:right w:val="single" w:sz="4" w:space="0" w:color="auto"/>
            </w:tcBorders>
            <w:hideMark/>
          </w:tcPr>
          <w:p w14:paraId="14AD8B2D" w14:textId="77777777" w:rsidR="00497459" w:rsidRDefault="00497459" w:rsidP="00DC69DE">
            <w:pPr>
              <w:spacing w:before="60" w:afterLines="60" w:after="144" w:line="276" w:lineRule="auto"/>
              <w:rPr>
                <w:rFonts w:eastAsia="Times New Roman" w:cs="Times New Roman"/>
                <w:color w:val="000000"/>
                <w:sz w:val="20"/>
                <w:szCs w:val="20"/>
                <w:lang w:eastAsia="en-US"/>
              </w:rPr>
            </w:pP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Prevention and treatment of osteoporosis in post-menopausal women.</w:t>
            </w:r>
          </w:p>
        </w:tc>
      </w:tr>
      <w:tr w:rsidR="00497459" w14:paraId="45765652" w14:textId="77777777" w:rsidTr="00107083">
        <w:trPr>
          <w:trHeight w:val="900"/>
        </w:trPr>
        <w:tc>
          <w:tcPr>
            <w:tcW w:w="1603" w:type="dxa"/>
            <w:tcBorders>
              <w:top w:val="single" w:sz="4" w:space="0" w:color="auto"/>
              <w:left w:val="single" w:sz="4" w:space="0" w:color="auto"/>
              <w:bottom w:val="single" w:sz="4" w:space="0" w:color="auto"/>
              <w:right w:val="single" w:sz="4" w:space="0" w:color="auto"/>
            </w:tcBorders>
            <w:noWrap/>
            <w:hideMark/>
          </w:tcPr>
          <w:p w14:paraId="65B29703" w14:textId="77777777" w:rsidR="00497459" w:rsidRDefault="00497459" w:rsidP="00DC69DE">
            <w:pPr>
              <w:spacing w:before="60" w:afterLines="60" w:after="144" w:line="276" w:lineRule="auto"/>
              <w:rPr>
                <w:color w:val="000000"/>
                <w:sz w:val="20"/>
                <w:szCs w:val="20"/>
                <w:lang w:eastAsia="en-US"/>
              </w:rPr>
            </w:pPr>
            <w:r>
              <w:rPr>
                <w:color w:val="000000"/>
                <w:sz w:val="20"/>
                <w:szCs w:val="20"/>
                <w:lang w:eastAsia="en-US"/>
              </w:rPr>
              <w:t>Risedronate and combinations</w:t>
            </w:r>
          </w:p>
        </w:tc>
        <w:tc>
          <w:tcPr>
            <w:tcW w:w="7059" w:type="dxa"/>
            <w:tcBorders>
              <w:top w:val="single" w:sz="4" w:space="0" w:color="auto"/>
              <w:left w:val="single" w:sz="4" w:space="0" w:color="auto"/>
              <w:bottom w:val="single" w:sz="4" w:space="0" w:color="auto"/>
              <w:right w:val="single" w:sz="4" w:space="0" w:color="auto"/>
            </w:tcBorders>
            <w:hideMark/>
          </w:tcPr>
          <w:p w14:paraId="0F5831AC" w14:textId="77777777" w:rsidR="00497459" w:rsidRDefault="00497459" w:rsidP="00DC69DE">
            <w:pPr>
              <w:spacing w:before="60" w:afterLines="60" w:after="144" w:line="276" w:lineRule="auto"/>
              <w:rPr>
                <w:rFonts w:eastAsia="Times New Roman" w:cs="Times New Roman"/>
                <w:color w:val="000000"/>
                <w:sz w:val="20"/>
                <w:szCs w:val="20"/>
                <w:lang w:eastAsia="en-US"/>
              </w:rPr>
            </w:pP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of osteoporosis. </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of glucocorticoid-induced osteoporosis. </w:t>
            </w:r>
            <w:r>
              <w:rPr>
                <w:rFonts w:eastAsia="Times New Roman" w:cs="Times New Roman"/>
                <w:color w:val="000000"/>
                <w:sz w:val="20"/>
                <w:szCs w:val="20"/>
                <w:lang w:eastAsia="en-US"/>
              </w:rPr>
              <w:br/>
            </w:r>
            <w:r>
              <w:rPr>
                <w:rFonts w:eastAsia="Times New Roman" w:cs="Times New Roman"/>
                <w:color w:val="000000"/>
                <w:sz w:val="20"/>
                <w:szCs w:val="20"/>
                <w:lang w:eastAsia="en-US"/>
              </w:rPr>
              <w:sym w:font="Symbol" w:char="F0B7"/>
            </w:r>
            <w:r>
              <w:rPr>
                <w:rFonts w:eastAsia="Times New Roman" w:cs="Times New Roman"/>
                <w:color w:val="000000"/>
                <w:sz w:val="20"/>
                <w:szCs w:val="20"/>
                <w:lang w:eastAsia="en-US"/>
              </w:rPr>
              <w:t xml:space="preserve"> Preservation of bone mineral density in patients on long term corticosteroid therapy. </w:t>
            </w:r>
          </w:p>
        </w:tc>
      </w:tr>
      <w:tr w:rsidR="004D7078" w14:paraId="63967FBF" w14:textId="77777777" w:rsidTr="00107083">
        <w:trPr>
          <w:trHeight w:val="900"/>
        </w:trPr>
        <w:tc>
          <w:tcPr>
            <w:tcW w:w="1603" w:type="dxa"/>
            <w:tcBorders>
              <w:top w:val="single" w:sz="4" w:space="0" w:color="auto"/>
              <w:left w:val="single" w:sz="4" w:space="0" w:color="auto"/>
              <w:bottom w:val="single" w:sz="4" w:space="0" w:color="auto"/>
              <w:right w:val="single" w:sz="4" w:space="0" w:color="auto"/>
            </w:tcBorders>
            <w:noWrap/>
          </w:tcPr>
          <w:p w14:paraId="70FD9F57" w14:textId="293DEADC" w:rsidR="004D7078" w:rsidRDefault="004D7078" w:rsidP="004D7078">
            <w:pPr>
              <w:spacing w:before="60" w:afterLines="60" w:after="144" w:line="276" w:lineRule="auto"/>
              <w:rPr>
                <w:color w:val="000000"/>
                <w:sz w:val="20"/>
                <w:szCs w:val="20"/>
                <w:lang w:eastAsia="en-US"/>
              </w:rPr>
            </w:pPr>
            <w:r>
              <w:rPr>
                <w:color w:val="000000"/>
                <w:sz w:val="20"/>
                <w:szCs w:val="20"/>
                <w:lang w:eastAsia="en-US"/>
              </w:rPr>
              <w:t>Romosozumab</w:t>
            </w:r>
          </w:p>
        </w:tc>
        <w:tc>
          <w:tcPr>
            <w:tcW w:w="7059" w:type="dxa"/>
            <w:tcBorders>
              <w:top w:val="single" w:sz="4" w:space="0" w:color="auto"/>
              <w:left w:val="single" w:sz="4" w:space="0" w:color="auto"/>
              <w:bottom w:val="single" w:sz="4" w:space="0" w:color="auto"/>
              <w:right w:val="single" w:sz="4" w:space="0" w:color="auto"/>
            </w:tcBorders>
          </w:tcPr>
          <w:p w14:paraId="4CD6B2CF" w14:textId="3F2628D0" w:rsidR="004D7078" w:rsidRPr="004D7078" w:rsidRDefault="004D7078" w:rsidP="004D7078">
            <w:pPr>
              <w:spacing w:before="60" w:afterLines="60" w:after="144" w:line="276" w:lineRule="auto"/>
              <w:rPr>
                <w:rFonts w:eastAsia="Times New Roman" w:cs="Times New Roman"/>
                <w:color w:val="000000"/>
                <w:sz w:val="20"/>
                <w:szCs w:val="20"/>
                <w:lang w:eastAsia="en-US"/>
              </w:rPr>
            </w:pP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of osteoporosis in pos</w:t>
            </w:r>
            <w:r w:rsidR="00413642">
              <w:rPr>
                <w:rFonts w:eastAsia="Times New Roman" w:cs="Times New Roman"/>
                <w:color w:val="000000"/>
                <w:sz w:val="20"/>
                <w:szCs w:val="20"/>
                <w:lang w:eastAsia="en-US"/>
              </w:rPr>
              <w:t>t</w:t>
            </w:r>
            <w:r>
              <w:rPr>
                <w:rFonts w:eastAsia="Times New Roman" w:cs="Times New Roman"/>
                <w:color w:val="000000"/>
                <w:sz w:val="20"/>
                <w:szCs w:val="20"/>
                <w:lang w:eastAsia="en-US"/>
              </w:rPr>
              <w:t xml:space="preserve">menopausal women at high risk of fracture. </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to increase bone mass in men with osteoporosis at high risk of fracture.</w:t>
            </w:r>
          </w:p>
        </w:tc>
      </w:tr>
      <w:tr w:rsidR="004D7078" w14:paraId="091762D3" w14:textId="77777777" w:rsidTr="00107083">
        <w:trPr>
          <w:trHeight w:val="558"/>
        </w:trPr>
        <w:tc>
          <w:tcPr>
            <w:tcW w:w="1603" w:type="dxa"/>
            <w:tcBorders>
              <w:top w:val="single" w:sz="4" w:space="0" w:color="auto"/>
              <w:left w:val="single" w:sz="4" w:space="0" w:color="auto"/>
              <w:bottom w:val="single" w:sz="4" w:space="0" w:color="auto"/>
              <w:right w:val="single" w:sz="4" w:space="0" w:color="auto"/>
            </w:tcBorders>
            <w:noWrap/>
            <w:hideMark/>
          </w:tcPr>
          <w:p w14:paraId="330FE291" w14:textId="113B5705" w:rsidR="004D7078" w:rsidRDefault="004D7078" w:rsidP="004D7078">
            <w:pPr>
              <w:spacing w:before="60" w:afterLines="60" w:after="144" w:line="276" w:lineRule="auto"/>
              <w:rPr>
                <w:color w:val="000000"/>
                <w:sz w:val="20"/>
                <w:szCs w:val="20"/>
                <w:lang w:eastAsia="en-US"/>
              </w:rPr>
            </w:pPr>
            <w:r>
              <w:rPr>
                <w:color w:val="000000"/>
                <w:sz w:val="20"/>
                <w:szCs w:val="20"/>
                <w:lang w:eastAsia="en-US"/>
              </w:rPr>
              <w:t xml:space="preserve">Teriparatide </w:t>
            </w:r>
          </w:p>
        </w:tc>
        <w:tc>
          <w:tcPr>
            <w:tcW w:w="7059" w:type="dxa"/>
            <w:tcBorders>
              <w:top w:val="single" w:sz="4" w:space="0" w:color="auto"/>
              <w:left w:val="single" w:sz="4" w:space="0" w:color="auto"/>
              <w:bottom w:val="single" w:sz="4" w:space="0" w:color="auto"/>
              <w:right w:val="single" w:sz="4" w:space="0" w:color="auto"/>
            </w:tcBorders>
            <w:hideMark/>
          </w:tcPr>
          <w:p w14:paraId="0373B5F0" w14:textId="77777777" w:rsidR="004D7078" w:rsidRDefault="004D7078" w:rsidP="004D7078">
            <w:pPr>
              <w:spacing w:before="60" w:afterLines="60" w:after="144" w:line="276" w:lineRule="auto"/>
              <w:rPr>
                <w:rFonts w:eastAsia="Times New Roman" w:cs="Times New Roman"/>
                <w:color w:val="000000"/>
                <w:sz w:val="20"/>
                <w:szCs w:val="20"/>
                <w:lang w:eastAsia="en-US"/>
              </w:rPr>
            </w:pP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of osteoporosis in postmenopausal women and the treatment of primary osteoporosis in men when other agents are considered unsuitable and when there is a high risk of fractures.</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of osteoporosis associated with sustained systemic glucocorticoid therapy in women and men at high risk for fracture.</w:t>
            </w:r>
          </w:p>
        </w:tc>
      </w:tr>
      <w:tr w:rsidR="004D7078" w14:paraId="7FB02DFE" w14:textId="77777777" w:rsidTr="00107083">
        <w:trPr>
          <w:trHeight w:val="2313"/>
        </w:trPr>
        <w:tc>
          <w:tcPr>
            <w:tcW w:w="1603" w:type="dxa"/>
            <w:tcBorders>
              <w:top w:val="single" w:sz="4" w:space="0" w:color="auto"/>
              <w:left w:val="single" w:sz="4" w:space="0" w:color="auto"/>
              <w:bottom w:val="single" w:sz="4" w:space="0" w:color="auto"/>
              <w:right w:val="single" w:sz="4" w:space="0" w:color="auto"/>
            </w:tcBorders>
            <w:noWrap/>
            <w:hideMark/>
          </w:tcPr>
          <w:p w14:paraId="6136F9B0" w14:textId="77777777" w:rsidR="004D7078" w:rsidRDefault="004D7078" w:rsidP="004D7078">
            <w:pPr>
              <w:spacing w:before="60" w:afterLines="60" w:after="144" w:line="276" w:lineRule="auto"/>
              <w:rPr>
                <w:color w:val="000000"/>
                <w:sz w:val="20"/>
                <w:szCs w:val="20"/>
                <w:lang w:eastAsia="en-US"/>
              </w:rPr>
            </w:pPr>
            <w:r>
              <w:rPr>
                <w:color w:val="000000"/>
                <w:sz w:val="20"/>
                <w:szCs w:val="20"/>
                <w:lang w:eastAsia="en-US"/>
              </w:rPr>
              <w:lastRenderedPageBreak/>
              <w:t>Zoledronic acid</w:t>
            </w:r>
          </w:p>
        </w:tc>
        <w:tc>
          <w:tcPr>
            <w:tcW w:w="7059" w:type="dxa"/>
            <w:tcBorders>
              <w:top w:val="single" w:sz="4" w:space="0" w:color="auto"/>
              <w:left w:val="single" w:sz="4" w:space="0" w:color="auto"/>
              <w:bottom w:val="single" w:sz="4" w:space="0" w:color="auto"/>
              <w:right w:val="single" w:sz="4" w:space="0" w:color="auto"/>
            </w:tcBorders>
            <w:hideMark/>
          </w:tcPr>
          <w:p w14:paraId="1515C841" w14:textId="77777777" w:rsidR="004D7078" w:rsidRDefault="004D7078" w:rsidP="004D7078">
            <w:pPr>
              <w:spacing w:before="60" w:afterLines="60" w:after="144" w:line="276" w:lineRule="auto"/>
              <w:rPr>
                <w:rFonts w:eastAsia="Times New Roman" w:cs="Times New Roman"/>
                <w:color w:val="000000"/>
                <w:sz w:val="20"/>
                <w:szCs w:val="20"/>
                <w:lang w:eastAsia="en-US"/>
              </w:rPr>
            </w:pP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of osteoporosis in postmenopausal women to reduce the incidence of hip, vertebral and non-vertebral fractures.</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Treatment of osteoporosis in patients over 50 years of age with a history of at least one low trauma hip fracture, to reduce the incidence of further fractures.</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To increase bone mineral density in men with osteoporosis.</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To increase bone mineral density in patients with osteoporosis associated with long term glucocorticoid use.</w:t>
            </w:r>
            <w:r>
              <w:rPr>
                <w:rFonts w:eastAsia="Times New Roman" w:cs="Times New Roman"/>
                <w:color w:val="000000"/>
                <w:sz w:val="20"/>
                <w:szCs w:val="20"/>
                <w:lang w:eastAsia="en-US"/>
              </w:rPr>
              <w:br/>
            </w:r>
            <w:r>
              <w:rPr>
                <w:rFonts w:ascii="Symbol" w:eastAsia="Symbol" w:hAnsi="Symbol" w:cs="Symbol"/>
                <w:color w:val="000000"/>
                <w:sz w:val="20"/>
                <w:szCs w:val="20"/>
                <w:lang w:eastAsia="en-US"/>
              </w:rPr>
              <w:sym w:font="Symbol" w:char="F0B7"/>
            </w:r>
            <w:r>
              <w:rPr>
                <w:rFonts w:eastAsia="Times New Roman" w:cs="Times New Roman"/>
                <w:color w:val="000000"/>
                <w:sz w:val="20"/>
                <w:szCs w:val="20"/>
                <w:lang w:eastAsia="en-US"/>
              </w:rPr>
              <w:t xml:space="preserve"> To prevent glucocorticoid-induced bone mineral density loss. </w:t>
            </w:r>
          </w:p>
        </w:tc>
      </w:tr>
    </w:tbl>
    <w:p w14:paraId="6DD4C8E8" w14:textId="56F89ED4" w:rsidR="00497459" w:rsidRPr="00F85A2D" w:rsidRDefault="00F85A2D" w:rsidP="00A35800">
      <w:pPr>
        <w:rPr>
          <w:sz w:val="20"/>
          <w:szCs w:val="20"/>
        </w:rPr>
      </w:pPr>
      <w:r>
        <w:rPr>
          <w:sz w:val="20"/>
          <w:szCs w:val="20"/>
        </w:rPr>
        <w:t xml:space="preserve">Note: </w:t>
      </w:r>
      <w:r w:rsidR="00497459" w:rsidRPr="00A719BA">
        <w:rPr>
          <w:sz w:val="20"/>
          <w:szCs w:val="20"/>
        </w:rPr>
        <w:t xml:space="preserve">Some medicines have additional indications. See Product Information for details, available from the </w:t>
      </w:r>
      <w:hyperlink r:id="rId11" w:history="1">
        <w:r w:rsidR="00497459" w:rsidRPr="00281E15">
          <w:rPr>
            <w:rStyle w:val="Hyperlink"/>
            <w:sz w:val="20"/>
            <w:szCs w:val="20"/>
          </w:rPr>
          <w:t>TGA (Product Information)</w:t>
        </w:r>
      </w:hyperlink>
      <w:r w:rsidR="00350A9A">
        <w:rPr>
          <w:rStyle w:val="Hyperlink"/>
          <w:sz w:val="20"/>
          <w:szCs w:val="20"/>
        </w:rPr>
        <w:t>.</w:t>
      </w:r>
    </w:p>
    <w:p w14:paraId="15E919C1" w14:textId="1B3BA560" w:rsidR="006B709B" w:rsidRDefault="006B709B" w:rsidP="00CF5E22">
      <w:pPr>
        <w:pStyle w:val="Heading2"/>
      </w:pPr>
      <w:r>
        <w:t>Dosage and administration</w:t>
      </w:r>
    </w:p>
    <w:p w14:paraId="10C19581" w14:textId="77777777" w:rsidR="008C0829" w:rsidRDefault="008C0829" w:rsidP="008C0829">
      <w:pPr>
        <w:pStyle w:val="Tabletitle"/>
        <w:rPr>
          <w:highlight w:val="yellow"/>
        </w:rPr>
      </w:pPr>
      <w:r w:rsidRPr="009E5699">
        <w:t>Table 2: Route and frequency of administration of osteoporosis medicines</w:t>
      </w:r>
    </w:p>
    <w:tbl>
      <w:tblPr>
        <w:tblW w:w="0" w:type="auto"/>
        <w:tblLook w:val="04A0" w:firstRow="1" w:lastRow="0" w:firstColumn="1" w:lastColumn="0" w:noHBand="0" w:noVBand="1"/>
      </w:tblPr>
      <w:tblGrid>
        <w:gridCol w:w="3652"/>
        <w:gridCol w:w="5295"/>
      </w:tblGrid>
      <w:tr w:rsidR="008C0829" w14:paraId="69B70D86" w14:textId="77777777" w:rsidTr="00F85A2D">
        <w:trPr>
          <w:trHeight w:val="20"/>
        </w:trPr>
        <w:tc>
          <w:tcPr>
            <w:tcW w:w="3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913001" w14:textId="647D5EDE" w:rsidR="008C0829" w:rsidRDefault="00106CA5" w:rsidP="00335C88">
            <w:pPr>
              <w:pStyle w:val="Tablewriting"/>
              <w:spacing w:line="276" w:lineRule="auto"/>
              <w:rPr>
                <w:b/>
                <w:lang w:eastAsia="en-US"/>
              </w:rPr>
            </w:pPr>
            <w:r>
              <w:rPr>
                <w:b/>
                <w:lang w:eastAsia="en-US"/>
              </w:rPr>
              <w:t>Drug</w:t>
            </w:r>
          </w:p>
        </w:tc>
        <w:tc>
          <w:tcPr>
            <w:tcW w:w="529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5EB94C4" w14:textId="77777777" w:rsidR="008C0829" w:rsidRDefault="008C0829" w:rsidP="00335C88">
            <w:pPr>
              <w:pStyle w:val="Tablewriting"/>
              <w:spacing w:line="276" w:lineRule="auto"/>
              <w:rPr>
                <w:b/>
                <w:lang w:eastAsia="en-US"/>
              </w:rPr>
            </w:pPr>
            <w:r>
              <w:rPr>
                <w:b/>
                <w:lang w:val="en-US" w:eastAsia="en-US"/>
              </w:rPr>
              <w:t>Route and frequency of administration</w:t>
            </w:r>
          </w:p>
        </w:tc>
      </w:tr>
      <w:tr w:rsidR="008C0829" w14:paraId="345D1B51" w14:textId="77777777" w:rsidTr="00F85A2D">
        <w:trPr>
          <w:trHeight w:val="20"/>
        </w:trPr>
        <w:tc>
          <w:tcPr>
            <w:tcW w:w="3652" w:type="dxa"/>
            <w:tcBorders>
              <w:top w:val="nil"/>
              <w:left w:val="single" w:sz="4" w:space="0" w:color="auto"/>
              <w:bottom w:val="single" w:sz="4" w:space="0" w:color="auto"/>
              <w:right w:val="single" w:sz="4" w:space="0" w:color="auto"/>
            </w:tcBorders>
            <w:vAlign w:val="center"/>
            <w:hideMark/>
          </w:tcPr>
          <w:p w14:paraId="2E8EC44B" w14:textId="60D58448" w:rsidR="008C0829" w:rsidRDefault="008C0829" w:rsidP="00335C88">
            <w:pPr>
              <w:pStyle w:val="Tablewriting"/>
              <w:spacing w:line="276" w:lineRule="auto"/>
              <w:rPr>
                <w:lang w:eastAsia="en-US"/>
              </w:rPr>
            </w:pPr>
            <w:r>
              <w:rPr>
                <w:lang w:eastAsia="en-US"/>
              </w:rPr>
              <w:t xml:space="preserve">Alendronate </w:t>
            </w:r>
            <w:r w:rsidR="00F85A2D">
              <w:rPr>
                <w:lang w:eastAsia="en-US"/>
              </w:rPr>
              <w:t>(incl. combination products)</w:t>
            </w:r>
          </w:p>
        </w:tc>
        <w:tc>
          <w:tcPr>
            <w:tcW w:w="5295" w:type="dxa"/>
            <w:tcBorders>
              <w:top w:val="nil"/>
              <w:left w:val="nil"/>
              <w:bottom w:val="single" w:sz="4" w:space="0" w:color="auto"/>
              <w:right w:val="single" w:sz="4" w:space="0" w:color="auto"/>
            </w:tcBorders>
            <w:vAlign w:val="center"/>
            <w:hideMark/>
          </w:tcPr>
          <w:p w14:paraId="360D3954" w14:textId="15475F7D" w:rsidR="008C0829" w:rsidRDefault="008C0829" w:rsidP="00335C88">
            <w:pPr>
              <w:pStyle w:val="Tablewriting"/>
              <w:spacing w:line="276" w:lineRule="auto"/>
              <w:rPr>
                <w:lang w:eastAsia="en-US"/>
              </w:rPr>
            </w:pPr>
            <w:r>
              <w:rPr>
                <w:lang w:val="en" w:eastAsia="en-US"/>
              </w:rPr>
              <w:t>Oral; weekly</w:t>
            </w:r>
            <w:r w:rsidR="008E1CFD">
              <w:rPr>
                <w:lang w:val="en" w:eastAsia="en-US"/>
              </w:rPr>
              <w:t>.</w:t>
            </w:r>
          </w:p>
        </w:tc>
      </w:tr>
      <w:tr w:rsidR="008C0829" w14:paraId="753D1347" w14:textId="77777777" w:rsidTr="00F85A2D">
        <w:trPr>
          <w:trHeight w:val="20"/>
        </w:trPr>
        <w:tc>
          <w:tcPr>
            <w:tcW w:w="3652" w:type="dxa"/>
            <w:tcBorders>
              <w:top w:val="nil"/>
              <w:left w:val="single" w:sz="4" w:space="0" w:color="auto"/>
              <w:bottom w:val="single" w:sz="4" w:space="0" w:color="auto"/>
              <w:right w:val="single" w:sz="4" w:space="0" w:color="auto"/>
            </w:tcBorders>
            <w:vAlign w:val="center"/>
            <w:hideMark/>
          </w:tcPr>
          <w:p w14:paraId="72EDB70F" w14:textId="77777777" w:rsidR="008C0829" w:rsidRDefault="008C0829" w:rsidP="00335C88">
            <w:pPr>
              <w:pStyle w:val="Tablewriting"/>
              <w:spacing w:line="276" w:lineRule="auto"/>
              <w:rPr>
                <w:lang w:eastAsia="en-US"/>
              </w:rPr>
            </w:pPr>
            <w:r>
              <w:rPr>
                <w:lang w:eastAsia="en-US"/>
              </w:rPr>
              <w:t>Calcitriol</w:t>
            </w:r>
          </w:p>
        </w:tc>
        <w:tc>
          <w:tcPr>
            <w:tcW w:w="5295" w:type="dxa"/>
            <w:tcBorders>
              <w:top w:val="nil"/>
              <w:left w:val="nil"/>
              <w:bottom w:val="single" w:sz="4" w:space="0" w:color="auto"/>
              <w:right w:val="single" w:sz="4" w:space="0" w:color="auto"/>
            </w:tcBorders>
            <w:vAlign w:val="center"/>
            <w:hideMark/>
          </w:tcPr>
          <w:p w14:paraId="2494A2FA" w14:textId="6E26F9FA" w:rsidR="008C0829" w:rsidRDefault="008C0829" w:rsidP="00335C88">
            <w:pPr>
              <w:pStyle w:val="Tablewriting"/>
              <w:spacing w:line="276" w:lineRule="auto"/>
              <w:rPr>
                <w:lang w:eastAsia="en-US"/>
              </w:rPr>
            </w:pPr>
            <w:r>
              <w:rPr>
                <w:lang w:val="en" w:eastAsia="en-US"/>
              </w:rPr>
              <w:t>Oral; twice daily</w:t>
            </w:r>
            <w:r w:rsidR="008E1CFD">
              <w:rPr>
                <w:lang w:val="en" w:eastAsia="en-US"/>
              </w:rPr>
              <w:t>.</w:t>
            </w:r>
          </w:p>
        </w:tc>
      </w:tr>
      <w:tr w:rsidR="008C0829" w14:paraId="7A021960" w14:textId="77777777" w:rsidTr="00F85A2D">
        <w:trPr>
          <w:trHeight w:val="20"/>
        </w:trPr>
        <w:tc>
          <w:tcPr>
            <w:tcW w:w="3652" w:type="dxa"/>
            <w:tcBorders>
              <w:top w:val="nil"/>
              <w:left w:val="single" w:sz="4" w:space="0" w:color="auto"/>
              <w:bottom w:val="single" w:sz="4" w:space="0" w:color="auto"/>
              <w:right w:val="single" w:sz="4" w:space="0" w:color="auto"/>
            </w:tcBorders>
            <w:vAlign w:val="center"/>
            <w:hideMark/>
          </w:tcPr>
          <w:p w14:paraId="43198F6B" w14:textId="77777777" w:rsidR="008C0829" w:rsidRDefault="008C0829" w:rsidP="00335C88">
            <w:pPr>
              <w:pStyle w:val="Tablewriting"/>
              <w:spacing w:line="276" w:lineRule="auto"/>
              <w:rPr>
                <w:lang w:eastAsia="en-US"/>
              </w:rPr>
            </w:pPr>
            <w:r>
              <w:rPr>
                <w:lang w:eastAsia="en-US"/>
              </w:rPr>
              <w:t>Denosumab</w:t>
            </w:r>
          </w:p>
        </w:tc>
        <w:tc>
          <w:tcPr>
            <w:tcW w:w="5295" w:type="dxa"/>
            <w:tcBorders>
              <w:top w:val="nil"/>
              <w:left w:val="nil"/>
              <w:bottom w:val="single" w:sz="4" w:space="0" w:color="auto"/>
              <w:right w:val="single" w:sz="4" w:space="0" w:color="auto"/>
            </w:tcBorders>
            <w:vAlign w:val="center"/>
            <w:hideMark/>
          </w:tcPr>
          <w:p w14:paraId="469FC2D4" w14:textId="6850D52B" w:rsidR="008C0829" w:rsidRDefault="008C0829" w:rsidP="00335C88">
            <w:pPr>
              <w:pStyle w:val="Tablewriting"/>
              <w:spacing w:line="276" w:lineRule="auto"/>
              <w:rPr>
                <w:lang w:eastAsia="en-US"/>
              </w:rPr>
            </w:pPr>
            <w:r>
              <w:rPr>
                <w:lang w:val="en-US" w:eastAsia="en-US"/>
              </w:rPr>
              <w:t>Subcutaneous injection; once every six months</w:t>
            </w:r>
            <w:r w:rsidR="008E1CFD">
              <w:rPr>
                <w:lang w:val="en-US" w:eastAsia="en-US"/>
              </w:rPr>
              <w:t>.</w:t>
            </w:r>
          </w:p>
        </w:tc>
      </w:tr>
      <w:tr w:rsidR="008C0829" w14:paraId="333CE12B" w14:textId="77777777" w:rsidTr="00F85A2D">
        <w:trPr>
          <w:trHeight w:val="20"/>
        </w:trPr>
        <w:tc>
          <w:tcPr>
            <w:tcW w:w="3652" w:type="dxa"/>
            <w:tcBorders>
              <w:top w:val="nil"/>
              <w:left w:val="single" w:sz="4" w:space="0" w:color="auto"/>
              <w:bottom w:val="single" w:sz="4" w:space="0" w:color="auto"/>
              <w:right w:val="single" w:sz="4" w:space="0" w:color="auto"/>
            </w:tcBorders>
            <w:vAlign w:val="center"/>
            <w:hideMark/>
          </w:tcPr>
          <w:p w14:paraId="3D947A53" w14:textId="77777777" w:rsidR="008C0829" w:rsidRDefault="008C0829" w:rsidP="00335C88">
            <w:pPr>
              <w:pStyle w:val="Tablewriting"/>
              <w:spacing w:line="276" w:lineRule="auto"/>
              <w:rPr>
                <w:lang w:eastAsia="en-US"/>
              </w:rPr>
            </w:pPr>
            <w:r>
              <w:rPr>
                <w:lang w:eastAsia="en-US"/>
              </w:rPr>
              <w:t>Raloxifene</w:t>
            </w:r>
          </w:p>
        </w:tc>
        <w:tc>
          <w:tcPr>
            <w:tcW w:w="5295" w:type="dxa"/>
            <w:tcBorders>
              <w:top w:val="nil"/>
              <w:left w:val="nil"/>
              <w:bottom w:val="single" w:sz="4" w:space="0" w:color="auto"/>
              <w:right w:val="single" w:sz="4" w:space="0" w:color="auto"/>
            </w:tcBorders>
            <w:vAlign w:val="center"/>
            <w:hideMark/>
          </w:tcPr>
          <w:p w14:paraId="0425A523" w14:textId="77777777" w:rsidR="008C0829" w:rsidRDefault="008C0829" w:rsidP="00335C88">
            <w:pPr>
              <w:pStyle w:val="Tablewriting"/>
              <w:spacing w:line="276" w:lineRule="auto"/>
              <w:rPr>
                <w:lang w:eastAsia="en-US"/>
              </w:rPr>
            </w:pPr>
            <w:r>
              <w:rPr>
                <w:lang w:val="en" w:eastAsia="en-US"/>
              </w:rPr>
              <w:t>Oral; daily</w:t>
            </w:r>
          </w:p>
        </w:tc>
      </w:tr>
      <w:tr w:rsidR="008C0829" w14:paraId="1C327E16" w14:textId="77777777" w:rsidTr="00F85A2D">
        <w:trPr>
          <w:trHeight w:val="20"/>
        </w:trPr>
        <w:tc>
          <w:tcPr>
            <w:tcW w:w="3652" w:type="dxa"/>
            <w:tcBorders>
              <w:top w:val="nil"/>
              <w:left w:val="single" w:sz="4" w:space="0" w:color="auto"/>
              <w:bottom w:val="single" w:sz="4" w:space="0" w:color="auto"/>
              <w:right w:val="single" w:sz="4" w:space="0" w:color="auto"/>
            </w:tcBorders>
            <w:vAlign w:val="center"/>
            <w:hideMark/>
          </w:tcPr>
          <w:p w14:paraId="419703F7" w14:textId="3D5C47CB" w:rsidR="008C0829" w:rsidRDefault="008C0829" w:rsidP="00335C88">
            <w:pPr>
              <w:pStyle w:val="Tablewriting"/>
              <w:spacing w:line="276" w:lineRule="auto"/>
              <w:rPr>
                <w:lang w:eastAsia="en-US"/>
              </w:rPr>
            </w:pPr>
            <w:r>
              <w:rPr>
                <w:lang w:eastAsia="en-US"/>
              </w:rPr>
              <w:t xml:space="preserve">Risedronate </w:t>
            </w:r>
            <w:r w:rsidR="00F85A2D">
              <w:rPr>
                <w:lang w:eastAsia="en-US"/>
              </w:rPr>
              <w:t>(incl. combination products)</w:t>
            </w:r>
          </w:p>
        </w:tc>
        <w:tc>
          <w:tcPr>
            <w:tcW w:w="5295" w:type="dxa"/>
            <w:tcBorders>
              <w:top w:val="nil"/>
              <w:left w:val="nil"/>
              <w:bottom w:val="single" w:sz="4" w:space="0" w:color="auto"/>
              <w:right w:val="single" w:sz="4" w:space="0" w:color="auto"/>
            </w:tcBorders>
            <w:vAlign w:val="center"/>
            <w:hideMark/>
          </w:tcPr>
          <w:p w14:paraId="597FF04C" w14:textId="77777777" w:rsidR="008C0829" w:rsidRDefault="008C0829" w:rsidP="00335C88">
            <w:pPr>
              <w:pStyle w:val="Tablewriting"/>
              <w:spacing w:line="276" w:lineRule="auto"/>
              <w:rPr>
                <w:lang w:eastAsia="en-US"/>
              </w:rPr>
            </w:pPr>
            <w:r>
              <w:rPr>
                <w:lang w:val="en" w:eastAsia="en-US"/>
              </w:rPr>
              <w:t>Oral; daily, weekly or monthly</w:t>
            </w:r>
          </w:p>
        </w:tc>
      </w:tr>
      <w:tr w:rsidR="00B3318A" w14:paraId="3F56DB07" w14:textId="77777777" w:rsidTr="00F85A2D">
        <w:trPr>
          <w:trHeight w:val="20"/>
        </w:trPr>
        <w:tc>
          <w:tcPr>
            <w:tcW w:w="3652" w:type="dxa"/>
            <w:tcBorders>
              <w:top w:val="nil"/>
              <w:left w:val="single" w:sz="4" w:space="0" w:color="auto"/>
              <w:bottom w:val="single" w:sz="4" w:space="0" w:color="auto"/>
              <w:right w:val="single" w:sz="4" w:space="0" w:color="auto"/>
            </w:tcBorders>
            <w:vAlign w:val="center"/>
          </w:tcPr>
          <w:p w14:paraId="796E5CF2" w14:textId="0AC0C8B1" w:rsidR="00B3318A" w:rsidRDefault="00B3318A" w:rsidP="00335C88">
            <w:pPr>
              <w:pStyle w:val="Tablewriting"/>
              <w:spacing w:line="276" w:lineRule="auto"/>
              <w:rPr>
                <w:lang w:eastAsia="en-US"/>
              </w:rPr>
            </w:pPr>
            <w:r>
              <w:rPr>
                <w:lang w:eastAsia="en-US"/>
              </w:rPr>
              <w:t>Romosozumab</w:t>
            </w:r>
          </w:p>
        </w:tc>
        <w:tc>
          <w:tcPr>
            <w:tcW w:w="5295" w:type="dxa"/>
            <w:tcBorders>
              <w:top w:val="nil"/>
              <w:left w:val="nil"/>
              <w:bottom w:val="single" w:sz="4" w:space="0" w:color="auto"/>
              <w:right w:val="single" w:sz="4" w:space="0" w:color="auto"/>
            </w:tcBorders>
            <w:vAlign w:val="center"/>
          </w:tcPr>
          <w:p w14:paraId="19F0A0D5" w14:textId="27308C13" w:rsidR="00B3318A" w:rsidRDefault="0082511C" w:rsidP="00335C88">
            <w:pPr>
              <w:pStyle w:val="Tablewriting"/>
              <w:spacing w:line="276" w:lineRule="auto"/>
              <w:rPr>
                <w:lang w:val="en" w:eastAsia="en-US"/>
              </w:rPr>
            </w:pPr>
            <w:r>
              <w:rPr>
                <w:lang w:val="en-US" w:eastAsia="en-US"/>
              </w:rPr>
              <w:t xml:space="preserve">Subcutaneous injection; </w:t>
            </w:r>
            <w:r w:rsidR="00736AE2">
              <w:rPr>
                <w:lang w:val="en-US" w:eastAsia="en-US"/>
              </w:rPr>
              <w:t>monthly</w:t>
            </w:r>
            <w:r>
              <w:rPr>
                <w:lang w:val="en-US" w:eastAsia="en-US"/>
              </w:rPr>
              <w:t>. Max</w:t>
            </w:r>
            <w:r w:rsidR="00683E42">
              <w:rPr>
                <w:lang w:val="en-US" w:eastAsia="en-US"/>
              </w:rPr>
              <w:t>imum of</w:t>
            </w:r>
            <w:r>
              <w:rPr>
                <w:lang w:val="en-US" w:eastAsia="en-US"/>
              </w:rPr>
              <w:t xml:space="preserve"> 12 months</w:t>
            </w:r>
            <w:r w:rsidR="00F85A2D">
              <w:rPr>
                <w:lang w:val="en-US" w:eastAsia="en-US"/>
              </w:rPr>
              <w:t>.</w:t>
            </w:r>
          </w:p>
        </w:tc>
      </w:tr>
      <w:tr w:rsidR="008C0829" w14:paraId="226ACAC5" w14:textId="77777777" w:rsidTr="00F85A2D">
        <w:trPr>
          <w:trHeight w:val="20"/>
        </w:trPr>
        <w:tc>
          <w:tcPr>
            <w:tcW w:w="3652" w:type="dxa"/>
            <w:tcBorders>
              <w:top w:val="nil"/>
              <w:left w:val="single" w:sz="4" w:space="0" w:color="auto"/>
              <w:bottom w:val="single" w:sz="4" w:space="0" w:color="auto"/>
              <w:right w:val="single" w:sz="4" w:space="0" w:color="auto"/>
            </w:tcBorders>
            <w:vAlign w:val="center"/>
            <w:hideMark/>
          </w:tcPr>
          <w:p w14:paraId="5EE3B280" w14:textId="7DDAFEF6" w:rsidR="008C0829" w:rsidRDefault="008C0829" w:rsidP="00335C88">
            <w:pPr>
              <w:pStyle w:val="Tablewriting"/>
              <w:spacing w:line="276" w:lineRule="auto"/>
              <w:rPr>
                <w:lang w:eastAsia="en-US"/>
              </w:rPr>
            </w:pPr>
            <w:r>
              <w:rPr>
                <w:lang w:eastAsia="en-US"/>
              </w:rPr>
              <w:t xml:space="preserve">Teriparatide </w:t>
            </w:r>
          </w:p>
        </w:tc>
        <w:tc>
          <w:tcPr>
            <w:tcW w:w="5295" w:type="dxa"/>
            <w:tcBorders>
              <w:top w:val="nil"/>
              <w:left w:val="nil"/>
              <w:bottom w:val="single" w:sz="4" w:space="0" w:color="auto"/>
              <w:right w:val="single" w:sz="4" w:space="0" w:color="auto"/>
            </w:tcBorders>
            <w:vAlign w:val="center"/>
            <w:hideMark/>
          </w:tcPr>
          <w:p w14:paraId="6043C1B3" w14:textId="0C7A7E8F" w:rsidR="008C0829" w:rsidRDefault="008C0829" w:rsidP="00335C88">
            <w:pPr>
              <w:pStyle w:val="Tablewriting"/>
              <w:spacing w:line="276" w:lineRule="auto"/>
              <w:rPr>
                <w:lang w:eastAsia="en-US"/>
              </w:rPr>
            </w:pPr>
            <w:r>
              <w:rPr>
                <w:lang w:val="en-US" w:eastAsia="en-US"/>
              </w:rPr>
              <w:t>Subcutaneous injection; daily. Max</w:t>
            </w:r>
            <w:r w:rsidR="00683E42">
              <w:rPr>
                <w:lang w:val="en-US" w:eastAsia="en-US"/>
              </w:rPr>
              <w:t>imum of</w:t>
            </w:r>
            <w:r>
              <w:rPr>
                <w:lang w:val="en-US" w:eastAsia="en-US"/>
              </w:rPr>
              <w:t xml:space="preserve"> 18 months</w:t>
            </w:r>
            <w:r w:rsidR="00F85A2D">
              <w:rPr>
                <w:lang w:val="en-US" w:eastAsia="en-US"/>
              </w:rPr>
              <w:t>.</w:t>
            </w:r>
          </w:p>
        </w:tc>
      </w:tr>
      <w:tr w:rsidR="008C0829" w14:paraId="61865F71" w14:textId="77777777" w:rsidTr="00F85A2D">
        <w:trPr>
          <w:trHeight w:val="20"/>
        </w:trPr>
        <w:tc>
          <w:tcPr>
            <w:tcW w:w="3652" w:type="dxa"/>
            <w:tcBorders>
              <w:top w:val="nil"/>
              <w:left w:val="single" w:sz="4" w:space="0" w:color="auto"/>
              <w:bottom w:val="single" w:sz="4" w:space="0" w:color="auto"/>
              <w:right w:val="single" w:sz="4" w:space="0" w:color="auto"/>
            </w:tcBorders>
            <w:vAlign w:val="center"/>
            <w:hideMark/>
          </w:tcPr>
          <w:p w14:paraId="75F199C4" w14:textId="77777777" w:rsidR="008C0829" w:rsidRDefault="008C0829" w:rsidP="00335C88">
            <w:pPr>
              <w:pStyle w:val="Tablewriting"/>
              <w:spacing w:line="276" w:lineRule="auto"/>
              <w:rPr>
                <w:lang w:eastAsia="en-US"/>
              </w:rPr>
            </w:pPr>
            <w:r>
              <w:rPr>
                <w:lang w:eastAsia="en-US"/>
              </w:rPr>
              <w:t>Zoledronic acid</w:t>
            </w:r>
          </w:p>
        </w:tc>
        <w:tc>
          <w:tcPr>
            <w:tcW w:w="5295" w:type="dxa"/>
            <w:tcBorders>
              <w:top w:val="nil"/>
              <w:left w:val="nil"/>
              <w:bottom w:val="single" w:sz="4" w:space="0" w:color="auto"/>
              <w:right w:val="single" w:sz="4" w:space="0" w:color="auto"/>
            </w:tcBorders>
            <w:vAlign w:val="center"/>
            <w:hideMark/>
          </w:tcPr>
          <w:p w14:paraId="50A4E8DE" w14:textId="77777777" w:rsidR="008C0829" w:rsidRDefault="008C0829" w:rsidP="00335C88">
            <w:pPr>
              <w:pStyle w:val="Tablewriting"/>
              <w:spacing w:line="276" w:lineRule="auto"/>
              <w:rPr>
                <w:lang w:eastAsia="en-US"/>
              </w:rPr>
            </w:pPr>
            <w:r>
              <w:rPr>
                <w:lang w:val="en" w:eastAsia="en-US"/>
              </w:rPr>
              <w:t>IV infusion; once per year</w:t>
            </w:r>
          </w:p>
        </w:tc>
      </w:tr>
    </w:tbl>
    <w:p w14:paraId="5C55A6DE" w14:textId="4ECA4F1A" w:rsidR="00C52C76" w:rsidRDefault="00F85A2D" w:rsidP="007A6140">
      <w:pPr>
        <w:pStyle w:val="Notes"/>
      </w:pPr>
      <w:r w:rsidRPr="007A6140">
        <w:t>Source:</w:t>
      </w:r>
      <w:r w:rsidR="007A6140">
        <w:t xml:space="preserve"> TGA Product Information. </w:t>
      </w:r>
    </w:p>
    <w:p w14:paraId="4A88920E" w14:textId="17BA278F" w:rsidR="007A6140" w:rsidRPr="002F61CA" w:rsidRDefault="00F17D4B" w:rsidP="00F17D4B">
      <w:r w:rsidRPr="002F61CA">
        <w:t xml:space="preserve">The current Product Information (PI) and Consumer Medicine Information (CMI) are available from </w:t>
      </w:r>
      <w:hyperlink r:id="rId12" w:history="1">
        <w:r>
          <w:rPr>
            <w:rStyle w:val="Hyperlink"/>
          </w:rPr>
          <w:t>the TGA (Product Information)</w:t>
        </w:r>
      </w:hyperlink>
      <w:r>
        <w:t xml:space="preserve"> and </w:t>
      </w:r>
      <w:hyperlink r:id="rId13" w:history="1">
        <w:r>
          <w:rPr>
            <w:rStyle w:val="Hyperlink"/>
          </w:rPr>
          <w:t>the TGA (Consumer Medicines Information)</w:t>
        </w:r>
      </w:hyperlink>
      <w:r>
        <w:t>.</w:t>
      </w:r>
    </w:p>
    <w:p w14:paraId="46E2BB42" w14:textId="42A456B1" w:rsidR="00DF0B13" w:rsidRPr="007247B9" w:rsidDel="00EE2BBB" w:rsidRDefault="00DF0B13" w:rsidP="00CF5E22">
      <w:pPr>
        <w:pStyle w:val="Heading2"/>
      </w:pPr>
      <w:r w:rsidRPr="007247B9" w:rsidDel="00EE2BBB">
        <w:t>PBS listing details</w:t>
      </w:r>
      <w:r w:rsidR="00D151EB" w:rsidDel="00EE2BBB">
        <w:t xml:space="preserve"> (as at </w:t>
      </w:r>
      <w:r w:rsidR="00A725CE">
        <w:t>October 2023</w:t>
      </w:r>
      <w:r w:rsidR="008A2828">
        <w:t>)</w:t>
      </w:r>
    </w:p>
    <w:p w14:paraId="1D47784A" w14:textId="7BBF1FAB" w:rsidR="001420B3" w:rsidRPr="001420B3" w:rsidDel="00EE2BBB" w:rsidRDefault="001420B3" w:rsidP="00CF5E22">
      <w:pPr>
        <w:pStyle w:val="Tabletitle"/>
      </w:pPr>
      <w:r w:rsidRPr="001420B3" w:rsidDel="00EE2BBB">
        <w:t xml:space="preserve">Table </w:t>
      </w:r>
      <w:r w:rsidR="007A6140">
        <w:t>3</w:t>
      </w:r>
      <w:r w:rsidRPr="001420B3" w:rsidDel="00EE2BBB">
        <w:t xml:space="preserve">: </w:t>
      </w:r>
      <w:r w:rsidR="009663B6" w:rsidDel="00EE2BBB">
        <w:t>PB</w:t>
      </w:r>
      <w:r w:rsidR="00D151EB" w:rsidDel="00EE2BBB">
        <w:t xml:space="preserve">S listing of </w:t>
      </w:r>
      <w:r w:rsidR="00D43E00">
        <w:t>rom</w:t>
      </w:r>
      <w:r w:rsidR="006B673E">
        <w:t>o</w:t>
      </w:r>
      <w:r w:rsidR="00D43E00">
        <w:t>sozumab</w:t>
      </w:r>
      <w:r w:rsidR="00D151EB" w:rsidDel="00EE2BBB">
        <w:t xml:space="preserve"> </w:t>
      </w:r>
    </w:p>
    <w:tbl>
      <w:tblPr>
        <w:tblStyle w:val="TableGrid"/>
        <w:tblW w:w="9064" w:type="dxa"/>
        <w:tblLayout w:type="fixed"/>
        <w:tblLook w:val="04A0" w:firstRow="1" w:lastRow="0" w:firstColumn="1" w:lastColumn="0" w:noHBand="0" w:noVBand="1"/>
      </w:tblPr>
      <w:tblGrid>
        <w:gridCol w:w="969"/>
        <w:gridCol w:w="3137"/>
        <w:gridCol w:w="964"/>
        <w:gridCol w:w="850"/>
        <w:gridCol w:w="1040"/>
        <w:gridCol w:w="2104"/>
      </w:tblGrid>
      <w:tr w:rsidR="0093111F" w:rsidRPr="00A35800" w:rsidDel="00EE2BBB" w14:paraId="6AA19A37" w14:textId="77B518AD" w:rsidTr="00EB0351">
        <w:trPr>
          <w:trHeight w:val="694"/>
          <w:tblHeader/>
        </w:trPr>
        <w:tc>
          <w:tcPr>
            <w:tcW w:w="969" w:type="dxa"/>
            <w:shd w:val="clear" w:color="auto" w:fill="BFBFBF" w:themeFill="background1" w:themeFillShade="BF"/>
          </w:tcPr>
          <w:p w14:paraId="56A3DEA0" w14:textId="7B628066" w:rsidR="0093111F" w:rsidRPr="00A35800" w:rsidDel="00EE2BBB" w:rsidRDefault="0093111F" w:rsidP="00A35800">
            <w:pPr>
              <w:pStyle w:val="Tableheading"/>
              <w:rPr>
                <w:sz w:val="20"/>
                <w:szCs w:val="20"/>
              </w:rPr>
            </w:pPr>
            <w:r w:rsidRPr="00A35800" w:rsidDel="00EE2BBB">
              <w:rPr>
                <w:sz w:val="20"/>
                <w:szCs w:val="20"/>
              </w:rPr>
              <w:t>Item</w:t>
            </w:r>
            <w:r w:rsidR="00EB0351">
              <w:rPr>
                <w:sz w:val="20"/>
                <w:szCs w:val="20"/>
              </w:rPr>
              <w:t xml:space="preserve"> code</w:t>
            </w:r>
          </w:p>
        </w:tc>
        <w:tc>
          <w:tcPr>
            <w:tcW w:w="3137"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964" w:type="dxa"/>
            <w:shd w:val="clear" w:color="auto" w:fill="BFBFBF" w:themeFill="background1" w:themeFillShade="BF"/>
          </w:tcPr>
          <w:p w14:paraId="114E9799" w14:textId="68B04CCA" w:rsidR="0093111F" w:rsidRPr="00A35800" w:rsidDel="00EE2BBB" w:rsidRDefault="0093111F" w:rsidP="00583830">
            <w:pPr>
              <w:pStyle w:val="Tableheading"/>
              <w:rPr>
                <w:sz w:val="20"/>
                <w:szCs w:val="20"/>
              </w:rPr>
            </w:pPr>
            <w:r w:rsidRPr="00A35800" w:rsidDel="00EE2BBB">
              <w:rPr>
                <w:sz w:val="20"/>
                <w:szCs w:val="20"/>
              </w:rPr>
              <w:t>Max</w:t>
            </w:r>
            <w:r w:rsidR="005B1800">
              <w:rPr>
                <w:sz w:val="20"/>
                <w:szCs w:val="20"/>
              </w:rPr>
              <w:t xml:space="preserve"> </w:t>
            </w:r>
            <w:r w:rsidRPr="00A35800" w:rsidDel="00EE2BBB">
              <w:rPr>
                <w:sz w:val="20"/>
                <w:szCs w:val="20"/>
              </w:rPr>
              <w:t>q</w:t>
            </w:r>
            <w:r w:rsidR="005B1800">
              <w:rPr>
                <w:sz w:val="20"/>
                <w:szCs w:val="20"/>
              </w:rPr>
              <w:t>ty</w:t>
            </w:r>
            <w:r w:rsidRPr="00A35800" w:rsidDel="00EE2BBB">
              <w:rPr>
                <w:sz w:val="20"/>
                <w:szCs w:val="20"/>
              </w:rPr>
              <w:t xml:space="preserve"> </w:t>
            </w:r>
            <w:r w:rsidR="005B1800">
              <w:rPr>
                <w:sz w:val="20"/>
                <w:szCs w:val="20"/>
              </w:rPr>
              <w:t>packs</w:t>
            </w:r>
          </w:p>
        </w:tc>
        <w:tc>
          <w:tcPr>
            <w:tcW w:w="850" w:type="dxa"/>
            <w:shd w:val="clear" w:color="auto" w:fill="BFBFBF" w:themeFill="background1" w:themeFillShade="BF"/>
          </w:tcPr>
          <w:p w14:paraId="0F1A79F7" w14:textId="53B6E1AD" w:rsidR="0093111F" w:rsidRPr="00A35800" w:rsidDel="00EE2BBB" w:rsidRDefault="0093111F" w:rsidP="00583830">
            <w:pPr>
              <w:pStyle w:val="Tableheading"/>
              <w:rPr>
                <w:sz w:val="20"/>
                <w:szCs w:val="20"/>
              </w:rPr>
            </w:pPr>
            <w:r w:rsidRPr="00A35800" w:rsidDel="00EE2BBB">
              <w:rPr>
                <w:sz w:val="20"/>
                <w:szCs w:val="20"/>
              </w:rPr>
              <w:t>Rpts</w:t>
            </w:r>
          </w:p>
        </w:tc>
        <w:tc>
          <w:tcPr>
            <w:tcW w:w="1040" w:type="dxa"/>
            <w:shd w:val="clear" w:color="auto" w:fill="BFBFBF" w:themeFill="background1" w:themeFillShade="BF"/>
          </w:tcPr>
          <w:p w14:paraId="05C5A0BF" w14:textId="2CFF9AC9" w:rsidR="0093111F" w:rsidRPr="00A35800" w:rsidDel="00EE2BBB" w:rsidRDefault="0093111F" w:rsidP="00A35800">
            <w:pPr>
              <w:pStyle w:val="Tableheading"/>
              <w:rPr>
                <w:sz w:val="20"/>
                <w:szCs w:val="20"/>
              </w:rPr>
            </w:pPr>
            <w:r w:rsidRPr="00A35800" w:rsidDel="00EE2BBB">
              <w:rPr>
                <w:sz w:val="20"/>
                <w:szCs w:val="20"/>
              </w:rPr>
              <w:t>DPMQ</w:t>
            </w:r>
          </w:p>
        </w:tc>
        <w:tc>
          <w:tcPr>
            <w:tcW w:w="2104"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93111F" w:rsidRPr="00A35800" w:rsidDel="00EE2BBB" w14:paraId="2AF9D84B" w14:textId="0D323411" w:rsidTr="00EB0351">
        <w:trPr>
          <w:trHeight w:val="552"/>
          <w:tblHeader/>
        </w:trPr>
        <w:tc>
          <w:tcPr>
            <w:tcW w:w="969" w:type="dxa"/>
            <w:shd w:val="clear" w:color="auto" w:fill="auto"/>
          </w:tcPr>
          <w:p w14:paraId="0A3E3442" w14:textId="3C03F345" w:rsidR="0093111F" w:rsidRPr="00A35800" w:rsidDel="00EE2BBB" w:rsidRDefault="000C0ACD" w:rsidP="00A35800">
            <w:pPr>
              <w:pStyle w:val="Tablewriting"/>
            </w:pPr>
            <w:r>
              <w:t>12301K</w:t>
            </w:r>
          </w:p>
        </w:tc>
        <w:tc>
          <w:tcPr>
            <w:tcW w:w="3137" w:type="dxa"/>
            <w:shd w:val="clear" w:color="auto" w:fill="auto"/>
          </w:tcPr>
          <w:p w14:paraId="0F676F51" w14:textId="6AFB32E3" w:rsidR="0093111F" w:rsidRPr="00A35800" w:rsidDel="00EE2BBB" w:rsidRDefault="002D03A1" w:rsidP="00A35800">
            <w:pPr>
              <w:pStyle w:val="Tablewriting"/>
            </w:pPr>
            <w:r>
              <w:t>romosozumab</w:t>
            </w:r>
            <w:r w:rsidR="00EB0351">
              <w:t xml:space="preserve"> </w:t>
            </w:r>
            <w:r w:rsidR="000C0ACD">
              <w:t xml:space="preserve">105 mg/1.17 mL injection 2 </w:t>
            </w:r>
            <w:r w:rsidR="000C0ACD">
              <w:rPr>
                <w:rFonts w:cstheme="minorHAnsi"/>
              </w:rPr>
              <w:t>×</w:t>
            </w:r>
            <w:r w:rsidR="000C0ACD">
              <w:t xml:space="preserve"> 1.17 mL syringes</w:t>
            </w:r>
          </w:p>
        </w:tc>
        <w:tc>
          <w:tcPr>
            <w:tcW w:w="964" w:type="dxa"/>
            <w:shd w:val="clear" w:color="auto" w:fill="auto"/>
          </w:tcPr>
          <w:p w14:paraId="0E2637C4" w14:textId="4E7EDF69" w:rsidR="0093111F" w:rsidRPr="00A35800" w:rsidDel="00EE2BBB" w:rsidRDefault="005B1800" w:rsidP="00583830">
            <w:pPr>
              <w:pStyle w:val="Tablewriting"/>
              <w:jc w:val="center"/>
            </w:pPr>
            <w:r>
              <w:t>1</w:t>
            </w:r>
          </w:p>
        </w:tc>
        <w:tc>
          <w:tcPr>
            <w:tcW w:w="850" w:type="dxa"/>
            <w:shd w:val="clear" w:color="auto" w:fill="auto"/>
          </w:tcPr>
          <w:p w14:paraId="6B361CAA" w14:textId="744DACE9" w:rsidR="0093111F" w:rsidRPr="00A35800" w:rsidDel="00EE2BBB" w:rsidRDefault="005B1800" w:rsidP="00583830">
            <w:pPr>
              <w:pStyle w:val="Tablewriting"/>
              <w:jc w:val="center"/>
            </w:pPr>
            <w:r>
              <w:t>5</w:t>
            </w:r>
          </w:p>
        </w:tc>
        <w:tc>
          <w:tcPr>
            <w:tcW w:w="1040" w:type="dxa"/>
            <w:shd w:val="clear" w:color="auto" w:fill="auto"/>
          </w:tcPr>
          <w:p w14:paraId="15F68405" w14:textId="2A533870" w:rsidR="0093111F" w:rsidRPr="00A35800" w:rsidDel="00EE2BBB" w:rsidRDefault="00EB0351" w:rsidP="00A35800">
            <w:pPr>
              <w:pStyle w:val="Tablewriting"/>
            </w:pPr>
            <w:r>
              <w:t>$405.66</w:t>
            </w:r>
          </w:p>
        </w:tc>
        <w:tc>
          <w:tcPr>
            <w:tcW w:w="2104" w:type="dxa"/>
            <w:shd w:val="clear" w:color="auto" w:fill="auto"/>
          </w:tcPr>
          <w:p w14:paraId="14E685F8" w14:textId="77777777" w:rsidR="00EB0351" w:rsidRDefault="00EB0351" w:rsidP="00A35800">
            <w:pPr>
              <w:pStyle w:val="Tablewriting"/>
            </w:pPr>
            <w:r>
              <w:t xml:space="preserve">Evenity® </w:t>
            </w:r>
          </w:p>
          <w:p w14:paraId="2D337AC6" w14:textId="2E0F4B8B" w:rsidR="00EB0351" w:rsidRPr="00A35800" w:rsidDel="00EE2BBB" w:rsidRDefault="00EB0351" w:rsidP="00A35800">
            <w:pPr>
              <w:pStyle w:val="Tablewriting"/>
            </w:pPr>
            <w:r>
              <w:t xml:space="preserve">Amgen Australia Pty Limited </w:t>
            </w:r>
          </w:p>
        </w:tc>
      </w:tr>
    </w:tbl>
    <w:p w14:paraId="1183F151" w14:textId="6099FBEA" w:rsidR="007247B9" w:rsidRDefault="007408C7" w:rsidP="00BB1D3B">
      <w:pPr>
        <w:pStyle w:val="Notes"/>
      </w:pPr>
      <w:r w:rsidRPr="00A35800" w:rsidDel="00EE2BBB">
        <w:t xml:space="preserve">Source: </w:t>
      </w:r>
      <w:r w:rsidR="001624D7" w:rsidDel="00EE2BBB">
        <w:t xml:space="preserve">the </w:t>
      </w:r>
      <w:hyperlink r:id="rId14" w:history="1">
        <w:r w:rsidR="001624D7" w:rsidRPr="001624D7" w:rsidDel="00EE2BBB">
          <w:rPr>
            <w:rStyle w:val="Hyperlink"/>
          </w:rPr>
          <w:t>PBS website</w:t>
        </w:r>
      </w:hyperlink>
      <w:r w:rsidR="001624D7" w:rsidDel="00EE2BBB">
        <w:t>.</w:t>
      </w:r>
      <w:r w:rsidR="0080485E" w:rsidDel="00EE2BBB">
        <w:t xml:space="preserve"> </w:t>
      </w:r>
    </w:p>
    <w:p w14:paraId="67F8E3CC" w14:textId="3A64B1D5" w:rsidR="00142A5B" w:rsidRDefault="00142A5B" w:rsidP="00BB1D3B">
      <w:pPr>
        <w:pStyle w:val="Notes"/>
      </w:pPr>
      <w:r>
        <w:t xml:space="preserve">Notes: </w:t>
      </w:r>
    </w:p>
    <w:p w14:paraId="5BDA5C77" w14:textId="6FEA32D8" w:rsidR="00142A5B" w:rsidRDefault="00142A5B" w:rsidP="00142A5B">
      <w:pPr>
        <w:pStyle w:val="Notes"/>
        <w:numPr>
          <w:ilvl w:val="0"/>
          <w:numId w:val="25"/>
        </w:numPr>
      </w:pPr>
      <w:r>
        <w:lastRenderedPageBreak/>
        <w:t xml:space="preserve">No increase in the maximum quantity or number of units may be authorised. </w:t>
      </w:r>
    </w:p>
    <w:p w14:paraId="49D70670" w14:textId="4BECF71C" w:rsidR="00142A5B" w:rsidRDefault="00142A5B" w:rsidP="00142A5B">
      <w:pPr>
        <w:pStyle w:val="Notes"/>
        <w:numPr>
          <w:ilvl w:val="0"/>
          <w:numId w:val="25"/>
        </w:numPr>
      </w:pPr>
      <w:r>
        <w:t xml:space="preserve">No increase in the maximum number of repeats may be authorised. </w:t>
      </w:r>
    </w:p>
    <w:p w14:paraId="4E9DE4B6" w14:textId="6FCC3BB5" w:rsidR="00142A5B" w:rsidRDefault="00142A5B" w:rsidP="00142A5B">
      <w:pPr>
        <w:pStyle w:val="Notes"/>
        <w:numPr>
          <w:ilvl w:val="0"/>
          <w:numId w:val="25"/>
        </w:numPr>
      </w:pPr>
      <w:r>
        <w:t xml:space="preserve">Special Pricing Arrangements apply. </w:t>
      </w:r>
    </w:p>
    <w:p w14:paraId="409C89D4" w14:textId="77777777" w:rsidR="004D742B" w:rsidRDefault="004D742B" w:rsidP="00BB1D3B">
      <w:pPr>
        <w:pStyle w:val="Notes"/>
      </w:pPr>
    </w:p>
    <w:p w14:paraId="1AFA1485" w14:textId="3186A599" w:rsidR="004C3186" w:rsidDel="00EE2BBB" w:rsidRDefault="004C3186" w:rsidP="00CF5E22">
      <w:pPr>
        <w:pStyle w:val="Heading3"/>
      </w:pPr>
      <w:r w:rsidDel="00EE2BBB">
        <w:t>Restriction</w:t>
      </w:r>
    </w:p>
    <w:p w14:paraId="503ED5BD" w14:textId="370B61EB" w:rsidR="00255987" w:rsidRPr="00255987" w:rsidRDefault="00255987" w:rsidP="00255987">
      <w:r>
        <w:t>Romosozumab is an Authority Required listing for s</w:t>
      </w:r>
      <w:r w:rsidRPr="00255987">
        <w:t>evere established osteoporosis</w:t>
      </w:r>
      <w:r>
        <w:t xml:space="preserve">. </w:t>
      </w:r>
    </w:p>
    <w:p w14:paraId="159A8E1A" w14:textId="77777777" w:rsidR="00255987" w:rsidRPr="00255987" w:rsidRDefault="00255987" w:rsidP="00255987">
      <w:r w:rsidRPr="00E61A23">
        <w:rPr>
          <w:b/>
          <w:bCs/>
        </w:rPr>
        <w:t>Treatment Phase:</w:t>
      </w:r>
      <w:r w:rsidRPr="00255987">
        <w:t xml:space="preserve"> Initial treatment</w:t>
      </w:r>
    </w:p>
    <w:p w14:paraId="654A3823" w14:textId="77777777" w:rsidR="00255987" w:rsidRPr="00255987" w:rsidRDefault="00255987" w:rsidP="00255987">
      <w:r w:rsidRPr="00255987">
        <w:rPr>
          <w:b/>
          <w:bCs/>
        </w:rPr>
        <w:t>Clinical criteria:</w:t>
      </w:r>
    </w:p>
    <w:p w14:paraId="3BA080B9" w14:textId="7DB3DD5F" w:rsidR="00255987" w:rsidRPr="00E61A23" w:rsidRDefault="00255987" w:rsidP="00255987">
      <w:pPr>
        <w:numPr>
          <w:ilvl w:val="0"/>
          <w:numId w:val="26"/>
        </w:numPr>
      </w:pPr>
      <w:r w:rsidRPr="00255987">
        <w:t>Patient must be at very high risk of fracture,</w:t>
      </w:r>
      <w:r>
        <w:t xml:space="preserve"> </w:t>
      </w:r>
      <w:r w:rsidRPr="00E61A23">
        <w:t>AND</w:t>
      </w:r>
    </w:p>
    <w:p w14:paraId="4D8D0BC1" w14:textId="6E9D3B0E" w:rsidR="00255987" w:rsidRPr="00E61A23" w:rsidRDefault="00255987" w:rsidP="00255987">
      <w:pPr>
        <w:numPr>
          <w:ilvl w:val="0"/>
          <w:numId w:val="27"/>
        </w:numPr>
      </w:pPr>
      <w:r w:rsidRPr="00E61A23">
        <w:t>Patient must have a bone mineral density (BMD) T-score of -3.0 or less, AND</w:t>
      </w:r>
    </w:p>
    <w:p w14:paraId="69C5B04A" w14:textId="2110DF73" w:rsidR="00255987" w:rsidRPr="00E61A23" w:rsidRDefault="00255987" w:rsidP="00255987">
      <w:pPr>
        <w:numPr>
          <w:ilvl w:val="0"/>
          <w:numId w:val="28"/>
        </w:numPr>
      </w:pPr>
      <w:r w:rsidRPr="00E61A23">
        <w:t>Patient must have had 2 or more fractures due to minimal trauma, AND</w:t>
      </w:r>
    </w:p>
    <w:p w14:paraId="51F7CFFA" w14:textId="32191B25" w:rsidR="00255987" w:rsidRPr="00E61A23" w:rsidRDefault="00255987" w:rsidP="00255987">
      <w:pPr>
        <w:numPr>
          <w:ilvl w:val="0"/>
          <w:numId w:val="29"/>
        </w:numPr>
      </w:pPr>
      <w:r w:rsidRPr="00E61A23">
        <w:t>Patient must have experienced at least 1 symptomatic new fracture after at least 12 months continuous therapy with an anti-resorptive agent at adequate doses, AND</w:t>
      </w:r>
    </w:p>
    <w:p w14:paraId="38665164" w14:textId="3372027A" w:rsidR="00255987" w:rsidRPr="00E61A23" w:rsidRDefault="00255987" w:rsidP="00255987">
      <w:pPr>
        <w:numPr>
          <w:ilvl w:val="0"/>
          <w:numId w:val="30"/>
        </w:numPr>
      </w:pPr>
      <w:r w:rsidRPr="00E61A23">
        <w:t>The treatment must be the sole PBS-subsidised therapy for this condition, AND</w:t>
      </w:r>
    </w:p>
    <w:p w14:paraId="547038D0" w14:textId="2EDBFEE9" w:rsidR="00255987" w:rsidRPr="00E61A23" w:rsidRDefault="00255987" w:rsidP="00255987">
      <w:pPr>
        <w:numPr>
          <w:ilvl w:val="0"/>
          <w:numId w:val="31"/>
        </w:numPr>
      </w:pPr>
      <w:r w:rsidRPr="00E61A23">
        <w:t>The treatment must not exceed a lifetime maximum of 12 months therapy, AND</w:t>
      </w:r>
    </w:p>
    <w:p w14:paraId="70406A70" w14:textId="77777777" w:rsidR="00255987" w:rsidRPr="00255987" w:rsidRDefault="00255987" w:rsidP="00255987">
      <w:pPr>
        <w:numPr>
          <w:ilvl w:val="0"/>
          <w:numId w:val="32"/>
        </w:numPr>
      </w:pPr>
      <w:r w:rsidRPr="00255987">
        <w:t>Patient must not have received treatment with PBS-subsidised teriparatide; OR</w:t>
      </w:r>
    </w:p>
    <w:p w14:paraId="72403396" w14:textId="77777777" w:rsidR="00255987" w:rsidRPr="00255987" w:rsidRDefault="00255987" w:rsidP="00255987">
      <w:pPr>
        <w:numPr>
          <w:ilvl w:val="0"/>
          <w:numId w:val="32"/>
        </w:numPr>
      </w:pPr>
      <w:r w:rsidRPr="00255987">
        <w:t>Patient must have developed intolerance to teriparatide of a severity necessitating permanent treatment withdrawal within the first 6 months of therapy.</w:t>
      </w:r>
    </w:p>
    <w:p w14:paraId="5E2B09F7" w14:textId="4900937B" w:rsidR="00255987" w:rsidRPr="00255987" w:rsidRDefault="00255987" w:rsidP="00E61A23">
      <w:r w:rsidRPr="00255987">
        <w:rPr>
          <w:b/>
          <w:bCs/>
        </w:rPr>
        <w:t>Treatment criteria:</w:t>
      </w:r>
      <w:r w:rsidR="00E61A23">
        <w:t xml:space="preserve"> </w:t>
      </w:r>
      <w:r w:rsidRPr="00255987">
        <w:t>Must be treated by a consultant physician.</w:t>
      </w:r>
    </w:p>
    <w:p w14:paraId="342A42DD" w14:textId="77777777" w:rsidR="00255987" w:rsidRPr="00255987" w:rsidRDefault="00255987" w:rsidP="00255987">
      <w:r w:rsidRPr="00255987">
        <w:t>A vertebral fracture is defined as a 20% or greater reduction in height of the anterior or mid portion of a vertebral body relative to the posterior height of that body, or, a 20% or greater reduction in any of these heights compared to the vertebral body above or below the affected vertebral body.</w:t>
      </w:r>
    </w:p>
    <w:p w14:paraId="5453F4F8" w14:textId="77777777" w:rsidR="00255987" w:rsidRPr="00255987" w:rsidRDefault="00255987" w:rsidP="00255987">
      <w:r w:rsidRPr="00255987">
        <w:t>If treatment with anti-resorptive therapy is contraindicated according to the relevant TGA-approved Product Information, details of the contraindication must be documented in the patient's medical record at the time treatment with this drug is initiated.</w:t>
      </w:r>
    </w:p>
    <w:p w14:paraId="33E9C262" w14:textId="77777777" w:rsidR="00255987" w:rsidRPr="00255987" w:rsidRDefault="00255987" w:rsidP="00255987">
      <w:r w:rsidRPr="00255987">
        <w:t>If an intolerance of a severity necessitating permanent treatment withdrawal develops during the relevant period of use of one anti-resorptive agent, alternate anti-resorptive agents must be trialled so that the patient achieves the minimum requirement of 12 months continuous therapy. Details must be documented in the patient's medical record at the time treatment with this drug is initiated.</w:t>
      </w:r>
    </w:p>
    <w:p w14:paraId="29D2FFD9" w14:textId="77777777" w:rsidR="00255987" w:rsidRPr="00255987" w:rsidRDefault="00255987" w:rsidP="00255987">
      <w:r w:rsidRPr="00255987">
        <w:t xml:space="preserve">Anti-resorptive therapies for osteoporosis and their adequate doses which will be accepted for the purposes of administering this restriction are alendronate sodium 10 mg per day or </w:t>
      </w:r>
      <w:r w:rsidRPr="00255987">
        <w:lastRenderedPageBreak/>
        <w:t>70 mg once weekly, risedronate sodium 5 mg per day or 35 mg once weekly or 150 mg once monthly, raloxifene hydrochloride 60 mg per day (women only), denosumab 60 mg once every 6 months and zoledronic acid 5 mg per annum.</w:t>
      </w:r>
    </w:p>
    <w:p w14:paraId="0938CEF5" w14:textId="11167DCE" w:rsidR="00255987" w:rsidRDefault="00255987" w:rsidP="00255987">
      <w:r w:rsidRPr="00255987">
        <w:t>Details of prior anti-resorptive therapy, fracture history including the date(s), site(s), the symptoms associated with the fracture(s) which developed after at least 12 months continuous anti-resorptive therapy and the score of the qualifying BMD measurement must be provided at the time of application.</w:t>
      </w:r>
    </w:p>
    <w:p w14:paraId="2C74333E" w14:textId="77777777" w:rsidR="00255987" w:rsidRPr="00255987" w:rsidRDefault="00255987" w:rsidP="00255987">
      <w:r w:rsidRPr="00E61A23">
        <w:rPr>
          <w:b/>
          <w:bCs/>
        </w:rPr>
        <w:t>Treatment Phase:</w:t>
      </w:r>
      <w:r w:rsidRPr="00255987">
        <w:t xml:space="preserve"> Continuing treatment</w:t>
      </w:r>
    </w:p>
    <w:p w14:paraId="00DE951D" w14:textId="77777777" w:rsidR="00255987" w:rsidRPr="00255987" w:rsidRDefault="00255987" w:rsidP="00255987">
      <w:r w:rsidRPr="00255987">
        <w:rPr>
          <w:b/>
          <w:bCs/>
        </w:rPr>
        <w:t>Clinical criteria:</w:t>
      </w:r>
    </w:p>
    <w:p w14:paraId="24DEE85F" w14:textId="01D5EB6B" w:rsidR="00255987" w:rsidRPr="00255987" w:rsidRDefault="00255987" w:rsidP="00255987">
      <w:pPr>
        <w:numPr>
          <w:ilvl w:val="0"/>
          <w:numId w:val="34"/>
        </w:numPr>
      </w:pPr>
      <w:r w:rsidRPr="00255987">
        <w:t>Patient must have previously received PBS-subsidised treatment with this drug for this condition,</w:t>
      </w:r>
      <w:r w:rsidR="00E61A23">
        <w:t xml:space="preserve"> </w:t>
      </w:r>
      <w:r w:rsidRPr="00E61A23">
        <w:rPr>
          <w:b/>
          <w:bCs/>
        </w:rPr>
        <w:t>AND</w:t>
      </w:r>
    </w:p>
    <w:p w14:paraId="16853BBD" w14:textId="77777777" w:rsidR="00255987" w:rsidRPr="00255987" w:rsidRDefault="00255987" w:rsidP="00255987">
      <w:pPr>
        <w:numPr>
          <w:ilvl w:val="0"/>
          <w:numId w:val="35"/>
        </w:numPr>
      </w:pPr>
      <w:r w:rsidRPr="00255987">
        <w:t>The treatment must not exceed a lifetime maximum of 12 months therapy.</w:t>
      </w:r>
    </w:p>
    <w:p w14:paraId="1F46FA0E" w14:textId="1DEED85E" w:rsidR="00255987" w:rsidRPr="00255987" w:rsidRDefault="00255987" w:rsidP="00E61A23">
      <w:r w:rsidRPr="00255987">
        <w:rPr>
          <w:b/>
          <w:bCs/>
        </w:rPr>
        <w:t>Treatment criteria:</w:t>
      </w:r>
      <w:r w:rsidR="00E61A23">
        <w:t xml:space="preserve"> </w:t>
      </w:r>
      <w:r w:rsidRPr="00255987">
        <w:t>Must be treated by a medical practitioner identifying as either: (i) a consultant physician, (ii) a general practitioner.</w:t>
      </w:r>
    </w:p>
    <w:p w14:paraId="06722B17" w14:textId="1C66DFE0" w:rsidR="00386A8F" w:rsidRDefault="001F21D9" w:rsidP="00EE0C4A">
      <w:r>
        <w:t xml:space="preserve">An overview of the PBS restrictions for </w:t>
      </w:r>
      <w:r w:rsidR="00BB08E7">
        <w:t xml:space="preserve">the other </w:t>
      </w:r>
      <w:r w:rsidR="002B75B1">
        <w:t xml:space="preserve">osteoporosis medicines </w:t>
      </w:r>
      <w:r w:rsidR="00BB08E7">
        <w:t xml:space="preserve">considered in this review are shown below in Table 3. </w:t>
      </w:r>
      <w:r w:rsidR="00AF15C1">
        <w:t>Like</w:t>
      </w:r>
      <w:r w:rsidR="008D7B22" w:rsidRPr="008D7B22">
        <w:t xml:space="preserve"> romosozumab, </w:t>
      </w:r>
      <w:r w:rsidR="008D7B22">
        <w:t>t</w:t>
      </w:r>
      <w:r w:rsidR="008D7B22" w:rsidRPr="008D7B22">
        <w:t xml:space="preserve">eriparatide </w:t>
      </w:r>
      <w:r w:rsidR="008D7B22">
        <w:t>is</w:t>
      </w:r>
      <w:r w:rsidR="008D7B22" w:rsidRPr="008D7B22">
        <w:t xml:space="preserve"> only listed for severe osteoporosis: two or more fractures due to minimal trauma</w:t>
      </w:r>
      <w:r w:rsidR="00AF15C1">
        <w:t xml:space="preserve">, </w:t>
      </w:r>
      <w:r w:rsidR="00AF15C1">
        <w:rPr>
          <w:rFonts w:cstheme="minorHAnsi"/>
        </w:rPr>
        <w:t>≤</w:t>
      </w:r>
      <w:r w:rsidR="008D7B22" w:rsidRPr="008D7B22">
        <w:t xml:space="preserve"> </w:t>
      </w:r>
      <w:r w:rsidR="00BF3134">
        <w:t xml:space="preserve">-3.0 </w:t>
      </w:r>
      <w:r w:rsidR="008D7B22" w:rsidRPr="008D7B22">
        <w:t>BMD T-score</w:t>
      </w:r>
      <w:r w:rsidR="00BF3134">
        <w:t xml:space="preserve"> and</w:t>
      </w:r>
      <w:r w:rsidR="00AF15C1">
        <w:t xml:space="preserve"> </w:t>
      </w:r>
      <w:r w:rsidR="008D7B22" w:rsidRPr="008D7B22">
        <w:t>at least one symptomatic new fracture after at least 12 months continuous therapy with an anti-resorptive agent at adequate doses</w:t>
      </w:r>
      <w:r w:rsidR="008D7B22">
        <w:t xml:space="preserve">. </w:t>
      </w:r>
    </w:p>
    <w:p w14:paraId="56C6C989" w14:textId="0AAAE724" w:rsidR="0033294A" w:rsidRDefault="0033294A" w:rsidP="0033294A">
      <w:pPr>
        <w:pStyle w:val="Tabletitle"/>
      </w:pPr>
      <w:r w:rsidRPr="001420B3" w:rsidDel="00EE2BBB">
        <w:t xml:space="preserve">Table </w:t>
      </w:r>
      <w:r w:rsidR="00386A8F">
        <w:t>4</w:t>
      </w:r>
      <w:r w:rsidRPr="001420B3" w:rsidDel="00EE2BBB">
        <w:t xml:space="preserve">: </w:t>
      </w:r>
      <w:r>
        <w:t xml:space="preserve">Summarised </w:t>
      </w:r>
      <w:r w:rsidDel="00EE2BBB">
        <w:t xml:space="preserve">PBS </w:t>
      </w:r>
      <w:r>
        <w:t xml:space="preserve">restrictions as at </w:t>
      </w:r>
      <w:r w:rsidR="004848E3">
        <w:t>October</w:t>
      </w:r>
      <w:r w:rsidR="00223B8C">
        <w:t xml:space="preserve"> 2023</w:t>
      </w:r>
    </w:p>
    <w:tbl>
      <w:tblPr>
        <w:tblW w:w="0" w:type="auto"/>
        <w:tblInd w:w="93" w:type="dxa"/>
        <w:tblLayout w:type="fixed"/>
        <w:tblLook w:val="04A0" w:firstRow="1" w:lastRow="0" w:firstColumn="1" w:lastColumn="0" w:noHBand="0" w:noVBand="1"/>
      </w:tblPr>
      <w:tblGrid>
        <w:gridCol w:w="1600"/>
        <w:gridCol w:w="1450"/>
        <w:gridCol w:w="1451"/>
        <w:gridCol w:w="1451"/>
        <w:gridCol w:w="1451"/>
        <w:gridCol w:w="1451"/>
      </w:tblGrid>
      <w:tr w:rsidR="0033294A" w14:paraId="73DFB97F" w14:textId="77777777" w:rsidTr="006648E1">
        <w:trPr>
          <w:trHeight w:val="567"/>
        </w:trPr>
        <w:tc>
          <w:tcPr>
            <w:tcW w:w="1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32E7BF7" w14:textId="2AA60581" w:rsidR="0033294A" w:rsidRPr="00CB16AC" w:rsidRDefault="006648E1" w:rsidP="004D7078">
            <w:pPr>
              <w:pStyle w:val="Tablewriting"/>
              <w:spacing w:line="276" w:lineRule="auto"/>
              <w:rPr>
                <w:b/>
                <w:lang w:val="en-US" w:eastAsia="en-US"/>
              </w:rPr>
            </w:pPr>
            <w:r>
              <w:rPr>
                <w:b/>
                <w:lang w:val="en-US" w:eastAsia="en-US"/>
              </w:rPr>
              <w:t>Drug</w:t>
            </w:r>
          </w:p>
        </w:tc>
        <w:tc>
          <w:tcPr>
            <w:tcW w:w="145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567B7C" w14:textId="77777777" w:rsidR="0033294A" w:rsidRPr="00CB16AC" w:rsidRDefault="0033294A" w:rsidP="004D7078">
            <w:pPr>
              <w:pStyle w:val="Tablewriting"/>
              <w:spacing w:line="276" w:lineRule="auto"/>
              <w:jc w:val="center"/>
              <w:rPr>
                <w:b/>
                <w:lang w:val="en-US" w:eastAsia="en-US"/>
              </w:rPr>
            </w:pPr>
            <w:r w:rsidRPr="00CB16AC">
              <w:rPr>
                <w:b/>
                <w:lang w:val="en-US" w:eastAsia="en-US"/>
              </w:rPr>
              <w:t>Minimal trauma</w:t>
            </w:r>
          </w:p>
        </w:tc>
        <w:tc>
          <w:tcPr>
            <w:tcW w:w="14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5CC2C33" w14:textId="77777777" w:rsidR="0033294A" w:rsidRPr="00CB16AC" w:rsidRDefault="0033294A" w:rsidP="004D7078">
            <w:pPr>
              <w:pStyle w:val="Tablewriting"/>
              <w:spacing w:line="276" w:lineRule="auto"/>
              <w:jc w:val="center"/>
              <w:rPr>
                <w:b/>
                <w:lang w:val="en-US" w:eastAsia="en-US"/>
              </w:rPr>
            </w:pPr>
            <w:r w:rsidRPr="00CB16AC">
              <w:rPr>
                <w:b/>
                <w:lang w:val="en-US" w:eastAsia="en-US"/>
              </w:rPr>
              <w:t>BMD -3.0 or less</w:t>
            </w:r>
          </w:p>
        </w:tc>
        <w:tc>
          <w:tcPr>
            <w:tcW w:w="14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4C8666F" w14:textId="77777777" w:rsidR="0033294A" w:rsidRPr="00CB16AC" w:rsidRDefault="0033294A" w:rsidP="004D7078">
            <w:pPr>
              <w:pStyle w:val="Tablewriting"/>
              <w:spacing w:line="276" w:lineRule="auto"/>
              <w:jc w:val="center"/>
              <w:rPr>
                <w:b/>
                <w:lang w:val="en-US" w:eastAsia="en-US"/>
              </w:rPr>
            </w:pPr>
            <w:r w:rsidRPr="00CB16AC">
              <w:rPr>
                <w:b/>
                <w:lang w:val="en-US" w:eastAsia="en-US"/>
              </w:rPr>
              <w:t>BMD -2.5 or less</w:t>
            </w:r>
          </w:p>
        </w:tc>
        <w:tc>
          <w:tcPr>
            <w:tcW w:w="14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70E9C39" w14:textId="77777777" w:rsidR="0033294A" w:rsidRPr="00CB16AC" w:rsidRDefault="0033294A" w:rsidP="004D7078">
            <w:pPr>
              <w:pStyle w:val="Tablewriting"/>
              <w:spacing w:line="276" w:lineRule="auto"/>
              <w:jc w:val="center"/>
              <w:rPr>
                <w:b/>
                <w:lang w:val="en-US" w:eastAsia="en-US"/>
              </w:rPr>
            </w:pPr>
            <w:r w:rsidRPr="00CB16AC">
              <w:rPr>
                <w:b/>
                <w:lang w:val="en-US" w:eastAsia="en-US"/>
              </w:rPr>
              <w:t>Corticosteroid-induced</w:t>
            </w:r>
          </w:p>
        </w:tc>
        <w:tc>
          <w:tcPr>
            <w:tcW w:w="14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8BFFC2" w14:textId="77777777" w:rsidR="0033294A" w:rsidRPr="00CB16AC" w:rsidRDefault="0033294A" w:rsidP="004D7078">
            <w:pPr>
              <w:pStyle w:val="Tablewriting"/>
              <w:spacing w:line="276" w:lineRule="auto"/>
              <w:jc w:val="center"/>
              <w:rPr>
                <w:b/>
                <w:lang w:val="en-US" w:eastAsia="en-US"/>
              </w:rPr>
            </w:pPr>
            <w:r w:rsidRPr="00CB16AC">
              <w:rPr>
                <w:b/>
                <w:lang w:val="en-US" w:eastAsia="en-US"/>
              </w:rPr>
              <w:t>Men</w:t>
            </w:r>
          </w:p>
        </w:tc>
      </w:tr>
      <w:tr w:rsidR="0033294A" w14:paraId="4C09FCF9" w14:textId="77777777" w:rsidTr="006648E1">
        <w:trPr>
          <w:trHeight w:val="570"/>
        </w:trPr>
        <w:tc>
          <w:tcPr>
            <w:tcW w:w="1600" w:type="dxa"/>
            <w:tcBorders>
              <w:top w:val="nil"/>
              <w:left w:val="single" w:sz="4" w:space="0" w:color="auto"/>
              <w:bottom w:val="single" w:sz="4" w:space="0" w:color="auto"/>
              <w:right w:val="single" w:sz="4" w:space="0" w:color="auto"/>
            </w:tcBorders>
            <w:vAlign w:val="center"/>
            <w:hideMark/>
          </w:tcPr>
          <w:p w14:paraId="68DC3F6F" w14:textId="77777777" w:rsidR="0033294A" w:rsidRPr="008153DD" w:rsidRDefault="0033294A" w:rsidP="004D7078">
            <w:pPr>
              <w:pStyle w:val="Tablewriting"/>
              <w:spacing w:line="276" w:lineRule="auto"/>
              <w:rPr>
                <w:lang w:eastAsia="en-US"/>
              </w:rPr>
            </w:pPr>
            <w:r w:rsidRPr="008153DD">
              <w:rPr>
                <w:lang w:eastAsia="en-US"/>
              </w:rPr>
              <w:t>Alendronate and combinations</w:t>
            </w:r>
          </w:p>
        </w:tc>
        <w:tc>
          <w:tcPr>
            <w:tcW w:w="1450" w:type="dxa"/>
            <w:tcBorders>
              <w:top w:val="nil"/>
              <w:left w:val="nil"/>
              <w:bottom w:val="single" w:sz="4" w:space="0" w:color="auto"/>
              <w:right w:val="single" w:sz="4" w:space="0" w:color="auto"/>
            </w:tcBorders>
            <w:noWrap/>
            <w:vAlign w:val="center"/>
            <w:hideMark/>
          </w:tcPr>
          <w:p w14:paraId="647A80BB"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4AA965FE"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5FBA95DE"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14144243"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683ECB4B"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r>
      <w:tr w:rsidR="0033294A" w14:paraId="5D99FA2C" w14:textId="77777777" w:rsidTr="006648E1">
        <w:trPr>
          <w:trHeight w:val="300"/>
        </w:trPr>
        <w:tc>
          <w:tcPr>
            <w:tcW w:w="1600" w:type="dxa"/>
            <w:tcBorders>
              <w:top w:val="nil"/>
              <w:left w:val="single" w:sz="4" w:space="0" w:color="auto"/>
              <w:bottom w:val="single" w:sz="4" w:space="0" w:color="auto"/>
              <w:right w:val="single" w:sz="4" w:space="0" w:color="auto"/>
            </w:tcBorders>
            <w:vAlign w:val="center"/>
            <w:hideMark/>
          </w:tcPr>
          <w:p w14:paraId="363AB88B" w14:textId="77777777" w:rsidR="0033294A" w:rsidRPr="008153DD" w:rsidRDefault="0033294A" w:rsidP="004D7078">
            <w:pPr>
              <w:pStyle w:val="Tablewriting"/>
              <w:spacing w:line="276" w:lineRule="auto"/>
              <w:rPr>
                <w:lang w:eastAsia="en-US"/>
              </w:rPr>
            </w:pPr>
            <w:r w:rsidRPr="008153DD">
              <w:rPr>
                <w:lang w:eastAsia="en-US"/>
              </w:rPr>
              <w:t>Calcitriol</w:t>
            </w:r>
          </w:p>
        </w:tc>
        <w:tc>
          <w:tcPr>
            <w:tcW w:w="1450" w:type="dxa"/>
            <w:tcBorders>
              <w:top w:val="nil"/>
              <w:left w:val="nil"/>
              <w:bottom w:val="single" w:sz="4" w:space="0" w:color="auto"/>
              <w:right w:val="single" w:sz="4" w:space="0" w:color="auto"/>
            </w:tcBorders>
            <w:noWrap/>
            <w:vAlign w:val="center"/>
            <w:hideMark/>
          </w:tcPr>
          <w:p w14:paraId="05C68F68"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2D783344"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7753912A"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5BF4F3D0"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5F3A60A1"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r>
      <w:tr w:rsidR="0033294A" w14:paraId="4A36C55A" w14:textId="77777777" w:rsidTr="006648E1">
        <w:trPr>
          <w:trHeight w:val="300"/>
        </w:trPr>
        <w:tc>
          <w:tcPr>
            <w:tcW w:w="1600" w:type="dxa"/>
            <w:tcBorders>
              <w:top w:val="nil"/>
              <w:left w:val="single" w:sz="4" w:space="0" w:color="auto"/>
              <w:bottom w:val="single" w:sz="4" w:space="0" w:color="auto"/>
              <w:right w:val="single" w:sz="4" w:space="0" w:color="auto"/>
            </w:tcBorders>
            <w:vAlign w:val="center"/>
            <w:hideMark/>
          </w:tcPr>
          <w:p w14:paraId="771F4339" w14:textId="77777777" w:rsidR="0033294A" w:rsidRPr="008153DD" w:rsidRDefault="0033294A" w:rsidP="004D7078">
            <w:pPr>
              <w:pStyle w:val="Tablewriting"/>
              <w:spacing w:line="276" w:lineRule="auto"/>
              <w:rPr>
                <w:lang w:eastAsia="en-US"/>
              </w:rPr>
            </w:pPr>
            <w:r w:rsidRPr="008153DD">
              <w:rPr>
                <w:lang w:eastAsia="en-US"/>
              </w:rPr>
              <w:t>Denosumab</w:t>
            </w:r>
          </w:p>
        </w:tc>
        <w:tc>
          <w:tcPr>
            <w:tcW w:w="1450" w:type="dxa"/>
            <w:tcBorders>
              <w:top w:val="nil"/>
              <w:left w:val="nil"/>
              <w:bottom w:val="single" w:sz="4" w:space="0" w:color="auto"/>
              <w:right w:val="single" w:sz="4" w:space="0" w:color="auto"/>
            </w:tcBorders>
            <w:noWrap/>
            <w:vAlign w:val="center"/>
            <w:hideMark/>
          </w:tcPr>
          <w:p w14:paraId="0562C85D"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39AD4591"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4752A4D7"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488AABCA"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0AED3C81"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r>
      <w:tr w:rsidR="0033294A" w14:paraId="523D18AA" w14:textId="77777777" w:rsidTr="006648E1">
        <w:trPr>
          <w:trHeight w:val="300"/>
        </w:trPr>
        <w:tc>
          <w:tcPr>
            <w:tcW w:w="1600" w:type="dxa"/>
            <w:tcBorders>
              <w:top w:val="nil"/>
              <w:left w:val="single" w:sz="4" w:space="0" w:color="auto"/>
              <w:bottom w:val="single" w:sz="4" w:space="0" w:color="auto"/>
              <w:right w:val="single" w:sz="4" w:space="0" w:color="auto"/>
            </w:tcBorders>
            <w:vAlign w:val="center"/>
            <w:hideMark/>
          </w:tcPr>
          <w:p w14:paraId="323DF925" w14:textId="77777777" w:rsidR="0033294A" w:rsidRPr="008153DD" w:rsidRDefault="0033294A" w:rsidP="004D7078">
            <w:pPr>
              <w:pStyle w:val="Tablewriting"/>
              <w:spacing w:line="276" w:lineRule="auto"/>
              <w:rPr>
                <w:lang w:eastAsia="en-US"/>
              </w:rPr>
            </w:pPr>
            <w:r w:rsidRPr="008153DD">
              <w:rPr>
                <w:lang w:eastAsia="en-US"/>
              </w:rPr>
              <w:t>Raloxifene</w:t>
            </w:r>
          </w:p>
        </w:tc>
        <w:tc>
          <w:tcPr>
            <w:tcW w:w="1450" w:type="dxa"/>
            <w:tcBorders>
              <w:top w:val="nil"/>
              <w:left w:val="nil"/>
              <w:bottom w:val="single" w:sz="4" w:space="0" w:color="auto"/>
              <w:right w:val="single" w:sz="4" w:space="0" w:color="auto"/>
            </w:tcBorders>
            <w:noWrap/>
            <w:vAlign w:val="center"/>
            <w:hideMark/>
          </w:tcPr>
          <w:p w14:paraId="0E8BC60E"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2339B0C0"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773E68EC"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304C2843"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74B155FF"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r>
      <w:tr w:rsidR="0033294A" w14:paraId="7DA46981" w14:textId="77777777" w:rsidTr="006648E1">
        <w:trPr>
          <w:trHeight w:val="570"/>
        </w:trPr>
        <w:tc>
          <w:tcPr>
            <w:tcW w:w="1600" w:type="dxa"/>
            <w:tcBorders>
              <w:top w:val="nil"/>
              <w:left w:val="single" w:sz="4" w:space="0" w:color="auto"/>
              <w:bottom w:val="single" w:sz="4" w:space="0" w:color="auto"/>
              <w:right w:val="single" w:sz="4" w:space="0" w:color="auto"/>
            </w:tcBorders>
            <w:vAlign w:val="center"/>
            <w:hideMark/>
          </w:tcPr>
          <w:p w14:paraId="0CE80382" w14:textId="77777777" w:rsidR="0033294A" w:rsidRPr="008153DD" w:rsidRDefault="0033294A" w:rsidP="004D7078">
            <w:pPr>
              <w:pStyle w:val="Tablewriting"/>
              <w:spacing w:line="276" w:lineRule="auto"/>
              <w:rPr>
                <w:lang w:eastAsia="en-US"/>
              </w:rPr>
            </w:pPr>
            <w:r w:rsidRPr="008153DD">
              <w:rPr>
                <w:lang w:eastAsia="en-US"/>
              </w:rPr>
              <w:t>Risedronate and combinations</w:t>
            </w:r>
          </w:p>
        </w:tc>
        <w:tc>
          <w:tcPr>
            <w:tcW w:w="1450" w:type="dxa"/>
            <w:tcBorders>
              <w:top w:val="nil"/>
              <w:left w:val="nil"/>
              <w:bottom w:val="single" w:sz="4" w:space="0" w:color="auto"/>
              <w:right w:val="single" w:sz="4" w:space="0" w:color="auto"/>
            </w:tcBorders>
            <w:noWrap/>
            <w:vAlign w:val="center"/>
            <w:hideMark/>
          </w:tcPr>
          <w:p w14:paraId="3BDB4C39"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6707F0CF"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36AE27B1"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523579C1"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688CD3C0"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r>
      <w:tr w:rsidR="0033294A" w14:paraId="10ECF578" w14:textId="77777777" w:rsidTr="006648E1">
        <w:trPr>
          <w:trHeight w:val="300"/>
        </w:trPr>
        <w:tc>
          <w:tcPr>
            <w:tcW w:w="1600" w:type="dxa"/>
            <w:tcBorders>
              <w:top w:val="nil"/>
              <w:left w:val="single" w:sz="4" w:space="0" w:color="auto"/>
              <w:bottom w:val="single" w:sz="4" w:space="0" w:color="auto"/>
              <w:right w:val="single" w:sz="4" w:space="0" w:color="auto"/>
            </w:tcBorders>
            <w:vAlign w:val="center"/>
            <w:hideMark/>
          </w:tcPr>
          <w:p w14:paraId="24BBB171" w14:textId="77777777" w:rsidR="0033294A" w:rsidRPr="008153DD" w:rsidRDefault="0033294A" w:rsidP="004D7078">
            <w:pPr>
              <w:pStyle w:val="Tablewriting"/>
              <w:spacing w:line="276" w:lineRule="auto"/>
              <w:rPr>
                <w:lang w:eastAsia="en-US"/>
              </w:rPr>
            </w:pPr>
            <w:r w:rsidRPr="008153DD">
              <w:rPr>
                <w:lang w:eastAsia="en-US"/>
              </w:rPr>
              <w:t>Zoledronic acid</w:t>
            </w:r>
          </w:p>
        </w:tc>
        <w:tc>
          <w:tcPr>
            <w:tcW w:w="1450" w:type="dxa"/>
            <w:tcBorders>
              <w:top w:val="nil"/>
              <w:left w:val="nil"/>
              <w:bottom w:val="single" w:sz="4" w:space="0" w:color="auto"/>
              <w:right w:val="single" w:sz="4" w:space="0" w:color="auto"/>
            </w:tcBorders>
            <w:noWrap/>
            <w:vAlign w:val="center"/>
            <w:hideMark/>
          </w:tcPr>
          <w:p w14:paraId="4F9300C2"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559101F8"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37056BB9"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66026FDF"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c>
          <w:tcPr>
            <w:tcW w:w="1451" w:type="dxa"/>
            <w:tcBorders>
              <w:top w:val="nil"/>
              <w:left w:val="nil"/>
              <w:bottom w:val="single" w:sz="4" w:space="0" w:color="auto"/>
              <w:right w:val="single" w:sz="4" w:space="0" w:color="auto"/>
            </w:tcBorders>
            <w:noWrap/>
            <w:vAlign w:val="center"/>
            <w:hideMark/>
          </w:tcPr>
          <w:p w14:paraId="068AABC9" w14:textId="77777777" w:rsidR="0033294A" w:rsidRPr="008153DD" w:rsidRDefault="0033294A" w:rsidP="004D7078">
            <w:pPr>
              <w:spacing w:before="60" w:after="60" w:line="276" w:lineRule="auto"/>
              <w:jc w:val="center"/>
              <w:rPr>
                <w:rFonts w:ascii="Wingdings" w:hAnsi="Wingdings" w:hint="eastAsia"/>
                <w:lang w:eastAsia="en-US"/>
              </w:rPr>
            </w:pPr>
            <w:r w:rsidRPr="008153DD">
              <w:rPr>
                <w:rFonts w:ascii="Wingdings" w:hAnsi="Wingdings"/>
                <w:lang w:eastAsia="en-US"/>
              </w:rPr>
              <w:t></w:t>
            </w:r>
          </w:p>
        </w:tc>
      </w:tr>
    </w:tbl>
    <w:p w14:paraId="22433632" w14:textId="60F70893" w:rsidR="006775F1" w:rsidRPr="006775F1" w:rsidDel="00EE2BBB" w:rsidRDefault="006775F1" w:rsidP="00A35800">
      <w:r w:rsidRPr="006775F1" w:rsidDel="00EE2BBB">
        <w:t xml:space="preserve">For </w:t>
      </w:r>
      <w:r w:rsidR="00835337" w:rsidDel="00EE2BBB">
        <w:t xml:space="preserve">details of the current PBS listing refer to the </w:t>
      </w:r>
      <w:hyperlink r:id="rId15" w:history="1">
        <w:r w:rsidR="00835337" w:rsidRPr="00645D51" w:rsidDel="00EE2BBB">
          <w:rPr>
            <w:rStyle w:val="Hyperlink"/>
          </w:rPr>
          <w:t>PBS website</w:t>
        </w:r>
      </w:hyperlink>
      <w:r w:rsidR="00835337" w:rsidDel="00EE2BBB">
        <w:rPr>
          <w:rStyle w:val="Hyperlink"/>
        </w:rPr>
        <w:t>.</w:t>
      </w:r>
    </w:p>
    <w:p w14:paraId="3465CB71" w14:textId="2BC0CAD6" w:rsidR="00D8608D" w:rsidRPr="00D8608D" w:rsidRDefault="009C35F2" w:rsidP="00EF3D16">
      <w:pPr>
        <w:pStyle w:val="Heading3"/>
      </w:pPr>
      <w:r w:rsidRPr="00675BB1" w:rsidDel="00EE2BBB">
        <w:t>Date of listing on PBS</w:t>
      </w:r>
    </w:p>
    <w:p w14:paraId="084FE2DB" w14:textId="77777777" w:rsidR="00D67B34" w:rsidRDefault="00D67B34" w:rsidP="00D67B34">
      <w:pPr>
        <w:pStyle w:val="ListParagraph"/>
        <w:numPr>
          <w:ilvl w:val="0"/>
          <w:numId w:val="4"/>
        </w:numPr>
        <w:rPr>
          <w:rFonts w:cstheme="minorHAnsi"/>
        </w:rPr>
      </w:pPr>
      <w:r w:rsidRPr="00D67B34">
        <w:rPr>
          <w:rFonts w:cstheme="minorHAnsi"/>
        </w:rPr>
        <w:t>Calcitriol: 1 December 1991</w:t>
      </w:r>
    </w:p>
    <w:p w14:paraId="4415E57E" w14:textId="77777777" w:rsidR="00D67B34" w:rsidRDefault="00D67B34" w:rsidP="00D67B34">
      <w:pPr>
        <w:pStyle w:val="ListParagraph"/>
        <w:numPr>
          <w:ilvl w:val="0"/>
          <w:numId w:val="4"/>
        </w:numPr>
        <w:rPr>
          <w:rFonts w:cstheme="minorHAnsi"/>
        </w:rPr>
      </w:pPr>
      <w:r w:rsidRPr="00D67B34">
        <w:rPr>
          <w:rFonts w:cstheme="minorHAnsi"/>
        </w:rPr>
        <w:t xml:space="preserve">Alendronate: 1 November 1996 </w:t>
      </w:r>
    </w:p>
    <w:p w14:paraId="48D71C95" w14:textId="77777777" w:rsidR="00D67B34" w:rsidRDefault="00D67B34" w:rsidP="00D67B34">
      <w:pPr>
        <w:pStyle w:val="ListParagraph"/>
        <w:numPr>
          <w:ilvl w:val="0"/>
          <w:numId w:val="4"/>
        </w:numPr>
        <w:rPr>
          <w:rFonts w:cstheme="minorHAnsi"/>
        </w:rPr>
      </w:pPr>
      <w:r w:rsidRPr="00D67B34">
        <w:rPr>
          <w:rFonts w:cstheme="minorHAnsi"/>
        </w:rPr>
        <w:t xml:space="preserve">Raloxifene: 1 November 1999 </w:t>
      </w:r>
    </w:p>
    <w:p w14:paraId="6E16C597" w14:textId="77777777" w:rsidR="00D67B34" w:rsidRDefault="00D67B34" w:rsidP="00D67B34">
      <w:pPr>
        <w:pStyle w:val="ListParagraph"/>
        <w:numPr>
          <w:ilvl w:val="0"/>
          <w:numId w:val="4"/>
        </w:numPr>
        <w:rPr>
          <w:rFonts w:cstheme="minorHAnsi"/>
        </w:rPr>
      </w:pPr>
      <w:r w:rsidRPr="00D67B34">
        <w:rPr>
          <w:rFonts w:cstheme="minorHAnsi"/>
        </w:rPr>
        <w:lastRenderedPageBreak/>
        <w:t xml:space="preserve">Risedronate: 1 February 2001 </w:t>
      </w:r>
    </w:p>
    <w:p w14:paraId="2A541F5D" w14:textId="7917533D" w:rsidR="00D67B34" w:rsidRDefault="00D67B34" w:rsidP="00D67B34">
      <w:pPr>
        <w:pStyle w:val="ListParagraph"/>
        <w:numPr>
          <w:ilvl w:val="0"/>
          <w:numId w:val="4"/>
        </w:numPr>
        <w:rPr>
          <w:rFonts w:cstheme="minorHAnsi"/>
        </w:rPr>
      </w:pPr>
      <w:r w:rsidRPr="00D67B34">
        <w:rPr>
          <w:rFonts w:cstheme="minorHAnsi"/>
        </w:rPr>
        <w:t xml:space="preserve">Risedronate and calcium carbonate: 1 April 2006 </w:t>
      </w:r>
      <w:r w:rsidR="00CA15CC">
        <w:rPr>
          <w:rFonts w:cstheme="minorHAnsi"/>
        </w:rPr>
        <w:t xml:space="preserve">(delisted </w:t>
      </w:r>
      <w:r w:rsidR="00D552F7">
        <w:rPr>
          <w:rFonts w:cstheme="minorHAnsi"/>
        </w:rPr>
        <w:t xml:space="preserve">1 June 2023) </w:t>
      </w:r>
    </w:p>
    <w:p w14:paraId="3AFC4BA6" w14:textId="77777777" w:rsidR="00D67B34" w:rsidRDefault="00D67B34" w:rsidP="00D67B34">
      <w:pPr>
        <w:pStyle w:val="ListParagraph"/>
        <w:numPr>
          <w:ilvl w:val="0"/>
          <w:numId w:val="4"/>
        </w:numPr>
        <w:rPr>
          <w:rFonts w:cstheme="minorHAnsi"/>
        </w:rPr>
      </w:pPr>
      <w:r w:rsidRPr="00D67B34">
        <w:rPr>
          <w:rFonts w:cstheme="minorHAnsi"/>
        </w:rPr>
        <w:t xml:space="preserve">Alendronate with colecalciferol: 1 August 2006 </w:t>
      </w:r>
    </w:p>
    <w:p w14:paraId="21979FE6" w14:textId="77777777" w:rsidR="00D67B34" w:rsidRDefault="00D67B34" w:rsidP="00D67B34">
      <w:pPr>
        <w:pStyle w:val="ListParagraph"/>
        <w:numPr>
          <w:ilvl w:val="0"/>
          <w:numId w:val="4"/>
        </w:numPr>
        <w:rPr>
          <w:rFonts w:cstheme="minorHAnsi"/>
        </w:rPr>
      </w:pPr>
      <w:r w:rsidRPr="00D67B34">
        <w:rPr>
          <w:rFonts w:cstheme="minorHAnsi"/>
        </w:rPr>
        <w:t xml:space="preserve">Strontium: 1 April 2007 (delisted 1 August 2016) </w:t>
      </w:r>
    </w:p>
    <w:p w14:paraId="441B119D" w14:textId="3FC82059" w:rsidR="00D67B34" w:rsidRDefault="00D67B34" w:rsidP="00D67B34">
      <w:pPr>
        <w:pStyle w:val="ListParagraph"/>
        <w:numPr>
          <w:ilvl w:val="0"/>
          <w:numId w:val="4"/>
        </w:numPr>
        <w:rPr>
          <w:rFonts w:cstheme="minorHAnsi"/>
        </w:rPr>
      </w:pPr>
      <w:r>
        <w:rPr>
          <w:rFonts w:cstheme="minorHAnsi"/>
        </w:rPr>
        <w:t>R</w:t>
      </w:r>
      <w:r w:rsidRPr="00D67B34">
        <w:rPr>
          <w:rFonts w:cstheme="minorHAnsi"/>
        </w:rPr>
        <w:t>isedronate and calcium carbonate with colecalciferol</w:t>
      </w:r>
      <w:r w:rsidR="00D552F7">
        <w:rPr>
          <w:rFonts w:cstheme="minorHAnsi"/>
        </w:rPr>
        <w:t xml:space="preserve">: </w:t>
      </w:r>
      <w:r w:rsidRPr="00D67B34">
        <w:rPr>
          <w:rFonts w:cstheme="minorHAnsi"/>
        </w:rPr>
        <w:t>1 May 2008</w:t>
      </w:r>
      <w:r w:rsidR="00D552F7">
        <w:rPr>
          <w:rFonts w:cstheme="minorHAnsi"/>
        </w:rPr>
        <w:t xml:space="preserve"> (delisted 1 May 2018) </w:t>
      </w:r>
    </w:p>
    <w:p w14:paraId="6F20203F" w14:textId="03AADC0D" w:rsidR="00D67B34" w:rsidRDefault="00D67B34" w:rsidP="00D67B34">
      <w:pPr>
        <w:pStyle w:val="ListParagraph"/>
        <w:numPr>
          <w:ilvl w:val="0"/>
          <w:numId w:val="4"/>
        </w:numPr>
        <w:rPr>
          <w:rFonts w:cstheme="minorHAnsi"/>
        </w:rPr>
      </w:pPr>
      <w:r w:rsidRPr="00D67B34">
        <w:rPr>
          <w:rFonts w:cstheme="minorHAnsi"/>
        </w:rPr>
        <w:t xml:space="preserve">Zoledronic acid: 1 December 2008 </w:t>
      </w:r>
      <w:r w:rsidR="00E521AE">
        <w:rPr>
          <w:rFonts w:cstheme="minorHAnsi"/>
        </w:rPr>
        <w:t xml:space="preserve"> </w:t>
      </w:r>
    </w:p>
    <w:p w14:paraId="0C9E7544" w14:textId="77777777" w:rsidR="00D67B34" w:rsidRDefault="00D67B34" w:rsidP="00D67B34">
      <w:pPr>
        <w:pStyle w:val="ListParagraph"/>
        <w:numPr>
          <w:ilvl w:val="0"/>
          <w:numId w:val="4"/>
        </w:numPr>
        <w:rPr>
          <w:rFonts w:cstheme="minorHAnsi"/>
        </w:rPr>
      </w:pPr>
      <w:r w:rsidRPr="00D67B34">
        <w:rPr>
          <w:rFonts w:cstheme="minorHAnsi"/>
        </w:rPr>
        <w:t xml:space="preserve">Teriparatide: 1 May 2009 </w:t>
      </w:r>
    </w:p>
    <w:p w14:paraId="7D5E12DC" w14:textId="0D95DEA9" w:rsidR="00D67B34" w:rsidRDefault="00D67B34" w:rsidP="00D67B34">
      <w:pPr>
        <w:pStyle w:val="ListParagraph"/>
        <w:numPr>
          <w:ilvl w:val="0"/>
          <w:numId w:val="4"/>
        </w:numPr>
        <w:rPr>
          <w:rFonts w:cstheme="minorHAnsi"/>
        </w:rPr>
      </w:pPr>
      <w:r w:rsidRPr="00D67B34">
        <w:rPr>
          <w:rFonts w:cstheme="minorHAnsi"/>
        </w:rPr>
        <w:t xml:space="preserve">Alendronate with colecalciferol and calcium carbonate: 1 June 2010 </w:t>
      </w:r>
      <w:r w:rsidR="00E521AE">
        <w:rPr>
          <w:rFonts w:cstheme="minorHAnsi"/>
        </w:rPr>
        <w:t>(</w:t>
      </w:r>
      <w:r w:rsidR="007212A2">
        <w:rPr>
          <w:rFonts w:cstheme="minorHAnsi"/>
        </w:rPr>
        <w:t xml:space="preserve">delisted </w:t>
      </w:r>
      <w:r w:rsidR="00E521AE">
        <w:rPr>
          <w:rFonts w:cstheme="minorHAnsi"/>
        </w:rPr>
        <w:t xml:space="preserve">1 October 2022) </w:t>
      </w:r>
    </w:p>
    <w:p w14:paraId="050A111E" w14:textId="0582936B" w:rsidR="00D67B34" w:rsidRDefault="00D67B34" w:rsidP="00D67B34">
      <w:pPr>
        <w:pStyle w:val="ListParagraph"/>
        <w:numPr>
          <w:ilvl w:val="0"/>
          <w:numId w:val="4"/>
        </w:numPr>
        <w:rPr>
          <w:rFonts w:cstheme="minorHAnsi"/>
        </w:rPr>
      </w:pPr>
      <w:r w:rsidRPr="00D67B34">
        <w:rPr>
          <w:rFonts w:cstheme="minorHAnsi"/>
        </w:rPr>
        <w:t>Denosumab: 1 December 2010</w:t>
      </w:r>
    </w:p>
    <w:p w14:paraId="1CBB02F6" w14:textId="0DD4218F" w:rsidR="00D67B34" w:rsidRDefault="00E521AE" w:rsidP="00D67B34">
      <w:pPr>
        <w:pStyle w:val="ListParagraph"/>
        <w:numPr>
          <w:ilvl w:val="0"/>
          <w:numId w:val="4"/>
        </w:numPr>
        <w:rPr>
          <w:rFonts w:cstheme="minorHAnsi"/>
        </w:rPr>
      </w:pPr>
      <w:r>
        <w:rPr>
          <w:rFonts w:cstheme="minorHAnsi"/>
        </w:rPr>
        <w:t xml:space="preserve">Romosozumab: 1 </w:t>
      </w:r>
      <w:r w:rsidR="0082349B">
        <w:rPr>
          <w:rFonts w:cstheme="minorHAnsi"/>
        </w:rPr>
        <w:t xml:space="preserve">April 2021 </w:t>
      </w:r>
    </w:p>
    <w:p w14:paraId="79F5026F" w14:textId="0D60B784" w:rsidR="00BF3134" w:rsidRPr="00BF3134" w:rsidRDefault="00CB012A" w:rsidP="00BF3134">
      <w:pPr>
        <w:rPr>
          <w:rFonts w:cstheme="minorHAnsi"/>
        </w:rPr>
      </w:pPr>
      <w:r>
        <w:rPr>
          <w:rFonts w:cstheme="minorHAnsi"/>
        </w:rPr>
        <w:t xml:space="preserve">Details of osteoporosis medicines listing history can be found in Appendix B. </w:t>
      </w:r>
    </w:p>
    <w:p w14:paraId="3EC87E3C" w14:textId="385C87C7" w:rsidR="002B1787" w:rsidRPr="005E22C2" w:rsidRDefault="002B1787" w:rsidP="002B1787">
      <w:pPr>
        <w:pStyle w:val="Heading2"/>
      </w:pPr>
      <w:r>
        <w:t>Changes to listing</w:t>
      </w:r>
    </w:p>
    <w:p w14:paraId="79AA4F5F" w14:textId="647B31B6" w:rsidR="00CB169D" w:rsidRPr="00773D75" w:rsidRDefault="0068186E" w:rsidP="00A35800">
      <w:pPr>
        <w:rPr>
          <w:b/>
          <w:bCs/>
        </w:rPr>
      </w:pPr>
      <w:r w:rsidRPr="00773D75">
        <w:rPr>
          <w:b/>
          <w:bCs/>
        </w:rPr>
        <w:t xml:space="preserve">1 </w:t>
      </w:r>
      <w:r w:rsidR="00F61673" w:rsidRPr="00773D75">
        <w:rPr>
          <w:b/>
          <w:bCs/>
        </w:rPr>
        <w:t>January</w:t>
      </w:r>
      <w:r w:rsidRPr="00773D75">
        <w:rPr>
          <w:b/>
          <w:bCs/>
        </w:rPr>
        <w:t xml:space="preserve"> 2022</w:t>
      </w:r>
    </w:p>
    <w:p w14:paraId="40BD69A6" w14:textId="2B64381F" w:rsidR="00012979" w:rsidRPr="00CC7FB8" w:rsidRDefault="00FF3353" w:rsidP="00A35800">
      <w:pPr>
        <w:rPr>
          <w:rFonts w:cstheme="minorHAnsi"/>
          <w:sz w:val="36"/>
          <w:szCs w:val="36"/>
        </w:rPr>
      </w:pPr>
      <w:r>
        <w:t xml:space="preserve">At its </w:t>
      </w:r>
      <w:hyperlink r:id="rId16" w:history="1">
        <w:r w:rsidR="000F00A9" w:rsidRPr="000F00A9">
          <w:rPr>
            <w:rStyle w:val="Hyperlink"/>
          </w:rPr>
          <w:t>September 2021 intracycle meeting</w:t>
        </w:r>
      </w:hyperlink>
      <w:r w:rsidR="000F00A9">
        <w:t>, t</w:t>
      </w:r>
      <w:r w:rsidR="00012979">
        <w:t xml:space="preserve">he PBAC recommended the addition of the words </w:t>
      </w:r>
      <w:r w:rsidR="00C066D8">
        <w:t>“</w:t>
      </w:r>
      <w:r w:rsidR="00012979">
        <w:t>PBS-subsidised treatment</w:t>
      </w:r>
      <w:r w:rsidR="00C066D8">
        <w:t>”</w:t>
      </w:r>
      <w:r w:rsidR="00012979">
        <w:t xml:space="preserve"> to </w:t>
      </w:r>
      <w:r w:rsidR="00457864">
        <w:t>“</w:t>
      </w:r>
      <w:r w:rsidR="00740C2A" w:rsidRPr="00740C2A">
        <w:t>Patient must not have received treatment</w:t>
      </w:r>
      <w:r w:rsidR="00A055DC">
        <w:t xml:space="preserve"> with </w:t>
      </w:r>
      <w:r w:rsidR="00562611">
        <w:t>romosozumab</w:t>
      </w:r>
      <w:r w:rsidR="00740C2A">
        <w:t xml:space="preserve">” </w:t>
      </w:r>
      <w:r w:rsidR="00012979">
        <w:t xml:space="preserve"> </w:t>
      </w:r>
      <w:r w:rsidR="0041780E">
        <w:t xml:space="preserve">for the teriparatide restriction and </w:t>
      </w:r>
      <w:r w:rsidR="0080301E">
        <w:t>“</w:t>
      </w:r>
      <w:r w:rsidR="0080301E" w:rsidRPr="00740C2A">
        <w:t>Patient must not have received treatment</w:t>
      </w:r>
      <w:r w:rsidR="0080301E">
        <w:t xml:space="preserve"> with </w:t>
      </w:r>
      <w:r w:rsidR="00012979">
        <w:t>teriparatide</w:t>
      </w:r>
      <w:r w:rsidR="0080301E">
        <w:t>” for the romosozumab restriction</w:t>
      </w:r>
      <w:r w:rsidR="003F2040">
        <w:t xml:space="preserve">. </w:t>
      </w:r>
      <w:r w:rsidR="000D52DE">
        <w:t xml:space="preserve">This was to </w:t>
      </w:r>
      <w:r w:rsidR="00012979">
        <w:t xml:space="preserve">ensure that patients who previously self-funded their romosozumab or teriparatide treatment </w:t>
      </w:r>
      <w:r w:rsidR="000D52DE">
        <w:t>were</w:t>
      </w:r>
      <w:r w:rsidR="00012979">
        <w:t xml:space="preserve"> not excluded</w:t>
      </w:r>
      <w:r w:rsidR="000D52DE">
        <w:t xml:space="preserve"> from ini</w:t>
      </w:r>
      <w:r w:rsidR="00A93827">
        <w:t>tiating treatment with teriparatide</w:t>
      </w:r>
      <w:r w:rsidR="001A7460">
        <w:t xml:space="preserve"> and romosozumab, respectively</w:t>
      </w:r>
      <w:r w:rsidR="00012979">
        <w:t>. Th</w:t>
      </w:r>
      <w:r w:rsidR="00661DDE">
        <w:t>e addition</w:t>
      </w:r>
      <w:r w:rsidR="00012979">
        <w:t xml:space="preserve"> reflect</w:t>
      </w:r>
      <w:r w:rsidR="008470AE">
        <w:t>ed</w:t>
      </w:r>
      <w:r w:rsidR="00012979">
        <w:t xml:space="preserve"> the intent of the Committee’s recommendation for romosozumab at the March 2020 PBAC meeting. </w:t>
      </w:r>
    </w:p>
    <w:p w14:paraId="5BB1B521" w14:textId="71BFC85A" w:rsidR="00A06942" w:rsidRPr="003C00B3" w:rsidRDefault="0068186E" w:rsidP="00A35800">
      <w:pPr>
        <w:rPr>
          <w:b/>
          <w:bCs/>
        </w:rPr>
      </w:pPr>
      <w:r w:rsidRPr="00773D75">
        <w:rPr>
          <w:b/>
          <w:bCs/>
        </w:rPr>
        <w:t xml:space="preserve">1 </w:t>
      </w:r>
      <w:r w:rsidR="00F61673" w:rsidRPr="00773D75">
        <w:rPr>
          <w:b/>
          <w:bCs/>
        </w:rPr>
        <w:t>February</w:t>
      </w:r>
      <w:r w:rsidRPr="00773D75">
        <w:rPr>
          <w:b/>
          <w:bCs/>
        </w:rPr>
        <w:t xml:space="preserve"> 2023</w:t>
      </w:r>
    </w:p>
    <w:p w14:paraId="7220CF68" w14:textId="4A607F51" w:rsidR="00BF3D59" w:rsidRPr="003C00B3" w:rsidDel="00EE2BBB" w:rsidRDefault="000F00A9" w:rsidP="00BF3D59">
      <w:pPr>
        <w:pStyle w:val="pf0"/>
        <w:rPr>
          <w:rFonts w:asciiTheme="minorHAnsi" w:hAnsiTheme="minorHAnsi" w:cstheme="minorHAnsi"/>
        </w:rPr>
      </w:pPr>
      <w:r w:rsidRPr="003C00B3">
        <w:rPr>
          <w:rStyle w:val="cf01"/>
          <w:rFonts w:asciiTheme="minorHAnsi" w:hAnsiTheme="minorHAnsi" w:cstheme="minorHAnsi"/>
          <w:sz w:val="24"/>
          <w:szCs w:val="24"/>
        </w:rPr>
        <w:t xml:space="preserve">At its </w:t>
      </w:r>
      <w:hyperlink r:id="rId17" w:history="1">
        <w:r w:rsidRPr="003C00B3">
          <w:rPr>
            <w:rStyle w:val="Hyperlink"/>
            <w:rFonts w:asciiTheme="minorHAnsi" w:hAnsiTheme="minorHAnsi" w:cstheme="minorHAnsi"/>
          </w:rPr>
          <w:t>July 2022 meeting</w:t>
        </w:r>
      </w:hyperlink>
      <w:r w:rsidRPr="003C00B3">
        <w:rPr>
          <w:rStyle w:val="cf01"/>
          <w:rFonts w:asciiTheme="minorHAnsi" w:hAnsiTheme="minorHAnsi" w:cstheme="minorHAnsi"/>
          <w:sz w:val="24"/>
          <w:szCs w:val="24"/>
        </w:rPr>
        <w:t>, t</w:t>
      </w:r>
      <w:r w:rsidR="00BF3D59" w:rsidRPr="003C00B3">
        <w:rPr>
          <w:rStyle w:val="cf01"/>
          <w:rFonts w:asciiTheme="minorHAnsi" w:hAnsiTheme="minorHAnsi" w:cstheme="minorHAnsi"/>
          <w:sz w:val="24"/>
          <w:szCs w:val="24"/>
        </w:rPr>
        <w:t>he PBAC considered that it would be appropriate to allow general practitioners to continue treatment with romosozumab once it had been commenced by a Specialist/Consultant Physician and advised</w:t>
      </w:r>
      <w:r w:rsidR="003C00B3" w:rsidRPr="003C00B3">
        <w:rPr>
          <w:rStyle w:val="cf01"/>
          <w:rFonts w:asciiTheme="minorHAnsi" w:hAnsiTheme="minorHAnsi" w:cstheme="minorHAnsi"/>
          <w:sz w:val="24"/>
          <w:szCs w:val="24"/>
        </w:rPr>
        <w:t xml:space="preserve"> </w:t>
      </w:r>
      <w:r w:rsidR="003C00B3" w:rsidRPr="003C00B3">
        <w:rPr>
          <w:rFonts w:asciiTheme="minorHAnsi" w:hAnsiTheme="minorHAnsi" w:cstheme="minorHAnsi"/>
        </w:rPr>
        <w:t>that this change could be made to the current listing</w:t>
      </w:r>
      <w:r w:rsidR="00BF3D59" w:rsidRPr="003C00B3">
        <w:rPr>
          <w:rStyle w:val="cf01"/>
          <w:rFonts w:asciiTheme="minorHAnsi" w:hAnsiTheme="minorHAnsi" w:cstheme="minorHAnsi"/>
          <w:sz w:val="24"/>
          <w:szCs w:val="24"/>
        </w:rPr>
        <w:t xml:space="preserve">. The PBAC considered </w:t>
      </w:r>
      <w:r w:rsidR="00C82491">
        <w:rPr>
          <w:rStyle w:val="cf01"/>
          <w:rFonts w:asciiTheme="minorHAnsi" w:hAnsiTheme="minorHAnsi" w:cstheme="minorHAnsi"/>
          <w:sz w:val="24"/>
          <w:szCs w:val="24"/>
        </w:rPr>
        <w:t xml:space="preserve">the treatment criterion “Must be treated by a Specialist” be removed from </w:t>
      </w:r>
      <w:r w:rsidR="003B1B9E">
        <w:rPr>
          <w:rStyle w:val="cf01"/>
          <w:rFonts w:asciiTheme="minorHAnsi" w:hAnsiTheme="minorHAnsi" w:cstheme="minorHAnsi"/>
          <w:sz w:val="24"/>
          <w:szCs w:val="24"/>
        </w:rPr>
        <w:t xml:space="preserve">the continuing restriction for romosozumab. </w:t>
      </w:r>
      <w:r w:rsidR="00C82491">
        <w:rPr>
          <w:rStyle w:val="cf01"/>
          <w:rFonts w:asciiTheme="minorHAnsi" w:hAnsiTheme="minorHAnsi" w:cstheme="minorHAnsi"/>
          <w:sz w:val="24"/>
          <w:szCs w:val="24"/>
        </w:rPr>
        <w:t xml:space="preserve"> </w:t>
      </w:r>
    </w:p>
    <w:p w14:paraId="64C94A85" w14:textId="0279637B" w:rsidR="00BF544D" w:rsidRPr="002F61CA" w:rsidDel="00EE2BBB" w:rsidRDefault="00BF544D" w:rsidP="00BF544D">
      <w:r w:rsidRPr="002F61CA" w:rsidDel="00EE2BBB">
        <w:t xml:space="preserve">Current PBS listing details are available from </w:t>
      </w:r>
      <w:r w:rsidDel="00EE2BBB">
        <w:t xml:space="preserve">the </w:t>
      </w:r>
      <w:hyperlink r:id="rId18" w:history="1">
        <w:r w:rsidRPr="00645D51" w:rsidDel="00EE2BBB">
          <w:rPr>
            <w:rStyle w:val="Hyperlink"/>
          </w:rPr>
          <w:t>PBS website</w:t>
        </w:r>
      </w:hyperlink>
      <w:r w:rsidDel="00EE2BBB">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0E08A09E" w14:textId="12C118C8" w:rsidR="00351A94" w:rsidRDefault="00351A94" w:rsidP="00A35800">
      <w:r>
        <w:t>The PBAC considered romosozumab for severe osteoporosis in November 2018 (first- and second-line settings), July 2019 (second-line setting), March 2020 (</w:t>
      </w:r>
      <w:r w:rsidR="00D912B6">
        <w:t xml:space="preserve">recommended </w:t>
      </w:r>
      <w:r>
        <w:t>second-line setting), July 2022 (first- and expanded second-line settings)</w:t>
      </w:r>
      <w:r w:rsidR="008547E8">
        <w:t xml:space="preserve"> and March 2023 (recommended first-line setting)</w:t>
      </w:r>
      <w:r>
        <w:t xml:space="preserve">. </w:t>
      </w:r>
      <w:r w:rsidR="008547E8">
        <w:t>At the time of this review, r</w:t>
      </w:r>
      <w:r>
        <w:t xml:space="preserve">omosozumab is </w:t>
      </w:r>
      <w:r w:rsidR="0076339E">
        <w:t xml:space="preserve">PBS </w:t>
      </w:r>
      <w:r>
        <w:t>listed for severe osteoporosis under a restricted second-line setting.</w:t>
      </w:r>
    </w:p>
    <w:p w14:paraId="590E3B3C" w14:textId="437A8A63" w:rsidR="00E35354" w:rsidRPr="00C4622D" w:rsidRDefault="00A9209A" w:rsidP="00A35800">
      <w:pPr>
        <w:rPr>
          <w:b/>
          <w:bCs/>
        </w:rPr>
      </w:pPr>
      <w:r w:rsidRPr="00C4622D">
        <w:rPr>
          <w:b/>
          <w:bCs/>
        </w:rPr>
        <w:lastRenderedPageBreak/>
        <w:t xml:space="preserve">November 2018 </w:t>
      </w:r>
    </w:p>
    <w:p w14:paraId="72DE3B36" w14:textId="10C2DACE" w:rsidR="00A9209A" w:rsidRDefault="00644569" w:rsidP="00A35800">
      <w:r>
        <w:t xml:space="preserve">The PBAC did not recommend the listing of romosozumab for the treatment of severe osteoporosis due to uncertainties in the clinical claims and the financial estimates and concerns regarding the safety profile. </w:t>
      </w:r>
    </w:p>
    <w:p w14:paraId="5C2DC446" w14:textId="487326AD" w:rsidR="001D30C3" w:rsidRDefault="001D30C3" w:rsidP="00A35800">
      <w:r>
        <w:t xml:space="preserve">For further details refer to </w:t>
      </w:r>
      <w:r w:rsidRPr="00F65F0D">
        <w:t xml:space="preserve">the </w:t>
      </w:r>
      <w:hyperlink r:id="rId19" w:history="1">
        <w:r w:rsidRPr="001D30C3">
          <w:rPr>
            <w:rStyle w:val="Hyperlink"/>
          </w:rPr>
          <w:t>Public Summary Document</w:t>
        </w:r>
      </w:hyperlink>
      <w:r>
        <w:t xml:space="preserve"> </w:t>
      </w:r>
      <w:r w:rsidRPr="00F65F0D">
        <w:t xml:space="preserve">from the </w:t>
      </w:r>
      <w:r>
        <w:t>November 2018 PBAC meeting.</w:t>
      </w:r>
    </w:p>
    <w:p w14:paraId="6D315B18" w14:textId="189D4869" w:rsidR="00A9209A" w:rsidRPr="00C4622D" w:rsidRDefault="00A9209A" w:rsidP="00A35800">
      <w:pPr>
        <w:rPr>
          <w:b/>
          <w:bCs/>
        </w:rPr>
      </w:pPr>
      <w:r w:rsidRPr="00C4622D">
        <w:rPr>
          <w:b/>
          <w:bCs/>
        </w:rPr>
        <w:t xml:space="preserve">July 2019 </w:t>
      </w:r>
    </w:p>
    <w:p w14:paraId="056BA420" w14:textId="718A7DD2" w:rsidR="00A9209A" w:rsidRDefault="0004611C" w:rsidP="00A35800">
      <w:r>
        <w:t>The PBAC did not recommend the listing of romosozumab for the treatment of severe osteoporosis in patients who have experienced a prior fracture while on anti</w:t>
      </w:r>
      <w:r w:rsidR="00394861">
        <w:t>-</w:t>
      </w:r>
      <w:r>
        <w:t>resorptive therapy (later-line setting) due to concerns regarding the claim of comparative clinical effectiveness, the cardiovascular safety profile of the treatment and the uncertain size of the eligible patient population. The PBAC also considered the estimated financial implications were unacceptably high for a cost-minimisation analysis given it was not clear whether romosozumab would be cost-effective if it is used in a broader population than those patients who currently use teriparatide.</w:t>
      </w:r>
    </w:p>
    <w:p w14:paraId="7F125077" w14:textId="27E768F7" w:rsidR="00754A60" w:rsidRDefault="00754A60" w:rsidP="00A35800">
      <w:r>
        <w:t xml:space="preserve">The submission presented </w:t>
      </w:r>
      <w:r w:rsidRPr="00E0204D">
        <w:t>a 10% PBS sample analysis to describe the use of anti-resorptives following teriparatide treatment cessation</w:t>
      </w:r>
      <w:r>
        <w:t xml:space="preserve"> to address PBAC’s concerns regarding successful transition and persistence to follow-up anti-resorptive therapy after stopping teriparatide. The analysis was based on patients who filled a teriparatide script between 1 April 2017 and 31 March 2018, with successful transition defined as having at least 1 anti-resorptive script within 6 months of stopping teriparatide. </w:t>
      </w:r>
      <w:r w:rsidR="00761902">
        <w:t>The Economic Sub-Committee (</w:t>
      </w:r>
      <w:r>
        <w:t>ESC</w:t>
      </w:r>
      <w:r w:rsidR="00761902">
        <w:t>) of the PBAC</w:t>
      </w:r>
      <w:r w:rsidR="00A4667A">
        <w:t xml:space="preserve"> </w:t>
      </w:r>
      <w:r>
        <w:t xml:space="preserve">noted the definitions used appeared generous and may not adequately account for differences in duration of script coverage between treatments that can vary from 1 to 12 months and that the assumption of 1 script of any treatment following teriparatide would sufficiently define treatment switching, which is likely to overestimate the number of patients who are on continuous anti-resorptive therapy following teriparatide treatment. </w:t>
      </w:r>
      <w:r w:rsidRPr="003623B7">
        <w:t>The PBAC was concerned that the analysis indicated approximately 30% of patients discontinue treatments for more than 6 months after stopping teriparatide</w:t>
      </w:r>
      <w:r>
        <w:t xml:space="preserve">. </w:t>
      </w:r>
    </w:p>
    <w:p w14:paraId="6BB28A79" w14:textId="4E1FB437" w:rsidR="00D536CD" w:rsidRDefault="00E65F51" w:rsidP="00A35800">
      <w:r>
        <w:t xml:space="preserve">For further details refer to </w:t>
      </w:r>
      <w:r w:rsidRPr="00F65F0D">
        <w:t xml:space="preserve">the </w:t>
      </w:r>
      <w:hyperlink r:id="rId20" w:history="1">
        <w:r w:rsidRPr="001D30C3">
          <w:rPr>
            <w:rStyle w:val="Hyperlink"/>
          </w:rPr>
          <w:t>Public Summary Document</w:t>
        </w:r>
      </w:hyperlink>
      <w:r>
        <w:t xml:space="preserve"> </w:t>
      </w:r>
      <w:r w:rsidRPr="00F65F0D">
        <w:t xml:space="preserve">from the </w:t>
      </w:r>
      <w:r>
        <w:t>July 2019 PBAC meeting.</w:t>
      </w:r>
    </w:p>
    <w:p w14:paraId="537ECA78" w14:textId="63D9B84F" w:rsidR="00A9209A" w:rsidRPr="00C4622D" w:rsidRDefault="00A9209A" w:rsidP="00A35800">
      <w:pPr>
        <w:rPr>
          <w:b/>
          <w:bCs/>
        </w:rPr>
      </w:pPr>
      <w:r w:rsidRPr="00C4622D">
        <w:rPr>
          <w:b/>
          <w:bCs/>
        </w:rPr>
        <w:t xml:space="preserve">March 2020 </w:t>
      </w:r>
    </w:p>
    <w:p w14:paraId="35FB7F94" w14:textId="7144DFC2" w:rsidR="00A9209A" w:rsidRDefault="00DF73D6" w:rsidP="00A35800">
      <w:r>
        <w:t>The PBAC recommended the listing of romosozumab for the treatment of severe osteoporosis in patients who have experienced a prior fracture while on anti- resorptive therapy. The PBAC considered there is a clinical need for additional treatment options for severe osteoporosis in the later-line setting. The PBAC considered that the concerns raised at the July 2019 meeting regarding the noninferiority claim were partially addressed by the more conservative cost-minimisation analysis presented in the resubmission. The PBAC considered that the remaining uncertainties could be managed by subsidisation caps through a risk sharing arrangement (RSA).</w:t>
      </w:r>
    </w:p>
    <w:p w14:paraId="34AAAC55" w14:textId="10AE1D93" w:rsidR="004B53B6" w:rsidRDefault="004B53B6" w:rsidP="00A35800">
      <w:r>
        <w:lastRenderedPageBreak/>
        <w:t xml:space="preserve">For further details refer to </w:t>
      </w:r>
      <w:r w:rsidRPr="00F65F0D">
        <w:t xml:space="preserve">the </w:t>
      </w:r>
      <w:hyperlink r:id="rId21" w:history="1">
        <w:r w:rsidRPr="00D536CD">
          <w:rPr>
            <w:rStyle w:val="Hyperlink"/>
          </w:rPr>
          <w:t>Public Summary Document</w:t>
        </w:r>
      </w:hyperlink>
      <w:r>
        <w:t xml:space="preserve"> </w:t>
      </w:r>
      <w:r w:rsidRPr="00F65F0D">
        <w:t xml:space="preserve">from the </w:t>
      </w:r>
      <w:r w:rsidR="00D536CD">
        <w:t xml:space="preserve">March 2020 </w:t>
      </w:r>
      <w:r>
        <w:t>PBAC meeting.</w:t>
      </w:r>
    </w:p>
    <w:p w14:paraId="2C8A4EAA" w14:textId="0D122532" w:rsidR="00A9209A" w:rsidRPr="00C4622D" w:rsidRDefault="00A9209A" w:rsidP="00A35800">
      <w:pPr>
        <w:rPr>
          <w:b/>
          <w:bCs/>
        </w:rPr>
      </w:pPr>
      <w:r w:rsidRPr="00C4622D">
        <w:rPr>
          <w:b/>
          <w:bCs/>
        </w:rPr>
        <w:t>July 2022</w:t>
      </w:r>
    </w:p>
    <w:p w14:paraId="1512B1A4" w14:textId="2DE80813" w:rsidR="00A24025" w:rsidRDefault="00A24025" w:rsidP="00A35800">
      <w:r>
        <w:t>The PBAC did not recommend romosozumab for the treatment of severe osteoporosis in the first line setting, nor the expanded listing in the second line setting</w:t>
      </w:r>
      <w:r w:rsidR="00D83041">
        <w:t xml:space="preserve"> (</w:t>
      </w:r>
      <w:r w:rsidR="00D06BF4">
        <w:t>the</w:t>
      </w:r>
      <w:r w:rsidR="00C84B0A">
        <w:t xml:space="preserve"> BMD T-score </w:t>
      </w:r>
      <w:r w:rsidR="00C84B0A">
        <w:rPr>
          <w:rFonts w:cstheme="minorHAnsi"/>
        </w:rPr>
        <w:t>≤</w:t>
      </w:r>
      <w:r w:rsidR="00D06BF4">
        <w:rPr>
          <w:rFonts w:cstheme="minorHAnsi"/>
        </w:rPr>
        <w:t xml:space="preserve"> -3 </w:t>
      </w:r>
      <w:r w:rsidR="008133CD">
        <w:rPr>
          <w:rFonts w:cstheme="minorHAnsi"/>
        </w:rPr>
        <w:t xml:space="preserve">was </w:t>
      </w:r>
      <w:r w:rsidR="00B818DA">
        <w:rPr>
          <w:rFonts w:cstheme="minorHAnsi"/>
        </w:rPr>
        <w:t>increased to</w:t>
      </w:r>
      <w:r w:rsidR="008133CD">
        <w:rPr>
          <w:rFonts w:cstheme="minorHAnsi"/>
        </w:rPr>
        <w:t xml:space="preserve"> ≤ -2.5 and the removal of the requirement to have 2 or more fractures due to minimal trauma)</w:t>
      </w:r>
      <w:r>
        <w:t>. The PBAC considered that the size of expanded population was poorly defined and the financial estimates were highly uncertain.</w:t>
      </w:r>
    </w:p>
    <w:p w14:paraId="3DC435D2" w14:textId="6909E66F" w:rsidR="0054400A" w:rsidRDefault="0054400A" w:rsidP="00A35800">
      <w:r>
        <w:t>The PBAC recalled previous concerns that the long-term comparative efficacy of romosozumab was uncertain and that maintenance of the treatment effect after discontinuation of romosozumab would likely depend on persistence with anti</w:t>
      </w:r>
      <w:r w:rsidR="00394861">
        <w:t>-</w:t>
      </w:r>
      <w:r>
        <w:t>resorptive therapy. The PBAC noted the May 2022 DUSC Secretariat analysis reported only 46% (664/1,454) of patients successfully transitioned to anti-resorptive therapy after stopping teriparatide. The PBAC considered concerns regarding maintenance of treatment effect after discontinuation of romosozumab were relevant to both the first- and second-line settings.</w:t>
      </w:r>
    </w:p>
    <w:p w14:paraId="33577DEB" w14:textId="7FD08EEF" w:rsidR="005470F0" w:rsidRDefault="005470F0" w:rsidP="00A35800">
      <w:r>
        <w:t xml:space="preserve">For further details refer to </w:t>
      </w:r>
      <w:r w:rsidRPr="00F65F0D">
        <w:t xml:space="preserve">the </w:t>
      </w:r>
      <w:hyperlink r:id="rId22" w:history="1">
        <w:r w:rsidRPr="004B53B6">
          <w:rPr>
            <w:rStyle w:val="Hyperlink"/>
          </w:rPr>
          <w:t>Public Summary Document</w:t>
        </w:r>
      </w:hyperlink>
      <w:r>
        <w:t xml:space="preserve"> </w:t>
      </w:r>
      <w:r w:rsidRPr="00F65F0D">
        <w:t xml:space="preserve">from the </w:t>
      </w:r>
      <w:r>
        <w:t>July 2022 PBAC meeting.</w:t>
      </w:r>
    </w:p>
    <w:p w14:paraId="5BCEEA94" w14:textId="37882DB6" w:rsidR="00A9209A" w:rsidRPr="00C4622D" w:rsidRDefault="00A9209A" w:rsidP="00A35800">
      <w:pPr>
        <w:rPr>
          <w:b/>
          <w:bCs/>
        </w:rPr>
      </w:pPr>
      <w:r w:rsidRPr="00C4622D">
        <w:rPr>
          <w:b/>
          <w:bCs/>
        </w:rPr>
        <w:t>March 2023</w:t>
      </w:r>
    </w:p>
    <w:p w14:paraId="64252250" w14:textId="386027F9" w:rsidR="00A9209A" w:rsidRDefault="00161E13" w:rsidP="00A35800">
      <w:r>
        <w:t>T</w:t>
      </w:r>
      <w:r w:rsidR="00E971E9">
        <w:t>he PBAC recommended the Authority Required (Telephone/electronic) listing of romosozumab for the treatment of severe osteoporosis in the first-line setting. The PBAC considered the clinical and cost-effectiveness evidence for romosozumab was adequate to support listing in the first-line setting but not an expansion to the current second-line listing. On this basis, the PBAC considered that romosozumab in the first</w:t>
      </w:r>
      <w:r w:rsidR="0076339E">
        <w:t xml:space="preserve"> </w:t>
      </w:r>
      <w:r w:rsidR="00E971E9">
        <w:t>line setting provides, for some patients a significant improvement in efficacy over alendronate. The PBAC’s recommendation for listing was based on, among other matters, its assessment that romosozumab would be cost-effective in the first-line setting if its price was reduced such that the incremental cost-effectiveness ratio (ICER) was no higher than the revised base case in the July 2022 submission $35,000 to &lt; $45,000 per QALY gained and with a RSA to address the uncertainty associated with the size of the eligible first-line population and also any residual concerns regarding the cost-effectiveness of romosozumab use in the first-line setting.</w:t>
      </w:r>
    </w:p>
    <w:p w14:paraId="16F1633A" w14:textId="28BD4355" w:rsidR="0076339E" w:rsidRPr="00F65F0D" w:rsidRDefault="00D94863" w:rsidP="00D94863">
      <w:r>
        <w:t xml:space="preserve">For further details refer to </w:t>
      </w:r>
      <w:r w:rsidRPr="00F65F0D">
        <w:t xml:space="preserve">the </w:t>
      </w:r>
      <w:hyperlink r:id="rId23" w:history="1">
        <w:r w:rsidRPr="005470F0">
          <w:rPr>
            <w:rStyle w:val="Hyperlink"/>
          </w:rPr>
          <w:t>Public Summary Document</w:t>
        </w:r>
      </w:hyperlink>
      <w:r>
        <w:t xml:space="preserve"> </w:t>
      </w:r>
      <w:r w:rsidRPr="00F65F0D">
        <w:t xml:space="preserve">from the </w:t>
      </w:r>
      <w:r w:rsidR="005470F0">
        <w:t xml:space="preserve">March 2023 </w:t>
      </w:r>
      <w:r>
        <w:t>PBAC meeting.</w:t>
      </w:r>
    </w:p>
    <w:p w14:paraId="0DEBD50F" w14:textId="6489A3FD" w:rsidR="00094DCF" w:rsidRDefault="00ED633B" w:rsidP="00CF5E22">
      <w:pPr>
        <w:pStyle w:val="Heading2"/>
      </w:pPr>
      <w:r>
        <w:t xml:space="preserve">Previous reviews by </w:t>
      </w:r>
      <w:r w:rsidR="00177B86">
        <w:t xml:space="preserve">the </w:t>
      </w:r>
      <w:r>
        <w:t>DUSC</w:t>
      </w:r>
    </w:p>
    <w:p w14:paraId="38D1C2AA" w14:textId="57E4C53A" w:rsidR="00DF316E" w:rsidRPr="00DF316E" w:rsidRDefault="00DF316E" w:rsidP="003F79BA">
      <w:pPr>
        <w:rPr>
          <w:b/>
          <w:bCs/>
        </w:rPr>
      </w:pPr>
      <w:r w:rsidRPr="00DF316E">
        <w:rPr>
          <w:b/>
          <w:bCs/>
        </w:rPr>
        <w:t xml:space="preserve">September 2016 </w:t>
      </w:r>
    </w:p>
    <w:p w14:paraId="0E7FF7F1" w14:textId="7E6F2FD6" w:rsidR="003F79BA" w:rsidRPr="005A74AD" w:rsidRDefault="003F79BA" w:rsidP="003F79BA">
      <w:r>
        <w:t xml:space="preserve">DUSC </w:t>
      </w:r>
      <w:r w:rsidRPr="005A74AD">
        <w:t>review</w:t>
      </w:r>
      <w:r>
        <w:t>ed</w:t>
      </w:r>
      <w:r w:rsidRPr="005A74AD">
        <w:t xml:space="preserve"> the utilisation of medicines for the treatment of osteoporosis including an assessment of the predicted and actual use of denosumab</w:t>
      </w:r>
      <w:r>
        <w:t>. Of note, it found:</w:t>
      </w:r>
    </w:p>
    <w:p w14:paraId="5E57A188" w14:textId="77777777" w:rsidR="003F79BA" w:rsidRDefault="003F79BA" w:rsidP="003F79BA">
      <w:pPr>
        <w:pStyle w:val="ListParagraph"/>
        <w:numPr>
          <w:ilvl w:val="0"/>
          <w:numId w:val="6"/>
        </w:numPr>
      </w:pPr>
      <w:r>
        <w:lastRenderedPageBreak/>
        <w:t>Rates of treatment with osteoporosis medicines declined by 15% between 2007 and 2014 despite reports of increasing prevalence of osteoporosis.</w:t>
      </w:r>
    </w:p>
    <w:p w14:paraId="62DCB519" w14:textId="77777777" w:rsidR="003F79BA" w:rsidRDefault="003F79BA" w:rsidP="003F79BA">
      <w:pPr>
        <w:pStyle w:val="ListParagraph"/>
        <w:numPr>
          <w:ilvl w:val="0"/>
          <w:numId w:val="6"/>
        </w:numPr>
      </w:pPr>
      <w:r>
        <w:t>Osteoporosis was more prevalent in women than men, with an estimated prevalence ratio in Australia of 3.8:1 for people over 50 years. The ratio of women to men aged 50 years or older treated with PBS osteoporosis medicines in 2015 was 3.9:1.</w:t>
      </w:r>
    </w:p>
    <w:p w14:paraId="481C5FFD" w14:textId="77777777" w:rsidR="003F79BA" w:rsidRPr="005A74AD" w:rsidRDefault="003F79BA" w:rsidP="003F79BA">
      <w:pPr>
        <w:pStyle w:val="ListParagraph"/>
        <w:numPr>
          <w:ilvl w:val="0"/>
          <w:numId w:val="6"/>
        </w:numPr>
      </w:pPr>
      <w:r>
        <w:t>Utilisation of denosumab had been much higher than expected. Approximately half of people starting osteoporosis therapy for the first time in 2015 were prescribed denosumab. A large number of people already on treatment with other medicines had switched to denosumab. In 2015, 57% of patients initiating denosumab had previously used at least one other osteoporosis drug.</w:t>
      </w:r>
    </w:p>
    <w:p w14:paraId="7A607632" w14:textId="722D49CA" w:rsidR="00DF316E" w:rsidRDefault="003F79BA" w:rsidP="003F79BA">
      <w:r>
        <w:t xml:space="preserve">For details of the DUSC consideration of osteoporosis medicines, including denosumab, refer to the </w:t>
      </w:r>
      <w:hyperlink r:id="rId24" w:history="1">
        <w:r w:rsidRPr="001C2B3A">
          <w:rPr>
            <w:rStyle w:val="Hyperlink"/>
          </w:rPr>
          <w:t>Public Release Document</w:t>
        </w:r>
      </w:hyperlink>
      <w:r>
        <w:t xml:space="preserve"> from the September 2016 DUSC meeting.</w:t>
      </w:r>
    </w:p>
    <w:p w14:paraId="17AD82BC" w14:textId="04D12BF4" w:rsidR="00DF316E" w:rsidRPr="00DF316E" w:rsidRDefault="00DF316E" w:rsidP="003F79BA">
      <w:pPr>
        <w:rPr>
          <w:b/>
          <w:bCs/>
        </w:rPr>
      </w:pPr>
      <w:r w:rsidRPr="00DF316E">
        <w:rPr>
          <w:b/>
          <w:bCs/>
        </w:rPr>
        <w:t xml:space="preserve">October 2020 </w:t>
      </w:r>
    </w:p>
    <w:p w14:paraId="7AF9A3C5" w14:textId="3B10FE9C" w:rsidR="008A330D" w:rsidRDefault="00DF316E" w:rsidP="003F79BA">
      <w:r>
        <w:t>DUSC reviewed the use of denosumab for the treatment of osteoporosis. DUSC considered that there was a concerning proportion of patients who discontinued denosumab without subsequent osteoporosis therapy, placing them at greater risk of having bone fractures. DUSC advised there was a high need to educate prescribers and patients about the importance of continuing osteoporosis treatment, in particular to consider other treatment choices during breaks from current therapy.</w:t>
      </w:r>
    </w:p>
    <w:p w14:paraId="6F92C4FF" w14:textId="249C8F59" w:rsidR="009B693D" w:rsidRPr="002C730F" w:rsidRDefault="008A330D" w:rsidP="002C730F">
      <w:r>
        <w:t xml:space="preserve">For details of the DUSC consideration of </w:t>
      </w:r>
      <w:r w:rsidR="00DF316E">
        <w:t xml:space="preserve">denosumab </w:t>
      </w:r>
      <w:r>
        <w:t xml:space="preserve">refer to the </w:t>
      </w:r>
      <w:hyperlink r:id="rId25" w:history="1">
        <w:r w:rsidRPr="004003BC">
          <w:rPr>
            <w:rStyle w:val="Hyperlink"/>
          </w:rPr>
          <w:t>Public Release Document</w:t>
        </w:r>
      </w:hyperlink>
      <w:r>
        <w:t xml:space="preserve"> from the </w:t>
      </w:r>
      <w:r w:rsidR="00DF316E">
        <w:t>October 2020</w:t>
      </w:r>
      <w:r>
        <w:t xml:space="preserve"> DUSC meeting.</w:t>
      </w:r>
    </w:p>
    <w:p w14:paraId="0312FFEC" w14:textId="4E74BD66" w:rsidR="00E677DD" w:rsidRPr="005E22C2" w:rsidRDefault="00E677DD" w:rsidP="00CF5E22">
      <w:pPr>
        <w:pStyle w:val="Heading1"/>
      </w:pPr>
      <w:r w:rsidRPr="005E22C2">
        <w:t>Method</w:t>
      </w:r>
      <w:r w:rsidR="001B5D37" w:rsidRPr="005E22C2">
        <w:t>s</w:t>
      </w:r>
    </w:p>
    <w:p w14:paraId="6D8C9BF9" w14:textId="3005CEB5" w:rsidR="006804E0" w:rsidRDefault="006804E0" w:rsidP="00524D13">
      <w:r w:rsidRPr="006804E0">
        <w:t xml:space="preserve">Data extracted from the PBS claims database maintained by the Department of Health and Aged Care and processed by Services Australia were used for the analyses. Prescription data were extracted from </w:t>
      </w:r>
      <w:r w:rsidR="006923A9">
        <w:t>1 January 2015</w:t>
      </w:r>
      <w:r w:rsidRPr="006804E0">
        <w:t xml:space="preserve"> up to and including </w:t>
      </w:r>
      <w:r w:rsidR="00BA1018">
        <w:t xml:space="preserve">30 September 2023. </w:t>
      </w:r>
      <w:r w:rsidRPr="006804E0">
        <w:t xml:space="preserve"> </w:t>
      </w:r>
    </w:p>
    <w:p w14:paraId="139C2934" w14:textId="438B1F57" w:rsidR="00FE77F3" w:rsidRDefault="00FA21EC" w:rsidP="00BA1018">
      <w:r>
        <w:t>These data were used to determine the number of initiating and prevalent patients, number of prescriptions supplied</w:t>
      </w:r>
      <w:r w:rsidR="00D9088C">
        <w:t xml:space="preserve">, </w:t>
      </w:r>
      <w:r>
        <w:t>analyse patient demographics such as age</w:t>
      </w:r>
      <w:r w:rsidR="00BB3765">
        <w:t xml:space="preserve"> and gender</w:t>
      </w:r>
      <w:r w:rsidR="00D9088C">
        <w:t xml:space="preserve"> and to analyse prescriber type </w:t>
      </w:r>
      <w:r w:rsidR="00D9280C">
        <w:t>between 201</w:t>
      </w:r>
      <w:r w:rsidR="000A586F">
        <w:t>8</w:t>
      </w:r>
      <w:r w:rsidR="00D9280C">
        <w:t xml:space="preserve"> and 2023</w:t>
      </w:r>
      <w:r>
        <w:t xml:space="preserve">. Initiating and prevalent patients were counted by </w:t>
      </w:r>
      <w:r w:rsidR="00BB3765">
        <w:t>calendar year</w:t>
      </w:r>
      <w:r>
        <w:t xml:space="preserve">. </w:t>
      </w:r>
      <w:r w:rsidR="00EC7005">
        <w:t xml:space="preserve">Prevalent patients were defined as the number of patients who received at least one supply of any </w:t>
      </w:r>
      <w:r w:rsidR="00ED4A2E">
        <w:t>osteoporosis</w:t>
      </w:r>
      <w:r w:rsidR="00EC7005">
        <w:t xml:space="preserve"> </w:t>
      </w:r>
      <w:r w:rsidR="00ED4A2E">
        <w:t xml:space="preserve">medicine </w:t>
      </w:r>
      <w:r w:rsidR="00D9280C">
        <w:t>in the given calendar year</w:t>
      </w:r>
      <w:r w:rsidR="00ED4A2E">
        <w:t xml:space="preserve">. </w:t>
      </w:r>
      <w:r w:rsidR="003655F5">
        <w:t xml:space="preserve">Initiating patients were </w:t>
      </w:r>
      <w:r>
        <w:t xml:space="preserve">defined </w:t>
      </w:r>
      <w:r w:rsidR="00DD2102">
        <w:t xml:space="preserve">as the number of patients who </w:t>
      </w:r>
      <w:r w:rsidR="00AC3B4F">
        <w:t xml:space="preserve">received their first supply of any </w:t>
      </w:r>
      <w:r w:rsidR="00DD2102">
        <w:t xml:space="preserve">osteoporosis </w:t>
      </w:r>
      <w:r w:rsidR="005D1CA6">
        <w:t>medicine</w:t>
      </w:r>
      <w:r w:rsidR="00DD2102">
        <w:t xml:space="preserve"> </w:t>
      </w:r>
      <w:r w:rsidR="005D1CA6">
        <w:t>per</w:t>
      </w:r>
      <w:r w:rsidR="00DD2102">
        <w:t xml:space="preserve"> calendar year </w:t>
      </w:r>
      <w:r w:rsidR="00586F52">
        <w:t>since</w:t>
      </w:r>
      <w:r w:rsidR="00AC3B4F">
        <w:t xml:space="preserve"> 2015. </w:t>
      </w:r>
    </w:p>
    <w:p w14:paraId="4B019745" w14:textId="23D22E10" w:rsidR="009732C6" w:rsidRPr="00523512" w:rsidRDefault="009732C6" w:rsidP="009732C6">
      <w:r>
        <w:t xml:space="preserve">An analysis </w:t>
      </w:r>
      <w:r w:rsidR="00EB7857">
        <w:t>of the transition to anti</w:t>
      </w:r>
      <w:r w:rsidR="00D9088C">
        <w:t>-</w:t>
      </w:r>
      <w:r w:rsidR="00EB7857">
        <w:t>resorptives following romosozumab treatment was conducted.</w:t>
      </w:r>
      <w:r w:rsidR="005B2821">
        <w:t xml:space="preserve"> A cohort of patients who initiated romosozumab treatment during its first year of listing</w:t>
      </w:r>
      <w:r w:rsidR="00AA3580">
        <w:t xml:space="preserve"> (1 April 2021 to 31 March 2022)</w:t>
      </w:r>
      <w:r w:rsidR="005B2821">
        <w:t xml:space="preserve"> was selected</w:t>
      </w:r>
      <w:r w:rsidR="00AA3580">
        <w:t xml:space="preserve">. </w:t>
      </w:r>
      <w:r w:rsidR="00EB7857">
        <w:t xml:space="preserve"> </w:t>
      </w:r>
      <w:r w:rsidRPr="00BD6F96">
        <w:t xml:space="preserve">The expected end of the last </w:t>
      </w:r>
      <w:r w:rsidR="00AA3580">
        <w:t>romosozumab</w:t>
      </w:r>
      <w:r w:rsidRPr="00BD6F96">
        <w:t xml:space="preserve"> </w:t>
      </w:r>
      <w:r w:rsidR="00AA3580">
        <w:t>prescription</w:t>
      </w:r>
      <w:r w:rsidRPr="00BD6F96">
        <w:t xml:space="preserve"> was based on the expected coverage of the last script (</w:t>
      </w:r>
      <w:r w:rsidR="00455A9E">
        <w:t>30</w:t>
      </w:r>
      <w:r w:rsidRPr="00BD6F96">
        <w:t xml:space="preserve"> days) </w:t>
      </w:r>
      <w:r>
        <w:t>with an allowed treatment gap of 60 days (</w:t>
      </w:r>
      <w:r w:rsidR="003F2468">
        <w:t>i.e.,</w:t>
      </w:r>
      <w:r>
        <w:t xml:space="preserve"> </w:t>
      </w:r>
      <w:r w:rsidR="00455A9E">
        <w:t>90</w:t>
      </w:r>
      <w:r>
        <w:t xml:space="preserve"> days from last dispense date).</w:t>
      </w:r>
      <w:r w:rsidRPr="00BD6F96">
        <w:t xml:space="preserve"> Anti-resorptive therapies of interest included alendronate, </w:t>
      </w:r>
      <w:r w:rsidR="00AA3580" w:rsidRPr="00BD6F96">
        <w:t>denosumab</w:t>
      </w:r>
      <w:r w:rsidR="0084171B">
        <w:t>,</w:t>
      </w:r>
      <w:r w:rsidR="00AA3580">
        <w:t xml:space="preserve"> raloxifene, </w:t>
      </w:r>
      <w:r w:rsidRPr="00BD6F96">
        <w:t xml:space="preserve">risedronate and zoledronic acid with </w:t>
      </w:r>
      <w:r>
        <w:t xml:space="preserve">persistence estimates based on </w:t>
      </w:r>
      <w:r w:rsidRPr="00BD6F96">
        <w:t xml:space="preserve">allowed treatment gaps of 60 days </w:t>
      </w:r>
      <w:r w:rsidRPr="00BD6F96">
        <w:lastRenderedPageBreak/>
        <w:t xml:space="preserve">from the expected end of the last </w:t>
      </w:r>
      <w:r w:rsidR="00043672">
        <w:t>prescription</w:t>
      </w:r>
      <w:r w:rsidRPr="00BD6F96">
        <w:t xml:space="preserve"> (variable between 28 days to 365 days). </w:t>
      </w:r>
      <w:r>
        <w:t>S</w:t>
      </w:r>
      <w:r w:rsidRPr="007A1744">
        <w:t xml:space="preserve">uccessful treatment transition </w:t>
      </w:r>
      <w:r>
        <w:t xml:space="preserve">was defined </w:t>
      </w:r>
      <w:r w:rsidRPr="007A1744">
        <w:t xml:space="preserve">as having at least 2 anti-resorptive </w:t>
      </w:r>
      <w:r w:rsidR="00043672">
        <w:t>prescriptions</w:t>
      </w:r>
      <w:r w:rsidRPr="007A1744">
        <w:t xml:space="preserve"> </w:t>
      </w:r>
      <w:r>
        <w:t>after</w:t>
      </w:r>
      <w:r w:rsidRPr="007A1744">
        <w:t xml:space="preserve"> stopping </w:t>
      </w:r>
      <w:r w:rsidR="009468BA">
        <w:t>romosozumab</w:t>
      </w:r>
      <w:r>
        <w:t xml:space="preserve">. </w:t>
      </w:r>
    </w:p>
    <w:p w14:paraId="23917482" w14:textId="55A75D2A" w:rsidR="009732C6" w:rsidRDefault="00373907" w:rsidP="00BA1018">
      <w:r w:rsidRPr="00993C79">
        <w:t>A coadministration analysis</w:t>
      </w:r>
      <w:r w:rsidR="009468BA">
        <w:t xml:space="preserve"> between romosozumab and teriparatide</w:t>
      </w:r>
      <w:r w:rsidRPr="00993C79">
        <w:t xml:space="preserve"> was conducted. If </w:t>
      </w:r>
      <w:r>
        <w:t xml:space="preserve">teriparatide </w:t>
      </w:r>
      <w:r w:rsidRPr="00993C79">
        <w:t xml:space="preserve">was supplied within </w:t>
      </w:r>
      <w:r>
        <w:t>30 days</w:t>
      </w:r>
      <w:r w:rsidRPr="00993C79">
        <w:t xml:space="preserve"> of the first supply of </w:t>
      </w:r>
      <w:r>
        <w:t>romosozumab</w:t>
      </w:r>
      <w:r w:rsidRPr="00993C79">
        <w:t xml:space="preserve">, and there was more than one occurrence of this supply, this was identified as a potential co-administration of </w:t>
      </w:r>
      <w:r w:rsidR="000A5CF7">
        <w:t>romosozumab</w:t>
      </w:r>
      <w:r w:rsidRPr="00993C79">
        <w:t xml:space="preserve"> with </w:t>
      </w:r>
      <w:r w:rsidR="000A5CF7">
        <w:t>teriparatide</w:t>
      </w:r>
      <w:r w:rsidRPr="00993C79">
        <w:t xml:space="preserve">. To exclude possible switching between drugs, co-administration was only counted if there were at least two occurrences where a patient received </w:t>
      </w:r>
      <w:r w:rsidR="000A5CF7">
        <w:t>romosozumab and teriparatide</w:t>
      </w:r>
      <w:r w:rsidRPr="00993C79">
        <w:t xml:space="preserve">. </w:t>
      </w:r>
    </w:p>
    <w:p w14:paraId="5A05616F" w14:textId="25778D34" w:rsidR="00492146" w:rsidRDefault="00FA21EC" w:rsidP="00BA1018">
      <w:r>
        <w:t>As this analysis uses date of supply prescription data, there may be small differences compared with publicly available Services Australia Medicare date of processing data.</w:t>
      </w:r>
      <w:r w:rsidR="00492146">
        <w:rPr>
          <w:rStyle w:val="FootnoteReference"/>
        </w:rPr>
        <w:footnoteReference w:id="4"/>
      </w:r>
      <w:r>
        <w:t xml:space="preserve"> The publicly available Services Australia Medicare data only includes subsidised R/PBS prescriptions with prescriptions under the patient co-payment not included. </w:t>
      </w:r>
    </w:p>
    <w:p w14:paraId="3E3C6034" w14:textId="31B3CE7D" w:rsidR="00BA1018" w:rsidRPr="00BA1018" w:rsidRDefault="00FA21EC" w:rsidP="00BA1018">
      <w:pPr>
        <w:rPr>
          <w:color w:val="000000"/>
        </w:rPr>
      </w:pPr>
      <w:r>
        <w:t>Data manipulation was undertaken using SAS.</w:t>
      </w:r>
    </w:p>
    <w:p w14:paraId="4F91A98A" w14:textId="00180E30" w:rsidR="00C714D0" w:rsidRPr="005E22C2" w:rsidRDefault="00C714D0" w:rsidP="00CF5E22">
      <w:pPr>
        <w:pStyle w:val="Heading1"/>
      </w:pPr>
      <w:r w:rsidRPr="005E22C2">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Default="00736041" w:rsidP="00CF5E22">
      <w:pPr>
        <w:pStyle w:val="Heading3"/>
      </w:pPr>
      <w:r w:rsidRPr="005E22C2">
        <w:t>Overall utilisation</w:t>
      </w:r>
    </w:p>
    <w:p w14:paraId="1EE02AEC" w14:textId="53DF2CBD" w:rsidR="00E11C54" w:rsidRPr="00E11C54" w:rsidRDefault="00E11C54" w:rsidP="00E11C54">
      <w:r>
        <w:t xml:space="preserve">As shown in Table </w:t>
      </w:r>
      <w:r w:rsidR="00965C5F">
        <w:t>5 and Figure 1 below, the number of patients treated with osteoporosis medicines has grown over time</w:t>
      </w:r>
      <w:r w:rsidR="00513E8B">
        <w:t xml:space="preserve">, with </w:t>
      </w:r>
      <w:r w:rsidR="003B76A1">
        <w:t xml:space="preserve">an average of </w:t>
      </w:r>
      <w:r w:rsidR="009E5A4F">
        <w:t xml:space="preserve">approximately </w:t>
      </w:r>
      <w:r w:rsidR="00B010A2">
        <w:t>9</w:t>
      </w:r>
      <w:r w:rsidR="003B76A1">
        <w:t>8</w:t>
      </w:r>
      <w:r w:rsidR="00B010A2">
        <w:t>,000 patients initiating osteoporosis treatment</w:t>
      </w:r>
      <w:r w:rsidR="001D7D6C">
        <w:t xml:space="preserve"> </w:t>
      </w:r>
      <w:r w:rsidR="00513E8B">
        <w:t>annually</w:t>
      </w:r>
      <w:r w:rsidR="003B76A1">
        <w:t xml:space="preserve"> from 2018 to 2022</w:t>
      </w:r>
      <w:r w:rsidR="001D7D6C">
        <w:t xml:space="preserve">. </w:t>
      </w:r>
    </w:p>
    <w:p w14:paraId="7EAF1ED2" w14:textId="77777777" w:rsidR="00E11C54" w:rsidRDefault="00E11C54" w:rsidP="00E11C54">
      <w:pPr>
        <w:pStyle w:val="Tabletitle"/>
      </w:pPr>
      <w:r w:rsidRPr="001420B3" w:rsidDel="00EE2BBB">
        <w:t xml:space="preserve">Table </w:t>
      </w:r>
      <w:r>
        <w:t>5</w:t>
      </w:r>
      <w:r w:rsidRPr="001420B3" w:rsidDel="00EE2BBB">
        <w:t xml:space="preserve">: </w:t>
      </w:r>
      <w:r>
        <w:t xml:space="preserve">Annual growth in the number patients initiating and treated with osteoporosis medicines </w:t>
      </w:r>
    </w:p>
    <w:tbl>
      <w:tblPr>
        <w:tblStyle w:val="TableGrid"/>
        <w:tblW w:w="0" w:type="auto"/>
        <w:tblLook w:val="04A0" w:firstRow="1" w:lastRow="0" w:firstColumn="1" w:lastColumn="0" w:noHBand="0" w:noVBand="1"/>
      </w:tblPr>
      <w:tblGrid>
        <w:gridCol w:w="1789"/>
        <w:gridCol w:w="1789"/>
        <w:gridCol w:w="1789"/>
        <w:gridCol w:w="1790"/>
        <w:gridCol w:w="1790"/>
      </w:tblGrid>
      <w:tr w:rsidR="00E11C54" w:rsidRPr="00CA07B5" w14:paraId="30E17D2D" w14:textId="77777777" w:rsidTr="001A383D">
        <w:tc>
          <w:tcPr>
            <w:tcW w:w="1789" w:type="dxa"/>
            <w:shd w:val="clear" w:color="auto" w:fill="BFBFBF" w:themeFill="background1" w:themeFillShade="BF"/>
          </w:tcPr>
          <w:p w14:paraId="1F3E6995" w14:textId="77777777" w:rsidR="00E11C54" w:rsidRPr="00CA07B5" w:rsidRDefault="00E11C54" w:rsidP="001A383D">
            <w:pPr>
              <w:pStyle w:val="Tabletitle"/>
              <w:spacing w:before="60" w:after="60"/>
              <w:rPr>
                <w:sz w:val="20"/>
                <w:szCs w:val="20"/>
              </w:rPr>
            </w:pPr>
          </w:p>
        </w:tc>
        <w:tc>
          <w:tcPr>
            <w:tcW w:w="1789" w:type="dxa"/>
            <w:shd w:val="clear" w:color="auto" w:fill="BFBFBF" w:themeFill="background1" w:themeFillShade="BF"/>
          </w:tcPr>
          <w:p w14:paraId="38654661" w14:textId="77777777" w:rsidR="00E11C54" w:rsidRPr="00CA07B5" w:rsidRDefault="00E11C54" w:rsidP="001A383D">
            <w:pPr>
              <w:pStyle w:val="Tabletitle"/>
              <w:spacing w:before="60" w:after="60"/>
              <w:jc w:val="center"/>
              <w:rPr>
                <w:sz w:val="20"/>
                <w:szCs w:val="20"/>
              </w:rPr>
            </w:pPr>
            <w:r w:rsidRPr="00CA07B5">
              <w:rPr>
                <w:sz w:val="20"/>
                <w:szCs w:val="20"/>
              </w:rPr>
              <w:t>2018 to 2019</w:t>
            </w:r>
          </w:p>
        </w:tc>
        <w:tc>
          <w:tcPr>
            <w:tcW w:w="1789" w:type="dxa"/>
            <w:shd w:val="clear" w:color="auto" w:fill="BFBFBF" w:themeFill="background1" w:themeFillShade="BF"/>
          </w:tcPr>
          <w:p w14:paraId="2049DB7F" w14:textId="77777777" w:rsidR="00E11C54" w:rsidRPr="00CA07B5" w:rsidRDefault="00E11C54" w:rsidP="001A383D">
            <w:pPr>
              <w:pStyle w:val="Tabletitle"/>
              <w:spacing w:before="60" w:after="60"/>
              <w:jc w:val="center"/>
              <w:rPr>
                <w:sz w:val="20"/>
                <w:szCs w:val="20"/>
              </w:rPr>
            </w:pPr>
            <w:r w:rsidRPr="00CA07B5">
              <w:rPr>
                <w:sz w:val="20"/>
                <w:szCs w:val="20"/>
              </w:rPr>
              <w:t>2019 to 2020</w:t>
            </w:r>
          </w:p>
        </w:tc>
        <w:tc>
          <w:tcPr>
            <w:tcW w:w="1790" w:type="dxa"/>
            <w:shd w:val="clear" w:color="auto" w:fill="BFBFBF" w:themeFill="background1" w:themeFillShade="BF"/>
          </w:tcPr>
          <w:p w14:paraId="4C764BF6" w14:textId="77777777" w:rsidR="00E11C54" w:rsidRPr="00CA07B5" w:rsidRDefault="00E11C54" w:rsidP="001A383D">
            <w:pPr>
              <w:pStyle w:val="Tabletitle"/>
              <w:spacing w:before="60" w:after="60"/>
              <w:jc w:val="center"/>
              <w:rPr>
                <w:sz w:val="20"/>
                <w:szCs w:val="20"/>
              </w:rPr>
            </w:pPr>
            <w:r w:rsidRPr="00CA07B5">
              <w:rPr>
                <w:sz w:val="20"/>
                <w:szCs w:val="20"/>
              </w:rPr>
              <w:t>2020 to 2021</w:t>
            </w:r>
          </w:p>
        </w:tc>
        <w:tc>
          <w:tcPr>
            <w:tcW w:w="1790" w:type="dxa"/>
            <w:shd w:val="clear" w:color="auto" w:fill="BFBFBF" w:themeFill="background1" w:themeFillShade="BF"/>
          </w:tcPr>
          <w:p w14:paraId="714CF860" w14:textId="77777777" w:rsidR="00E11C54" w:rsidRPr="00CA07B5" w:rsidRDefault="00E11C54" w:rsidP="001A383D">
            <w:pPr>
              <w:pStyle w:val="Tabletitle"/>
              <w:spacing w:before="60" w:after="60"/>
              <w:jc w:val="center"/>
              <w:rPr>
                <w:sz w:val="20"/>
                <w:szCs w:val="20"/>
              </w:rPr>
            </w:pPr>
            <w:r w:rsidRPr="00CA07B5">
              <w:rPr>
                <w:sz w:val="20"/>
                <w:szCs w:val="20"/>
              </w:rPr>
              <w:t>2021 to 2022</w:t>
            </w:r>
          </w:p>
        </w:tc>
      </w:tr>
      <w:tr w:rsidR="00E11C54" w:rsidRPr="00CA07B5" w14:paraId="342DFE52" w14:textId="77777777" w:rsidTr="001A383D">
        <w:tc>
          <w:tcPr>
            <w:tcW w:w="1789" w:type="dxa"/>
          </w:tcPr>
          <w:p w14:paraId="558BFC64" w14:textId="77777777" w:rsidR="00E11C54" w:rsidRPr="00CA07B5" w:rsidRDefault="00E11C54" w:rsidP="001A383D">
            <w:pPr>
              <w:pStyle w:val="Tabletitle"/>
              <w:spacing w:before="60" w:after="60"/>
              <w:rPr>
                <w:b w:val="0"/>
                <w:bCs/>
                <w:sz w:val="20"/>
                <w:szCs w:val="20"/>
              </w:rPr>
            </w:pPr>
            <w:r w:rsidRPr="00CA07B5">
              <w:rPr>
                <w:b w:val="0"/>
                <w:bCs/>
                <w:sz w:val="20"/>
                <w:szCs w:val="20"/>
              </w:rPr>
              <w:t>Initiating patients</w:t>
            </w:r>
          </w:p>
        </w:tc>
        <w:tc>
          <w:tcPr>
            <w:tcW w:w="1789" w:type="dxa"/>
          </w:tcPr>
          <w:p w14:paraId="765E6862" w14:textId="6808F527" w:rsidR="00E11C54" w:rsidRPr="00BC6175" w:rsidRDefault="00810793" w:rsidP="001A383D">
            <w:pPr>
              <w:pStyle w:val="Tabletitle"/>
              <w:spacing w:before="60" w:after="60"/>
              <w:jc w:val="center"/>
              <w:rPr>
                <w:b w:val="0"/>
                <w:bCs/>
                <w:sz w:val="20"/>
                <w:szCs w:val="20"/>
              </w:rPr>
            </w:pPr>
            <w:r>
              <w:rPr>
                <w:b w:val="0"/>
                <w:bCs/>
                <w:sz w:val="20"/>
                <w:szCs w:val="20"/>
              </w:rPr>
              <w:t>1</w:t>
            </w:r>
            <w:r w:rsidR="00E11C54" w:rsidRPr="00BC6175">
              <w:rPr>
                <w:b w:val="0"/>
                <w:bCs/>
                <w:sz w:val="20"/>
                <w:szCs w:val="20"/>
              </w:rPr>
              <w:t>%</w:t>
            </w:r>
          </w:p>
        </w:tc>
        <w:tc>
          <w:tcPr>
            <w:tcW w:w="1789" w:type="dxa"/>
          </w:tcPr>
          <w:p w14:paraId="1ED77290" w14:textId="41F709FA" w:rsidR="00E11C54" w:rsidRPr="00BC6175" w:rsidRDefault="00E11C54" w:rsidP="001A383D">
            <w:pPr>
              <w:pStyle w:val="Tabletitle"/>
              <w:spacing w:before="60" w:after="60"/>
              <w:jc w:val="center"/>
              <w:rPr>
                <w:b w:val="0"/>
                <w:bCs/>
                <w:sz w:val="20"/>
                <w:szCs w:val="20"/>
              </w:rPr>
            </w:pPr>
            <w:r w:rsidRPr="00BC6175">
              <w:rPr>
                <w:b w:val="0"/>
                <w:bCs/>
                <w:sz w:val="20"/>
                <w:szCs w:val="20"/>
              </w:rPr>
              <w:t>-</w:t>
            </w:r>
            <w:r w:rsidR="00810793">
              <w:rPr>
                <w:b w:val="0"/>
                <w:bCs/>
                <w:sz w:val="20"/>
                <w:szCs w:val="20"/>
              </w:rPr>
              <w:t>9</w:t>
            </w:r>
            <w:r w:rsidRPr="00BC6175">
              <w:rPr>
                <w:b w:val="0"/>
                <w:bCs/>
                <w:sz w:val="20"/>
                <w:szCs w:val="20"/>
              </w:rPr>
              <w:t>%</w:t>
            </w:r>
          </w:p>
        </w:tc>
        <w:tc>
          <w:tcPr>
            <w:tcW w:w="1790" w:type="dxa"/>
          </w:tcPr>
          <w:p w14:paraId="4A52B4A3" w14:textId="121439A3" w:rsidR="00E11C54" w:rsidRPr="00BC6175" w:rsidRDefault="00810793" w:rsidP="001A383D">
            <w:pPr>
              <w:pStyle w:val="Tabletitle"/>
              <w:spacing w:before="60" w:after="60"/>
              <w:jc w:val="center"/>
              <w:rPr>
                <w:b w:val="0"/>
                <w:bCs/>
                <w:sz w:val="20"/>
                <w:szCs w:val="20"/>
              </w:rPr>
            </w:pPr>
            <w:r>
              <w:rPr>
                <w:b w:val="0"/>
                <w:bCs/>
                <w:sz w:val="20"/>
                <w:szCs w:val="20"/>
              </w:rPr>
              <w:t>8</w:t>
            </w:r>
            <w:r w:rsidR="00E11C54" w:rsidRPr="00BC6175">
              <w:rPr>
                <w:b w:val="0"/>
                <w:bCs/>
                <w:sz w:val="20"/>
                <w:szCs w:val="20"/>
              </w:rPr>
              <w:t>%</w:t>
            </w:r>
          </w:p>
        </w:tc>
        <w:tc>
          <w:tcPr>
            <w:tcW w:w="1790" w:type="dxa"/>
          </w:tcPr>
          <w:p w14:paraId="61E89F23" w14:textId="215A0795" w:rsidR="00E11C54" w:rsidRPr="00BC6175" w:rsidRDefault="00E11C54" w:rsidP="001A383D">
            <w:pPr>
              <w:pStyle w:val="Tabletitle"/>
              <w:spacing w:before="60" w:after="60"/>
              <w:jc w:val="center"/>
              <w:rPr>
                <w:b w:val="0"/>
                <w:bCs/>
                <w:sz w:val="20"/>
                <w:szCs w:val="20"/>
              </w:rPr>
            </w:pPr>
            <w:r w:rsidRPr="00BC6175">
              <w:rPr>
                <w:b w:val="0"/>
                <w:bCs/>
                <w:sz w:val="20"/>
                <w:szCs w:val="20"/>
              </w:rPr>
              <w:t>-</w:t>
            </w:r>
            <w:r w:rsidR="00810793">
              <w:rPr>
                <w:b w:val="0"/>
                <w:bCs/>
                <w:sz w:val="20"/>
                <w:szCs w:val="20"/>
              </w:rPr>
              <w:t>1</w:t>
            </w:r>
            <w:r w:rsidRPr="00BC6175">
              <w:rPr>
                <w:b w:val="0"/>
                <w:bCs/>
                <w:sz w:val="20"/>
                <w:szCs w:val="20"/>
              </w:rPr>
              <w:t>%</w:t>
            </w:r>
          </w:p>
        </w:tc>
      </w:tr>
      <w:tr w:rsidR="00E11C54" w:rsidRPr="00CA07B5" w14:paraId="551320C8" w14:textId="77777777" w:rsidTr="001A383D">
        <w:tc>
          <w:tcPr>
            <w:tcW w:w="1789" w:type="dxa"/>
          </w:tcPr>
          <w:p w14:paraId="63826C40" w14:textId="77777777" w:rsidR="00E11C54" w:rsidRPr="00CA07B5" w:rsidRDefault="00E11C54" w:rsidP="001A383D">
            <w:pPr>
              <w:pStyle w:val="Tabletitle"/>
              <w:spacing w:before="60" w:after="60"/>
              <w:rPr>
                <w:b w:val="0"/>
                <w:bCs/>
                <w:sz w:val="20"/>
                <w:szCs w:val="20"/>
              </w:rPr>
            </w:pPr>
            <w:r w:rsidRPr="00CA07B5">
              <w:rPr>
                <w:b w:val="0"/>
                <w:bCs/>
                <w:sz w:val="20"/>
                <w:szCs w:val="20"/>
              </w:rPr>
              <w:t xml:space="preserve">Prevalent patients </w:t>
            </w:r>
          </w:p>
        </w:tc>
        <w:tc>
          <w:tcPr>
            <w:tcW w:w="1789" w:type="dxa"/>
          </w:tcPr>
          <w:p w14:paraId="1D7FB2A3" w14:textId="7C7F0385" w:rsidR="00E11C54" w:rsidRPr="00E35B6A" w:rsidRDefault="00E11C54" w:rsidP="001A383D">
            <w:pPr>
              <w:pStyle w:val="Tabletitle"/>
              <w:spacing w:before="60" w:after="60"/>
              <w:jc w:val="center"/>
              <w:rPr>
                <w:b w:val="0"/>
                <w:bCs/>
                <w:sz w:val="20"/>
                <w:szCs w:val="20"/>
              </w:rPr>
            </w:pPr>
            <w:r>
              <w:rPr>
                <w:b w:val="0"/>
                <w:bCs/>
                <w:sz w:val="20"/>
                <w:szCs w:val="20"/>
              </w:rPr>
              <w:t>8</w:t>
            </w:r>
            <w:r w:rsidRPr="00E35B6A">
              <w:rPr>
                <w:b w:val="0"/>
                <w:bCs/>
                <w:sz w:val="20"/>
                <w:szCs w:val="20"/>
              </w:rPr>
              <w:t>%</w:t>
            </w:r>
          </w:p>
        </w:tc>
        <w:tc>
          <w:tcPr>
            <w:tcW w:w="1789" w:type="dxa"/>
          </w:tcPr>
          <w:p w14:paraId="46F4D375" w14:textId="1D107D68" w:rsidR="00E11C54" w:rsidRPr="00E35B6A" w:rsidRDefault="00E11C54" w:rsidP="001A383D">
            <w:pPr>
              <w:pStyle w:val="Tabletitle"/>
              <w:spacing w:before="60" w:after="60"/>
              <w:jc w:val="center"/>
              <w:rPr>
                <w:b w:val="0"/>
                <w:bCs/>
                <w:sz w:val="20"/>
                <w:szCs w:val="20"/>
              </w:rPr>
            </w:pPr>
            <w:r>
              <w:rPr>
                <w:b w:val="0"/>
                <w:bCs/>
                <w:sz w:val="20"/>
                <w:szCs w:val="20"/>
              </w:rPr>
              <w:t>5</w:t>
            </w:r>
            <w:r w:rsidRPr="00E35B6A">
              <w:rPr>
                <w:b w:val="0"/>
                <w:bCs/>
                <w:sz w:val="20"/>
                <w:szCs w:val="20"/>
              </w:rPr>
              <w:t>%</w:t>
            </w:r>
          </w:p>
        </w:tc>
        <w:tc>
          <w:tcPr>
            <w:tcW w:w="1790" w:type="dxa"/>
          </w:tcPr>
          <w:p w14:paraId="39610AD8" w14:textId="0A931D39" w:rsidR="00E11C54" w:rsidRPr="00E35B6A" w:rsidRDefault="00E11C54" w:rsidP="001A383D">
            <w:pPr>
              <w:pStyle w:val="Tabletitle"/>
              <w:spacing w:before="60" w:after="60"/>
              <w:jc w:val="center"/>
              <w:rPr>
                <w:b w:val="0"/>
                <w:bCs/>
                <w:sz w:val="20"/>
                <w:szCs w:val="20"/>
              </w:rPr>
            </w:pPr>
            <w:r>
              <w:rPr>
                <w:b w:val="0"/>
                <w:bCs/>
                <w:sz w:val="20"/>
                <w:szCs w:val="20"/>
              </w:rPr>
              <w:t>7%</w:t>
            </w:r>
          </w:p>
        </w:tc>
        <w:tc>
          <w:tcPr>
            <w:tcW w:w="1790" w:type="dxa"/>
          </w:tcPr>
          <w:p w14:paraId="5AE9C40E" w14:textId="24467AA1" w:rsidR="00E11C54" w:rsidRPr="00E35B6A" w:rsidRDefault="00E11C54" w:rsidP="001A383D">
            <w:pPr>
              <w:pStyle w:val="Tabletitle"/>
              <w:spacing w:before="60" w:after="60"/>
              <w:jc w:val="center"/>
              <w:rPr>
                <w:b w:val="0"/>
                <w:bCs/>
                <w:sz w:val="20"/>
                <w:szCs w:val="20"/>
              </w:rPr>
            </w:pPr>
            <w:r>
              <w:rPr>
                <w:b w:val="0"/>
                <w:bCs/>
                <w:sz w:val="20"/>
                <w:szCs w:val="20"/>
              </w:rPr>
              <w:t>5%</w:t>
            </w:r>
          </w:p>
        </w:tc>
      </w:tr>
    </w:tbl>
    <w:p w14:paraId="696F048F" w14:textId="77777777" w:rsidR="00E11C54" w:rsidRPr="00E11C54" w:rsidRDefault="00E11C54" w:rsidP="00E11C54"/>
    <w:p w14:paraId="7F10B9F2" w14:textId="7ADDA46B" w:rsidR="00F57F8C" w:rsidRDefault="00D53549" w:rsidP="00A26451">
      <w:pPr>
        <w:pStyle w:val="Figurecaption"/>
        <w:jc w:val="center"/>
      </w:pPr>
      <w:r>
        <w:rPr>
          <w:noProof/>
        </w:rPr>
        <w:lastRenderedPageBreak/>
        <w:drawing>
          <wp:inline distT="0" distB="0" distL="0" distR="0" wp14:anchorId="23F987B9" wp14:editId="385A9E40">
            <wp:extent cx="5238000" cy="3268800"/>
            <wp:effectExtent l="0" t="0" r="1270" b="8255"/>
            <wp:docPr id="6" name="Chart 6">
              <a:extLst xmlns:a="http://schemas.openxmlformats.org/drawingml/2006/main">
                <a:ext uri="{FF2B5EF4-FFF2-40B4-BE49-F238E27FC236}">
                  <a16:creationId xmlns:a16="http://schemas.microsoft.com/office/drawing/2014/main" id="{6D0F8715-6A90-A279-B4BF-0E9AC7087B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5174A2" w14:textId="7C6D897C" w:rsidR="00BF5AA6" w:rsidRDefault="00BF5AA6" w:rsidP="00BF5AA6">
      <w:pPr>
        <w:pStyle w:val="Figuretitle"/>
      </w:pPr>
      <w:r w:rsidRPr="00FE645A">
        <w:t xml:space="preserve">Figure </w:t>
      </w:r>
      <w:r>
        <w:t>1</w:t>
      </w:r>
      <w:r w:rsidRPr="00FE645A">
        <w:t xml:space="preserve">: </w:t>
      </w:r>
      <w:r w:rsidR="004C7668">
        <w:t xml:space="preserve">Initiating and prevalent patients treated with osteoporosis medicines </w:t>
      </w:r>
      <w:r w:rsidR="00266F0C">
        <w:t>by calendar</w:t>
      </w:r>
      <w:r w:rsidR="002D03A1">
        <w:t xml:space="preserve"> </w:t>
      </w:r>
      <w:r w:rsidR="003F2468">
        <w:t>year.</w:t>
      </w:r>
    </w:p>
    <w:p w14:paraId="18D4D459" w14:textId="77777777" w:rsidR="00E63BF7" w:rsidRPr="00E63BF7" w:rsidRDefault="00E63BF7" w:rsidP="00E63BF7">
      <w:pPr>
        <w:rPr>
          <w:sz w:val="18"/>
          <w:szCs w:val="18"/>
        </w:rPr>
      </w:pPr>
      <w:r w:rsidRPr="00E63BF7">
        <w:rPr>
          <w:sz w:val="18"/>
          <w:szCs w:val="18"/>
        </w:rPr>
        <w:t xml:space="preserve">Note: 2023 only includes nine months of data from January 2023 to September 2023, inclusive. </w:t>
      </w:r>
    </w:p>
    <w:p w14:paraId="2518BC18" w14:textId="77777777" w:rsidR="00652C00" w:rsidRDefault="00652C00" w:rsidP="00FE645A">
      <w:pPr>
        <w:pStyle w:val="Figurecaption"/>
      </w:pPr>
    </w:p>
    <w:p w14:paraId="6495BCBD" w14:textId="03B154C6" w:rsidR="00B741C5" w:rsidRDefault="006D4019" w:rsidP="00BF79EE">
      <w:pPr>
        <w:jc w:val="center"/>
      </w:pPr>
      <w:r>
        <w:rPr>
          <w:noProof/>
        </w:rPr>
        <w:drawing>
          <wp:inline distT="0" distB="0" distL="0" distR="0" wp14:anchorId="450DEF18" wp14:editId="192578C5">
            <wp:extent cx="5273749" cy="3466214"/>
            <wp:effectExtent l="0" t="0" r="3175" b="1270"/>
            <wp:docPr id="12" name="Chart 12">
              <a:extLst xmlns:a="http://schemas.openxmlformats.org/drawingml/2006/main">
                <a:ext uri="{FF2B5EF4-FFF2-40B4-BE49-F238E27FC236}">
                  <a16:creationId xmlns:a16="http://schemas.microsoft.com/office/drawing/2014/main" id="{37C0AA56-D142-D966-FB0C-396E510E74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F767F52" w14:textId="32B73395" w:rsidR="00B741C5" w:rsidRDefault="00B741C5" w:rsidP="00B741C5">
      <w:pPr>
        <w:pStyle w:val="Figuretitle"/>
      </w:pPr>
      <w:r w:rsidRPr="00FE645A">
        <w:t xml:space="preserve">Figure </w:t>
      </w:r>
      <w:r w:rsidR="001D7D6C">
        <w:t>2</w:t>
      </w:r>
      <w:r w:rsidRPr="00FE645A">
        <w:t xml:space="preserve">: </w:t>
      </w:r>
      <w:r>
        <w:t xml:space="preserve">Initiating patients by drug and calendar </w:t>
      </w:r>
      <w:r w:rsidR="003F2468">
        <w:t>year.</w:t>
      </w:r>
      <w:r>
        <w:t xml:space="preserve"> </w:t>
      </w:r>
    </w:p>
    <w:p w14:paraId="2306F64B" w14:textId="6DCF0EE3" w:rsidR="004A097C" w:rsidRPr="00E63BF7" w:rsidRDefault="00E63BF7" w:rsidP="001D7D6C">
      <w:pPr>
        <w:rPr>
          <w:sz w:val="18"/>
          <w:szCs w:val="18"/>
        </w:rPr>
      </w:pPr>
      <w:r w:rsidRPr="00E63BF7">
        <w:rPr>
          <w:sz w:val="18"/>
          <w:szCs w:val="18"/>
        </w:rPr>
        <w:t xml:space="preserve">Note: 2023 only includes nine months of data from January 2023 to September 2023, inclusive. </w:t>
      </w:r>
    </w:p>
    <w:p w14:paraId="71D0FDBF" w14:textId="4B4494F8" w:rsidR="001D7D6C" w:rsidRPr="001D7D6C" w:rsidRDefault="003B76A1" w:rsidP="001D7D6C">
      <w:r>
        <w:lastRenderedPageBreak/>
        <w:t>In</w:t>
      </w:r>
      <w:r w:rsidR="001D7D6C">
        <w:t xml:space="preserve"> Figure 2, denosumab</w:t>
      </w:r>
      <w:r w:rsidR="00A81E58">
        <w:t xml:space="preserve"> was the most common medicine patients ini</w:t>
      </w:r>
      <w:r w:rsidR="00FC1635">
        <w:t xml:space="preserve">tiated </w:t>
      </w:r>
      <w:r w:rsidR="004A097C">
        <w:t xml:space="preserve">osteoporosis </w:t>
      </w:r>
      <w:r w:rsidR="00FC1635">
        <w:t xml:space="preserve">treatment with. </w:t>
      </w:r>
      <w:r w:rsidR="004A097C">
        <w:t xml:space="preserve">The </w:t>
      </w:r>
      <w:r w:rsidR="00B9686D">
        <w:t>second and third most common medicine patients initiated with were bisphosphonates</w:t>
      </w:r>
      <w:r>
        <w:t>-</w:t>
      </w:r>
      <w:r w:rsidR="00B9686D">
        <w:t xml:space="preserve"> alendronate and risedronate (including combination products)</w:t>
      </w:r>
      <w:r w:rsidR="00831843">
        <w:t xml:space="preserve">. </w:t>
      </w:r>
    </w:p>
    <w:p w14:paraId="5D962683" w14:textId="77777777" w:rsidR="000E545D" w:rsidRDefault="000E545D" w:rsidP="00FE645A">
      <w:pPr>
        <w:pStyle w:val="Figurecaption"/>
      </w:pPr>
    </w:p>
    <w:p w14:paraId="011CD858" w14:textId="1AF24687" w:rsidR="004551D4" w:rsidRDefault="00D84C09" w:rsidP="00945C09">
      <w:pPr>
        <w:pStyle w:val="Figurecaption"/>
        <w:jc w:val="center"/>
      </w:pPr>
      <w:r>
        <w:rPr>
          <w:noProof/>
        </w:rPr>
        <w:drawing>
          <wp:inline distT="0" distB="0" distL="0" distR="0" wp14:anchorId="5B887013" wp14:editId="37F8B70B">
            <wp:extent cx="4922875" cy="3689498"/>
            <wp:effectExtent l="0" t="0" r="11430" b="6350"/>
            <wp:docPr id="10" name="Chart 10">
              <a:extLst xmlns:a="http://schemas.openxmlformats.org/drawingml/2006/main">
                <a:ext uri="{FF2B5EF4-FFF2-40B4-BE49-F238E27FC236}">
                  <a16:creationId xmlns:a16="http://schemas.microsoft.com/office/drawing/2014/main" id="{515280A4-B30F-CDC0-F4B5-AF5D9160E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3FFBBD9" w14:textId="3AE0438F" w:rsidR="00F57F8C" w:rsidRDefault="00F57F8C" w:rsidP="00F57F8C">
      <w:pPr>
        <w:pStyle w:val="Figuretitle"/>
      </w:pPr>
      <w:r w:rsidRPr="00FE645A">
        <w:t xml:space="preserve">Figure </w:t>
      </w:r>
      <w:r w:rsidR="00B9686D">
        <w:t>3</w:t>
      </w:r>
      <w:r w:rsidRPr="00FE645A">
        <w:t xml:space="preserve">: </w:t>
      </w:r>
      <w:r>
        <w:t xml:space="preserve">Patients treated with </w:t>
      </w:r>
      <w:r w:rsidR="0094721E">
        <w:t>medicines for osteoporosis</w:t>
      </w:r>
      <w:r>
        <w:t xml:space="preserve"> by</w:t>
      </w:r>
      <w:r w:rsidR="006623EE">
        <w:t xml:space="preserve"> drug and</w:t>
      </w:r>
      <w:r>
        <w:t xml:space="preserve"> </w:t>
      </w:r>
      <w:r w:rsidR="006D4CCF">
        <w:t xml:space="preserve">calendar </w:t>
      </w:r>
      <w:r w:rsidR="003F2468">
        <w:t>year.</w:t>
      </w:r>
      <w:r>
        <w:t xml:space="preserve"> </w:t>
      </w:r>
    </w:p>
    <w:p w14:paraId="00F1B2DC" w14:textId="174D0265" w:rsidR="00E63BF7" w:rsidRPr="00E63BF7" w:rsidRDefault="00E63BF7" w:rsidP="00E63BF7">
      <w:pPr>
        <w:rPr>
          <w:sz w:val="18"/>
          <w:szCs w:val="18"/>
        </w:rPr>
      </w:pPr>
      <w:r w:rsidRPr="00E63BF7">
        <w:rPr>
          <w:sz w:val="18"/>
          <w:szCs w:val="18"/>
        </w:rPr>
        <w:t xml:space="preserve">Note: 2023 only includes nine months of data from January 2023 to September 2023, inclusive. </w:t>
      </w:r>
    </w:p>
    <w:p w14:paraId="4C412F36" w14:textId="7F818142" w:rsidR="00B9686D" w:rsidRPr="006F539B" w:rsidRDefault="00B9686D" w:rsidP="006F539B">
      <w:r>
        <w:t xml:space="preserve">In Figure 3, the </w:t>
      </w:r>
      <w:r w:rsidR="003744BA">
        <w:t xml:space="preserve">proportion of patients treated with denosumab </w:t>
      </w:r>
      <w:r w:rsidR="0018203D">
        <w:t xml:space="preserve">annually </w:t>
      </w:r>
      <w:r w:rsidR="003744BA">
        <w:t>has been increa</w:t>
      </w:r>
      <w:r w:rsidR="00803CB7">
        <w:t>sed</w:t>
      </w:r>
      <w:r w:rsidR="000B4A3E">
        <w:t xml:space="preserve"> from 6</w:t>
      </w:r>
      <w:r w:rsidR="008C3DD8">
        <w:t>6</w:t>
      </w:r>
      <w:r w:rsidR="000B4A3E">
        <w:t>% in 2018 to 7</w:t>
      </w:r>
      <w:r w:rsidR="008C3DD8">
        <w:t>6</w:t>
      </w:r>
      <w:r w:rsidR="000B4A3E">
        <w:t xml:space="preserve">% in </w:t>
      </w:r>
      <w:r w:rsidR="00E63BF7">
        <w:t xml:space="preserve">2022. </w:t>
      </w:r>
      <w:r w:rsidR="00D12894">
        <w:t xml:space="preserve">Of patients treated with osteoporosis medicines, less than one percent of patients were treated with romosozumab in 2022.  </w:t>
      </w:r>
    </w:p>
    <w:p w14:paraId="7C4DE4D5" w14:textId="77777777" w:rsidR="006F539B" w:rsidRPr="006F539B" w:rsidRDefault="006F539B" w:rsidP="006F539B"/>
    <w:p w14:paraId="027BA102" w14:textId="6258298E" w:rsidR="00BC6779" w:rsidRPr="00BC6779" w:rsidRDefault="00D84C09" w:rsidP="00BA7BD5">
      <w:pPr>
        <w:jc w:val="center"/>
      </w:pPr>
      <w:r>
        <w:rPr>
          <w:noProof/>
        </w:rPr>
        <w:lastRenderedPageBreak/>
        <w:drawing>
          <wp:inline distT="0" distB="0" distL="0" distR="0" wp14:anchorId="6B3F207F" wp14:editId="5B55CD88">
            <wp:extent cx="5000625" cy="3519488"/>
            <wp:effectExtent l="0" t="0" r="9525" b="5080"/>
            <wp:docPr id="8" name="Chart 8">
              <a:extLst xmlns:a="http://schemas.openxmlformats.org/drawingml/2006/main">
                <a:ext uri="{FF2B5EF4-FFF2-40B4-BE49-F238E27FC236}">
                  <a16:creationId xmlns:a16="http://schemas.microsoft.com/office/drawing/2014/main" id="{F0279FE2-E7AE-FCA2-6067-C9A025C9E3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D2785EF" w14:textId="4148030A" w:rsidR="00BC6779" w:rsidRDefault="00BA7BD5" w:rsidP="000C7151">
      <w:pPr>
        <w:pStyle w:val="Figuretitle"/>
      </w:pPr>
      <w:r w:rsidRPr="00FE645A">
        <w:t xml:space="preserve">Figure </w:t>
      </w:r>
      <w:r w:rsidR="000C7151">
        <w:t>4</w:t>
      </w:r>
      <w:r w:rsidRPr="00FE645A">
        <w:t xml:space="preserve">: </w:t>
      </w:r>
      <w:r>
        <w:t xml:space="preserve">Patients treated with medicines for osteoporosis by </w:t>
      </w:r>
      <w:r w:rsidR="006F539B">
        <w:t xml:space="preserve">calendar </w:t>
      </w:r>
      <w:r w:rsidR="003F2468">
        <w:t>year.</w:t>
      </w:r>
    </w:p>
    <w:p w14:paraId="1295674A" w14:textId="0D59C775" w:rsidR="00056899" w:rsidRPr="00056899" w:rsidRDefault="00056899" w:rsidP="00056899">
      <w:pPr>
        <w:rPr>
          <w:sz w:val="18"/>
          <w:szCs w:val="18"/>
        </w:rPr>
      </w:pPr>
      <w:r w:rsidRPr="00E63BF7">
        <w:rPr>
          <w:sz w:val="18"/>
          <w:szCs w:val="18"/>
        </w:rPr>
        <w:t xml:space="preserve">Note: 2023 only includes nine months of data from January 2023 to September 2023, inclusive. </w:t>
      </w:r>
    </w:p>
    <w:p w14:paraId="079201F7" w14:textId="6E2AB22D" w:rsidR="000C7151" w:rsidRDefault="000C7151" w:rsidP="000C7151">
      <w:r>
        <w:t xml:space="preserve">Figure 4 shows the majority of patients </w:t>
      </w:r>
      <w:r w:rsidR="000042CB">
        <w:t xml:space="preserve">treated with osteoporosis medicines were </w:t>
      </w:r>
      <w:r w:rsidR="00394861">
        <w:t xml:space="preserve">with </w:t>
      </w:r>
      <w:r w:rsidR="000042CB">
        <w:t>anti</w:t>
      </w:r>
      <w:r w:rsidR="00394861">
        <w:t>-</w:t>
      </w:r>
      <w:r w:rsidR="000042CB">
        <w:t xml:space="preserve">resorptive medicines. </w:t>
      </w:r>
      <w:r w:rsidR="00D84C09">
        <w:t xml:space="preserve">Approximately 538,000 patients were treated with anti-resorptive medicines in 2018 and this increased to approximately 694,000 patients in 2022. </w:t>
      </w:r>
    </w:p>
    <w:p w14:paraId="3E24E14E" w14:textId="77777777" w:rsidR="001A094B" w:rsidRPr="000C7151" w:rsidRDefault="001A094B" w:rsidP="000C7151"/>
    <w:p w14:paraId="6DD8E200" w14:textId="5921CD9B" w:rsidR="00BC6779" w:rsidRPr="00BC6779" w:rsidRDefault="00F438F3" w:rsidP="006475B2">
      <w:pPr>
        <w:jc w:val="center"/>
      </w:pPr>
      <w:r>
        <w:rPr>
          <w:noProof/>
        </w:rPr>
        <w:drawing>
          <wp:inline distT="0" distB="0" distL="0" distR="0" wp14:anchorId="00D98F40" wp14:editId="45B86C33">
            <wp:extent cx="4869712" cy="2711302"/>
            <wp:effectExtent l="0" t="0" r="7620" b="13335"/>
            <wp:docPr id="17" name="Chart 17">
              <a:extLst xmlns:a="http://schemas.openxmlformats.org/drawingml/2006/main">
                <a:ext uri="{FF2B5EF4-FFF2-40B4-BE49-F238E27FC236}">
                  <a16:creationId xmlns:a16="http://schemas.microsoft.com/office/drawing/2014/main" id="{2ECB12C8-8C82-7DDC-EF03-DB7445FA2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1567913" w14:textId="250C59A4" w:rsidR="00487A0F" w:rsidRDefault="00487A0F" w:rsidP="00487A0F">
      <w:pPr>
        <w:pStyle w:val="Figuretitle"/>
      </w:pPr>
      <w:r w:rsidRPr="00FE645A">
        <w:t xml:space="preserve">Figure </w:t>
      </w:r>
      <w:r w:rsidR="00056899">
        <w:t>5</w:t>
      </w:r>
      <w:r w:rsidRPr="00FE645A">
        <w:t xml:space="preserve">: </w:t>
      </w:r>
      <w:r>
        <w:t>Patients treated with anti</w:t>
      </w:r>
      <w:r w:rsidR="00394861">
        <w:t>-</w:t>
      </w:r>
      <w:r>
        <w:t xml:space="preserve">resorptive medicines for osteoporosis by </w:t>
      </w:r>
      <w:r w:rsidR="00032BDA">
        <w:t xml:space="preserve">calendar </w:t>
      </w:r>
      <w:r w:rsidR="003F2468">
        <w:t>year.</w:t>
      </w:r>
      <w:r>
        <w:t xml:space="preserve"> </w:t>
      </w:r>
    </w:p>
    <w:p w14:paraId="565C353D" w14:textId="77777777" w:rsidR="00056899" w:rsidRPr="00E63BF7" w:rsidRDefault="00056899" w:rsidP="00056899">
      <w:pPr>
        <w:rPr>
          <w:sz w:val="18"/>
          <w:szCs w:val="18"/>
        </w:rPr>
      </w:pPr>
      <w:r w:rsidRPr="00E63BF7">
        <w:rPr>
          <w:sz w:val="18"/>
          <w:szCs w:val="18"/>
        </w:rPr>
        <w:t xml:space="preserve">Note: 2023 only includes nine months of data from January 2023 to September 2023, inclusive. </w:t>
      </w:r>
    </w:p>
    <w:p w14:paraId="2CABD020" w14:textId="7096E418" w:rsidR="00056899" w:rsidRPr="00056899" w:rsidRDefault="00056899" w:rsidP="00056899">
      <w:pPr>
        <w:pStyle w:val="Tablewriting"/>
        <w:rPr>
          <w:sz w:val="24"/>
          <w:szCs w:val="24"/>
        </w:rPr>
      </w:pPr>
      <w:r>
        <w:rPr>
          <w:sz w:val="24"/>
          <w:szCs w:val="24"/>
        </w:rPr>
        <w:lastRenderedPageBreak/>
        <w:t>In Figure 5,</w:t>
      </w:r>
      <w:r w:rsidR="00587031">
        <w:rPr>
          <w:sz w:val="24"/>
          <w:szCs w:val="24"/>
        </w:rPr>
        <w:t xml:space="preserve"> </w:t>
      </w:r>
      <w:r w:rsidR="00395EBF">
        <w:rPr>
          <w:sz w:val="24"/>
          <w:szCs w:val="24"/>
        </w:rPr>
        <w:t>the anti</w:t>
      </w:r>
      <w:r w:rsidR="00394861">
        <w:rPr>
          <w:sz w:val="24"/>
          <w:szCs w:val="24"/>
        </w:rPr>
        <w:t>-</w:t>
      </w:r>
      <w:r w:rsidR="00395EBF">
        <w:rPr>
          <w:sz w:val="24"/>
          <w:szCs w:val="24"/>
        </w:rPr>
        <w:t>resorptive medicine patients were most treated with was denosumab.</w:t>
      </w:r>
      <w:r w:rsidR="0044036F">
        <w:rPr>
          <w:sz w:val="24"/>
          <w:szCs w:val="24"/>
        </w:rPr>
        <w:t xml:space="preserve"> The number of patients treated with denosumab has increased over time, whereas </w:t>
      </w:r>
      <w:r w:rsidR="00D35C0B">
        <w:rPr>
          <w:sz w:val="24"/>
          <w:szCs w:val="24"/>
        </w:rPr>
        <w:t xml:space="preserve">the </w:t>
      </w:r>
      <w:r w:rsidR="0044036F">
        <w:rPr>
          <w:sz w:val="24"/>
          <w:szCs w:val="24"/>
        </w:rPr>
        <w:t xml:space="preserve">number of patients treated with bisphosphonates and raloxifene has been </w:t>
      </w:r>
      <w:r w:rsidR="00353FB7">
        <w:rPr>
          <w:sz w:val="24"/>
          <w:szCs w:val="24"/>
        </w:rPr>
        <w:t xml:space="preserve">slightly </w:t>
      </w:r>
      <w:r w:rsidR="0044036F">
        <w:rPr>
          <w:sz w:val="24"/>
          <w:szCs w:val="24"/>
        </w:rPr>
        <w:t xml:space="preserve">decreasing over time. </w:t>
      </w:r>
    </w:p>
    <w:p w14:paraId="582217F3" w14:textId="77777777" w:rsidR="00BC6779" w:rsidRDefault="00BC6779" w:rsidP="00BC6779"/>
    <w:p w14:paraId="4F428705" w14:textId="39B7B8AA" w:rsidR="00487A0F" w:rsidRPr="00BC6779" w:rsidRDefault="008C2C60" w:rsidP="006475B2">
      <w:pPr>
        <w:jc w:val="center"/>
      </w:pPr>
      <w:r>
        <w:rPr>
          <w:noProof/>
        </w:rPr>
        <w:drawing>
          <wp:inline distT="0" distB="0" distL="0" distR="0" wp14:anchorId="58342CCB" wp14:editId="794B2CE2">
            <wp:extent cx="5238000" cy="3268800"/>
            <wp:effectExtent l="0" t="0" r="1270" b="8255"/>
            <wp:docPr id="18" name="Chart 18">
              <a:extLst xmlns:a="http://schemas.openxmlformats.org/drawingml/2006/main">
                <a:ext uri="{FF2B5EF4-FFF2-40B4-BE49-F238E27FC236}">
                  <a16:creationId xmlns:a16="http://schemas.microsoft.com/office/drawing/2014/main" id="{21F71DA6-0F8A-6B11-D1DB-91968BB6D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7269A1" w14:textId="7E93A516" w:rsidR="00BE683E" w:rsidRDefault="00BE683E" w:rsidP="00BE683E">
      <w:pPr>
        <w:pStyle w:val="Figuretitle"/>
      </w:pPr>
      <w:r w:rsidRPr="00FE645A">
        <w:t xml:space="preserve">Figure </w:t>
      </w:r>
      <w:r w:rsidR="00917976">
        <w:t>6</w:t>
      </w:r>
      <w:r w:rsidRPr="00FE645A">
        <w:t xml:space="preserve">: </w:t>
      </w:r>
      <w:r>
        <w:t>Patients treated with anti</w:t>
      </w:r>
      <w:r w:rsidR="00394861">
        <w:t>-</w:t>
      </w:r>
      <w:r>
        <w:t xml:space="preserve">resorptive bisphosphonate medicines for osteoporosis by </w:t>
      </w:r>
      <w:r w:rsidR="00032BDA">
        <w:t xml:space="preserve">calendar </w:t>
      </w:r>
      <w:r w:rsidR="003F2468">
        <w:t>year.</w:t>
      </w:r>
    </w:p>
    <w:p w14:paraId="399C4FBE" w14:textId="77777777" w:rsidR="00056899" w:rsidRPr="00E63BF7" w:rsidRDefault="00056899" w:rsidP="00056899">
      <w:pPr>
        <w:rPr>
          <w:sz w:val="18"/>
          <w:szCs w:val="18"/>
        </w:rPr>
      </w:pPr>
      <w:r w:rsidRPr="00E63BF7">
        <w:rPr>
          <w:sz w:val="18"/>
          <w:szCs w:val="18"/>
        </w:rPr>
        <w:t xml:space="preserve">Note: 2023 only includes nine months of data from January 2023 to September 2023, inclusive. </w:t>
      </w:r>
    </w:p>
    <w:p w14:paraId="2AEF4E51" w14:textId="1BEC6B0E" w:rsidR="00056899" w:rsidRPr="00917976" w:rsidRDefault="00917976" w:rsidP="00917976">
      <w:r>
        <w:t xml:space="preserve">In Figure 6, </w:t>
      </w:r>
      <w:r w:rsidR="00EA6134">
        <w:t xml:space="preserve">the bisphosphonate medicine that most patients were treated with was </w:t>
      </w:r>
      <w:r>
        <w:t>ris</w:t>
      </w:r>
      <w:r w:rsidR="004966FA">
        <w:t>e</w:t>
      </w:r>
      <w:r>
        <w:t>dronate</w:t>
      </w:r>
      <w:r w:rsidR="005027B1">
        <w:t xml:space="preserve"> (including its combination products)</w:t>
      </w:r>
      <w:r w:rsidR="00EA6134">
        <w:t xml:space="preserve">. </w:t>
      </w:r>
      <w:r w:rsidR="005027B1">
        <w:t xml:space="preserve"> </w:t>
      </w:r>
    </w:p>
    <w:p w14:paraId="524139E8" w14:textId="77777777" w:rsidR="00BC6779" w:rsidRDefault="00BC6779" w:rsidP="00BE683E"/>
    <w:p w14:paraId="0E3280EC" w14:textId="499E2267" w:rsidR="0042709D" w:rsidRPr="00BE683E" w:rsidRDefault="00947D09" w:rsidP="004E530F">
      <w:pPr>
        <w:jc w:val="center"/>
      </w:pPr>
      <w:r>
        <w:rPr>
          <w:noProof/>
        </w:rPr>
        <w:lastRenderedPageBreak/>
        <w:drawing>
          <wp:inline distT="0" distB="0" distL="0" distR="0" wp14:anchorId="529A9312" wp14:editId="05BABF57">
            <wp:extent cx="5095875" cy="3300414"/>
            <wp:effectExtent l="0" t="0" r="9525" b="14605"/>
            <wp:docPr id="13" name="Chart 13">
              <a:extLst xmlns:a="http://schemas.openxmlformats.org/drawingml/2006/main">
                <a:ext uri="{FF2B5EF4-FFF2-40B4-BE49-F238E27FC236}">
                  <a16:creationId xmlns:a16="http://schemas.microsoft.com/office/drawing/2014/main" id="{1F563898-8057-CF3B-ED5E-8026BC6D9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9C07319" w14:textId="4C3985F7" w:rsidR="0042709D" w:rsidRDefault="0042709D" w:rsidP="0042709D">
      <w:pPr>
        <w:pStyle w:val="Figuretitle"/>
      </w:pPr>
      <w:r w:rsidRPr="00FE645A">
        <w:t xml:space="preserve">Figure </w:t>
      </w:r>
      <w:r w:rsidR="00206F83">
        <w:t>7</w:t>
      </w:r>
      <w:r w:rsidRPr="00FE645A">
        <w:t xml:space="preserve">: </w:t>
      </w:r>
      <w:r>
        <w:t xml:space="preserve">Patients treated other medicines for osteoporosis by </w:t>
      </w:r>
      <w:r w:rsidR="00D01F36">
        <w:t xml:space="preserve">calendar </w:t>
      </w:r>
      <w:r w:rsidR="003F2468">
        <w:t>year.</w:t>
      </w:r>
      <w:r>
        <w:t xml:space="preserve"> </w:t>
      </w:r>
    </w:p>
    <w:p w14:paraId="35424BD4" w14:textId="77777777" w:rsidR="001801A8" w:rsidRPr="00E63BF7" w:rsidRDefault="001801A8" w:rsidP="001801A8">
      <w:pPr>
        <w:rPr>
          <w:sz w:val="18"/>
          <w:szCs w:val="18"/>
        </w:rPr>
      </w:pPr>
      <w:r w:rsidRPr="00E63BF7">
        <w:rPr>
          <w:sz w:val="18"/>
          <w:szCs w:val="18"/>
        </w:rPr>
        <w:t xml:space="preserve">Note: 2023 only includes nine months of data from January 2023 to September 2023, inclusive. </w:t>
      </w:r>
    </w:p>
    <w:p w14:paraId="0D81C7D2" w14:textId="4A96A13B" w:rsidR="001801A8" w:rsidRDefault="001801A8" w:rsidP="009758A4">
      <w:r>
        <w:t xml:space="preserve">With regards to other medicines for the treatment of osteoporosis, most patients were treated </w:t>
      </w:r>
      <w:r w:rsidR="00FF5A35">
        <w:t xml:space="preserve">with calcitriol. In 2021, more patients were treated with teriparatide compared to romosozumab, however from 2022 </w:t>
      </w:r>
      <w:r w:rsidR="00023349">
        <w:t xml:space="preserve">onwards, more patients were treated with romosozumab compared to teriparatide. </w:t>
      </w:r>
    </w:p>
    <w:p w14:paraId="5044B954" w14:textId="77777777" w:rsidR="001D4955" w:rsidRPr="009758A4" w:rsidRDefault="001D4955" w:rsidP="009758A4"/>
    <w:p w14:paraId="0AC56CE1" w14:textId="12C548A6" w:rsidR="009758A4" w:rsidRDefault="006D4019" w:rsidP="009758A4">
      <w:pPr>
        <w:pStyle w:val="Figurecaption"/>
        <w:jc w:val="center"/>
      </w:pPr>
      <w:r>
        <w:rPr>
          <w:noProof/>
        </w:rPr>
        <w:drawing>
          <wp:inline distT="0" distB="0" distL="0" distR="0" wp14:anchorId="3580C61F" wp14:editId="0BEC9816">
            <wp:extent cx="4933507" cy="2934586"/>
            <wp:effectExtent l="0" t="0" r="635" b="18415"/>
            <wp:docPr id="11" name="Chart 11">
              <a:extLst xmlns:a="http://schemas.openxmlformats.org/drawingml/2006/main">
                <a:ext uri="{FF2B5EF4-FFF2-40B4-BE49-F238E27FC236}">
                  <a16:creationId xmlns:a16="http://schemas.microsoft.com/office/drawing/2014/main" id="{D44AB09F-1526-CA4D-B24F-B5ED955AD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2EEAD22" w14:textId="75B19294" w:rsidR="009758A4" w:rsidRDefault="009758A4" w:rsidP="009758A4">
      <w:pPr>
        <w:pStyle w:val="Figuretitle"/>
      </w:pPr>
      <w:r w:rsidRPr="00FE645A">
        <w:t xml:space="preserve">Figure </w:t>
      </w:r>
      <w:r w:rsidR="00FA168E">
        <w:t>8</w:t>
      </w:r>
      <w:r w:rsidRPr="00FE645A">
        <w:t xml:space="preserve">: </w:t>
      </w:r>
      <w:r>
        <w:t xml:space="preserve">Osteoporosis medicine prescriptions supplied by </w:t>
      </w:r>
      <w:r w:rsidR="00343E21">
        <w:t xml:space="preserve">drug and </w:t>
      </w:r>
      <w:r w:rsidR="002A4EA0">
        <w:t xml:space="preserve">calendar </w:t>
      </w:r>
      <w:r w:rsidR="003F2468">
        <w:t>year.</w:t>
      </w:r>
      <w:r>
        <w:t xml:space="preserve"> </w:t>
      </w:r>
    </w:p>
    <w:p w14:paraId="3B496C1D" w14:textId="55C3C95A" w:rsidR="009758A4" w:rsidRDefault="00CC7559" w:rsidP="009758A4">
      <w:pPr>
        <w:rPr>
          <w:sz w:val="18"/>
          <w:szCs w:val="18"/>
        </w:rPr>
      </w:pPr>
      <w:r w:rsidRPr="00E63BF7">
        <w:rPr>
          <w:sz w:val="18"/>
          <w:szCs w:val="18"/>
        </w:rPr>
        <w:t>Note: 2023 only includes nine months of data from January 2023 to September 2023, inclusive.</w:t>
      </w:r>
    </w:p>
    <w:p w14:paraId="1C468BFC" w14:textId="242F3625" w:rsidR="00A05203" w:rsidRDefault="00FA168E" w:rsidP="00D814AF">
      <w:r>
        <w:lastRenderedPageBreak/>
        <w:t xml:space="preserve">Figure 8 shows the </w:t>
      </w:r>
      <w:r w:rsidR="00343E21">
        <w:t xml:space="preserve">number of prescriptions supplied </w:t>
      </w:r>
      <w:r w:rsidR="00074D97">
        <w:t xml:space="preserve">by calendar year. </w:t>
      </w:r>
      <w:r w:rsidR="007E37D0">
        <w:t>Similar</w:t>
      </w:r>
      <w:r w:rsidR="00074D97">
        <w:t xml:space="preserve"> to the trends observed in </w:t>
      </w:r>
      <w:r w:rsidR="00E803C9">
        <w:t xml:space="preserve">Figure </w:t>
      </w:r>
      <w:r w:rsidR="005129CB">
        <w:t xml:space="preserve">3, denosumab accounted for the majority of </w:t>
      </w:r>
      <w:r w:rsidR="007E37D0">
        <w:t>osteoporosis prescriptions supplied</w:t>
      </w:r>
      <w:r w:rsidR="00533B8F">
        <w:t>, followed by alendronate</w:t>
      </w:r>
      <w:r w:rsidR="00D814AF">
        <w:t xml:space="preserve"> (incl. combination products)</w:t>
      </w:r>
      <w:r w:rsidR="00533B8F">
        <w:t xml:space="preserve"> and risedronate</w:t>
      </w:r>
      <w:r w:rsidR="00D814AF">
        <w:t xml:space="preserve"> (incl. combination products)</w:t>
      </w:r>
      <w:r w:rsidR="00533B8F">
        <w:t xml:space="preserve">. </w:t>
      </w:r>
    </w:p>
    <w:p w14:paraId="68114FBD" w14:textId="77777777" w:rsidR="000911E9" w:rsidRDefault="000911E9" w:rsidP="00D527B4">
      <w:pPr>
        <w:pStyle w:val="Figurecaption"/>
        <w:jc w:val="center"/>
      </w:pPr>
    </w:p>
    <w:p w14:paraId="2127F140" w14:textId="2E989A8D" w:rsidR="000911E9" w:rsidRDefault="00947D09" w:rsidP="00D527B4">
      <w:pPr>
        <w:pStyle w:val="Figurecaption"/>
        <w:jc w:val="center"/>
      </w:pPr>
      <w:r>
        <w:rPr>
          <w:noProof/>
        </w:rPr>
        <w:drawing>
          <wp:inline distT="0" distB="0" distL="0" distR="0" wp14:anchorId="2F6DD9A8" wp14:editId="2443D1FB">
            <wp:extent cx="5305426" cy="3500439"/>
            <wp:effectExtent l="0" t="0" r="9525" b="5080"/>
            <wp:docPr id="20" name="Chart 20">
              <a:extLst xmlns:a="http://schemas.openxmlformats.org/drawingml/2006/main">
                <a:ext uri="{FF2B5EF4-FFF2-40B4-BE49-F238E27FC236}">
                  <a16:creationId xmlns:a16="http://schemas.microsoft.com/office/drawing/2014/main" id="{FB1D1B8D-F031-1686-3223-99DCA492E6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3090467" w14:textId="7E8F4C95" w:rsidR="000911E9" w:rsidRDefault="000911E9" w:rsidP="000911E9">
      <w:pPr>
        <w:pStyle w:val="Figuretitle"/>
      </w:pPr>
      <w:r w:rsidRPr="00FE645A">
        <w:t xml:space="preserve">Figure </w:t>
      </w:r>
      <w:r w:rsidR="00740CF1">
        <w:t>9</w:t>
      </w:r>
      <w:r w:rsidRPr="00FE645A">
        <w:t xml:space="preserve">: </w:t>
      </w:r>
      <w:r>
        <w:t xml:space="preserve">Number of </w:t>
      </w:r>
      <w:r w:rsidR="00156239">
        <w:t xml:space="preserve">patients </w:t>
      </w:r>
      <w:r w:rsidR="00BA1FC7">
        <w:t xml:space="preserve">treated </w:t>
      </w:r>
      <w:r w:rsidR="00156239">
        <w:t xml:space="preserve">by </w:t>
      </w:r>
      <w:r w:rsidR="00BA1FC7">
        <w:t xml:space="preserve">osteoporosis medicine </w:t>
      </w:r>
      <w:r w:rsidR="00156239">
        <w:t xml:space="preserve">form and calendar </w:t>
      </w:r>
      <w:r w:rsidR="003F2468">
        <w:t>year.</w:t>
      </w:r>
    </w:p>
    <w:p w14:paraId="3E73C736" w14:textId="1344FBC9" w:rsidR="0027174D" w:rsidRDefault="0027174D" w:rsidP="0027174D">
      <w:pPr>
        <w:rPr>
          <w:sz w:val="18"/>
          <w:szCs w:val="18"/>
        </w:rPr>
      </w:pPr>
      <w:r w:rsidRPr="00E63BF7">
        <w:rPr>
          <w:sz w:val="18"/>
          <w:szCs w:val="18"/>
        </w:rPr>
        <w:t>Note: 2023 only includes nine months of data from January 2023 to September 2023, inclusive.</w:t>
      </w:r>
      <w:r w:rsidR="006A294F">
        <w:rPr>
          <w:sz w:val="18"/>
          <w:szCs w:val="18"/>
        </w:rPr>
        <w:t xml:space="preserve"> Denosumab</w:t>
      </w:r>
      <w:r w:rsidR="002326BC">
        <w:rPr>
          <w:sz w:val="18"/>
          <w:szCs w:val="18"/>
        </w:rPr>
        <w:t xml:space="preserve">, </w:t>
      </w:r>
      <w:r w:rsidR="006A294F">
        <w:rPr>
          <w:sz w:val="18"/>
          <w:szCs w:val="18"/>
        </w:rPr>
        <w:t>romosozumab and teriparatide were clas</w:t>
      </w:r>
      <w:r w:rsidR="002326BC">
        <w:rPr>
          <w:sz w:val="18"/>
          <w:szCs w:val="18"/>
        </w:rPr>
        <w:t>sified as</w:t>
      </w:r>
      <w:r w:rsidR="00976EC2">
        <w:rPr>
          <w:sz w:val="18"/>
          <w:szCs w:val="18"/>
        </w:rPr>
        <w:t xml:space="preserve"> an</w:t>
      </w:r>
      <w:r w:rsidR="002326BC">
        <w:rPr>
          <w:sz w:val="18"/>
          <w:szCs w:val="18"/>
        </w:rPr>
        <w:t xml:space="preserve"> i</w:t>
      </w:r>
      <w:r w:rsidR="006D25E7">
        <w:rPr>
          <w:sz w:val="18"/>
          <w:szCs w:val="18"/>
        </w:rPr>
        <w:t>nject</w:t>
      </w:r>
      <w:r w:rsidR="002326BC">
        <w:rPr>
          <w:sz w:val="18"/>
          <w:szCs w:val="18"/>
        </w:rPr>
        <w:t>ion</w:t>
      </w:r>
      <w:r w:rsidR="007C018F">
        <w:rPr>
          <w:sz w:val="18"/>
          <w:szCs w:val="18"/>
        </w:rPr>
        <w:t>;</w:t>
      </w:r>
      <w:r w:rsidR="002326BC">
        <w:rPr>
          <w:sz w:val="18"/>
          <w:szCs w:val="18"/>
        </w:rPr>
        <w:t xml:space="preserve"> zoledronic acid was classified as</w:t>
      </w:r>
      <w:r w:rsidR="00976EC2">
        <w:rPr>
          <w:sz w:val="18"/>
          <w:szCs w:val="18"/>
        </w:rPr>
        <w:t xml:space="preserve"> an</w:t>
      </w:r>
      <w:r w:rsidR="002326BC">
        <w:rPr>
          <w:sz w:val="18"/>
          <w:szCs w:val="18"/>
        </w:rPr>
        <w:t xml:space="preserve"> </w:t>
      </w:r>
      <w:r w:rsidR="00087AB3">
        <w:rPr>
          <w:sz w:val="18"/>
          <w:szCs w:val="18"/>
        </w:rPr>
        <w:t xml:space="preserve">IV </w:t>
      </w:r>
      <w:r w:rsidR="002326BC">
        <w:rPr>
          <w:sz w:val="18"/>
          <w:szCs w:val="18"/>
        </w:rPr>
        <w:t>in</w:t>
      </w:r>
      <w:r w:rsidR="00087AB3">
        <w:rPr>
          <w:sz w:val="18"/>
          <w:szCs w:val="18"/>
        </w:rPr>
        <w:t>fusion</w:t>
      </w:r>
      <w:r w:rsidR="007C018F">
        <w:rPr>
          <w:sz w:val="18"/>
          <w:szCs w:val="18"/>
        </w:rPr>
        <w:t>;</w:t>
      </w:r>
      <w:r w:rsidR="002326BC">
        <w:rPr>
          <w:sz w:val="18"/>
          <w:szCs w:val="18"/>
        </w:rPr>
        <w:t xml:space="preserve"> </w:t>
      </w:r>
      <w:r w:rsidR="003F2468">
        <w:rPr>
          <w:sz w:val="18"/>
          <w:szCs w:val="18"/>
        </w:rPr>
        <w:t>alendronate (</w:t>
      </w:r>
      <w:r w:rsidR="00AB038C">
        <w:rPr>
          <w:sz w:val="18"/>
          <w:szCs w:val="18"/>
        </w:rPr>
        <w:t>incl. combination products)</w:t>
      </w:r>
      <w:r w:rsidR="00286EE0">
        <w:rPr>
          <w:sz w:val="18"/>
          <w:szCs w:val="18"/>
        </w:rPr>
        <w:t xml:space="preserve">, </w:t>
      </w:r>
      <w:r w:rsidR="007C018F">
        <w:rPr>
          <w:sz w:val="18"/>
          <w:szCs w:val="18"/>
        </w:rPr>
        <w:t>calcitriol and raloxifene</w:t>
      </w:r>
      <w:r w:rsidR="00AB038C">
        <w:rPr>
          <w:sz w:val="18"/>
          <w:szCs w:val="18"/>
        </w:rPr>
        <w:t>, risedronate (incl. combination products)</w:t>
      </w:r>
      <w:r w:rsidR="006A294F">
        <w:rPr>
          <w:sz w:val="18"/>
          <w:szCs w:val="18"/>
        </w:rPr>
        <w:t xml:space="preserve"> were classified</w:t>
      </w:r>
      <w:r w:rsidR="00976EC2">
        <w:rPr>
          <w:sz w:val="18"/>
          <w:szCs w:val="18"/>
        </w:rPr>
        <w:t xml:space="preserve"> as</w:t>
      </w:r>
      <w:r w:rsidR="00087AB3">
        <w:rPr>
          <w:sz w:val="18"/>
          <w:szCs w:val="18"/>
        </w:rPr>
        <w:t xml:space="preserve"> oral</w:t>
      </w:r>
      <w:r w:rsidR="00976EC2">
        <w:rPr>
          <w:sz w:val="18"/>
          <w:szCs w:val="18"/>
        </w:rPr>
        <w:t xml:space="preserve"> medicines</w:t>
      </w:r>
      <w:r w:rsidR="00087AB3">
        <w:rPr>
          <w:sz w:val="18"/>
          <w:szCs w:val="18"/>
        </w:rPr>
        <w:t xml:space="preserve">. </w:t>
      </w:r>
    </w:p>
    <w:p w14:paraId="2A92E7E3" w14:textId="5DC516AA" w:rsidR="000911E9" w:rsidRPr="00245246" w:rsidRDefault="00245246" w:rsidP="0027174D">
      <w:pPr>
        <w:pStyle w:val="Figurecaption"/>
        <w:rPr>
          <w:sz w:val="24"/>
          <w:szCs w:val="24"/>
        </w:rPr>
      </w:pPr>
      <w:r>
        <w:rPr>
          <w:sz w:val="24"/>
          <w:szCs w:val="24"/>
        </w:rPr>
        <w:t>With regards to medicinal form, most patients were treated with osteoporosis medicines in the form of injections</w:t>
      </w:r>
      <w:r w:rsidR="00947D09">
        <w:rPr>
          <w:sz w:val="24"/>
          <w:szCs w:val="24"/>
        </w:rPr>
        <w:t xml:space="preserve"> across 2018 to 2023</w:t>
      </w:r>
      <w:r>
        <w:rPr>
          <w:sz w:val="24"/>
          <w:szCs w:val="24"/>
        </w:rPr>
        <w:t xml:space="preserve">. </w:t>
      </w:r>
    </w:p>
    <w:p w14:paraId="2857C524" w14:textId="77777777" w:rsidR="000911E9" w:rsidRDefault="000911E9" w:rsidP="00D527B4">
      <w:pPr>
        <w:pStyle w:val="Figurecaption"/>
        <w:jc w:val="center"/>
      </w:pPr>
    </w:p>
    <w:p w14:paraId="0182DB50" w14:textId="6D6CE1B9" w:rsidR="004551D4" w:rsidRDefault="004551D4" w:rsidP="00016303">
      <w:pPr>
        <w:pStyle w:val="Figurecaption"/>
        <w:jc w:val="center"/>
      </w:pPr>
      <w:r>
        <w:rPr>
          <w:noProof/>
        </w:rPr>
        <w:lastRenderedPageBreak/>
        <w:drawing>
          <wp:inline distT="0" distB="0" distL="0" distR="0" wp14:anchorId="051C60C2" wp14:editId="2CA71022">
            <wp:extent cx="5238000" cy="3268800"/>
            <wp:effectExtent l="0" t="0" r="1270" b="8255"/>
            <wp:docPr id="1" name="Chart 1">
              <a:extLst xmlns:a="http://schemas.openxmlformats.org/drawingml/2006/main">
                <a:ext uri="{FF2B5EF4-FFF2-40B4-BE49-F238E27FC236}">
                  <a16:creationId xmlns:a16="http://schemas.microsoft.com/office/drawing/2014/main" id="{DA754572-29BD-1317-E99C-1E5B150A55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DCA1E73" w14:textId="6478DB9D" w:rsidR="00F57F8C" w:rsidRPr="00FE645A" w:rsidRDefault="00F57F8C" w:rsidP="00F57F8C">
      <w:pPr>
        <w:pStyle w:val="Figuretitle"/>
      </w:pPr>
      <w:r w:rsidRPr="00FE645A">
        <w:t xml:space="preserve">Figure </w:t>
      </w:r>
      <w:r w:rsidR="00740CF1">
        <w:t>10</w:t>
      </w:r>
      <w:r w:rsidRPr="00FE645A">
        <w:t xml:space="preserve">: </w:t>
      </w:r>
      <w:r>
        <w:t xml:space="preserve">Initiating and prevalent romosozumab patients by supply quarter </w:t>
      </w:r>
    </w:p>
    <w:p w14:paraId="7DF11B15" w14:textId="77777777" w:rsidR="004473BB" w:rsidRDefault="004473BB" w:rsidP="00FE645A">
      <w:pPr>
        <w:pStyle w:val="Figurecaption"/>
        <w:rPr>
          <w:sz w:val="24"/>
          <w:szCs w:val="24"/>
        </w:rPr>
      </w:pPr>
    </w:p>
    <w:p w14:paraId="52E32B3E" w14:textId="3BD2FB65" w:rsidR="007D7974" w:rsidRPr="004551D4" w:rsidRDefault="00FE41F9" w:rsidP="00FE645A">
      <w:pPr>
        <w:pStyle w:val="Figurecaption"/>
        <w:rPr>
          <w:sz w:val="24"/>
          <w:szCs w:val="24"/>
        </w:rPr>
      </w:pPr>
      <w:r>
        <w:rPr>
          <w:sz w:val="24"/>
          <w:szCs w:val="24"/>
        </w:rPr>
        <w:t xml:space="preserve">In Figure </w:t>
      </w:r>
      <w:r w:rsidR="00740CF1">
        <w:rPr>
          <w:sz w:val="24"/>
          <w:szCs w:val="24"/>
        </w:rPr>
        <w:t>10</w:t>
      </w:r>
      <w:r>
        <w:rPr>
          <w:sz w:val="24"/>
          <w:szCs w:val="24"/>
        </w:rPr>
        <w:t xml:space="preserve">, the number of patients treated with romosozumab has been increasing over time. </w:t>
      </w:r>
      <w:r w:rsidR="00803CB7">
        <w:rPr>
          <w:sz w:val="24"/>
          <w:szCs w:val="24"/>
        </w:rPr>
        <w:t xml:space="preserve">There were 150 patients treated with romosozumab in 2021Q2, this has increased to 999 patients by 2023Q3. </w:t>
      </w:r>
      <w:r w:rsidR="00EF70A3">
        <w:rPr>
          <w:sz w:val="24"/>
          <w:szCs w:val="24"/>
        </w:rPr>
        <w:t xml:space="preserve">Approximately 200 patients initiate treatment with romosozumab per supply quarter. </w:t>
      </w:r>
    </w:p>
    <w:p w14:paraId="09F9D349" w14:textId="7427B89F" w:rsidR="00736041" w:rsidRPr="005E22C2" w:rsidRDefault="00736041" w:rsidP="00CF5E22">
      <w:pPr>
        <w:pStyle w:val="Heading3"/>
      </w:pPr>
      <w:r w:rsidRPr="005E22C2">
        <w:t>Utilisation by relevant sub-populations/regions</w:t>
      </w:r>
      <w:r w:rsidR="001B5D37" w:rsidRPr="005E22C2">
        <w:t xml:space="preserve"> or patient level analysis</w:t>
      </w:r>
    </w:p>
    <w:p w14:paraId="0C2380A1" w14:textId="049283D8" w:rsidR="00967C7A" w:rsidRDefault="00BA134F" w:rsidP="00A451CE">
      <w:pPr>
        <w:jc w:val="center"/>
      </w:pPr>
      <w:r>
        <w:rPr>
          <w:noProof/>
        </w:rPr>
        <w:drawing>
          <wp:inline distT="0" distB="0" distL="0" distR="0" wp14:anchorId="03D8B277" wp14:editId="6FFFEBE5">
            <wp:extent cx="4813540" cy="2950234"/>
            <wp:effectExtent l="0" t="0" r="6350" b="2540"/>
            <wp:docPr id="23" name="Chart 23">
              <a:extLst xmlns:a="http://schemas.openxmlformats.org/drawingml/2006/main">
                <a:ext uri="{FF2B5EF4-FFF2-40B4-BE49-F238E27FC236}">
                  <a16:creationId xmlns:a16="http://schemas.microsoft.com/office/drawing/2014/main" id="{334B89B6-C20D-2F6A-A169-66384BC792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2404D42" w14:textId="793140B0" w:rsidR="00967C7A" w:rsidRDefault="00967C7A" w:rsidP="00967C7A">
      <w:pPr>
        <w:pStyle w:val="Figuretitle"/>
      </w:pPr>
      <w:r w:rsidRPr="00FE645A">
        <w:t xml:space="preserve">Figure </w:t>
      </w:r>
      <w:r w:rsidR="00740CF1">
        <w:t>11</w:t>
      </w:r>
      <w:r w:rsidRPr="00FE645A">
        <w:t xml:space="preserve">: </w:t>
      </w:r>
      <w:r>
        <w:t xml:space="preserve">Age and gender distribution of initiating osteoporosis patients </w:t>
      </w:r>
      <w:r w:rsidR="003C2EF2">
        <w:t xml:space="preserve">between </w:t>
      </w:r>
      <w:r w:rsidR="00CE3796">
        <w:t xml:space="preserve">1 January to 30 September 2023 </w:t>
      </w:r>
      <w:r w:rsidR="003C2EF2">
        <w:t xml:space="preserve"> </w:t>
      </w:r>
    </w:p>
    <w:p w14:paraId="39B1847C" w14:textId="11EECA53" w:rsidR="00631E8A" w:rsidRPr="00631E8A" w:rsidRDefault="00CE3796" w:rsidP="00631E8A">
      <w:r>
        <w:lastRenderedPageBreak/>
        <w:t xml:space="preserve">As shown in Figure </w:t>
      </w:r>
      <w:r w:rsidR="00740CF1">
        <w:t>11</w:t>
      </w:r>
      <w:r>
        <w:t>, the most common age group</w:t>
      </w:r>
      <w:r w:rsidR="00952B77">
        <w:t xml:space="preserve"> </w:t>
      </w:r>
      <w:r>
        <w:t>of patient</w:t>
      </w:r>
      <w:r w:rsidR="007E1C15">
        <w:t>s</w:t>
      </w:r>
      <w:r>
        <w:t xml:space="preserve"> </w:t>
      </w:r>
      <w:r w:rsidR="004D21DA">
        <w:t>initiating</w:t>
      </w:r>
      <w:r>
        <w:t xml:space="preserve"> treatments for osteoporosis were those aged between </w:t>
      </w:r>
      <w:r w:rsidR="00952B77">
        <w:t xml:space="preserve">70-79 years. The median age </w:t>
      </w:r>
      <w:r w:rsidR="00B23D5B">
        <w:t>was</w:t>
      </w:r>
      <w:r w:rsidR="00C15A0F">
        <w:t xml:space="preserve"> </w:t>
      </w:r>
      <w:r w:rsidR="007E1C15">
        <w:t>72 and</w:t>
      </w:r>
      <w:r w:rsidR="00B23D5B">
        <w:t xml:space="preserve"> 75 years </w:t>
      </w:r>
      <w:r w:rsidR="007E1C15">
        <w:t xml:space="preserve">for females and males, respectively. </w:t>
      </w:r>
    </w:p>
    <w:p w14:paraId="10A7B73B" w14:textId="77777777" w:rsidR="00631E8A" w:rsidRPr="00631E8A" w:rsidRDefault="00631E8A" w:rsidP="00631E8A"/>
    <w:p w14:paraId="2DCAA133" w14:textId="348D7045" w:rsidR="00631E8A" w:rsidRPr="00631E8A" w:rsidRDefault="00AA5E7A" w:rsidP="00AA5E7A">
      <w:pPr>
        <w:jc w:val="center"/>
      </w:pPr>
      <w:r>
        <w:rPr>
          <w:noProof/>
        </w:rPr>
        <w:drawing>
          <wp:inline distT="0" distB="0" distL="0" distR="0" wp14:anchorId="1FD44A01" wp14:editId="1F9A4047">
            <wp:extent cx="5238000" cy="3268800"/>
            <wp:effectExtent l="0" t="0" r="1270" b="8255"/>
            <wp:docPr id="4" name="Chart 4">
              <a:extLst xmlns:a="http://schemas.openxmlformats.org/drawingml/2006/main">
                <a:ext uri="{FF2B5EF4-FFF2-40B4-BE49-F238E27FC236}">
                  <a16:creationId xmlns:a16="http://schemas.microsoft.com/office/drawing/2014/main" id="{F7ABA361-62C3-405A-BA20-8F9E63FF41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E4E0B98" w14:textId="645D765C" w:rsidR="00715AF1" w:rsidRDefault="00B614B1" w:rsidP="00B614B1">
      <w:pPr>
        <w:pStyle w:val="Figuretitle"/>
      </w:pPr>
      <w:r w:rsidRPr="00FE645A">
        <w:t xml:space="preserve">Figure </w:t>
      </w:r>
      <w:r w:rsidR="00740CF1">
        <w:t>12</w:t>
      </w:r>
      <w:r w:rsidR="00B23D5B">
        <w:t>:</w:t>
      </w:r>
      <w:r w:rsidRPr="00FE645A">
        <w:t xml:space="preserve"> </w:t>
      </w:r>
      <w:r>
        <w:t xml:space="preserve">Age and gender distribution of initiating romosozumab patients </w:t>
      </w:r>
    </w:p>
    <w:p w14:paraId="09BFC544" w14:textId="715BD46C" w:rsidR="004B76DF" w:rsidRDefault="00B23D5B" w:rsidP="00FB07A4">
      <w:r>
        <w:t xml:space="preserve">Similar to Figure </w:t>
      </w:r>
      <w:r w:rsidR="003F2468">
        <w:t>11</w:t>
      </w:r>
      <w:r>
        <w:t xml:space="preserve"> above, in Figure </w:t>
      </w:r>
      <w:r w:rsidR="003F2468">
        <w:t>12</w:t>
      </w:r>
      <w:r>
        <w:t xml:space="preserve"> the most common age group of patients </w:t>
      </w:r>
      <w:r w:rsidR="00715AF1">
        <w:t>initiating</w:t>
      </w:r>
      <w:r>
        <w:t xml:space="preserve"> romosozumab treatment were those aged 70-79 years. </w:t>
      </w:r>
      <w:r w:rsidR="00C95D66">
        <w:t>Overall, t</w:t>
      </w:r>
      <w:r w:rsidR="00986AC9">
        <w:t>he m</w:t>
      </w:r>
      <w:r w:rsidR="00C95D66">
        <w:t xml:space="preserve">edian age of </w:t>
      </w:r>
      <w:r w:rsidR="00715AF1">
        <w:t>initiating</w:t>
      </w:r>
      <w:r w:rsidR="00C95D66">
        <w:t xml:space="preserve"> patients was 66 years. The median age </w:t>
      </w:r>
      <w:r w:rsidR="0043463F">
        <w:t xml:space="preserve">for </w:t>
      </w:r>
      <w:r w:rsidR="00715AF1">
        <w:t xml:space="preserve">females and males initiating </w:t>
      </w:r>
      <w:r w:rsidR="002D03A1">
        <w:t>romosozumab</w:t>
      </w:r>
      <w:r w:rsidR="00715AF1">
        <w:t xml:space="preserve"> treatment was 69 and 62 years, respectively. </w:t>
      </w:r>
    </w:p>
    <w:p w14:paraId="15B29DC7" w14:textId="1313BD5B" w:rsidR="00E701F3" w:rsidRDefault="00E701F3" w:rsidP="00E701F3">
      <w:pPr>
        <w:pStyle w:val="Tabletitle"/>
      </w:pPr>
      <w:r w:rsidRPr="001420B3" w:rsidDel="00EE2BBB">
        <w:t>Table</w:t>
      </w:r>
      <w:r>
        <w:t xml:space="preserve"> </w:t>
      </w:r>
      <w:r w:rsidR="00245246">
        <w:t>6</w:t>
      </w:r>
      <w:r>
        <w:t xml:space="preserve">: Utilisation of anti-resorptives after romosozumab (variable treatment gaps)  </w:t>
      </w:r>
    </w:p>
    <w:tbl>
      <w:tblPr>
        <w:tblStyle w:val="TableGrid"/>
        <w:tblW w:w="0" w:type="auto"/>
        <w:tblLook w:val="04A0" w:firstRow="1" w:lastRow="0" w:firstColumn="1" w:lastColumn="0" w:noHBand="0" w:noVBand="1"/>
      </w:tblPr>
      <w:tblGrid>
        <w:gridCol w:w="3256"/>
        <w:gridCol w:w="2835"/>
        <w:gridCol w:w="2856"/>
      </w:tblGrid>
      <w:tr w:rsidR="007E29B6" w:rsidRPr="00DE57C4" w14:paraId="77B6379A" w14:textId="77777777" w:rsidTr="00DE57C4">
        <w:tc>
          <w:tcPr>
            <w:tcW w:w="3256" w:type="dxa"/>
            <w:shd w:val="clear" w:color="auto" w:fill="BFBFBF" w:themeFill="background1" w:themeFillShade="BF"/>
          </w:tcPr>
          <w:p w14:paraId="1225BADB" w14:textId="0526C391" w:rsidR="007E29B6" w:rsidRPr="00DE57C4" w:rsidRDefault="007E29B6" w:rsidP="007E29B6">
            <w:pPr>
              <w:spacing w:before="60" w:after="60"/>
              <w:rPr>
                <w:b/>
                <w:bCs/>
                <w:sz w:val="20"/>
                <w:szCs w:val="20"/>
              </w:rPr>
            </w:pPr>
            <w:r w:rsidRPr="00DE57C4">
              <w:rPr>
                <w:b/>
                <w:bCs/>
                <w:sz w:val="20"/>
                <w:szCs w:val="20"/>
              </w:rPr>
              <w:t xml:space="preserve">Defined treatment gap </w:t>
            </w:r>
          </w:p>
        </w:tc>
        <w:tc>
          <w:tcPr>
            <w:tcW w:w="2835" w:type="dxa"/>
            <w:shd w:val="clear" w:color="auto" w:fill="BFBFBF" w:themeFill="background1" w:themeFillShade="BF"/>
          </w:tcPr>
          <w:p w14:paraId="4C7E24F8" w14:textId="287F2058" w:rsidR="007E29B6" w:rsidRPr="00DE57C4" w:rsidRDefault="00545983" w:rsidP="00545983">
            <w:pPr>
              <w:spacing w:before="60" w:after="60"/>
              <w:jc w:val="center"/>
              <w:rPr>
                <w:b/>
                <w:bCs/>
                <w:sz w:val="20"/>
                <w:szCs w:val="20"/>
              </w:rPr>
            </w:pPr>
            <w:r>
              <w:rPr>
                <w:b/>
                <w:bCs/>
                <w:sz w:val="20"/>
                <w:szCs w:val="20"/>
              </w:rPr>
              <w:t>T</w:t>
            </w:r>
            <w:r w:rsidR="005A50E9" w:rsidRPr="00DE57C4">
              <w:rPr>
                <w:b/>
                <w:bCs/>
                <w:sz w:val="20"/>
                <w:szCs w:val="20"/>
              </w:rPr>
              <w:t>ransition</w:t>
            </w:r>
            <w:r>
              <w:rPr>
                <w:b/>
                <w:bCs/>
                <w:sz w:val="20"/>
                <w:szCs w:val="20"/>
              </w:rPr>
              <w:t>ed</w:t>
            </w:r>
            <w:r w:rsidR="005A50E9" w:rsidRPr="00DE57C4">
              <w:rPr>
                <w:b/>
                <w:bCs/>
                <w:sz w:val="20"/>
                <w:szCs w:val="20"/>
              </w:rPr>
              <w:t xml:space="preserve">, n/N (%) </w:t>
            </w:r>
            <w:r w:rsidR="005A50E9" w:rsidRPr="00DE57C4">
              <w:rPr>
                <w:b/>
                <w:bCs/>
                <w:sz w:val="20"/>
                <w:szCs w:val="20"/>
                <w:vertAlign w:val="superscript"/>
              </w:rPr>
              <w:t>a</w:t>
            </w:r>
          </w:p>
        </w:tc>
        <w:tc>
          <w:tcPr>
            <w:tcW w:w="2856" w:type="dxa"/>
            <w:shd w:val="clear" w:color="auto" w:fill="BFBFBF" w:themeFill="background1" w:themeFillShade="BF"/>
          </w:tcPr>
          <w:p w14:paraId="1E5D2DE4" w14:textId="35DCEB6F" w:rsidR="007E29B6" w:rsidRPr="00DE57C4" w:rsidRDefault="00DE57C4" w:rsidP="001F3FB2">
            <w:pPr>
              <w:spacing w:before="60" w:after="60"/>
              <w:jc w:val="center"/>
              <w:rPr>
                <w:b/>
                <w:bCs/>
                <w:sz w:val="20"/>
                <w:szCs w:val="20"/>
              </w:rPr>
            </w:pPr>
            <w:r>
              <w:rPr>
                <w:b/>
                <w:bCs/>
                <w:sz w:val="20"/>
                <w:szCs w:val="20"/>
              </w:rPr>
              <w:t>P</w:t>
            </w:r>
            <w:r w:rsidR="00106E1C" w:rsidRPr="00DE57C4">
              <w:rPr>
                <w:b/>
                <w:bCs/>
                <w:sz w:val="20"/>
                <w:szCs w:val="20"/>
              </w:rPr>
              <w:t>ersistence</w:t>
            </w:r>
            <w:r>
              <w:rPr>
                <w:b/>
                <w:bCs/>
                <w:sz w:val="20"/>
                <w:szCs w:val="20"/>
              </w:rPr>
              <w:t xml:space="preserve"> </w:t>
            </w:r>
            <w:r>
              <w:rPr>
                <w:rFonts w:cstheme="minorHAnsi"/>
                <w:b/>
                <w:bCs/>
                <w:sz w:val="20"/>
                <w:szCs w:val="20"/>
              </w:rPr>
              <w:t>≥</w:t>
            </w:r>
            <w:r>
              <w:rPr>
                <w:b/>
                <w:bCs/>
                <w:sz w:val="20"/>
                <w:szCs w:val="20"/>
              </w:rPr>
              <w:t>1 year</w:t>
            </w:r>
            <w:r w:rsidR="00106E1C" w:rsidRPr="00DE57C4">
              <w:rPr>
                <w:b/>
                <w:bCs/>
                <w:sz w:val="20"/>
                <w:szCs w:val="20"/>
              </w:rPr>
              <w:t xml:space="preserve">, n/N (%) </w:t>
            </w:r>
            <w:r w:rsidR="00106E1C" w:rsidRPr="00DE57C4">
              <w:rPr>
                <w:b/>
                <w:bCs/>
                <w:sz w:val="20"/>
                <w:szCs w:val="20"/>
                <w:vertAlign w:val="superscript"/>
              </w:rPr>
              <w:t>b</w:t>
            </w:r>
          </w:p>
        </w:tc>
      </w:tr>
      <w:tr w:rsidR="007E29B6" w:rsidRPr="00DE57C4" w14:paraId="042808A4" w14:textId="77777777" w:rsidTr="00DE57C4">
        <w:tc>
          <w:tcPr>
            <w:tcW w:w="3256" w:type="dxa"/>
          </w:tcPr>
          <w:p w14:paraId="247FFC7E" w14:textId="4F9AFE20" w:rsidR="007E29B6" w:rsidRPr="00DE57C4" w:rsidRDefault="000D4474" w:rsidP="007E29B6">
            <w:pPr>
              <w:spacing w:before="60" w:after="60"/>
              <w:rPr>
                <w:sz w:val="20"/>
                <w:szCs w:val="20"/>
              </w:rPr>
            </w:pPr>
            <w:r w:rsidRPr="00DE57C4">
              <w:rPr>
                <w:sz w:val="20"/>
                <w:szCs w:val="20"/>
              </w:rPr>
              <w:t xml:space="preserve">Within 2 months after </w:t>
            </w:r>
            <w:r w:rsidR="00DE57C4">
              <w:rPr>
                <w:sz w:val="20"/>
                <w:szCs w:val="20"/>
              </w:rPr>
              <w:t>romosozumab</w:t>
            </w:r>
          </w:p>
        </w:tc>
        <w:tc>
          <w:tcPr>
            <w:tcW w:w="2835" w:type="dxa"/>
          </w:tcPr>
          <w:p w14:paraId="5D0636D4" w14:textId="2E80E980" w:rsidR="007E29B6" w:rsidRPr="00DE57C4" w:rsidRDefault="007E29B6" w:rsidP="00DE57C4">
            <w:pPr>
              <w:spacing w:before="60" w:after="60"/>
              <w:jc w:val="center"/>
              <w:rPr>
                <w:rFonts w:eastAsia="Times New Roman" w:cstheme="minorHAnsi"/>
                <w:color w:val="000000"/>
                <w:sz w:val="20"/>
                <w:szCs w:val="20"/>
              </w:rPr>
            </w:pPr>
            <w:r w:rsidRPr="00DE57C4">
              <w:rPr>
                <w:rFonts w:eastAsia="Times New Roman" w:cstheme="minorHAnsi"/>
                <w:color w:val="000000"/>
                <w:sz w:val="20"/>
                <w:szCs w:val="20"/>
              </w:rPr>
              <w:t>3</w:t>
            </w:r>
            <w:r w:rsidR="007C7F4A">
              <w:rPr>
                <w:rFonts w:eastAsia="Times New Roman" w:cstheme="minorHAnsi"/>
                <w:color w:val="000000"/>
                <w:sz w:val="20"/>
                <w:szCs w:val="20"/>
              </w:rPr>
              <w:t>4</w:t>
            </w:r>
            <w:r w:rsidR="001609BE">
              <w:rPr>
                <w:rFonts w:eastAsia="Times New Roman" w:cstheme="minorHAnsi"/>
                <w:color w:val="000000"/>
                <w:sz w:val="20"/>
                <w:szCs w:val="20"/>
              </w:rPr>
              <w:t>3</w:t>
            </w:r>
            <w:r w:rsidRPr="00DF5740">
              <w:rPr>
                <w:rFonts w:eastAsia="Times New Roman" w:cstheme="minorHAnsi"/>
                <w:color w:val="000000"/>
                <w:sz w:val="20"/>
                <w:szCs w:val="20"/>
              </w:rPr>
              <w:t>/</w:t>
            </w:r>
            <w:r w:rsidRPr="00DE57C4">
              <w:rPr>
                <w:rFonts w:eastAsia="Times New Roman" w:cstheme="minorHAnsi"/>
                <w:color w:val="000000"/>
                <w:sz w:val="20"/>
                <w:szCs w:val="20"/>
              </w:rPr>
              <w:t>705</w:t>
            </w:r>
            <w:r w:rsidR="00DE57C4">
              <w:rPr>
                <w:rFonts w:eastAsia="Times New Roman" w:cstheme="minorHAnsi"/>
                <w:color w:val="000000"/>
                <w:sz w:val="20"/>
                <w:szCs w:val="20"/>
              </w:rPr>
              <w:t xml:space="preserve"> </w:t>
            </w:r>
            <w:r w:rsidRPr="00DF5740">
              <w:rPr>
                <w:rFonts w:eastAsia="Times New Roman" w:cstheme="minorHAnsi"/>
                <w:color w:val="000000"/>
                <w:sz w:val="20"/>
                <w:szCs w:val="20"/>
              </w:rPr>
              <w:t>(</w:t>
            </w:r>
            <w:r w:rsidRPr="00DE57C4">
              <w:rPr>
                <w:rFonts w:eastAsia="Times New Roman" w:cstheme="minorHAnsi"/>
                <w:color w:val="000000"/>
                <w:sz w:val="20"/>
                <w:szCs w:val="20"/>
              </w:rPr>
              <w:t>4</w:t>
            </w:r>
            <w:r w:rsidR="0032537E">
              <w:rPr>
                <w:rFonts w:eastAsia="Times New Roman" w:cstheme="minorHAnsi"/>
                <w:color w:val="000000"/>
                <w:sz w:val="20"/>
                <w:szCs w:val="20"/>
              </w:rPr>
              <w:t>9</w:t>
            </w:r>
            <w:r w:rsidRPr="00DF5740">
              <w:rPr>
                <w:rFonts w:eastAsia="Times New Roman" w:cstheme="minorHAnsi"/>
                <w:color w:val="000000"/>
                <w:sz w:val="20"/>
                <w:szCs w:val="20"/>
              </w:rPr>
              <w:t>%)</w:t>
            </w:r>
          </w:p>
        </w:tc>
        <w:tc>
          <w:tcPr>
            <w:tcW w:w="2856" w:type="dxa"/>
          </w:tcPr>
          <w:p w14:paraId="527240AD" w14:textId="5CA7B5FD" w:rsidR="007E29B6" w:rsidRPr="00DE57C4" w:rsidRDefault="007E29B6" w:rsidP="00DE57C4">
            <w:pPr>
              <w:spacing w:before="60" w:after="60"/>
              <w:jc w:val="center"/>
              <w:rPr>
                <w:sz w:val="20"/>
                <w:szCs w:val="20"/>
              </w:rPr>
            </w:pPr>
            <w:r w:rsidRPr="00DE57C4">
              <w:rPr>
                <w:rFonts w:eastAsia="Times New Roman" w:cstheme="minorHAnsi"/>
                <w:color w:val="000000"/>
                <w:sz w:val="20"/>
                <w:szCs w:val="20"/>
              </w:rPr>
              <w:t>3</w:t>
            </w:r>
            <w:r w:rsidR="002D6283">
              <w:rPr>
                <w:rFonts w:eastAsia="Times New Roman" w:cstheme="minorHAnsi"/>
                <w:color w:val="000000"/>
                <w:sz w:val="20"/>
                <w:szCs w:val="20"/>
              </w:rPr>
              <w:t>66</w:t>
            </w:r>
            <w:r w:rsidRPr="00F44A7A">
              <w:rPr>
                <w:rFonts w:eastAsia="Times New Roman" w:cstheme="minorHAnsi"/>
                <w:color w:val="000000"/>
                <w:sz w:val="20"/>
                <w:szCs w:val="20"/>
              </w:rPr>
              <w:t>/</w:t>
            </w:r>
            <w:r w:rsidRPr="00DE57C4">
              <w:rPr>
                <w:rFonts w:eastAsia="Times New Roman" w:cstheme="minorHAnsi"/>
                <w:color w:val="000000"/>
                <w:sz w:val="20"/>
                <w:szCs w:val="20"/>
              </w:rPr>
              <w:t>705</w:t>
            </w:r>
            <w:r w:rsidRPr="00F44A7A">
              <w:rPr>
                <w:rFonts w:eastAsia="Times New Roman" w:cstheme="minorHAnsi"/>
                <w:color w:val="000000"/>
                <w:sz w:val="20"/>
                <w:szCs w:val="20"/>
              </w:rPr>
              <w:t xml:space="preserve"> (</w:t>
            </w:r>
            <w:r w:rsidRPr="00DE57C4">
              <w:rPr>
                <w:rFonts w:eastAsia="Times New Roman" w:cstheme="minorHAnsi"/>
                <w:color w:val="000000"/>
                <w:sz w:val="20"/>
                <w:szCs w:val="20"/>
              </w:rPr>
              <w:t>5</w:t>
            </w:r>
            <w:r w:rsidR="00952918">
              <w:rPr>
                <w:rFonts w:eastAsia="Times New Roman" w:cstheme="minorHAnsi"/>
                <w:color w:val="000000"/>
                <w:sz w:val="20"/>
                <w:szCs w:val="20"/>
              </w:rPr>
              <w:t>2</w:t>
            </w:r>
            <w:r w:rsidRPr="00F44A7A">
              <w:rPr>
                <w:rFonts w:eastAsia="Times New Roman" w:cstheme="minorHAnsi"/>
                <w:color w:val="000000"/>
                <w:sz w:val="20"/>
                <w:szCs w:val="20"/>
              </w:rPr>
              <w:t>%)</w:t>
            </w:r>
          </w:p>
        </w:tc>
      </w:tr>
      <w:tr w:rsidR="00B64396" w:rsidRPr="00DE57C4" w14:paraId="04ED4FBE" w14:textId="77777777" w:rsidTr="00DE57C4">
        <w:tc>
          <w:tcPr>
            <w:tcW w:w="3256" w:type="dxa"/>
          </w:tcPr>
          <w:p w14:paraId="1B84DCFA" w14:textId="78513373" w:rsidR="00B64396" w:rsidRPr="00DE57C4" w:rsidRDefault="004D203C" w:rsidP="00B64396">
            <w:pPr>
              <w:spacing w:before="60" w:after="60"/>
              <w:rPr>
                <w:sz w:val="20"/>
                <w:szCs w:val="20"/>
              </w:rPr>
            </w:pPr>
            <w:r w:rsidRPr="00DE57C4">
              <w:rPr>
                <w:sz w:val="20"/>
                <w:szCs w:val="20"/>
              </w:rPr>
              <w:t xml:space="preserve">Within 4 months after </w:t>
            </w:r>
            <w:r w:rsidR="00DE57C4">
              <w:rPr>
                <w:sz w:val="20"/>
                <w:szCs w:val="20"/>
              </w:rPr>
              <w:t>romosozumab</w:t>
            </w:r>
          </w:p>
        </w:tc>
        <w:tc>
          <w:tcPr>
            <w:tcW w:w="2835" w:type="dxa"/>
          </w:tcPr>
          <w:p w14:paraId="531E232F" w14:textId="3A9F1181" w:rsidR="00B64396" w:rsidRPr="00DE57C4" w:rsidRDefault="00B64396" w:rsidP="00DE57C4">
            <w:pPr>
              <w:spacing w:before="60" w:after="60"/>
              <w:jc w:val="center"/>
              <w:rPr>
                <w:sz w:val="20"/>
                <w:szCs w:val="20"/>
              </w:rPr>
            </w:pPr>
            <w:r w:rsidRPr="00DE57C4">
              <w:rPr>
                <w:rFonts w:eastAsia="Times New Roman" w:cstheme="minorHAnsi"/>
                <w:color w:val="000000"/>
                <w:sz w:val="20"/>
                <w:szCs w:val="20"/>
              </w:rPr>
              <w:t>36</w:t>
            </w:r>
            <w:r w:rsidR="0032537E">
              <w:rPr>
                <w:rFonts w:eastAsia="Times New Roman" w:cstheme="minorHAnsi"/>
                <w:color w:val="000000"/>
                <w:sz w:val="20"/>
                <w:szCs w:val="20"/>
              </w:rPr>
              <w:t>7</w:t>
            </w:r>
            <w:r w:rsidRPr="00DF5740">
              <w:rPr>
                <w:rFonts w:eastAsia="Times New Roman" w:cstheme="minorHAnsi"/>
                <w:color w:val="000000"/>
                <w:sz w:val="20"/>
                <w:szCs w:val="20"/>
              </w:rPr>
              <w:t>/</w:t>
            </w:r>
            <w:r w:rsidRPr="00DE57C4">
              <w:rPr>
                <w:rFonts w:eastAsia="Times New Roman" w:cstheme="minorHAnsi"/>
                <w:color w:val="000000"/>
                <w:sz w:val="20"/>
                <w:szCs w:val="20"/>
              </w:rPr>
              <w:t>705</w:t>
            </w:r>
            <w:r w:rsidRPr="00DF5740">
              <w:rPr>
                <w:rFonts w:eastAsia="Times New Roman" w:cstheme="minorHAnsi"/>
                <w:color w:val="000000"/>
                <w:sz w:val="20"/>
                <w:szCs w:val="20"/>
              </w:rPr>
              <w:t xml:space="preserve"> (5</w:t>
            </w:r>
            <w:r w:rsidR="004558B0">
              <w:rPr>
                <w:rFonts w:eastAsia="Times New Roman" w:cstheme="minorHAnsi"/>
                <w:color w:val="000000"/>
                <w:sz w:val="20"/>
                <w:szCs w:val="20"/>
              </w:rPr>
              <w:t>2</w:t>
            </w:r>
            <w:r w:rsidRPr="00DF5740">
              <w:rPr>
                <w:rFonts w:eastAsia="Times New Roman" w:cstheme="minorHAnsi"/>
                <w:color w:val="000000"/>
                <w:sz w:val="20"/>
                <w:szCs w:val="20"/>
              </w:rPr>
              <w:t>%)</w:t>
            </w:r>
          </w:p>
        </w:tc>
        <w:tc>
          <w:tcPr>
            <w:tcW w:w="2856" w:type="dxa"/>
          </w:tcPr>
          <w:p w14:paraId="46389D0A" w14:textId="795E22AD" w:rsidR="00B64396" w:rsidRPr="00DE57C4" w:rsidRDefault="00B64396" w:rsidP="00DE57C4">
            <w:pPr>
              <w:spacing w:before="60" w:after="60"/>
              <w:jc w:val="center"/>
              <w:rPr>
                <w:sz w:val="20"/>
                <w:szCs w:val="20"/>
              </w:rPr>
            </w:pPr>
            <w:r w:rsidRPr="00DE57C4">
              <w:rPr>
                <w:rFonts w:eastAsia="Times New Roman" w:cstheme="minorHAnsi"/>
                <w:color w:val="000000"/>
                <w:sz w:val="20"/>
                <w:szCs w:val="20"/>
              </w:rPr>
              <w:t>40</w:t>
            </w:r>
            <w:r w:rsidR="00D769E1">
              <w:rPr>
                <w:rFonts w:eastAsia="Times New Roman" w:cstheme="minorHAnsi"/>
                <w:color w:val="000000"/>
                <w:sz w:val="20"/>
                <w:szCs w:val="20"/>
              </w:rPr>
              <w:t>2</w:t>
            </w:r>
            <w:r w:rsidRPr="00F44A7A">
              <w:rPr>
                <w:rFonts w:eastAsia="Times New Roman" w:cstheme="minorHAnsi"/>
                <w:color w:val="000000"/>
                <w:sz w:val="20"/>
                <w:szCs w:val="20"/>
              </w:rPr>
              <w:t>/</w:t>
            </w:r>
            <w:r w:rsidRPr="00DE57C4">
              <w:rPr>
                <w:rFonts w:eastAsia="Times New Roman" w:cstheme="minorHAnsi"/>
                <w:color w:val="000000"/>
                <w:sz w:val="20"/>
                <w:szCs w:val="20"/>
              </w:rPr>
              <w:t>705</w:t>
            </w:r>
            <w:r w:rsidRPr="00F44A7A">
              <w:rPr>
                <w:rFonts w:eastAsia="Times New Roman" w:cstheme="minorHAnsi"/>
                <w:color w:val="000000"/>
                <w:sz w:val="20"/>
                <w:szCs w:val="20"/>
              </w:rPr>
              <w:t xml:space="preserve"> (5</w:t>
            </w:r>
            <w:r w:rsidRPr="00DE57C4">
              <w:rPr>
                <w:rFonts w:eastAsia="Times New Roman" w:cstheme="minorHAnsi"/>
                <w:color w:val="000000"/>
                <w:sz w:val="20"/>
                <w:szCs w:val="20"/>
              </w:rPr>
              <w:t>7</w:t>
            </w:r>
            <w:r w:rsidRPr="00F44A7A">
              <w:rPr>
                <w:rFonts w:eastAsia="Times New Roman" w:cstheme="minorHAnsi"/>
                <w:color w:val="000000"/>
                <w:sz w:val="20"/>
                <w:szCs w:val="20"/>
              </w:rPr>
              <w:t>%)</w:t>
            </w:r>
          </w:p>
        </w:tc>
      </w:tr>
      <w:tr w:rsidR="00B64396" w:rsidRPr="00DE57C4" w14:paraId="134E103D" w14:textId="77777777" w:rsidTr="00DE57C4">
        <w:tc>
          <w:tcPr>
            <w:tcW w:w="3256" w:type="dxa"/>
          </w:tcPr>
          <w:p w14:paraId="1F18EDF6" w14:textId="69D6633D" w:rsidR="00B64396" w:rsidRPr="00DE57C4" w:rsidRDefault="00DE57C4" w:rsidP="00B64396">
            <w:pPr>
              <w:spacing w:before="60" w:after="60"/>
              <w:rPr>
                <w:sz w:val="20"/>
                <w:szCs w:val="20"/>
              </w:rPr>
            </w:pPr>
            <w:r w:rsidRPr="00DE57C4">
              <w:rPr>
                <w:sz w:val="20"/>
                <w:szCs w:val="20"/>
              </w:rPr>
              <w:t xml:space="preserve">Within 6 months after </w:t>
            </w:r>
            <w:r>
              <w:rPr>
                <w:sz w:val="20"/>
                <w:szCs w:val="20"/>
              </w:rPr>
              <w:t>romosozumab</w:t>
            </w:r>
          </w:p>
        </w:tc>
        <w:tc>
          <w:tcPr>
            <w:tcW w:w="2835" w:type="dxa"/>
          </w:tcPr>
          <w:p w14:paraId="1A6DCA37" w14:textId="6BE27692" w:rsidR="00B64396" w:rsidRPr="00DE57C4" w:rsidRDefault="00B64396" w:rsidP="00DE57C4">
            <w:pPr>
              <w:spacing w:before="60" w:after="60"/>
              <w:jc w:val="center"/>
              <w:rPr>
                <w:sz w:val="20"/>
                <w:szCs w:val="20"/>
              </w:rPr>
            </w:pPr>
            <w:r w:rsidRPr="00DE57C4">
              <w:rPr>
                <w:rFonts w:eastAsia="Times New Roman" w:cstheme="minorHAnsi"/>
                <w:color w:val="000000"/>
                <w:sz w:val="20"/>
                <w:szCs w:val="20"/>
              </w:rPr>
              <w:t>3</w:t>
            </w:r>
            <w:r w:rsidR="00435A93">
              <w:rPr>
                <w:rFonts w:eastAsia="Times New Roman" w:cstheme="minorHAnsi"/>
                <w:color w:val="000000"/>
                <w:sz w:val="20"/>
                <w:szCs w:val="20"/>
              </w:rPr>
              <w:t>8</w:t>
            </w:r>
            <w:r w:rsidR="006306FA">
              <w:rPr>
                <w:rFonts w:eastAsia="Times New Roman" w:cstheme="minorHAnsi"/>
                <w:color w:val="000000"/>
                <w:sz w:val="20"/>
                <w:szCs w:val="20"/>
              </w:rPr>
              <w:t>1</w:t>
            </w:r>
            <w:r w:rsidRPr="00DF5740">
              <w:rPr>
                <w:rFonts w:eastAsia="Times New Roman" w:cstheme="minorHAnsi"/>
                <w:color w:val="000000"/>
                <w:sz w:val="20"/>
                <w:szCs w:val="20"/>
              </w:rPr>
              <w:t>/</w:t>
            </w:r>
            <w:r w:rsidRPr="00DE57C4">
              <w:rPr>
                <w:rFonts w:eastAsia="Times New Roman" w:cstheme="minorHAnsi"/>
                <w:color w:val="000000"/>
                <w:sz w:val="20"/>
                <w:szCs w:val="20"/>
              </w:rPr>
              <w:t>705</w:t>
            </w:r>
            <w:r w:rsidRPr="00DF5740">
              <w:rPr>
                <w:rFonts w:eastAsia="Times New Roman" w:cstheme="minorHAnsi"/>
                <w:color w:val="000000"/>
                <w:sz w:val="20"/>
                <w:szCs w:val="20"/>
              </w:rPr>
              <w:t xml:space="preserve"> (</w:t>
            </w:r>
            <w:r w:rsidRPr="00DE57C4">
              <w:rPr>
                <w:rFonts w:eastAsia="Times New Roman" w:cstheme="minorHAnsi"/>
                <w:color w:val="000000"/>
                <w:sz w:val="20"/>
                <w:szCs w:val="20"/>
              </w:rPr>
              <w:t>5</w:t>
            </w:r>
            <w:r w:rsidR="00BE0BF5">
              <w:rPr>
                <w:rFonts w:eastAsia="Times New Roman" w:cstheme="minorHAnsi"/>
                <w:color w:val="000000"/>
                <w:sz w:val="20"/>
                <w:szCs w:val="20"/>
              </w:rPr>
              <w:t>4</w:t>
            </w:r>
            <w:r w:rsidRPr="00DF5740">
              <w:rPr>
                <w:rFonts w:eastAsia="Times New Roman" w:cstheme="minorHAnsi"/>
                <w:color w:val="000000"/>
                <w:sz w:val="20"/>
                <w:szCs w:val="20"/>
              </w:rPr>
              <w:t>%)</w:t>
            </w:r>
          </w:p>
        </w:tc>
        <w:tc>
          <w:tcPr>
            <w:tcW w:w="2856" w:type="dxa"/>
          </w:tcPr>
          <w:p w14:paraId="00F35D47" w14:textId="152648C3" w:rsidR="00B64396" w:rsidRPr="00DE57C4" w:rsidRDefault="00B64396" w:rsidP="00DE57C4">
            <w:pPr>
              <w:spacing w:before="60" w:after="60"/>
              <w:jc w:val="center"/>
              <w:rPr>
                <w:sz w:val="20"/>
                <w:szCs w:val="20"/>
              </w:rPr>
            </w:pPr>
            <w:r w:rsidRPr="00DE57C4">
              <w:rPr>
                <w:rFonts w:eastAsia="Times New Roman" w:cstheme="minorHAnsi"/>
                <w:color w:val="000000"/>
                <w:sz w:val="20"/>
                <w:szCs w:val="20"/>
              </w:rPr>
              <w:t>42</w:t>
            </w:r>
            <w:r w:rsidR="00AF799E">
              <w:rPr>
                <w:rFonts w:eastAsia="Times New Roman" w:cstheme="minorHAnsi"/>
                <w:color w:val="000000"/>
                <w:sz w:val="20"/>
                <w:szCs w:val="20"/>
              </w:rPr>
              <w:t>5</w:t>
            </w:r>
            <w:r w:rsidRPr="00F44A7A">
              <w:rPr>
                <w:rFonts w:eastAsia="Times New Roman" w:cstheme="minorHAnsi"/>
                <w:color w:val="000000"/>
                <w:sz w:val="20"/>
                <w:szCs w:val="20"/>
              </w:rPr>
              <w:t>/</w:t>
            </w:r>
            <w:r w:rsidRPr="00DE57C4">
              <w:rPr>
                <w:rFonts w:eastAsia="Times New Roman" w:cstheme="minorHAnsi"/>
                <w:color w:val="000000"/>
                <w:sz w:val="20"/>
                <w:szCs w:val="20"/>
              </w:rPr>
              <w:t>705</w:t>
            </w:r>
            <w:r w:rsidRPr="00F44A7A">
              <w:rPr>
                <w:rFonts w:eastAsia="Times New Roman" w:cstheme="minorHAnsi"/>
                <w:color w:val="000000"/>
                <w:sz w:val="20"/>
                <w:szCs w:val="20"/>
              </w:rPr>
              <w:t xml:space="preserve"> (6</w:t>
            </w:r>
            <w:r w:rsidRPr="00DE57C4">
              <w:rPr>
                <w:rFonts w:eastAsia="Times New Roman" w:cstheme="minorHAnsi"/>
                <w:color w:val="000000"/>
                <w:sz w:val="20"/>
                <w:szCs w:val="20"/>
              </w:rPr>
              <w:t>0</w:t>
            </w:r>
            <w:r w:rsidRPr="00F44A7A">
              <w:rPr>
                <w:rFonts w:eastAsia="Times New Roman" w:cstheme="minorHAnsi"/>
                <w:color w:val="000000"/>
                <w:sz w:val="20"/>
                <w:szCs w:val="20"/>
              </w:rPr>
              <w:t>%)</w:t>
            </w:r>
          </w:p>
        </w:tc>
      </w:tr>
    </w:tbl>
    <w:p w14:paraId="751C4C40" w14:textId="77777777" w:rsidR="003772FE" w:rsidRDefault="003772FE" w:rsidP="00CE0FFD">
      <w:pPr>
        <w:pStyle w:val="TableFigureFooter"/>
        <w:keepNext/>
        <w:keepLines/>
        <w:rPr>
          <w:rFonts w:asciiTheme="minorHAnsi" w:hAnsiTheme="minorHAnsi" w:cstheme="minorHAnsi"/>
        </w:rPr>
      </w:pPr>
      <w:r>
        <w:rPr>
          <w:rFonts w:asciiTheme="minorHAnsi" w:hAnsiTheme="minorHAnsi" w:cstheme="minorHAnsi"/>
        </w:rPr>
        <w:t xml:space="preserve">Notes: </w:t>
      </w:r>
    </w:p>
    <w:p w14:paraId="40A5AD10" w14:textId="77777777" w:rsidR="003772FE" w:rsidRDefault="00CE0FFD" w:rsidP="00CE0FFD">
      <w:pPr>
        <w:pStyle w:val="TableFigureFooter"/>
        <w:keepNext/>
        <w:keepLines/>
        <w:numPr>
          <w:ilvl w:val="0"/>
          <w:numId w:val="38"/>
        </w:numPr>
        <w:rPr>
          <w:rFonts w:asciiTheme="minorHAnsi" w:hAnsiTheme="minorHAnsi" w:cstheme="minorHAnsi"/>
        </w:rPr>
      </w:pPr>
      <w:r w:rsidRPr="00D1039C">
        <w:rPr>
          <w:rFonts w:asciiTheme="minorHAnsi" w:hAnsiTheme="minorHAnsi" w:cstheme="minorHAnsi"/>
        </w:rPr>
        <w:t>Successful transition includes patients with ≥2 anti-resorptive scripts resulting in variable script coverage. For example, patients receiving oral anti-resorptives (alendronate,</w:t>
      </w:r>
      <w:r w:rsidR="00353C02">
        <w:rPr>
          <w:sz w:val="20"/>
          <w:szCs w:val="20"/>
        </w:rPr>
        <w:t xml:space="preserve"> r</w:t>
      </w:r>
      <w:r w:rsidR="00353C02" w:rsidRPr="00353C02">
        <w:rPr>
          <w:rFonts w:asciiTheme="minorHAnsi" w:hAnsiTheme="minorHAnsi" w:cstheme="minorHAnsi"/>
          <w:szCs w:val="18"/>
        </w:rPr>
        <w:t>aloxifene</w:t>
      </w:r>
      <w:r w:rsidR="00353C02">
        <w:rPr>
          <w:rFonts w:asciiTheme="minorHAnsi" w:hAnsiTheme="minorHAnsi" w:cstheme="minorHAnsi"/>
          <w:szCs w:val="18"/>
        </w:rPr>
        <w:t xml:space="preserve"> and</w:t>
      </w:r>
      <w:r w:rsidRPr="00D1039C">
        <w:rPr>
          <w:rFonts w:asciiTheme="minorHAnsi" w:hAnsiTheme="minorHAnsi" w:cstheme="minorHAnsi"/>
        </w:rPr>
        <w:t xml:space="preserve"> risedronate) would only have a 2-month expected coverage whereas patients on injectable anti-resorptives (denosumab, zoledronic acid) would have at least 1 year expected coverage. </w:t>
      </w:r>
    </w:p>
    <w:p w14:paraId="29A0FCD8" w14:textId="599B94BB" w:rsidR="007E29B6" w:rsidRPr="003772FE" w:rsidRDefault="00CE0FFD" w:rsidP="00CE0FFD">
      <w:pPr>
        <w:pStyle w:val="TableFigureFooter"/>
        <w:keepNext/>
        <w:keepLines/>
        <w:numPr>
          <w:ilvl w:val="0"/>
          <w:numId w:val="38"/>
        </w:numPr>
        <w:rPr>
          <w:rFonts w:asciiTheme="minorHAnsi" w:hAnsiTheme="minorHAnsi" w:cstheme="minorHAnsi"/>
        </w:rPr>
      </w:pPr>
      <w:r w:rsidRPr="003772FE">
        <w:rPr>
          <w:rFonts w:asciiTheme="minorHAnsi" w:hAnsiTheme="minorHAnsi" w:cstheme="minorHAnsi"/>
        </w:rPr>
        <w:t xml:space="preserve">Persistence estimates were based on patients having at least 1 anti-resorptive script after stopping </w:t>
      </w:r>
      <w:r w:rsidR="00D63DFB" w:rsidRPr="003772FE">
        <w:rPr>
          <w:rFonts w:asciiTheme="minorHAnsi" w:hAnsiTheme="minorHAnsi" w:cstheme="minorHAnsi"/>
        </w:rPr>
        <w:t>romos</w:t>
      </w:r>
      <w:r w:rsidR="001919EC" w:rsidRPr="003772FE">
        <w:rPr>
          <w:rFonts w:asciiTheme="minorHAnsi" w:hAnsiTheme="minorHAnsi" w:cstheme="minorHAnsi"/>
        </w:rPr>
        <w:t>ozumab</w:t>
      </w:r>
      <w:r w:rsidRPr="003772FE">
        <w:rPr>
          <w:rFonts w:asciiTheme="minorHAnsi" w:hAnsiTheme="minorHAnsi" w:cstheme="minorHAnsi"/>
        </w:rPr>
        <w:t xml:space="preserve">, and subsequent anti-resorptive scripts within allowed treatment gaps. </w:t>
      </w:r>
    </w:p>
    <w:p w14:paraId="09CE4FFD" w14:textId="77777777" w:rsidR="004A2C33" w:rsidRPr="00D1039C" w:rsidRDefault="004A2C33" w:rsidP="00CE0FFD">
      <w:pPr>
        <w:pStyle w:val="TableFigureFooter"/>
        <w:keepNext/>
        <w:keepLines/>
        <w:rPr>
          <w:rFonts w:asciiTheme="minorHAnsi" w:hAnsiTheme="minorHAnsi" w:cstheme="minorHAnsi"/>
        </w:rPr>
      </w:pPr>
    </w:p>
    <w:p w14:paraId="5D21662D" w14:textId="47D76181" w:rsidR="00E87E62" w:rsidRDefault="00357BEC" w:rsidP="00A35800">
      <w:r>
        <w:t>As shown above, the</w:t>
      </w:r>
      <w:r w:rsidR="00E87E62" w:rsidRPr="00BD6F96">
        <w:t xml:space="preserve"> results indicate that </w:t>
      </w:r>
      <w:r w:rsidR="00E87E62">
        <w:t>4</w:t>
      </w:r>
      <w:r w:rsidR="00AF799E">
        <w:t>9</w:t>
      </w:r>
      <w:r w:rsidR="00E87E62" w:rsidRPr="00BD6F96">
        <w:t>% of patients</w:t>
      </w:r>
      <w:r w:rsidR="00D8462C">
        <w:t xml:space="preserve"> who initiated romosozumab during its first year of listing </w:t>
      </w:r>
      <w:r w:rsidR="00E87E62" w:rsidRPr="00BD6F96">
        <w:t>transitioned to anti-resorptive therapy</w:t>
      </w:r>
      <w:r w:rsidR="00E87E62">
        <w:t xml:space="preserve">, defined as having at least 2 anti-resorptive scripts, the first of which was supplied within 2 months after </w:t>
      </w:r>
      <w:r w:rsidR="00E87E62">
        <w:lastRenderedPageBreak/>
        <w:t>stopping romosozumab</w:t>
      </w:r>
      <w:r w:rsidR="00E87E62" w:rsidRPr="00BD6F96">
        <w:t>.</w:t>
      </w:r>
      <w:r w:rsidR="00986904">
        <w:t xml:space="preserve"> </w:t>
      </w:r>
      <w:r w:rsidR="00E65A3B" w:rsidRPr="00BD6F96">
        <w:t xml:space="preserve">The results also indicated relatively poor </w:t>
      </w:r>
      <w:r w:rsidR="00E65A3B">
        <w:t xml:space="preserve">long term </w:t>
      </w:r>
      <w:r w:rsidR="00E65A3B" w:rsidRPr="00BD6F96">
        <w:t xml:space="preserve">persistence to anti-resorptive therapy, with </w:t>
      </w:r>
      <w:r w:rsidR="004A66B9">
        <w:t>51</w:t>
      </w:r>
      <w:r w:rsidR="00E65A3B" w:rsidRPr="00BD6F96">
        <w:t xml:space="preserve">% of patients remaining persistent </w:t>
      </w:r>
      <w:r w:rsidR="00E65A3B">
        <w:t xml:space="preserve">after </w:t>
      </w:r>
      <w:r w:rsidR="004A66B9">
        <w:t xml:space="preserve">1 year after cessation of romosozumab. </w:t>
      </w:r>
    </w:p>
    <w:p w14:paraId="24CFA240" w14:textId="5AEE7701" w:rsidR="0046639A" w:rsidRDefault="002D03F8" w:rsidP="00A35800">
      <w:r>
        <w:t>Since PBS listin</w:t>
      </w:r>
      <w:r w:rsidR="00BC7C16">
        <w:t>g of romosozumab, less than 5</w:t>
      </w:r>
      <w:r w:rsidR="0029168B">
        <w:t xml:space="preserve"> patients treated </w:t>
      </w:r>
      <w:r w:rsidR="003F2468">
        <w:t>with romosozumab</w:t>
      </w:r>
      <w:r w:rsidR="00922475">
        <w:t xml:space="preserve"> </w:t>
      </w:r>
      <w:r w:rsidR="0029168B">
        <w:t xml:space="preserve">were identified </w:t>
      </w:r>
      <w:r w:rsidR="00186C59">
        <w:t>to have</w:t>
      </w:r>
      <w:r w:rsidR="00341F27">
        <w:t xml:space="preserve"> potential coadministration with teriparatide. </w:t>
      </w:r>
      <w:r w:rsidR="00BC7C16">
        <w:t xml:space="preserve"> </w:t>
      </w:r>
    </w:p>
    <w:p w14:paraId="373ED442" w14:textId="77777777" w:rsidR="00730797" w:rsidRDefault="00730797" w:rsidP="00A35800"/>
    <w:p w14:paraId="5564311F" w14:textId="3911FDEA" w:rsidR="0046639A" w:rsidRDefault="00FC346B" w:rsidP="00FC346B">
      <w:pPr>
        <w:jc w:val="center"/>
      </w:pPr>
      <w:r>
        <w:rPr>
          <w:noProof/>
        </w:rPr>
        <w:drawing>
          <wp:inline distT="0" distB="0" distL="0" distR="0" wp14:anchorId="0246C76A" wp14:editId="4CA897C6">
            <wp:extent cx="5238000" cy="3268800"/>
            <wp:effectExtent l="0" t="0" r="1270" b="8255"/>
            <wp:docPr id="7" name="Chart 7">
              <a:extLst xmlns:a="http://schemas.openxmlformats.org/drawingml/2006/main">
                <a:ext uri="{FF2B5EF4-FFF2-40B4-BE49-F238E27FC236}">
                  <a16:creationId xmlns:a16="http://schemas.microsoft.com/office/drawing/2014/main" id="{0871EB39-7D77-12B5-5CF2-C0599DC171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FEEA8A3" w14:textId="71C5F7A6" w:rsidR="00FC346B" w:rsidRDefault="00FC346B" w:rsidP="00FC346B">
      <w:pPr>
        <w:pStyle w:val="Figuretitle"/>
      </w:pPr>
      <w:r w:rsidRPr="00FE645A">
        <w:t xml:space="preserve">Figure </w:t>
      </w:r>
      <w:r w:rsidR="00740CF1">
        <w:t>1</w:t>
      </w:r>
      <w:r w:rsidR="00245246">
        <w:t>3</w:t>
      </w:r>
      <w:r w:rsidRPr="00FE645A">
        <w:t xml:space="preserve">: </w:t>
      </w:r>
      <w:r>
        <w:t>Proportion of continuing prescriptions by prescriber type</w:t>
      </w:r>
      <w:r w:rsidR="00652ED4">
        <w:t>,</w:t>
      </w:r>
      <w:r>
        <w:t xml:space="preserve"> </w:t>
      </w:r>
      <w:r w:rsidR="00BC0329">
        <w:t xml:space="preserve">before and after </w:t>
      </w:r>
      <w:r w:rsidR="00652ED4">
        <w:t xml:space="preserve">GPs </w:t>
      </w:r>
      <w:r w:rsidR="007C0D7A">
        <w:t xml:space="preserve">were allowed to </w:t>
      </w:r>
      <w:r w:rsidR="008F75C4">
        <w:t xml:space="preserve">continue romosozumab </w:t>
      </w:r>
      <w:r w:rsidR="003F2468">
        <w:t>treatment.</w:t>
      </w:r>
      <w:r w:rsidR="008F75C4">
        <w:t xml:space="preserve"> </w:t>
      </w:r>
    </w:p>
    <w:p w14:paraId="2F882477" w14:textId="77777777" w:rsidR="00E36D68" w:rsidRDefault="00E36D68" w:rsidP="00E36D68"/>
    <w:p w14:paraId="2EBECD2A" w14:textId="0D4C3EF2" w:rsidR="00E36D68" w:rsidRDefault="00E36D68" w:rsidP="00E36D68">
      <w:r>
        <w:t xml:space="preserve">As shown in Figure </w:t>
      </w:r>
      <w:r w:rsidR="00E20CE1">
        <w:t>1</w:t>
      </w:r>
      <w:r w:rsidR="003F2468">
        <w:t>3</w:t>
      </w:r>
      <w:r>
        <w:t xml:space="preserve">, prior to the listing change to allow </w:t>
      </w:r>
      <w:r w:rsidR="00C80188">
        <w:t>GPs to continue romosozuma</w:t>
      </w:r>
      <w:r w:rsidR="00692207">
        <w:t>b treatment</w:t>
      </w:r>
      <w:r w:rsidR="00964504">
        <w:t>, GPs accounted for 20.2% of continuing</w:t>
      </w:r>
      <w:r w:rsidR="00692207">
        <w:t xml:space="preserve"> romosozumab</w:t>
      </w:r>
      <w:r w:rsidR="00964504">
        <w:t xml:space="preserve"> prescriptions</w:t>
      </w:r>
      <w:r w:rsidR="00692207">
        <w:t xml:space="preserve"> supplied</w:t>
      </w:r>
      <w:r w:rsidR="00964504">
        <w:t>.</w:t>
      </w:r>
      <w:r w:rsidR="00692207">
        <w:t xml:space="preserve"> Following the listing change, this</w:t>
      </w:r>
      <w:r w:rsidR="00FA17A3">
        <w:t xml:space="preserve"> increased to 26.9% of continuing prescriptions. </w:t>
      </w:r>
      <w:r w:rsidR="00964504">
        <w:t xml:space="preserve"> </w:t>
      </w:r>
    </w:p>
    <w:p w14:paraId="41177346" w14:textId="3BAE2876" w:rsidR="003B488A" w:rsidRDefault="003B488A" w:rsidP="00E36D68"/>
    <w:p w14:paraId="2352FD27" w14:textId="41C6832E" w:rsidR="003B488A" w:rsidRDefault="003B488A" w:rsidP="00E36D68"/>
    <w:p w14:paraId="77A35685" w14:textId="503B3236" w:rsidR="003B488A" w:rsidRDefault="003B488A" w:rsidP="00E36D68"/>
    <w:p w14:paraId="0A02323D" w14:textId="114E01DD" w:rsidR="003B488A" w:rsidRDefault="003B488A" w:rsidP="00E36D68"/>
    <w:p w14:paraId="78AA3B7F" w14:textId="35B96A87" w:rsidR="003B488A" w:rsidRDefault="003B488A" w:rsidP="00E36D68"/>
    <w:p w14:paraId="25388C65" w14:textId="056EBFE2" w:rsidR="003B488A" w:rsidRDefault="003B488A" w:rsidP="00E36D68"/>
    <w:p w14:paraId="2586A38C" w14:textId="77777777" w:rsidR="003B488A" w:rsidRDefault="003B488A" w:rsidP="00E36D68"/>
    <w:p w14:paraId="4ECD8686" w14:textId="77777777" w:rsidR="000B4182" w:rsidRPr="005E22C2" w:rsidRDefault="000B4182" w:rsidP="000B4182">
      <w:pPr>
        <w:pStyle w:val="Heading2"/>
      </w:pPr>
      <w:r w:rsidRPr="005E22C2">
        <w:lastRenderedPageBreak/>
        <w:t xml:space="preserve">Analysis of </w:t>
      </w:r>
      <w:r>
        <w:t>e</w:t>
      </w:r>
      <w:r w:rsidRPr="005E22C2">
        <w:t>xpenditure</w:t>
      </w:r>
    </w:p>
    <w:p w14:paraId="45B1BDDC" w14:textId="4C8B4141" w:rsidR="000B4182" w:rsidRDefault="00F92F95" w:rsidP="007F2703">
      <w:pPr>
        <w:jc w:val="center"/>
      </w:pPr>
      <w:r>
        <w:rPr>
          <w:noProof/>
        </w:rPr>
        <w:drawing>
          <wp:inline distT="0" distB="0" distL="0" distR="0" wp14:anchorId="15532ACA" wp14:editId="426CB653">
            <wp:extent cx="5238000" cy="3268800"/>
            <wp:effectExtent l="0" t="0" r="1270" b="8255"/>
            <wp:docPr id="9" name="Chart 9">
              <a:extLst xmlns:a="http://schemas.openxmlformats.org/drawingml/2006/main">
                <a:ext uri="{FF2B5EF4-FFF2-40B4-BE49-F238E27FC236}">
                  <a16:creationId xmlns:a16="http://schemas.microsoft.com/office/drawing/2014/main" id="{493EE6FD-B463-9BF6-C9D4-A15A8BD730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8F11004" w14:textId="7660DE98" w:rsidR="007F2703" w:rsidRDefault="007F2703" w:rsidP="007F2703">
      <w:pPr>
        <w:pStyle w:val="Figuretitle"/>
      </w:pPr>
      <w:r w:rsidRPr="00FE645A">
        <w:t xml:space="preserve">Figure </w:t>
      </w:r>
      <w:r w:rsidR="00740CF1">
        <w:t>1</w:t>
      </w:r>
      <w:r w:rsidR="00245246">
        <w:t>4</w:t>
      </w:r>
      <w:r w:rsidRPr="00FE645A">
        <w:t xml:space="preserve">: </w:t>
      </w:r>
      <w:r w:rsidR="005928AF">
        <w:t xml:space="preserve">Annual expenditure of osteoporosis medicines, based on published </w:t>
      </w:r>
      <w:r w:rsidR="003F2468">
        <w:t>prices.</w:t>
      </w:r>
      <w:r w:rsidR="005928AF">
        <w:t xml:space="preserve"> </w:t>
      </w:r>
      <w:r>
        <w:t xml:space="preserve"> </w:t>
      </w:r>
    </w:p>
    <w:p w14:paraId="20317364" w14:textId="77777777" w:rsidR="00F92F95" w:rsidRPr="00E63BF7" w:rsidRDefault="00F92F95" w:rsidP="00F92F95">
      <w:pPr>
        <w:rPr>
          <w:sz w:val="18"/>
          <w:szCs w:val="18"/>
        </w:rPr>
      </w:pPr>
      <w:r w:rsidRPr="00E63BF7">
        <w:rPr>
          <w:sz w:val="18"/>
          <w:szCs w:val="18"/>
        </w:rPr>
        <w:t xml:space="preserve">Note: 2023 only includes nine months of data from January 2023 to September 2023, inclusive. </w:t>
      </w:r>
    </w:p>
    <w:p w14:paraId="2C323C4D" w14:textId="77777777" w:rsidR="007F2703" w:rsidRDefault="007F2703" w:rsidP="007F2703"/>
    <w:p w14:paraId="36B63B29" w14:textId="22B8453B" w:rsidR="00FC7C5D" w:rsidRDefault="00525974" w:rsidP="007F2703">
      <w:r>
        <w:t xml:space="preserve">In Figure </w:t>
      </w:r>
      <w:r w:rsidR="006E02AF">
        <w:t>1</w:t>
      </w:r>
      <w:r w:rsidR="00245246">
        <w:t>4</w:t>
      </w:r>
      <w:r>
        <w:t xml:space="preserve">, </w:t>
      </w:r>
      <w:r w:rsidR="00116A0A">
        <w:t xml:space="preserve">annual </w:t>
      </w:r>
      <w:r w:rsidR="008261CF">
        <w:t>expenditure based on published prices</w:t>
      </w:r>
      <w:r w:rsidR="00116A0A">
        <w:t xml:space="preserve"> has been increas</w:t>
      </w:r>
      <w:r w:rsidR="008261CF">
        <w:t xml:space="preserve">ing over time. In 2018, annual expenditure was approximately </w:t>
      </w:r>
      <w:r w:rsidR="005828BE">
        <w:t>$</w:t>
      </w:r>
      <w:r w:rsidR="00113D46">
        <w:t xml:space="preserve">210 million, whereas in 2022, annual expenditure was approximately </w:t>
      </w:r>
      <w:r w:rsidR="005828BE">
        <w:t>$</w:t>
      </w:r>
      <w:r w:rsidR="00113D46">
        <w:t xml:space="preserve">260 million. </w:t>
      </w:r>
      <w:r w:rsidR="009D37A8">
        <w:t xml:space="preserve">The largest growth in expenditure was </w:t>
      </w:r>
      <w:r w:rsidR="003A4FF9">
        <w:t>observed</w:t>
      </w:r>
      <w:r w:rsidR="009D37A8">
        <w:t xml:space="preserve"> between 2018 to 2020, with an annual growth </w:t>
      </w:r>
      <w:r w:rsidR="00127628">
        <w:t xml:space="preserve">of between 10% to 14%, whereas between 2020 to 2022, </w:t>
      </w:r>
      <w:r w:rsidR="0034750F">
        <w:t>expenditure</w:t>
      </w:r>
      <w:r w:rsidR="00127628">
        <w:t xml:space="preserve"> growth </w:t>
      </w:r>
      <w:r w:rsidR="0034750F">
        <w:t>was approximately</w:t>
      </w:r>
      <w:r w:rsidR="00127628">
        <w:t xml:space="preserve"> 1% to </w:t>
      </w:r>
      <w:r w:rsidR="0034750F">
        <w:t xml:space="preserve">3% </w:t>
      </w:r>
      <w:r w:rsidR="00BC50A4">
        <w:t>annually</w:t>
      </w:r>
      <w:r w:rsidR="0034750F">
        <w:t xml:space="preserve">. </w:t>
      </w:r>
    </w:p>
    <w:p w14:paraId="1244BBD5" w14:textId="71E69439" w:rsidR="00E421E7" w:rsidRDefault="00E421E7" w:rsidP="007F2703"/>
    <w:p w14:paraId="35D1313D" w14:textId="77777777" w:rsidR="00E421E7" w:rsidRDefault="00E421E7" w:rsidP="007F2703"/>
    <w:p w14:paraId="7B017CA1" w14:textId="77777777" w:rsidR="00E421E7" w:rsidRDefault="00E421E7">
      <w:pPr>
        <w:spacing w:line="276" w:lineRule="auto"/>
        <w:rPr>
          <w:b/>
          <w:sz w:val="28"/>
        </w:rPr>
      </w:pPr>
      <w:r>
        <w:br w:type="page"/>
      </w:r>
    </w:p>
    <w:p w14:paraId="31DB956E" w14:textId="39E75700" w:rsidR="00C84885" w:rsidRDefault="00C84885" w:rsidP="00C84885">
      <w:pPr>
        <w:pStyle w:val="Heading2"/>
      </w:pPr>
      <w:r>
        <w:lastRenderedPageBreak/>
        <w:t>Approach taken to estimate utilisation</w:t>
      </w:r>
    </w:p>
    <w:p w14:paraId="5ECB9C62" w14:textId="31B9DC7A" w:rsidR="00E421E7" w:rsidRDefault="00C6701B" w:rsidP="001F4E28">
      <w:r w:rsidRPr="00714919">
        <w:t xml:space="preserve">The </w:t>
      </w:r>
      <w:r w:rsidR="005B0A9D" w:rsidRPr="00714919">
        <w:t>March 2020 re</w:t>
      </w:r>
      <w:r w:rsidR="0022078A" w:rsidRPr="00714919">
        <w:t>submission used an epidemiological</w:t>
      </w:r>
      <w:r w:rsidR="00EB35A2" w:rsidRPr="00714919">
        <w:t>/market share</w:t>
      </w:r>
      <w:r w:rsidR="0022078A" w:rsidRPr="00714919">
        <w:t xml:space="preserve"> approach to estimate the </w:t>
      </w:r>
      <w:r w:rsidR="00EB35A2" w:rsidRPr="00714919">
        <w:t xml:space="preserve">utilisation and financial </w:t>
      </w:r>
      <w:r w:rsidR="00714919" w:rsidRPr="00714919">
        <w:t>impact for romosozumab</w:t>
      </w:r>
      <w:r w:rsidR="00334644">
        <w:t xml:space="preserve"> summarised in Table </w:t>
      </w:r>
      <w:r w:rsidR="003F2468">
        <w:t>7</w:t>
      </w:r>
      <w:r w:rsidR="00714919" w:rsidRPr="00714919">
        <w:t xml:space="preserve">. </w:t>
      </w:r>
    </w:p>
    <w:p w14:paraId="2E98A50A" w14:textId="77777777" w:rsidR="0046639A" w:rsidRPr="001F4E28" w:rsidRDefault="0046639A" w:rsidP="0046639A">
      <w:pPr>
        <w:pStyle w:val="Tabletitle"/>
      </w:pPr>
      <w:r w:rsidRPr="001420B3" w:rsidDel="00EE2BBB">
        <w:t xml:space="preserve">Table </w:t>
      </w:r>
      <w:r w:rsidR="00245246">
        <w:t>7</w:t>
      </w:r>
      <w:r>
        <w:t>: Estimation of the number of treated romosozumab patients</w:t>
      </w:r>
      <w:r w:rsidR="00FC2E5E">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
        <w:gridCol w:w="992"/>
        <w:gridCol w:w="5619"/>
      </w:tblGrid>
      <w:tr w:rsidR="0046639A" w:rsidRPr="00D67BEA" w14:paraId="13B5029C" w14:textId="77777777" w:rsidTr="00E421E7">
        <w:trPr>
          <w:trHeight w:val="20"/>
          <w:tblHeader/>
        </w:trPr>
        <w:tc>
          <w:tcPr>
            <w:tcW w:w="1555" w:type="dxa"/>
            <w:shd w:val="clear" w:color="auto" w:fill="BFBFBF" w:themeFill="background1" w:themeFillShade="BF"/>
            <w:vAlign w:val="center"/>
            <w:hideMark/>
          </w:tcPr>
          <w:p w14:paraId="31003498" w14:textId="77777777" w:rsidR="0046639A" w:rsidRPr="00D67BEA" w:rsidRDefault="0046639A" w:rsidP="0057181A">
            <w:pPr>
              <w:pStyle w:val="Tableheadingrow"/>
              <w:keepLines/>
              <w:widowControl w:val="0"/>
              <w:spacing w:beforeLines="60" w:before="144" w:afterLines="60" w:after="144"/>
              <w:rPr>
                <w:rFonts w:asciiTheme="minorHAnsi" w:hAnsiTheme="minorHAnsi" w:cstheme="minorHAnsi"/>
                <w:lang w:val="en-AU"/>
              </w:rPr>
            </w:pPr>
            <w:r w:rsidRPr="00D67BEA">
              <w:rPr>
                <w:rFonts w:asciiTheme="minorHAnsi" w:hAnsiTheme="minorHAnsi" w:cstheme="minorHAnsi"/>
                <w:lang w:val="en-AU"/>
              </w:rPr>
              <w:t> </w:t>
            </w:r>
          </w:p>
        </w:tc>
        <w:tc>
          <w:tcPr>
            <w:tcW w:w="850" w:type="dxa"/>
            <w:shd w:val="clear" w:color="auto" w:fill="BFBFBF" w:themeFill="background1" w:themeFillShade="BF"/>
          </w:tcPr>
          <w:p w14:paraId="6FEE7B64" w14:textId="77777777" w:rsidR="0046639A" w:rsidRPr="00D67BEA" w:rsidRDefault="0046639A" w:rsidP="0057181A">
            <w:pPr>
              <w:pStyle w:val="Tableheadingrow"/>
              <w:keepLines/>
              <w:widowControl w:val="0"/>
              <w:spacing w:beforeLines="60" w:before="144" w:afterLines="60" w:after="144"/>
              <w:rPr>
                <w:rFonts w:asciiTheme="minorHAnsi" w:hAnsiTheme="minorHAnsi" w:cstheme="minorHAnsi"/>
                <w:lang w:val="en-AU"/>
              </w:rPr>
            </w:pPr>
            <w:r w:rsidRPr="00D67BEA">
              <w:rPr>
                <w:rFonts w:asciiTheme="minorHAnsi" w:hAnsiTheme="minorHAnsi" w:cstheme="minorHAnsi"/>
                <w:lang w:val="en-AU"/>
              </w:rPr>
              <w:t>Value</w:t>
            </w:r>
          </w:p>
        </w:tc>
        <w:tc>
          <w:tcPr>
            <w:tcW w:w="992" w:type="dxa"/>
            <w:shd w:val="clear" w:color="auto" w:fill="BFBFBF" w:themeFill="background1" w:themeFillShade="BF"/>
            <w:vAlign w:val="bottom"/>
            <w:hideMark/>
          </w:tcPr>
          <w:p w14:paraId="2B0092CE" w14:textId="77777777" w:rsidR="0046639A" w:rsidRPr="00D67BEA" w:rsidRDefault="0046639A" w:rsidP="0057181A">
            <w:pPr>
              <w:pStyle w:val="Tableheadingrow"/>
              <w:keepLines/>
              <w:widowControl w:val="0"/>
              <w:spacing w:beforeLines="60" w:before="144" w:afterLines="60" w:after="144"/>
              <w:rPr>
                <w:rFonts w:asciiTheme="minorHAnsi" w:hAnsiTheme="minorHAnsi" w:cstheme="minorHAnsi"/>
                <w:bCs/>
                <w:vertAlign w:val="superscript"/>
                <w:lang w:val="en-AU"/>
              </w:rPr>
            </w:pPr>
            <w:r w:rsidRPr="00D67BEA">
              <w:rPr>
                <w:rFonts w:asciiTheme="minorHAnsi" w:hAnsiTheme="minorHAnsi" w:cstheme="minorHAnsi"/>
                <w:lang w:val="en-AU"/>
              </w:rPr>
              <w:t>Year 6</w:t>
            </w:r>
            <w:r w:rsidRPr="00D67BEA">
              <w:rPr>
                <w:rFonts w:asciiTheme="minorHAnsi" w:hAnsiTheme="minorHAnsi" w:cstheme="minorHAnsi"/>
                <w:vertAlign w:val="superscript"/>
                <w:lang w:val="en-AU"/>
              </w:rPr>
              <w:t>a</w:t>
            </w:r>
          </w:p>
        </w:tc>
        <w:tc>
          <w:tcPr>
            <w:tcW w:w="5619" w:type="dxa"/>
            <w:shd w:val="clear" w:color="auto" w:fill="BFBFBF" w:themeFill="background1" w:themeFillShade="BF"/>
            <w:vAlign w:val="bottom"/>
            <w:hideMark/>
          </w:tcPr>
          <w:p w14:paraId="500CBCD4" w14:textId="77777777" w:rsidR="0046639A" w:rsidRPr="00D67BEA" w:rsidRDefault="0046639A" w:rsidP="0057181A">
            <w:pPr>
              <w:pStyle w:val="Tableheadingrow"/>
              <w:keepLines/>
              <w:widowControl w:val="0"/>
              <w:spacing w:beforeLines="60" w:before="144" w:afterLines="60" w:after="144"/>
              <w:rPr>
                <w:rFonts w:asciiTheme="minorHAnsi" w:hAnsiTheme="minorHAnsi" w:cstheme="minorHAnsi"/>
                <w:bCs/>
                <w:lang w:val="en-AU"/>
              </w:rPr>
            </w:pPr>
            <w:r w:rsidRPr="00D67BEA">
              <w:rPr>
                <w:rFonts w:asciiTheme="minorHAnsi" w:hAnsiTheme="minorHAnsi" w:cstheme="minorHAnsi"/>
                <w:bCs/>
                <w:lang w:val="en-AU"/>
              </w:rPr>
              <w:t xml:space="preserve">Source and comment </w:t>
            </w:r>
          </w:p>
        </w:tc>
      </w:tr>
      <w:tr w:rsidR="0046639A" w:rsidRPr="00D67BEA" w14:paraId="6DDAC129" w14:textId="77777777" w:rsidTr="00E421E7">
        <w:trPr>
          <w:trHeight w:val="20"/>
        </w:trPr>
        <w:tc>
          <w:tcPr>
            <w:tcW w:w="9016" w:type="dxa"/>
            <w:gridSpan w:val="4"/>
            <w:shd w:val="clear" w:color="auto" w:fill="auto"/>
            <w:vAlign w:val="center"/>
          </w:tcPr>
          <w:p w14:paraId="2231DC3C" w14:textId="77777777" w:rsidR="0046639A" w:rsidRPr="00D67BEA" w:rsidRDefault="0046639A" w:rsidP="0057181A">
            <w:pPr>
              <w:pStyle w:val="Tableheadingrow"/>
              <w:keepLines/>
              <w:widowControl w:val="0"/>
              <w:spacing w:beforeLines="60" w:before="144" w:afterLines="60" w:after="144"/>
              <w:rPr>
                <w:rFonts w:asciiTheme="minorHAnsi" w:hAnsiTheme="minorHAnsi" w:cstheme="minorHAnsi"/>
                <w:bCs/>
                <w:lang w:val="en-AU"/>
              </w:rPr>
            </w:pPr>
            <w:r w:rsidRPr="00D67BEA">
              <w:rPr>
                <w:rFonts w:asciiTheme="minorHAnsi" w:hAnsiTheme="minorHAnsi" w:cstheme="minorHAnsi"/>
                <w:bCs/>
                <w:lang w:val="en-AU"/>
              </w:rPr>
              <w:t xml:space="preserve">Estimated eligible population </w:t>
            </w:r>
          </w:p>
        </w:tc>
      </w:tr>
      <w:tr w:rsidR="0046639A" w:rsidRPr="00D67BEA" w14:paraId="30BCE117" w14:textId="77777777" w:rsidTr="00E421E7">
        <w:trPr>
          <w:trHeight w:val="20"/>
        </w:trPr>
        <w:tc>
          <w:tcPr>
            <w:tcW w:w="1555" w:type="dxa"/>
            <w:shd w:val="clear" w:color="auto" w:fill="auto"/>
            <w:vAlign w:val="center"/>
            <w:hideMark/>
          </w:tcPr>
          <w:p w14:paraId="7C313A27"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Number of patients treated for osteoporosis</w:t>
            </w:r>
          </w:p>
        </w:tc>
        <w:tc>
          <w:tcPr>
            <w:tcW w:w="850" w:type="dxa"/>
            <w:vAlign w:val="center"/>
          </w:tcPr>
          <w:p w14:paraId="0790D88B" w14:textId="77777777" w:rsidR="0046639A" w:rsidRPr="00D67BEA" w:rsidRDefault="0046639A" w:rsidP="0057181A">
            <w:pPr>
              <w:pStyle w:val="TableText"/>
              <w:keepLines/>
              <w:widowControl w:val="0"/>
              <w:spacing w:beforeLines="60" w:before="144" w:afterLines="60" w:after="144"/>
              <w:jc w:val="center"/>
              <w:rPr>
                <w:rFonts w:asciiTheme="minorHAnsi" w:hAnsiTheme="minorHAnsi" w:cstheme="minorHAnsi"/>
              </w:rPr>
            </w:pPr>
            <w:r w:rsidRPr="00D67BEA">
              <w:rPr>
                <w:rFonts w:asciiTheme="minorHAnsi" w:hAnsiTheme="minorHAnsi" w:cstheme="minorHAnsi"/>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FEF09"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szCs w:val="20"/>
              </w:rPr>
              <w:t>697,849</w:t>
            </w:r>
          </w:p>
        </w:tc>
        <w:tc>
          <w:tcPr>
            <w:tcW w:w="5619" w:type="dxa"/>
            <w:shd w:val="clear" w:color="auto" w:fill="auto"/>
            <w:vAlign w:val="center"/>
          </w:tcPr>
          <w:p w14:paraId="7612225B"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10% Medicare sample analysis of patients receiving osteoporosis treatments for the 12 months to June 2018 (552,227), extrapolated to 2020-2025 estimates based on growth rate of prevalent population (2014-2015) from the DUSC 2016 Osteoporosis report). May be underestimated as it only captures patients on active therapy. The DUSC 2016 report indicated there is an increasing number of patients who re-initiate therapy after a 2-year break.</w:t>
            </w:r>
          </w:p>
        </w:tc>
      </w:tr>
      <w:tr w:rsidR="0046639A" w:rsidRPr="00D67BEA" w14:paraId="1D4B1274" w14:textId="77777777" w:rsidTr="00E421E7">
        <w:trPr>
          <w:trHeight w:val="20"/>
        </w:trPr>
        <w:tc>
          <w:tcPr>
            <w:tcW w:w="1555" w:type="dxa"/>
            <w:shd w:val="clear" w:color="auto" w:fill="auto"/>
            <w:vAlign w:val="center"/>
            <w:hideMark/>
          </w:tcPr>
          <w:p w14:paraId="5913F5B6"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Number of patients treated for ≥12 months</w:t>
            </w:r>
          </w:p>
        </w:tc>
        <w:tc>
          <w:tcPr>
            <w:tcW w:w="850" w:type="dxa"/>
            <w:vAlign w:val="center"/>
          </w:tcPr>
          <w:p w14:paraId="6DC63675"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67.2%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4238F"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szCs w:val="20"/>
              </w:rPr>
              <w:t>469,057</w:t>
            </w:r>
          </w:p>
        </w:tc>
        <w:tc>
          <w:tcPr>
            <w:tcW w:w="5619" w:type="dxa"/>
            <w:shd w:val="clear" w:color="auto" w:fill="auto"/>
            <w:vAlign w:val="center"/>
          </w:tcPr>
          <w:p w14:paraId="4D7504EF"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10% Medicare sample analysis of patients who were on ≥12 months continuous therapy for 12 months to June 2018. It was difficult to interpret the analysis due to poor documentation. Estimates were lower than the November 2018 submission’s estimates based on the DUSC 2016 Osteoporosis report (84.7%).</w:t>
            </w:r>
          </w:p>
        </w:tc>
      </w:tr>
      <w:tr w:rsidR="0046639A" w:rsidRPr="00D67BEA" w14:paraId="0EDB96A4" w14:textId="77777777" w:rsidTr="00E421E7">
        <w:trPr>
          <w:trHeight w:val="20"/>
        </w:trPr>
        <w:tc>
          <w:tcPr>
            <w:tcW w:w="1555" w:type="dxa"/>
            <w:shd w:val="clear" w:color="auto" w:fill="auto"/>
            <w:vAlign w:val="center"/>
          </w:tcPr>
          <w:p w14:paraId="640FA682"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Patients with prior fracture</w:t>
            </w:r>
          </w:p>
        </w:tc>
        <w:tc>
          <w:tcPr>
            <w:tcW w:w="850" w:type="dxa"/>
            <w:vAlign w:val="center"/>
          </w:tcPr>
          <w:p w14:paraId="4773B62C"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75%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2093DF"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szCs w:val="20"/>
              </w:rPr>
              <w:t>351,793</w:t>
            </w:r>
          </w:p>
        </w:tc>
        <w:tc>
          <w:tcPr>
            <w:tcW w:w="5619" w:type="dxa"/>
            <w:shd w:val="clear" w:color="auto" w:fill="auto"/>
            <w:vAlign w:val="center"/>
          </w:tcPr>
          <w:p w14:paraId="25D59C58"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Geelong Osteoporosis Study. The PBAC previously considered that the majority of treated osteoporosis patients have a prevalent fracture (November 2016 meeting, Consideration of the Report of DUSC). However, the magnitude of this proportion remains unclear as the data were based on a general population study (includes undiagnosed patients).</w:t>
            </w:r>
          </w:p>
        </w:tc>
      </w:tr>
      <w:tr w:rsidR="0046639A" w:rsidRPr="00D67BEA" w14:paraId="73CC90A2" w14:textId="77777777" w:rsidTr="00E421E7">
        <w:trPr>
          <w:trHeight w:val="20"/>
        </w:trPr>
        <w:tc>
          <w:tcPr>
            <w:tcW w:w="1555" w:type="dxa"/>
            <w:shd w:val="clear" w:color="auto" w:fill="auto"/>
            <w:vAlign w:val="center"/>
          </w:tcPr>
          <w:p w14:paraId="192ECDAC"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Treated patients with prior fracture and BMD ≤ -3</w:t>
            </w:r>
          </w:p>
        </w:tc>
        <w:tc>
          <w:tcPr>
            <w:tcW w:w="850" w:type="dxa"/>
            <w:vAlign w:val="center"/>
          </w:tcPr>
          <w:p w14:paraId="33950CE3"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C2C4A"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szCs w:val="20"/>
              </w:rPr>
              <w:t>34,089</w:t>
            </w:r>
          </w:p>
        </w:tc>
        <w:tc>
          <w:tcPr>
            <w:tcW w:w="5619" w:type="dxa"/>
            <w:shd w:val="clear" w:color="auto" w:fill="auto"/>
            <w:vAlign w:val="center"/>
          </w:tcPr>
          <w:p w14:paraId="6BDC0C30" w14:textId="77777777" w:rsidR="0046639A" w:rsidRPr="00D67BEA" w:rsidRDefault="0046639A" w:rsidP="0057181A">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Geelong Osteoporosis Study, 10% Medicare sample analysis, FREEDOM trial extension and multiple assumptions. Estimates from these sources may not be applicable to the treated population given the Geelong Osteoporosis Study population consists of diagnosed and undiagnosed participants. The applicability of the FREEDOM extension study population (primary osteoporosis) to the PBS population was unclear given limited detail provided in the resubmission. The resubmission appeared to misinterpret the data from the FREEDOM trial (use of relative reduction instead of proportion of patients below the BMD threshold).</w:t>
            </w:r>
          </w:p>
        </w:tc>
      </w:tr>
    </w:tbl>
    <w:p w14:paraId="443B4B05" w14:textId="77777777" w:rsidR="00E421E7" w:rsidRDefault="00E421E7"/>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50"/>
        <w:gridCol w:w="992"/>
        <w:gridCol w:w="5619"/>
      </w:tblGrid>
      <w:tr w:rsidR="00E421E7" w:rsidRPr="00D67BEA" w14:paraId="77817E56" w14:textId="77777777" w:rsidTr="00E421E7">
        <w:trPr>
          <w:trHeight w:val="20"/>
        </w:trPr>
        <w:tc>
          <w:tcPr>
            <w:tcW w:w="1555" w:type="dxa"/>
            <w:shd w:val="clear" w:color="auto" w:fill="BFBFBF" w:themeFill="background1" w:themeFillShade="BF"/>
            <w:vAlign w:val="center"/>
          </w:tcPr>
          <w:p w14:paraId="38171CA3" w14:textId="0C17EE93" w:rsidR="00E421E7" w:rsidRPr="00E421E7" w:rsidRDefault="00E421E7" w:rsidP="00E421E7">
            <w:pPr>
              <w:pStyle w:val="TableText"/>
              <w:keepLines/>
              <w:widowControl w:val="0"/>
              <w:spacing w:beforeLines="60" w:before="144" w:afterLines="60" w:after="144"/>
              <w:rPr>
                <w:rFonts w:asciiTheme="minorHAnsi" w:hAnsiTheme="minorHAnsi" w:cstheme="minorHAnsi"/>
                <w:b/>
                <w:bCs/>
              </w:rPr>
            </w:pPr>
            <w:r w:rsidRPr="00E421E7">
              <w:rPr>
                <w:rFonts w:asciiTheme="minorHAnsi" w:hAnsiTheme="minorHAnsi" w:cstheme="minorHAnsi"/>
                <w:b/>
                <w:bCs/>
              </w:rPr>
              <w:lastRenderedPageBreak/>
              <w:t> </w:t>
            </w:r>
          </w:p>
        </w:tc>
        <w:tc>
          <w:tcPr>
            <w:tcW w:w="850" w:type="dxa"/>
            <w:shd w:val="clear" w:color="auto" w:fill="BFBFBF" w:themeFill="background1" w:themeFillShade="BF"/>
          </w:tcPr>
          <w:p w14:paraId="69B26291" w14:textId="0D2833F4" w:rsidR="00E421E7" w:rsidRPr="00E421E7" w:rsidRDefault="00E421E7" w:rsidP="00E421E7">
            <w:pPr>
              <w:pStyle w:val="TableText"/>
              <w:keepLines/>
              <w:widowControl w:val="0"/>
              <w:spacing w:beforeLines="60" w:before="144" w:afterLines="60" w:after="144"/>
              <w:rPr>
                <w:rFonts w:asciiTheme="minorHAnsi" w:hAnsiTheme="minorHAnsi" w:cstheme="minorHAnsi"/>
                <w:b/>
                <w:bCs/>
              </w:rPr>
            </w:pPr>
            <w:r w:rsidRPr="00E421E7">
              <w:rPr>
                <w:rFonts w:asciiTheme="minorHAnsi" w:hAnsiTheme="minorHAnsi" w:cstheme="minorHAnsi"/>
                <w:b/>
                <w:bCs/>
              </w:rPr>
              <w:t>Value</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B7C4E35" w14:textId="5A5DD41B" w:rsidR="00E421E7" w:rsidRPr="00E421E7" w:rsidRDefault="00E421E7" w:rsidP="00E421E7">
            <w:pPr>
              <w:pStyle w:val="TableText"/>
              <w:keepLines/>
              <w:widowControl w:val="0"/>
              <w:spacing w:beforeLines="60" w:before="144" w:afterLines="60" w:after="144"/>
              <w:rPr>
                <w:rFonts w:asciiTheme="minorHAnsi" w:hAnsiTheme="minorHAnsi" w:cstheme="minorHAnsi"/>
                <w:b/>
                <w:bCs/>
                <w:szCs w:val="20"/>
              </w:rPr>
            </w:pPr>
            <w:r w:rsidRPr="00E421E7">
              <w:rPr>
                <w:rFonts w:asciiTheme="minorHAnsi" w:hAnsiTheme="minorHAnsi" w:cstheme="minorHAnsi"/>
                <w:b/>
                <w:bCs/>
              </w:rPr>
              <w:t>Year 6</w:t>
            </w:r>
            <w:r w:rsidRPr="00E421E7">
              <w:rPr>
                <w:rFonts w:asciiTheme="minorHAnsi" w:hAnsiTheme="minorHAnsi" w:cstheme="minorHAnsi"/>
                <w:b/>
                <w:bCs/>
                <w:vertAlign w:val="superscript"/>
              </w:rPr>
              <w:t>a</w:t>
            </w:r>
          </w:p>
        </w:tc>
        <w:tc>
          <w:tcPr>
            <w:tcW w:w="5619" w:type="dxa"/>
            <w:shd w:val="clear" w:color="auto" w:fill="BFBFBF" w:themeFill="background1" w:themeFillShade="BF"/>
            <w:noWrap/>
            <w:vAlign w:val="bottom"/>
          </w:tcPr>
          <w:p w14:paraId="6AD138EB" w14:textId="5C9F000D" w:rsidR="00E421E7" w:rsidRPr="00E421E7" w:rsidRDefault="00E421E7" w:rsidP="00E421E7">
            <w:pPr>
              <w:pStyle w:val="TableText"/>
              <w:keepLines/>
              <w:widowControl w:val="0"/>
              <w:spacing w:beforeLines="60" w:before="144" w:afterLines="60" w:after="144"/>
              <w:rPr>
                <w:rFonts w:asciiTheme="minorHAnsi" w:hAnsiTheme="minorHAnsi" w:cstheme="minorHAnsi"/>
                <w:b/>
                <w:bCs/>
              </w:rPr>
            </w:pPr>
            <w:r w:rsidRPr="00E421E7">
              <w:rPr>
                <w:rFonts w:asciiTheme="minorHAnsi" w:hAnsiTheme="minorHAnsi" w:cstheme="minorHAnsi"/>
                <w:b/>
                <w:bCs/>
              </w:rPr>
              <w:t xml:space="preserve">Source and comment </w:t>
            </w:r>
          </w:p>
        </w:tc>
      </w:tr>
      <w:tr w:rsidR="00E421E7" w:rsidRPr="00D67BEA" w14:paraId="0D1F21AA" w14:textId="77777777" w:rsidTr="00E421E7">
        <w:trPr>
          <w:trHeight w:val="20"/>
        </w:trPr>
        <w:tc>
          <w:tcPr>
            <w:tcW w:w="1555" w:type="dxa"/>
            <w:shd w:val="clear" w:color="auto" w:fill="auto"/>
            <w:vAlign w:val="center"/>
            <w:hideMark/>
          </w:tcPr>
          <w:p w14:paraId="09D59928" w14:textId="77777777" w:rsidR="00E421E7" w:rsidRPr="00D67BEA" w:rsidRDefault="00E421E7" w:rsidP="00E421E7">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Fracture while on anti-resorptive therapy</w:t>
            </w:r>
          </w:p>
        </w:tc>
        <w:tc>
          <w:tcPr>
            <w:tcW w:w="850" w:type="dxa"/>
            <w:vAlign w:val="center"/>
          </w:tcPr>
          <w:p w14:paraId="62614236" w14:textId="77777777" w:rsidR="00E421E7" w:rsidRPr="00D67BEA" w:rsidRDefault="00E421E7" w:rsidP="00E421E7">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29.3%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5F1AD" w14:textId="77777777" w:rsidR="00E421E7" w:rsidRPr="00D67BEA" w:rsidRDefault="00E421E7" w:rsidP="00E421E7">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szCs w:val="20"/>
              </w:rPr>
              <w:t>9,974</w:t>
            </w:r>
          </w:p>
        </w:tc>
        <w:tc>
          <w:tcPr>
            <w:tcW w:w="5619" w:type="dxa"/>
            <w:shd w:val="clear" w:color="auto" w:fill="auto"/>
            <w:noWrap/>
            <w:vAlign w:val="center"/>
          </w:tcPr>
          <w:p w14:paraId="58854E71" w14:textId="77777777" w:rsidR="00E421E7" w:rsidRPr="00D67BEA" w:rsidRDefault="00E421E7" w:rsidP="00E421E7">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 xml:space="preserve">Based on an assumed annual fracture rate derived from the Garvan Fracture risk calculator plus assumptions, multiplied by patient-years of exposure calculated from a 10% Medicare sample analysis. This estimate was uncertain due to concerns with the derived fracture rate (inappropriate application of risk synthesised from four individuals to estimate population risk, use of flat rate over time, unknown source for downward adjustment to treatment effects) and anomalous results from the 10% Medicare sample analysis. </w:t>
            </w:r>
          </w:p>
        </w:tc>
      </w:tr>
      <w:tr w:rsidR="00E421E7" w:rsidRPr="00D67BEA" w14:paraId="0D5B6FD9" w14:textId="77777777" w:rsidTr="00E421E7">
        <w:trPr>
          <w:trHeight w:val="20"/>
        </w:trPr>
        <w:tc>
          <w:tcPr>
            <w:tcW w:w="9016" w:type="dxa"/>
            <w:gridSpan w:val="4"/>
            <w:shd w:val="clear" w:color="auto" w:fill="auto"/>
            <w:vAlign w:val="center"/>
          </w:tcPr>
          <w:p w14:paraId="7E5B3DB6" w14:textId="77777777" w:rsidR="00E421E7" w:rsidRPr="00D67BEA" w:rsidRDefault="00E421E7" w:rsidP="00E421E7">
            <w:pPr>
              <w:pStyle w:val="Tableheadingrow"/>
              <w:keepLines/>
              <w:widowControl w:val="0"/>
              <w:spacing w:beforeLines="60" w:before="144" w:afterLines="60" w:after="144"/>
              <w:rPr>
                <w:rFonts w:asciiTheme="minorHAnsi" w:hAnsiTheme="minorHAnsi" w:cstheme="minorHAnsi"/>
                <w:iCs/>
                <w:lang w:val="en-AU"/>
              </w:rPr>
            </w:pPr>
            <w:r w:rsidRPr="00D67BEA">
              <w:rPr>
                <w:rFonts w:asciiTheme="minorHAnsi" w:hAnsiTheme="minorHAnsi" w:cstheme="minorHAnsi"/>
                <w:lang w:val="en-AU"/>
              </w:rPr>
              <w:t>Estimated use of romosozumab</w:t>
            </w:r>
          </w:p>
        </w:tc>
      </w:tr>
      <w:tr w:rsidR="00E421E7" w:rsidRPr="00D67BEA" w14:paraId="648E9EDF" w14:textId="77777777" w:rsidTr="00E421E7">
        <w:trPr>
          <w:trHeight w:val="20"/>
        </w:trPr>
        <w:tc>
          <w:tcPr>
            <w:tcW w:w="1555" w:type="dxa"/>
            <w:shd w:val="clear" w:color="auto" w:fill="auto"/>
            <w:vAlign w:val="center"/>
          </w:tcPr>
          <w:p w14:paraId="07DE8DB6" w14:textId="77777777" w:rsidR="00E421E7" w:rsidRPr="00D67BEA" w:rsidRDefault="00E421E7" w:rsidP="00E421E7">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Romosozumab uptake calibration</w:t>
            </w:r>
          </w:p>
        </w:tc>
        <w:tc>
          <w:tcPr>
            <w:tcW w:w="850" w:type="dxa"/>
            <w:vAlign w:val="center"/>
          </w:tcPr>
          <w:p w14:paraId="7FEF233B" w14:textId="2156C198" w:rsidR="00E421E7" w:rsidRPr="00D67BEA" w:rsidRDefault="00524862" w:rsidP="00E421E7">
            <w:pPr>
              <w:pStyle w:val="TableText"/>
              <w:keepLines/>
              <w:widowControl w:val="0"/>
              <w:spacing w:beforeLines="60" w:before="144" w:afterLines="60" w:after="144"/>
              <w:rPr>
                <w:rFonts w:asciiTheme="minorHAnsi" w:hAnsiTheme="minorHAnsi" w:cstheme="minorHAnsi"/>
                <w:vertAlign w:val="superscript"/>
              </w:rPr>
            </w:pPr>
            <w:r w:rsidRPr="00524862">
              <w:rPr>
                <w:rFonts w:asciiTheme="minorHAnsi" w:hAnsiTheme="minorHAnsi" w:cstheme="minorHAnsi" w:hint="eastAsia"/>
                <w:color w:val="000000"/>
                <w:w w:val="20"/>
                <w:shd w:val="solid" w:color="000000" w:fill="000000"/>
                <w:fitText w:val="100" w:id="-959717632"/>
                <w14:textFill>
                  <w14:solidFill>
                    <w14:srgbClr w14:val="000000">
                      <w14:alpha w14:val="100000"/>
                    </w14:srgbClr>
                  </w14:solidFill>
                </w14:textFill>
              </w:rPr>
              <w:t xml:space="preserve">　</w:t>
            </w:r>
            <w:r w:rsidRPr="00524862">
              <w:rPr>
                <w:rFonts w:asciiTheme="minorHAnsi" w:hAnsiTheme="minorHAnsi" w:cstheme="minorHAnsi"/>
                <w:color w:val="000000"/>
                <w:w w:val="20"/>
                <w:shd w:val="solid" w:color="000000" w:fill="000000"/>
                <w:fitText w:val="100" w:id="-959717632"/>
                <w14:textFill>
                  <w14:solidFill>
                    <w14:srgbClr w14:val="000000">
                      <w14:alpha w14:val="100000"/>
                    </w14:srgbClr>
                  </w14:solidFill>
                </w14:textFill>
              </w:rPr>
              <w:t>|</w:t>
            </w:r>
            <w:r w:rsidRPr="00524862">
              <w:rPr>
                <w:rFonts w:asciiTheme="minorHAnsi" w:hAnsiTheme="minorHAnsi" w:cstheme="minorHAnsi" w:hint="eastAsia"/>
                <w:color w:val="000000"/>
                <w:w w:val="20"/>
                <w:shd w:val="solid" w:color="000000" w:fill="000000"/>
                <w:fitText w:val="100" w:id="-959717632"/>
                <w14:textFill>
                  <w14:solidFill>
                    <w14:srgbClr w14:val="000000">
                      <w14:alpha w14:val="100000"/>
                    </w14:srgbClr>
                  </w14:solidFill>
                </w14:textFill>
              </w:rPr>
              <w:t xml:space="preserve">　</w:t>
            </w:r>
            <w:r w:rsidR="00E421E7" w:rsidRPr="00D67BEA">
              <w:rPr>
                <w:rFonts w:asciiTheme="minorHAnsi" w:hAnsiTheme="minorHAnsi" w:cstheme="minorHAnsi"/>
              </w:rPr>
              <w:t>%</w:t>
            </w:r>
            <w:r w:rsidR="00E421E7" w:rsidRPr="00D67BEA">
              <w:rPr>
                <w:rFonts w:asciiTheme="minorHAnsi" w:hAnsiTheme="minorHAnsi" w:cstheme="minorHAnsi"/>
                <w:vertAlign w:val="superscript"/>
              </w:rPr>
              <w:t>b</w:t>
            </w:r>
          </w:p>
        </w:tc>
        <w:tc>
          <w:tcPr>
            <w:tcW w:w="992" w:type="dxa"/>
            <w:shd w:val="clear" w:color="auto" w:fill="auto"/>
            <w:noWrap/>
            <w:vAlign w:val="center"/>
          </w:tcPr>
          <w:p w14:paraId="14277D68" w14:textId="1D028EB1" w:rsidR="00E421E7" w:rsidRPr="00D67BEA" w:rsidRDefault="00F16B62" w:rsidP="00E421E7">
            <w:pPr>
              <w:pStyle w:val="TableText"/>
              <w:keepLines/>
              <w:widowControl w:val="0"/>
              <w:spacing w:beforeLines="60" w:before="144" w:afterLines="60" w:after="144"/>
              <w:rPr>
                <w:rFonts w:asciiTheme="minorHAnsi" w:hAnsiTheme="minorHAnsi" w:cstheme="minorHAnsi"/>
              </w:rPr>
            </w:pPr>
            <w:r w:rsidRPr="00F16B62">
              <w:rPr>
                <w:rFonts w:asciiTheme="minorHAnsi" w:hAnsiTheme="minorHAnsi" w:cstheme="minorHAnsi" w:hint="eastAsia"/>
                <w:color w:val="000000"/>
                <w:w w:val="15"/>
                <w:szCs w:val="20"/>
                <w:shd w:val="solid" w:color="000000" w:fill="000000"/>
                <w:fitText w:val="50" w:id="-959717373"/>
                <w14:textFill>
                  <w14:solidFill>
                    <w14:srgbClr w14:val="000000">
                      <w14:alpha w14:val="100000"/>
                    </w14:srgbClr>
                  </w14:solidFill>
                </w14:textFill>
              </w:rPr>
              <w:t xml:space="preserve">　</w:t>
            </w:r>
            <w:r w:rsidRPr="00F16B62">
              <w:rPr>
                <w:rFonts w:asciiTheme="minorHAnsi" w:hAnsiTheme="minorHAnsi" w:cstheme="minorHAnsi"/>
                <w:color w:val="000000"/>
                <w:w w:val="15"/>
                <w:szCs w:val="20"/>
                <w:shd w:val="solid" w:color="000000" w:fill="000000"/>
                <w:fitText w:val="50" w:id="-959717373"/>
                <w14:textFill>
                  <w14:solidFill>
                    <w14:srgbClr w14:val="000000">
                      <w14:alpha w14:val="100000"/>
                    </w14:srgbClr>
                  </w14:solidFill>
                </w14:textFill>
              </w:rPr>
              <w:t>|</w:t>
            </w:r>
            <w:r w:rsidRPr="00F16B62">
              <w:rPr>
                <w:rFonts w:asciiTheme="minorHAnsi" w:hAnsiTheme="minorHAnsi" w:cstheme="minorHAnsi" w:hint="eastAsia"/>
                <w:color w:val="000000"/>
                <w:spacing w:val="-23"/>
                <w:w w:val="15"/>
                <w:szCs w:val="20"/>
                <w:shd w:val="solid" w:color="000000" w:fill="000000"/>
                <w:fitText w:val="50" w:id="-959717373"/>
                <w14:textFill>
                  <w14:solidFill>
                    <w14:srgbClr w14:val="000000">
                      <w14:alpha w14:val="100000"/>
                    </w14:srgbClr>
                  </w14:solidFill>
                </w14:textFill>
              </w:rPr>
              <w:t xml:space="preserve">　</w:t>
            </w:r>
            <w:r w:rsidRPr="00F16B62">
              <w:rPr>
                <w:rFonts w:asciiTheme="minorHAnsi" w:hAnsiTheme="minorHAnsi" w:cstheme="minorHAnsi"/>
                <w:color w:val="000000"/>
                <w:w w:val="76"/>
                <w:szCs w:val="20"/>
                <w:shd w:val="solid" w:color="000000" w:fill="000000"/>
                <w:fitText w:val="210" w:id="-959717374"/>
                <w14:textFill>
                  <w14:solidFill>
                    <w14:srgbClr w14:val="000000">
                      <w14:alpha w14:val="100000"/>
                    </w14:srgbClr>
                  </w14:solidFill>
                </w14:textFill>
              </w:rPr>
              <w:t>|||</w:t>
            </w:r>
          </w:p>
        </w:tc>
        <w:tc>
          <w:tcPr>
            <w:tcW w:w="5619" w:type="dxa"/>
            <w:shd w:val="clear" w:color="auto" w:fill="auto"/>
            <w:noWrap/>
            <w:vAlign w:val="center"/>
          </w:tcPr>
          <w:p w14:paraId="4A02B2B5" w14:textId="1E261B50" w:rsidR="00E421E7" w:rsidRPr="00D67BEA" w:rsidRDefault="00E421E7" w:rsidP="00E421E7">
            <w:pPr>
              <w:pStyle w:val="TableText"/>
              <w:keepLines/>
              <w:widowControl w:val="0"/>
              <w:spacing w:beforeLines="60" w:before="144" w:afterLines="60" w:after="144"/>
              <w:rPr>
                <w:rFonts w:asciiTheme="minorHAnsi" w:hAnsiTheme="minorHAnsi" w:cstheme="minorHAnsi"/>
              </w:rPr>
            </w:pPr>
            <w:r w:rsidRPr="00D67BEA">
              <w:rPr>
                <w:rFonts w:asciiTheme="minorHAnsi" w:hAnsiTheme="minorHAnsi" w:cstheme="minorHAnsi"/>
              </w:rPr>
              <w:t>Single uptake assumption derived through calibration to match previous utilisation estimates in the July 2019 submission. The uptake rates for romosozumab in the July 2019 submission were based on an assumed increasing capture of the existing anabolic agent market share and a larger addition of patients from market growth (</w:t>
            </w:r>
            <w:r w:rsidR="00F16B62" w:rsidRPr="00F16B62">
              <w:rPr>
                <w:rFonts w:asciiTheme="minorHAnsi" w:hAnsiTheme="minorHAnsi" w:cstheme="minorHAnsi" w:hint="eastAsia"/>
                <w:color w:val="000000"/>
                <w:w w:val="30"/>
                <w:shd w:val="solid" w:color="000000" w:fill="000000"/>
                <w:fitText w:val="150" w:id="-959717375"/>
                <w14:textFill>
                  <w14:solidFill>
                    <w14:srgbClr w14:val="000000">
                      <w14:alpha w14:val="100000"/>
                    </w14:srgbClr>
                  </w14:solidFill>
                </w14:textFill>
              </w:rPr>
              <w:t xml:space="preserve">　</w:t>
            </w:r>
            <w:r w:rsidR="00F16B62" w:rsidRPr="00F16B62">
              <w:rPr>
                <w:rFonts w:asciiTheme="minorHAnsi" w:hAnsiTheme="minorHAnsi" w:cstheme="minorHAnsi"/>
                <w:color w:val="000000"/>
                <w:w w:val="30"/>
                <w:shd w:val="solid" w:color="000000" w:fill="000000"/>
                <w:fitText w:val="150" w:id="-959717375"/>
                <w14:textFill>
                  <w14:solidFill>
                    <w14:srgbClr w14:val="000000">
                      <w14:alpha w14:val="100000"/>
                    </w14:srgbClr>
                  </w14:solidFill>
                </w14:textFill>
              </w:rPr>
              <w:t>|</w:t>
            </w:r>
            <w:r w:rsidR="00F16B62" w:rsidRPr="00F16B62">
              <w:rPr>
                <w:rFonts w:asciiTheme="minorHAnsi" w:hAnsiTheme="minorHAnsi" w:cstheme="minorHAnsi" w:hint="eastAsia"/>
                <w:color w:val="000000"/>
                <w:w w:val="30"/>
                <w:shd w:val="solid" w:color="000000" w:fill="000000"/>
                <w:fitText w:val="150" w:id="-959717375"/>
                <w14:textFill>
                  <w14:solidFill>
                    <w14:srgbClr w14:val="000000">
                      <w14:alpha w14:val="100000"/>
                    </w14:srgbClr>
                  </w14:solidFill>
                </w14:textFill>
              </w:rPr>
              <w:t xml:space="preserve">　</w:t>
            </w:r>
            <w:r w:rsidRPr="00D67BEA">
              <w:rPr>
                <w:rFonts w:asciiTheme="minorHAnsi" w:hAnsiTheme="minorHAnsi" w:cstheme="minorHAnsi"/>
              </w:rPr>
              <w:t xml:space="preserve">-fold expansion). The new uptake rates do not differentiate between these markets, as they are applied directly to the eligible patient population, but maintain the previous assumption of increasing uptake over time. </w:t>
            </w:r>
          </w:p>
        </w:tc>
      </w:tr>
    </w:tbl>
    <w:p w14:paraId="4E71B80A" w14:textId="356EC105" w:rsidR="0046639A" w:rsidRPr="00D67BEA" w:rsidRDefault="0046639A" w:rsidP="0046639A">
      <w:pPr>
        <w:pStyle w:val="TableFigureFooter"/>
        <w:keepNext/>
        <w:keepLines/>
        <w:rPr>
          <w:rFonts w:asciiTheme="minorHAnsi" w:hAnsiTheme="minorHAnsi" w:cstheme="minorHAnsi"/>
        </w:rPr>
      </w:pPr>
      <w:r w:rsidRPr="00D67BEA">
        <w:rPr>
          <w:rFonts w:asciiTheme="minorHAnsi" w:hAnsiTheme="minorHAnsi" w:cstheme="minorHAnsi"/>
        </w:rPr>
        <w:t xml:space="preserve">Source: </w:t>
      </w:r>
      <w:r w:rsidR="00245246">
        <w:rPr>
          <w:rFonts w:asciiTheme="minorHAnsi" w:hAnsiTheme="minorHAnsi" w:cstheme="minorHAnsi"/>
        </w:rPr>
        <w:t xml:space="preserve">Table 12 romosozumab </w:t>
      </w:r>
      <w:r w:rsidR="00ED0B82">
        <w:rPr>
          <w:rFonts w:asciiTheme="minorHAnsi" w:hAnsiTheme="minorHAnsi" w:cstheme="minorHAnsi"/>
        </w:rPr>
        <w:t>Public Summary Document</w:t>
      </w:r>
      <w:r w:rsidR="00245246">
        <w:rPr>
          <w:rFonts w:asciiTheme="minorHAnsi" w:hAnsiTheme="minorHAnsi" w:cstheme="minorHAnsi"/>
        </w:rPr>
        <w:t xml:space="preserve">, March 2020 PBAC meeting. </w:t>
      </w:r>
    </w:p>
    <w:p w14:paraId="7BAE281A" w14:textId="77777777" w:rsidR="0046639A" w:rsidRPr="00D67BEA" w:rsidRDefault="0046639A" w:rsidP="0046639A">
      <w:pPr>
        <w:pStyle w:val="TableFigureFooter"/>
        <w:keepNext/>
        <w:keepLines/>
        <w:rPr>
          <w:rFonts w:asciiTheme="minorHAnsi" w:hAnsiTheme="minorHAnsi" w:cstheme="minorHAnsi"/>
        </w:rPr>
      </w:pPr>
      <w:r w:rsidRPr="00D67BEA">
        <w:rPr>
          <w:rFonts w:asciiTheme="minorHAnsi" w:hAnsiTheme="minorHAnsi" w:cstheme="minorHAnsi"/>
          <w:vertAlign w:val="superscript"/>
        </w:rPr>
        <w:t>a</w:t>
      </w:r>
      <w:r w:rsidRPr="00D67BEA">
        <w:rPr>
          <w:rFonts w:asciiTheme="minorHAnsi" w:hAnsiTheme="minorHAnsi" w:cstheme="minorHAnsi"/>
        </w:rPr>
        <w:t xml:space="preserve"> Number of treated patients estimated at each step in Year 6 of the financial estimates</w:t>
      </w:r>
    </w:p>
    <w:p w14:paraId="7A05059E" w14:textId="05104016" w:rsidR="0046639A" w:rsidRPr="00E538DB" w:rsidRDefault="0046639A" w:rsidP="00E538DB">
      <w:pPr>
        <w:pStyle w:val="TableFigureFooter"/>
        <w:keepNext/>
        <w:keepLines/>
        <w:rPr>
          <w:rFonts w:asciiTheme="minorHAnsi" w:hAnsiTheme="minorHAnsi" w:cstheme="minorHAnsi"/>
        </w:rPr>
      </w:pPr>
      <w:r w:rsidRPr="00D67BEA">
        <w:rPr>
          <w:rFonts w:asciiTheme="minorHAnsi" w:hAnsiTheme="minorHAnsi" w:cstheme="minorHAnsi"/>
          <w:vertAlign w:val="superscript"/>
        </w:rPr>
        <w:t>b</w:t>
      </w:r>
      <w:r w:rsidRPr="00D67BEA">
        <w:rPr>
          <w:rFonts w:asciiTheme="minorHAnsi" w:hAnsiTheme="minorHAnsi" w:cstheme="minorHAnsi"/>
        </w:rPr>
        <w:t xml:space="preserve"> Uptake rates, </w:t>
      </w:r>
      <w:proofErr w:type="spellStart"/>
      <w:r w:rsidRPr="00D67BEA">
        <w:rPr>
          <w:rFonts w:asciiTheme="minorHAnsi" w:hAnsiTheme="minorHAnsi" w:cstheme="minorHAnsi"/>
        </w:rPr>
        <w:t>Yr</w:t>
      </w:r>
      <w:proofErr w:type="spellEnd"/>
      <w:r w:rsidRPr="00D67BEA">
        <w:rPr>
          <w:rFonts w:asciiTheme="minorHAnsi" w:hAnsiTheme="minorHAnsi" w:cstheme="minorHAnsi"/>
        </w:rPr>
        <w:t xml:space="preserve"> 1: </w:t>
      </w:r>
      <w:r w:rsidR="00524862" w:rsidRPr="00524862">
        <w:rPr>
          <w:rFonts w:asciiTheme="minorHAnsi" w:hAnsiTheme="minorHAnsi" w:cstheme="minorHAnsi"/>
          <w:color w:val="000000"/>
          <w:w w:val="28"/>
          <w:shd w:val="solid" w:color="000000" w:fill="000000"/>
          <w:fitText w:val="70" w:id="-959717631"/>
          <w14:textFill>
            <w14:solidFill>
              <w14:srgbClr w14:val="000000">
                <w14:alpha w14:val="100000"/>
              </w14:srgbClr>
            </w14:solidFill>
          </w14:textFill>
        </w:rPr>
        <w:t>|  |</w:t>
      </w:r>
      <w:r w:rsidRPr="00D67BEA">
        <w:rPr>
          <w:rFonts w:asciiTheme="minorHAnsi" w:hAnsiTheme="minorHAnsi" w:cstheme="minorHAnsi"/>
        </w:rPr>
        <w:t xml:space="preserve">%, </w:t>
      </w:r>
      <w:proofErr w:type="spellStart"/>
      <w:r w:rsidRPr="00D67BEA">
        <w:rPr>
          <w:rFonts w:asciiTheme="minorHAnsi" w:hAnsiTheme="minorHAnsi" w:cstheme="minorHAnsi"/>
        </w:rPr>
        <w:t>Yr</w:t>
      </w:r>
      <w:proofErr w:type="spellEnd"/>
      <w:r w:rsidRPr="00D67BEA">
        <w:rPr>
          <w:rFonts w:asciiTheme="minorHAnsi" w:hAnsiTheme="minorHAnsi" w:cstheme="minorHAnsi"/>
        </w:rPr>
        <w:t xml:space="preserve"> 2: </w:t>
      </w:r>
      <w:r w:rsidR="00524862" w:rsidRPr="00524862">
        <w:rPr>
          <w:rFonts w:asciiTheme="minorHAnsi" w:hAnsiTheme="minorHAnsi" w:cstheme="minorHAnsi"/>
          <w:color w:val="000000"/>
          <w:w w:val="32"/>
          <w:shd w:val="solid" w:color="000000" w:fill="000000"/>
          <w:fitText w:val="80" w:id="-959717630"/>
          <w14:textFill>
            <w14:solidFill>
              <w14:srgbClr w14:val="000000">
                <w14:alpha w14:val="100000"/>
              </w14:srgbClr>
            </w14:solidFill>
          </w14:textFill>
        </w:rPr>
        <w:t>|  |</w:t>
      </w:r>
      <w:r w:rsidRPr="00D67BEA">
        <w:rPr>
          <w:rFonts w:asciiTheme="minorHAnsi" w:hAnsiTheme="minorHAnsi" w:cstheme="minorHAnsi"/>
        </w:rPr>
        <w:t xml:space="preserve">%, </w:t>
      </w:r>
      <w:proofErr w:type="spellStart"/>
      <w:r w:rsidRPr="00D67BEA">
        <w:rPr>
          <w:rFonts w:asciiTheme="minorHAnsi" w:hAnsiTheme="minorHAnsi" w:cstheme="minorHAnsi"/>
        </w:rPr>
        <w:t>Yr</w:t>
      </w:r>
      <w:proofErr w:type="spellEnd"/>
      <w:r w:rsidRPr="00D67BEA">
        <w:rPr>
          <w:rFonts w:asciiTheme="minorHAnsi" w:hAnsiTheme="minorHAnsi" w:cstheme="minorHAnsi"/>
        </w:rPr>
        <w:t xml:space="preserve"> 3: </w:t>
      </w:r>
      <w:r w:rsidR="00524862" w:rsidRPr="00524862">
        <w:rPr>
          <w:rFonts w:asciiTheme="minorHAnsi" w:hAnsiTheme="minorHAnsi" w:cstheme="minorHAnsi"/>
          <w:color w:val="000000"/>
          <w:w w:val="36"/>
          <w:shd w:val="solid" w:color="000000" w:fill="000000"/>
          <w:fitText w:val="210" w:id="-959717629"/>
          <w14:textFill>
            <w14:solidFill>
              <w14:srgbClr w14:val="000000">
                <w14:alpha w14:val="100000"/>
              </w14:srgbClr>
            </w14:solidFill>
          </w14:textFill>
        </w:rPr>
        <w:t>|||  |||</w:t>
      </w:r>
      <w:r w:rsidRPr="00D67BEA">
        <w:rPr>
          <w:rFonts w:asciiTheme="minorHAnsi" w:hAnsiTheme="minorHAnsi" w:cstheme="minorHAnsi"/>
        </w:rPr>
        <w:t xml:space="preserve">%, </w:t>
      </w:r>
      <w:proofErr w:type="spellStart"/>
      <w:r w:rsidRPr="00D67BEA">
        <w:rPr>
          <w:rFonts w:asciiTheme="minorHAnsi" w:hAnsiTheme="minorHAnsi" w:cstheme="minorHAnsi"/>
        </w:rPr>
        <w:t>Yr</w:t>
      </w:r>
      <w:proofErr w:type="spellEnd"/>
      <w:r w:rsidRPr="00D67BEA">
        <w:rPr>
          <w:rFonts w:asciiTheme="minorHAnsi" w:hAnsiTheme="minorHAnsi" w:cstheme="minorHAnsi"/>
        </w:rPr>
        <w:t xml:space="preserve"> 4-6: </w:t>
      </w:r>
      <w:r w:rsidR="00524862" w:rsidRPr="00524862">
        <w:rPr>
          <w:rFonts w:asciiTheme="minorHAnsi" w:hAnsiTheme="minorHAnsi" w:cstheme="minorHAnsi"/>
          <w:color w:val="000000"/>
          <w:w w:val="28"/>
          <w:shd w:val="solid" w:color="000000" w:fill="000000"/>
          <w:fitText w:val="70" w:id="-959717628"/>
          <w14:textFill>
            <w14:solidFill>
              <w14:srgbClr w14:val="000000">
                <w14:alpha w14:val="100000"/>
              </w14:srgbClr>
            </w14:solidFill>
          </w14:textFill>
        </w:rPr>
        <w:t>|  |</w:t>
      </w:r>
      <w:r w:rsidRPr="00D67BEA">
        <w:rPr>
          <w:rFonts w:asciiTheme="minorHAnsi" w:hAnsiTheme="minorHAnsi" w:cstheme="minorHAnsi"/>
        </w:rPr>
        <w:t xml:space="preserve">%  </w:t>
      </w:r>
    </w:p>
    <w:p w14:paraId="5F22B4D8" w14:textId="319090EA" w:rsidR="00736041" w:rsidRPr="005E22C2" w:rsidRDefault="00D151EB" w:rsidP="00F73113">
      <w:pPr>
        <w:pStyle w:val="Heading2"/>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28BB7026" w14:textId="4A59FE5F" w:rsidR="00740CF1" w:rsidRPr="00740CF1" w:rsidRDefault="00740CF1" w:rsidP="00740CF1">
      <w:pPr>
        <w:pStyle w:val="Tabletitle"/>
      </w:pPr>
      <w:r w:rsidRPr="001420B3" w:rsidDel="00EE2BBB">
        <w:t xml:space="preserve">Table </w:t>
      </w:r>
      <w:r w:rsidR="00245246">
        <w:t>8</w:t>
      </w:r>
      <w:r>
        <w:t>: Predicted versus actual utilisation of romosozumab</w:t>
      </w:r>
    </w:p>
    <w:tbl>
      <w:tblPr>
        <w:tblStyle w:val="TableGrid"/>
        <w:tblW w:w="0" w:type="auto"/>
        <w:tblLook w:val="04A0" w:firstRow="1" w:lastRow="0" w:firstColumn="1" w:lastColumn="0" w:noHBand="0" w:noVBand="1"/>
      </w:tblPr>
      <w:tblGrid>
        <w:gridCol w:w="2158"/>
        <w:gridCol w:w="2157"/>
        <w:gridCol w:w="2316"/>
        <w:gridCol w:w="2316"/>
      </w:tblGrid>
      <w:tr w:rsidR="00B31E56" w:rsidRPr="00121307" w14:paraId="6E693AD1" w14:textId="77777777" w:rsidTr="000A12DE">
        <w:tc>
          <w:tcPr>
            <w:tcW w:w="2158" w:type="dxa"/>
            <w:shd w:val="clear" w:color="auto" w:fill="BFBFBF" w:themeFill="background1" w:themeFillShade="BF"/>
          </w:tcPr>
          <w:p w14:paraId="3A7EE06D" w14:textId="77777777" w:rsidR="00B31E56" w:rsidRPr="00E70D8D" w:rsidRDefault="00B31E56" w:rsidP="00121307">
            <w:pPr>
              <w:spacing w:before="60" w:after="60"/>
              <w:rPr>
                <w:b/>
                <w:bCs/>
                <w:sz w:val="20"/>
                <w:szCs w:val="20"/>
                <w:highlight w:val="yellow"/>
              </w:rPr>
            </w:pPr>
          </w:p>
        </w:tc>
        <w:tc>
          <w:tcPr>
            <w:tcW w:w="2157" w:type="dxa"/>
            <w:shd w:val="clear" w:color="auto" w:fill="BFBFBF" w:themeFill="background1" w:themeFillShade="BF"/>
          </w:tcPr>
          <w:p w14:paraId="0935C02D" w14:textId="43BCBBD6" w:rsidR="00B31E56" w:rsidRPr="00E70D8D" w:rsidRDefault="00B31E56" w:rsidP="00121307">
            <w:pPr>
              <w:spacing w:before="60" w:after="60"/>
              <w:rPr>
                <w:b/>
                <w:bCs/>
                <w:sz w:val="20"/>
                <w:szCs w:val="20"/>
                <w:highlight w:val="yellow"/>
              </w:rPr>
            </w:pPr>
          </w:p>
        </w:tc>
        <w:tc>
          <w:tcPr>
            <w:tcW w:w="2316" w:type="dxa"/>
            <w:shd w:val="clear" w:color="auto" w:fill="BFBFBF" w:themeFill="background1" w:themeFillShade="BF"/>
          </w:tcPr>
          <w:p w14:paraId="6E1A3737" w14:textId="11246CB5" w:rsidR="00B31E56" w:rsidRPr="00E70D8D" w:rsidRDefault="00B31E56" w:rsidP="00023AEF">
            <w:pPr>
              <w:spacing w:before="60" w:after="60"/>
              <w:jc w:val="center"/>
              <w:rPr>
                <w:b/>
                <w:bCs/>
                <w:sz w:val="20"/>
                <w:szCs w:val="20"/>
              </w:rPr>
            </w:pPr>
            <w:r w:rsidRPr="00E70D8D">
              <w:rPr>
                <w:b/>
                <w:bCs/>
                <w:sz w:val="20"/>
                <w:szCs w:val="20"/>
              </w:rPr>
              <w:t>Year 1</w:t>
            </w:r>
          </w:p>
        </w:tc>
        <w:tc>
          <w:tcPr>
            <w:tcW w:w="2316" w:type="dxa"/>
            <w:shd w:val="clear" w:color="auto" w:fill="BFBFBF" w:themeFill="background1" w:themeFillShade="BF"/>
          </w:tcPr>
          <w:p w14:paraId="7EC53402" w14:textId="3D6B2569" w:rsidR="00B31E56" w:rsidRPr="00E70D8D" w:rsidRDefault="00B31E56" w:rsidP="00023AEF">
            <w:pPr>
              <w:spacing w:before="60" w:after="60"/>
              <w:jc w:val="center"/>
              <w:rPr>
                <w:b/>
                <w:bCs/>
                <w:sz w:val="20"/>
                <w:szCs w:val="20"/>
              </w:rPr>
            </w:pPr>
            <w:r w:rsidRPr="00E70D8D">
              <w:rPr>
                <w:b/>
                <w:bCs/>
                <w:sz w:val="20"/>
                <w:szCs w:val="20"/>
              </w:rPr>
              <w:t>Year 2</w:t>
            </w:r>
          </w:p>
        </w:tc>
      </w:tr>
      <w:tr w:rsidR="00B31E56" w:rsidRPr="00121307" w14:paraId="5826C9CD" w14:textId="77777777" w:rsidTr="00761019">
        <w:tc>
          <w:tcPr>
            <w:tcW w:w="2158" w:type="dxa"/>
            <w:shd w:val="clear" w:color="auto" w:fill="BFBFBF" w:themeFill="background1" w:themeFillShade="BF"/>
          </w:tcPr>
          <w:p w14:paraId="05F85421" w14:textId="77777777" w:rsidR="00B31E56" w:rsidRPr="00E70D8D" w:rsidRDefault="00B31E56" w:rsidP="00121307">
            <w:pPr>
              <w:spacing w:before="60" w:after="60"/>
              <w:rPr>
                <w:b/>
                <w:bCs/>
                <w:sz w:val="20"/>
                <w:szCs w:val="20"/>
                <w:highlight w:val="yellow"/>
              </w:rPr>
            </w:pPr>
          </w:p>
        </w:tc>
        <w:tc>
          <w:tcPr>
            <w:tcW w:w="2157" w:type="dxa"/>
            <w:shd w:val="clear" w:color="auto" w:fill="BFBFBF" w:themeFill="background1" w:themeFillShade="BF"/>
          </w:tcPr>
          <w:p w14:paraId="56025B23" w14:textId="3B7B5854" w:rsidR="00B31E56" w:rsidRPr="00E70D8D" w:rsidRDefault="00B31E56" w:rsidP="00121307">
            <w:pPr>
              <w:spacing w:before="60" w:after="60"/>
              <w:rPr>
                <w:b/>
                <w:bCs/>
                <w:sz w:val="20"/>
                <w:szCs w:val="20"/>
                <w:highlight w:val="yellow"/>
              </w:rPr>
            </w:pPr>
          </w:p>
        </w:tc>
        <w:tc>
          <w:tcPr>
            <w:tcW w:w="2316" w:type="dxa"/>
            <w:tcBorders>
              <w:bottom w:val="single" w:sz="4" w:space="0" w:color="auto"/>
            </w:tcBorders>
            <w:shd w:val="clear" w:color="auto" w:fill="BFBFBF" w:themeFill="background1" w:themeFillShade="BF"/>
          </w:tcPr>
          <w:p w14:paraId="336F2741" w14:textId="6BD26B59" w:rsidR="00B31E56" w:rsidRPr="00E70D8D" w:rsidRDefault="00B31E56" w:rsidP="00023AEF">
            <w:pPr>
              <w:spacing w:before="60" w:after="60"/>
              <w:jc w:val="center"/>
              <w:rPr>
                <w:b/>
                <w:bCs/>
                <w:sz w:val="20"/>
                <w:szCs w:val="20"/>
              </w:rPr>
            </w:pPr>
            <w:r w:rsidRPr="00E70D8D">
              <w:rPr>
                <w:b/>
                <w:bCs/>
                <w:sz w:val="20"/>
                <w:szCs w:val="20"/>
              </w:rPr>
              <w:t xml:space="preserve">April 2021- March 2022 </w:t>
            </w:r>
          </w:p>
        </w:tc>
        <w:tc>
          <w:tcPr>
            <w:tcW w:w="2316" w:type="dxa"/>
            <w:tcBorders>
              <w:bottom w:val="single" w:sz="4" w:space="0" w:color="auto"/>
            </w:tcBorders>
            <w:shd w:val="clear" w:color="auto" w:fill="BFBFBF" w:themeFill="background1" w:themeFillShade="BF"/>
          </w:tcPr>
          <w:p w14:paraId="4A41C4C6" w14:textId="53813CF7" w:rsidR="00B31E56" w:rsidRPr="00E70D8D" w:rsidRDefault="00B31E56" w:rsidP="00023AEF">
            <w:pPr>
              <w:spacing w:before="60" w:after="60"/>
              <w:jc w:val="center"/>
              <w:rPr>
                <w:b/>
                <w:bCs/>
                <w:sz w:val="20"/>
                <w:szCs w:val="20"/>
              </w:rPr>
            </w:pPr>
            <w:r w:rsidRPr="00E70D8D">
              <w:rPr>
                <w:b/>
                <w:bCs/>
                <w:sz w:val="20"/>
                <w:szCs w:val="20"/>
              </w:rPr>
              <w:t>April 2022-March 2023</w:t>
            </w:r>
          </w:p>
        </w:tc>
      </w:tr>
      <w:tr w:rsidR="000A12DE" w:rsidRPr="005D7A79" w14:paraId="4A44447F" w14:textId="77777777" w:rsidTr="00761019">
        <w:tc>
          <w:tcPr>
            <w:tcW w:w="2158" w:type="dxa"/>
            <w:vMerge w:val="restart"/>
          </w:tcPr>
          <w:p w14:paraId="29DF269D" w14:textId="5570EB3B" w:rsidR="000A12DE" w:rsidRPr="000D47B8" w:rsidRDefault="000A12DE" w:rsidP="00121307">
            <w:pPr>
              <w:spacing w:before="60" w:after="60"/>
              <w:rPr>
                <w:sz w:val="20"/>
                <w:szCs w:val="20"/>
              </w:rPr>
            </w:pPr>
            <w:r w:rsidRPr="000D47B8">
              <w:rPr>
                <w:sz w:val="20"/>
                <w:szCs w:val="20"/>
              </w:rPr>
              <w:t xml:space="preserve">Patients </w:t>
            </w:r>
          </w:p>
        </w:tc>
        <w:tc>
          <w:tcPr>
            <w:tcW w:w="2157" w:type="dxa"/>
          </w:tcPr>
          <w:p w14:paraId="6318B090" w14:textId="4D32CEEE" w:rsidR="000A12DE" w:rsidRPr="000D47B8" w:rsidRDefault="000A12DE" w:rsidP="00121307">
            <w:pPr>
              <w:spacing w:before="60" w:after="60"/>
              <w:rPr>
                <w:sz w:val="20"/>
                <w:szCs w:val="20"/>
              </w:rPr>
            </w:pPr>
            <w:r w:rsidRPr="000D47B8">
              <w:rPr>
                <w:sz w:val="20"/>
                <w:szCs w:val="20"/>
              </w:rPr>
              <w:t xml:space="preserve">Predicted </w:t>
            </w:r>
          </w:p>
        </w:tc>
        <w:tc>
          <w:tcPr>
            <w:tcW w:w="2316" w:type="dxa"/>
            <w:shd w:val="solid" w:color="000000" w:fill="000000"/>
          </w:tcPr>
          <w:p w14:paraId="453A5E27" w14:textId="6298AC67" w:rsidR="000A12DE" w:rsidRPr="005D7A79" w:rsidRDefault="00761019" w:rsidP="00023AEF">
            <w:pPr>
              <w:spacing w:before="60" w:after="60"/>
              <w:jc w:val="center"/>
              <w:rPr>
                <w:sz w:val="20"/>
                <w:szCs w:val="20"/>
              </w:rPr>
            </w:pPr>
            <w:r w:rsidRPr="00761019">
              <w:rPr>
                <w:sz w:val="20"/>
                <w:szCs w:val="20"/>
                <w14:textFill>
                  <w14:solidFill>
                    <w14:srgbClr w14:val="000000">
                      <w14:alpha w14:val="100000"/>
                    </w14:srgbClr>
                  </w14:solidFill>
                </w14:textFill>
              </w:rPr>
              <w:t>|</w:t>
            </w:r>
          </w:p>
        </w:tc>
        <w:tc>
          <w:tcPr>
            <w:tcW w:w="2316" w:type="dxa"/>
            <w:shd w:val="solid" w:color="000000" w:fill="000000"/>
          </w:tcPr>
          <w:p w14:paraId="6B3ACFD6" w14:textId="7B425849" w:rsidR="000A12DE" w:rsidRPr="005D7A79" w:rsidRDefault="00761019" w:rsidP="00023AEF">
            <w:pPr>
              <w:spacing w:before="60" w:after="60"/>
              <w:jc w:val="center"/>
              <w:rPr>
                <w:sz w:val="20"/>
                <w:szCs w:val="20"/>
              </w:rPr>
            </w:pPr>
            <w:r w:rsidRPr="00761019">
              <w:rPr>
                <w:sz w:val="20"/>
                <w:szCs w:val="20"/>
                <w14:textFill>
                  <w14:solidFill>
                    <w14:srgbClr w14:val="000000">
                      <w14:alpha w14:val="100000"/>
                    </w14:srgbClr>
                  </w14:solidFill>
                </w14:textFill>
              </w:rPr>
              <w:t>|</w:t>
            </w:r>
          </w:p>
        </w:tc>
      </w:tr>
      <w:tr w:rsidR="000A12DE" w:rsidRPr="005D7A79" w14:paraId="5C953A41" w14:textId="77777777" w:rsidTr="00761019">
        <w:tc>
          <w:tcPr>
            <w:tcW w:w="2158" w:type="dxa"/>
            <w:vMerge/>
          </w:tcPr>
          <w:p w14:paraId="65CBEF60" w14:textId="77777777" w:rsidR="000A12DE" w:rsidRPr="000D47B8" w:rsidRDefault="000A12DE" w:rsidP="00121307">
            <w:pPr>
              <w:spacing w:before="60" w:after="60"/>
              <w:rPr>
                <w:sz w:val="20"/>
                <w:szCs w:val="20"/>
              </w:rPr>
            </w:pPr>
          </w:p>
        </w:tc>
        <w:tc>
          <w:tcPr>
            <w:tcW w:w="2157" w:type="dxa"/>
          </w:tcPr>
          <w:p w14:paraId="38048A70" w14:textId="188A9EA2" w:rsidR="000A12DE" w:rsidRPr="000D47B8" w:rsidRDefault="000A12DE" w:rsidP="00121307">
            <w:pPr>
              <w:spacing w:before="60" w:after="60"/>
              <w:rPr>
                <w:sz w:val="20"/>
                <w:szCs w:val="20"/>
              </w:rPr>
            </w:pPr>
            <w:r w:rsidRPr="000D47B8">
              <w:rPr>
                <w:sz w:val="20"/>
                <w:szCs w:val="20"/>
              </w:rPr>
              <w:t xml:space="preserve">Actual </w:t>
            </w:r>
          </w:p>
        </w:tc>
        <w:tc>
          <w:tcPr>
            <w:tcW w:w="2316" w:type="dxa"/>
            <w:tcBorders>
              <w:bottom w:val="single" w:sz="4" w:space="0" w:color="auto"/>
            </w:tcBorders>
          </w:tcPr>
          <w:p w14:paraId="213FBD69" w14:textId="483CBF2F" w:rsidR="000A12DE" w:rsidRPr="005D7A79" w:rsidRDefault="00845107" w:rsidP="00023AEF">
            <w:pPr>
              <w:spacing w:before="60" w:after="60"/>
              <w:jc w:val="center"/>
              <w:rPr>
                <w:sz w:val="20"/>
                <w:szCs w:val="20"/>
              </w:rPr>
            </w:pPr>
            <w:r w:rsidRPr="005D7A79">
              <w:rPr>
                <w:sz w:val="20"/>
                <w:szCs w:val="20"/>
              </w:rPr>
              <w:t>70</w:t>
            </w:r>
            <w:r w:rsidR="00C35C3D" w:rsidRPr="005D7A79">
              <w:rPr>
                <w:sz w:val="20"/>
                <w:szCs w:val="20"/>
              </w:rPr>
              <w:t>5</w:t>
            </w:r>
          </w:p>
        </w:tc>
        <w:tc>
          <w:tcPr>
            <w:tcW w:w="2316" w:type="dxa"/>
            <w:tcBorders>
              <w:bottom w:val="single" w:sz="4" w:space="0" w:color="auto"/>
            </w:tcBorders>
          </w:tcPr>
          <w:p w14:paraId="25522D01" w14:textId="7721CBBD" w:rsidR="000A12DE" w:rsidRPr="005D7A79" w:rsidRDefault="00845107" w:rsidP="00023AEF">
            <w:pPr>
              <w:spacing w:before="60" w:after="60"/>
              <w:jc w:val="center"/>
              <w:rPr>
                <w:sz w:val="20"/>
                <w:szCs w:val="20"/>
              </w:rPr>
            </w:pPr>
            <w:r w:rsidRPr="005D7A79">
              <w:rPr>
                <w:sz w:val="20"/>
                <w:szCs w:val="20"/>
              </w:rPr>
              <w:t>1</w:t>
            </w:r>
            <w:r w:rsidR="00A312EB" w:rsidRPr="005D7A79">
              <w:rPr>
                <w:sz w:val="20"/>
                <w:szCs w:val="20"/>
              </w:rPr>
              <w:t>,</w:t>
            </w:r>
            <w:r w:rsidRPr="005D7A79">
              <w:rPr>
                <w:sz w:val="20"/>
                <w:szCs w:val="20"/>
              </w:rPr>
              <w:t>51</w:t>
            </w:r>
            <w:r w:rsidR="00C35C3D" w:rsidRPr="005D7A79">
              <w:rPr>
                <w:sz w:val="20"/>
                <w:szCs w:val="20"/>
              </w:rPr>
              <w:t>6</w:t>
            </w:r>
          </w:p>
        </w:tc>
      </w:tr>
      <w:tr w:rsidR="000A12DE" w:rsidRPr="005D7A79" w14:paraId="3C2A9AD5" w14:textId="77777777" w:rsidTr="00761019">
        <w:tc>
          <w:tcPr>
            <w:tcW w:w="2158" w:type="dxa"/>
            <w:vMerge/>
          </w:tcPr>
          <w:p w14:paraId="6D9BA433" w14:textId="77777777" w:rsidR="000A12DE" w:rsidRPr="000D47B8" w:rsidRDefault="000A12DE" w:rsidP="00121307">
            <w:pPr>
              <w:spacing w:before="60" w:after="60"/>
              <w:rPr>
                <w:sz w:val="20"/>
                <w:szCs w:val="20"/>
              </w:rPr>
            </w:pPr>
          </w:p>
        </w:tc>
        <w:tc>
          <w:tcPr>
            <w:tcW w:w="2157" w:type="dxa"/>
          </w:tcPr>
          <w:p w14:paraId="63E8C6F9" w14:textId="3BD79620" w:rsidR="000A12DE" w:rsidRPr="000D47B8" w:rsidRDefault="000A12DE" w:rsidP="00121307">
            <w:pPr>
              <w:spacing w:before="60" w:after="60"/>
              <w:rPr>
                <w:sz w:val="20"/>
                <w:szCs w:val="20"/>
              </w:rPr>
            </w:pPr>
            <w:r w:rsidRPr="000D47B8">
              <w:rPr>
                <w:sz w:val="20"/>
                <w:szCs w:val="20"/>
              </w:rPr>
              <w:t xml:space="preserve">Difference </w:t>
            </w:r>
          </w:p>
        </w:tc>
        <w:tc>
          <w:tcPr>
            <w:tcW w:w="2316" w:type="dxa"/>
            <w:tcBorders>
              <w:bottom w:val="single" w:sz="4" w:space="0" w:color="auto"/>
            </w:tcBorders>
            <w:shd w:val="solid" w:color="000000" w:fill="000000"/>
          </w:tcPr>
          <w:p w14:paraId="742625DB" w14:textId="21AB2181" w:rsidR="000A12DE" w:rsidRPr="005D7A79" w:rsidRDefault="00761019" w:rsidP="00023AEF">
            <w:pPr>
              <w:spacing w:before="60" w:after="60"/>
              <w:jc w:val="center"/>
              <w:rPr>
                <w:sz w:val="20"/>
                <w:szCs w:val="20"/>
              </w:rPr>
            </w:pPr>
            <w:r w:rsidRPr="00761019">
              <w:rPr>
                <w:sz w:val="20"/>
                <w:szCs w:val="20"/>
                <w14:textFill>
                  <w14:solidFill>
                    <w14:srgbClr w14:val="000000">
                      <w14:alpha w14:val="100000"/>
                    </w14:srgbClr>
                  </w14:solidFill>
                </w14:textFill>
              </w:rPr>
              <w:t>|</w:t>
            </w:r>
          </w:p>
        </w:tc>
        <w:tc>
          <w:tcPr>
            <w:tcW w:w="2316" w:type="dxa"/>
            <w:tcBorders>
              <w:bottom w:val="single" w:sz="4" w:space="0" w:color="auto"/>
            </w:tcBorders>
            <w:shd w:val="solid" w:color="000000" w:fill="000000"/>
          </w:tcPr>
          <w:p w14:paraId="768735DF" w14:textId="0836366A" w:rsidR="000A12DE" w:rsidRPr="005D7A79" w:rsidRDefault="00761019" w:rsidP="00023AEF">
            <w:pPr>
              <w:spacing w:before="60" w:after="60"/>
              <w:jc w:val="center"/>
              <w:rPr>
                <w:sz w:val="20"/>
                <w:szCs w:val="20"/>
              </w:rPr>
            </w:pPr>
            <w:r w:rsidRPr="00761019">
              <w:rPr>
                <w:sz w:val="20"/>
                <w:szCs w:val="20"/>
                <w14:textFill>
                  <w14:solidFill>
                    <w14:srgbClr w14:val="000000">
                      <w14:alpha w14:val="100000"/>
                    </w14:srgbClr>
                  </w14:solidFill>
                </w14:textFill>
              </w:rPr>
              <w:t>|</w:t>
            </w:r>
          </w:p>
        </w:tc>
      </w:tr>
      <w:tr w:rsidR="000A12DE" w:rsidRPr="005D7A79" w14:paraId="365E2B32" w14:textId="77777777" w:rsidTr="00761019">
        <w:tc>
          <w:tcPr>
            <w:tcW w:w="2158" w:type="dxa"/>
            <w:vMerge w:val="restart"/>
          </w:tcPr>
          <w:p w14:paraId="30351B8A" w14:textId="353AFB5A" w:rsidR="000A12DE" w:rsidRPr="000D47B8" w:rsidRDefault="000A12DE" w:rsidP="000A12DE">
            <w:pPr>
              <w:spacing w:before="60" w:after="60"/>
              <w:rPr>
                <w:sz w:val="20"/>
                <w:szCs w:val="20"/>
              </w:rPr>
            </w:pPr>
            <w:r w:rsidRPr="000D47B8">
              <w:rPr>
                <w:sz w:val="20"/>
                <w:szCs w:val="20"/>
              </w:rPr>
              <w:t xml:space="preserve">Prescriptions </w:t>
            </w:r>
          </w:p>
        </w:tc>
        <w:tc>
          <w:tcPr>
            <w:tcW w:w="2157" w:type="dxa"/>
          </w:tcPr>
          <w:p w14:paraId="4982A9BB" w14:textId="7CCFCBD9" w:rsidR="000A12DE" w:rsidRPr="000D47B8" w:rsidRDefault="000A12DE" w:rsidP="000A12DE">
            <w:pPr>
              <w:spacing w:before="60" w:after="60"/>
              <w:rPr>
                <w:sz w:val="20"/>
                <w:szCs w:val="20"/>
              </w:rPr>
            </w:pPr>
            <w:r w:rsidRPr="000D47B8">
              <w:rPr>
                <w:sz w:val="20"/>
                <w:szCs w:val="20"/>
              </w:rPr>
              <w:t xml:space="preserve">Predicted </w:t>
            </w:r>
          </w:p>
        </w:tc>
        <w:tc>
          <w:tcPr>
            <w:tcW w:w="2316" w:type="dxa"/>
            <w:shd w:val="solid" w:color="000000" w:fill="000000"/>
          </w:tcPr>
          <w:p w14:paraId="34B6484C" w14:textId="3C3187E7" w:rsidR="000A12DE" w:rsidRPr="005D7A79" w:rsidRDefault="00761019" w:rsidP="000A12DE">
            <w:pPr>
              <w:spacing w:before="60" w:after="60"/>
              <w:jc w:val="center"/>
              <w:rPr>
                <w:sz w:val="20"/>
                <w:szCs w:val="20"/>
              </w:rPr>
            </w:pPr>
            <w:r w:rsidRPr="00761019">
              <w:rPr>
                <w:sz w:val="20"/>
                <w:szCs w:val="20"/>
                <w14:textFill>
                  <w14:solidFill>
                    <w14:srgbClr w14:val="000000">
                      <w14:alpha w14:val="100000"/>
                    </w14:srgbClr>
                  </w14:solidFill>
                </w14:textFill>
              </w:rPr>
              <w:t>|</w:t>
            </w:r>
          </w:p>
        </w:tc>
        <w:tc>
          <w:tcPr>
            <w:tcW w:w="2316" w:type="dxa"/>
            <w:shd w:val="solid" w:color="000000" w:fill="000000"/>
          </w:tcPr>
          <w:p w14:paraId="50004B86" w14:textId="358985C4" w:rsidR="000A12DE" w:rsidRPr="005D7A79" w:rsidRDefault="00761019" w:rsidP="000A12DE">
            <w:pPr>
              <w:spacing w:before="60" w:after="60"/>
              <w:jc w:val="center"/>
              <w:rPr>
                <w:sz w:val="20"/>
                <w:szCs w:val="20"/>
              </w:rPr>
            </w:pPr>
            <w:r w:rsidRPr="00761019">
              <w:rPr>
                <w:sz w:val="20"/>
                <w:szCs w:val="20"/>
                <w14:textFill>
                  <w14:solidFill>
                    <w14:srgbClr w14:val="000000">
                      <w14:alpha w14:val="100000"/>
                    </w14:srgbClr>
                  </w14:solidFill>
                </w14:textFill>
              </w:rPr>
              <w:t>|</w:t>
            </w:r>
          </w:p>
        </w:tc>
      </w:tr>
      <w:tr w:rsidR="000A12DE" w:rsidRPr="005D7A79" w14:paraId="330C8347" w14:textId="77777777" w:rsidTr="00761019">
        <w:tc>
          <w:tcPr>
            <w:tcW w:w="2158" w:type="dxa"/>
            <w:vMerge/>
          </w:tcPr>
          <w:p w14:paraId="1EC865B3" w14:textId="77777777" w:rsidR="000A12DE" w:rsidRPr="000D47B8" w:rsidRDefault="000A12DE" w:rsidP="000A12DE">
            <w:pPr>
              <w:spacing w:before="60" w:after="60"/>
              <w:rPr>
                <w:sz w:val="20"/>
                <w:szCs w:val="20"/>
              </w:rPr>
            </w:pPr>
          </w:p>
        </w:tc>
        <w:tc>
          <w:tcPr>
            <w:tcW w:w="2157" w:type="dxa"/>
          </w:tcPr>
          <w:p w14:paraId="08F2412C" w14:textId="4ACC4648" w:rsidR="000A12DE" w:rsidRPr="000D47B8" w:rsidRDefault="000A12DE" w:rsidP="000A12DE">
            <w:pPr>
              <w:spacing w:before="60" w:after="60"/>
              <w:rPr>
                <w:sz w:val="20"/>
                <w:szCs w:val="20"/>
              </w:rPr>
            </w:pPr>
            <w:r w:rsidRPr="000D47B8">
              <w:rPr>
                <w:sz w:val="20"/>
                <w:szCs w:val="20"/>
              </w:rPr>
              <w:t xml:space="preserve">Actual </w:t>
            </w:r>
          </w:p>
        </w:tc>
        <w:tc>
          <w:tcPr>
            <w:tcW w:w="2316" w:type="dxa"/>
            <w:tcBorders>
              <w:bottom w:val="single" w:sz="4" w:space="0" w:color="auto"/>
            </w:tcBorders>
          </w:tcPr>
          <w:p w14:paraId="50BAF0DA" w14:textId="6E0B4C3B" w:rsidR="000A12DE" w:rsidRPr="005D7A79" w:rsidRDefault="00996698" w:rsidP="000A12DE">
            <w:pPr>
              <w:spacing w:before="60" w:after="60"/>
              <w:jc w:val="center"/>
              <w:rPr>
                <w:sz w:val="20"/>
                <w:szCs w:val="20"/>
              </w:rPr>
            </w:pPr>
            <w:r w:rsidRPr="005D7A79">
              <w:rPr>
                <w:sz w:val="20"/>
                <w:szCs w:val="20"/>
              </w:rPr>
              <w:t>3</w:t>
            </w:r>
            <w:r w:rsidR="008243C1" w:rsidRPr="005D7A79">
              <w:rPr>
                <w:sz w:val="20"/>
                <w:szCs w:val="20"/>
              </w:rPr>
              <w:t>,</w:t>
            </w:r>
            <w:r w:rsidRPr="005D7A79">
              <w:rPr>
                <w:sz w:val="20"/>
                <w:szCs w:val="20"/>
              </w:rPr>
              <w:t>9</w:t>
            </w:r>
            <w:r w:rsidR="00C35C3D" w:rsidRPr="005D7A79">
              <w:rPr>
                <w:sz w:val="20"/>
                <w:szCs w:val="20"/>
              </w:rPr>
              <w:t>77</w:t>
            </w:r>
          </w:p>
        </w:tc>
        <w:tc>
          <w:tcPr>
            <w:tcW w:w="2316" w:type="dxa"/>
            <w:tcBorders>
              <w:bottom w:val="single" w:sz="4" w:space="0" w:color="auto"/>
            </w:tcBorders>
          </w:tcPr>
          <w:p w14:paraId="2EB6BA0E" w14:textId="7D6E9434" w:rsidR="000A12DE" w:rsidRPr="005D7A79" w:rsidRDefault="00C35C3D" w:rsidP="000A12DE">
            <w:pPr>
              <w:spacing w:before="60" w:after="60"/>
              <w:jc w:val="center"/>
              <w:rPr>
                <w:sz w:val="20"/>
                <w:szCs w:val="20"/>
              </w:rPr>
            </w:pPr>
            <w:r w:rsidRPr="005D7A79">
              <w:rPr>
                <w:sz w:val="20"/>
                <w:szCs w:val="20"/>
              </w:rPr>
              <w:t>8,739</w:t>
            </w:r>
          </w:p>
        </w:tc>
      </w:tr>
      <w:tr w:rsidR="000A12DE" w:rsidRPr="005D7A79" w14:paraId="1ABE5F9B" w14:textId="77777777" w:rsidTr="00761019">
        <w:tc>
          <w:tcPr>
            <w:tcW w:w="2158" w:type="dxa"/>
            <w:vMerge/>
          </w:tcPr>
          <w:p w14:paraId="2252A8A5" w14:textId="77777777" w:rsidR="000A12DE" w:rsidRPr="000D47B8" w:rsidRDefault="000A12DE" w:rsidP="000A12DE">
            <w:pPr>
              <w:spacing w:before="60" w:after="60"/>
              <w:rPr>
                <w:sz w:val="20"/>
                <w:szCs w:val="20"/>
              </w:rPr>
            </w:pPr>
          </w:p>
        </w:tc>
        <w:tc>
          <w:tcPr>
            <w:tcW w:w="2157" w:type="dxa"/>
          </w:tcPr>
          <w:p w14:paraId="581C83F9" w14:textId="19B11B24" w:rsidR="000A12DE" w:rsidRPr="000D47B8" w:rsidRDefault="000A12DE" w:rsidP="000A12DE">
            <w:pPr>
              <w:spacing w:before="60" w:after="60"/>
              <w:rPr>
                <w:sz w:val="20"/>
                <w:szCs w:val="20"/>
              </w:rPr>
            </w:pPr>
            <w:r w:rsidRPr="000D47B8">
              <w:rPr>
                <w:sz w:val="20"/>
                <w:szCs w:val="20"/>
              </w:rPr>
              <w:t xml:space="preserve">Difference </w:t>
            </w:r>
          </w:p>
        </w:tc>
        <w:tc>
          <w:tcPr>
            <w:tcW w:w="2316" w:type="dxa"/>
            <w:shd w:val="solid" w:color="000000" w:fill="000000"/>
          </w:tcPr>
          <w:p w14:paraId="58FFBA67" w14:textId="471C52B7" w:rsidR="000A12DE" w:rsidRPr="005D7A79" w:rsidRDefault="00761019" w:rsidP="000A12DE">
            <w:pPr>
              <w:spacing w:before="60" w:after="60"/>
              <w:jc w:val="center"/>
              <w:rPr>
                <w:sz w:val="20"/>
                <w:szCs w:val="20"/>
              </w:rPr>
            </w:pPr>
            <w:r w:rsidRPr="00761019">
              <w:rPr>
                <w:sz w:val="20"/>
                <w:szCs w:val="20"/>
                <w14:textFill>
                  <w14:solidFill>
                    <w14:srgbClr w14:val="000000">
                      <w14:alpha w14:val="100000"/>
                    </w14:srgbClr>
                  </w14:solidFill>
                </w14:textFill>
              </w:rPr>
              <w:t>|</w:t>
            </w:r>
          </w:p>
        </w:tc>
        <w:tc>
          <w:tcPr>
            <w:tcW w:w="2316" w:type="dxa"/>
            <w:shd w:val="solid" w:color="000000" w:fill="000000"/>
          </w:tcPr>
          <w:p w14:paraId="659EDE2D" w14:textId="3618B116" w:rsidR="000A12DE" w:rsidRPr="005D7A79" w:rsidRDefault="00761019" w:rsidP="000A12DE">
            <w:pPr>
              <w:spacing w:before="60" w:after="60"/>
              <w:jc w:val="center"/>
              <w:rPr>
                <w:sz w:val="20"/>
                <w:szCs w:val="20"/>
              </w:rPr>
            </w:pPr>
            <w:r w:rsidRPr="00761019">
              <w:rPr>
                <w:sz w:val="20"/>
                <w:szCs w:val="20"/>
                <w14:textFill>
                  <w14:solidFill>
                    <w14:srgbClr w14:val="000000">
                      <w14:alpha w14:val="100000"/>
                    </w14:srgbClr>
                  </w14:solidFill>
                </w14:textFill>
              </w:rPr>
              <w:t>|</w:t>
            </w:r>
          </w:p>
        </w:tc>
      </w:tr>
    </w:tbl>
    <w:p w14:paraId="6A266304" w14:textId="77777777" w:rsidR="00A312EB" w:rsidRDefault="00A312EB" w:rsidP="009C19EE">
      <w:pPr>
        <w:rPr>
          <w:highlight w:val="yellow"/>
        </w:rPr>
      </w:pPr>
    </w:p>
    <w:p w14:paraId="465C8D6A" w14:textId="40C11E77" w:rsidR="00E249E1" w:rsidRDefault="00571B6A" w:rsidP="009C19EE">
      <w:r w:rsidRPr="005D7A79">
        <w:t xml:space="preserve">As shown </w:t>
      </w:r>
      <w:r w:rsidR="00CD6DD5" w:rsidRPr="005D7A79">
        <w:t xml:space="preserve">above, utilisation of romosozumab was lower than estimated. In the first year of listing, </w:t>
      </w:r>
      <w:r w:rsidR="00E96F22" w:rsidRPr="005D7A79">
        <w:t xml:space="preserve">the number of patients treated was </w:t>
      </w:r>
      <w:r w:rsidR="00761019" w:rsidRPr="00761019">
        <w:rPr>
          <w:rFonts w:hint="eastAsia"/>
          <w:w w:val="20"/>
          <w:shd w:val="solid" w:color="000000" w:fill="000000"/>
          <w:fitText w:val="120" w:id="-959704576"/>
          <w14:textFill>
            <w14:solidFill>
              <w14:srgbClr w14:val="000000">
                <w14:alpha w14:val="100000"/>
              </w14:srgbClr>
            </w14:solidFill>
          </w14:textFill>
        </w:rPr>
        <w:t xml:space="preserve">　</w:t>
      </w:r>
      <w:r w:rsidR="00761019" w:rsidRPr="00761019">
        <w:rPr>
          <w:w w:val="20"/>
          <w:shd w:val="solid" w:color="000000" w:fill="000000"/>
          <w:fitText w:val="120" w:id="-959704576"/>
          <w14:textFill>
            <w14:solidFill>
              <w14:srgbClr w14:val="000000">
                <w14:alpha w14:val="100000"/>
              </w14:srgbClr>
            </w14:solidFill>
          </w14:textFill>
        </w:rPr>
        <w:t>|</w:t>
      </w:r>
      <w:r w:rsidR="00761019" w:rsidRPr="00761019">
        <w:rPr>
          <w:rFonts w:hint="eastAsia"/>
          <w:w w:val="20"/>
          <w:shd w:val="solid" w:color="000000" w:fill="000000"/>
          <w:fitText w:val="120" w:id="-959704576"/>
          <w14:textFill>
            <w14:solidFill>
              <w14:srgbClr w14:val="000000">
                <w14:alpha w14:val="100000"/>
              </w14:srgbClr>
            </w14:solidFill>
          </w14:textFill>
        </w:rPr>
        <w:t xml:space="preserve">　</w:t>
      </w:r>
      <w:r w:rsidR="00E96F22" w:rsidRPr="005D7A79">
        <w:t xml:space="preserve">% lower than estimated and the number of prescriptions supplied was </w:t>
      </w:r>
      <w:r w:rsidR="00761019" w:rsidRPr="00761019">
        <w:rPr>
          <w:rFonts w:hint="eastAsia"/>
          <w:w w:val="22"/>
          <w:shd w:val="solid" w:color="000000" w:fill="000000"/>
          <w:fitText w:val="130" w:id="-959704575"/>
          <w14:textFill>
            <w14:solidFill>
              <w14:srgbClr w14:val="000000">
                <w14:alpha w14:val="100000"/>
              </w14:srgbClr>
            </w14:solidFill>
          </w14:textFill>
        </w:rPr>
        <w:t xml:space="preserve">　</w:t>
      </w:r>
      <w:r w:rsidR="00761019" w:rsidRPr="00761019">
        <w:rPr>
          <w:w w:val="22"/>
          <w:shd w:val="solid" w:color="000000" w:fill="000000"/>
          <w:fitText w:val="130" w:id="-959704575"/>
          <w14:textFill>
            <w14:solidFill>
              <w14:srgbClr w14:val="000000">
                <w14:alpha w14:val="100000"/>
              </w14:srgbClr>
            </w14:solidFill>
          </w14:textFill>
        </w:rPr>
        <w:t>|</w:t>
      </w:r>
      <w:r w:rsidR="00761019" w:rsidRPr="00761019">
        <w:rPr>
          <w:rFonts w:hint="eastAsia"/>
          <w:w w:val="22"/>
          <w:shd w:val="solid" w:color="000000" w:fill="000000"/>
          <w:fitText w:val="130" w:id="-959704575"/>
          <w14:textFill>
            <w14:solidFill>
              <w14:srgbClr w14:val="000000">
                <w14:alpha w14:val="100000"/>
              </w14:srgbClr>
            </w14:solidFill>
          </w14:textFill>
        </w:rPr>
        <w:t xml:space="preserve">　</w:t>
      </w:r>
      <w:r w:rsidR="00E96F22" w:rsidRPr="005D7A79">
        <w:t xml:space="preserve">% lower than estimated. </w:t>
      </w:r>
      <w:r w:rsidR="00407412" w:rsidRPr="005D7A79">
        <w:t xml:space="preserve">In the second year of listing, the number of patients treated with romosozumab was </w:t>
      </w:r>
      <w:r w:rsidR="00761019" w:rsidRPr="00761019">
        <w:rPr>
          <w:rFonts w:hint="eastAsia"/>
          <w:w w:val="20"/>
          <w:shd w:val="solid" w:color="000000" w:fill="000000"/>
          <w:fitText w:val="120" w:id="-959704574"/>
          <w14:textFill>
            <w14:solidFill>
              <w14:srgbClr w14:val="000000">
                <w14:alpha w14:val="100000"/>
              </w14:srgbClr>
            </w14:solidFill>
          </w14:textFill>
        </w:rPr>
        <w:t xml:space="preserve">　</w:t>
      </w:r>
      <w:r w:rsidR="00761019" w:rsidRPr="00761019">
        <w:rPr>
          <w:w w:val="20"/>
          <w:shd w:val="solid" w:color="000000" w:fill="000000"/>
          <w:fitText w:val="120" w:id="-959704574"/>
          <w14:textFill>
            <w14:solidFill>
              <w14:srgbClr w14:val="000000">
                <w14:alpha w14:val="100000"/>
              </w14:srgbClr>
            </w14:solidFill>
          </w14:textFill>
        </w:rPr>
        <w:t>|</w:t>
      </w:r>
      <w:r w:rsidR="00761019" w:rsidRPr="00761019">
        <w:rPr>
          <w:rFonts w:hint="eastAsia"/>
          <w:w w:val="20"/>
          <w:shd w:val="solid" w:color="000000" w:fill="000000"/>
          <w:fitText w:val="120" w:id="-959704574"/>
          <w14:textFill>
            <w14:solidFill>
              <w14:srgbClr w14:val="000000">
                <w14:alpha w14:val="100000"/>
              </w14:srgbClr>
            </w14:solidFill>
          </w14:textFill>
        </w:rPr>
        <w:t xml:space="preserve">　</w:t>
      </w:r>
      <w:r w:rsidR="00407412" w:rsidRPr="005D7A79">
        <w:t xml:space="preserve">% lower than estimated and the number of </w:t>
      </w:r>
      <w:r w:rsidR="00E249E1" w:rsidRPr="005D7A79">
        <w:t xml:space="preserve">prescriptions was </w:t>
      </w:r>
      <w:r w:rsidR="00761019" w:rsidRPr="00761019">
        <w:rPr>
          <w:rFonts w:hint="eastAsia"/>
          <w:w w:val="20"/>
          <w:shd w:val="solid" w:color="000000" w:fill="000000"/>
          <w:fitText w:val="120" w:id="-959704573"/>
          <w14:textFill>
            <w14:solidFill>
              <w14:srgbClr w14:val="000000">
                <w14:alpha w14:val="100000"/>
              </w14:srgbClr>
            </w14:solidFill>
          </w14:textFill>
        </w:rPr>
        <w:t xml:space="preserve">　</w:t>
      </w:r>
      <w:r w:rsidR="00761019" w:rsidRPr="00761019">
        <w:rPr>
          <w:w w:val="20"/>
          <w:shd w:val="solid" w:color="000000" w:fill="000000"/>
          <w:fitText w:val="120" w:id="-959704573"/>
          <w14:textFill>
            <w14:solidFill>
              <w14:srgbClr w14:val="000000">
                <w14:alpha w14:val="100000"/>
              </w14:srgbClr>
            </w14:solidFill>
          </w14:textFill>
        </w:rPr>
        <w:t>|</w:t>
      </w:r>
      <w:r w:rsidR="00761019" w:rsidRPr="00761019">
        <w:rPr>
          <w:rFonts w:hint="eastAsia"/>
          <w:w w:val="20"/>
          <w:shd w:val="solid" w:color="000000" w:fill="000000"/>
          <w:fitText w:val="120" w:id="-959704573"/>
          <w14:textFill>
            <w14:solidFill>
              <w14:srgbClr w14:val="000000">
                <w14:alpha w14:val="100000"/>
              </w14:srgbClr>
            </w14:solidFill>
          </w14:textFill>
        </w:rPr>
        <w:t xml:space="preserve">　</w:t>
      </w:r>
      <w:r w:rsidR="00E249E1" w:rsidRPr="005D7A79">
        <w:t>% lower than estimated.</w:t>
      </w:r>
      <w:r w:rsidR="00E249E1">
        <w:t xml:space="preserve"> </w:t>
      </w:r>
    </w:p>
    <w:p w14:paraId="5A815109" w14:textId="01824323" w:rsidR="006825A6" w:rsidRDefault="00534716" w:rsidP="009C19EE">
      <w:r>
        <w:lastRenderedPageBreak/>
        <w:t xml:space="preserve">There was a greater difference in the number of predicted and actual prescriptions supplied compared to the number of predicted and actual patients treated. </w:t>
      </w:r>
    </w:p>
    <w:p w14:paraId="3555DFBA" w14:textId="25B7485D" w:rsidR="00591512" w:rsidRDefault="00AB3733" w:rsidP="00F73113">
      <w:pPr>
        <w:pStyle w:val="Heading1"/>
      </w:pPr>
      <w:r>
        <w:t>D</w:t>
      </w:r>
      <w:r w:rsidR="007346C7" w:rsidRPr="005E22C2">
        <w:t>iscussion</w:t>
      </w:r>
    </w:p>
    <w:p w14:paraId="63DC9581" w14:textId="4E85E1CB" w:rsidR="00195F46" w:rsidRDefault="00346F6F" w:rsidP="002A4C59">
      <w:r w:rsidRPr="00100F46">
        <w:rPr>
          <w:rFonts w:cstheme="minorHAnsi"/>
        </w:rPr>
        <w:t xml:space="preserve">As part of </w:t>
      </w:r>
      <w:r w:rsidR="005E0560">
        <w:rPr>
          <w:rFonts w:cstheme="minorHAnsi"/>
        </w:rPr>
        <w:t>its</w:t>
      </w:r>
      <w:r w:rsidRPr="00100F46">
        <w:rPr>
          <w:rFonts w:cstheme="minorHAnsi"/>
        </w:rPr>
        <w:t xml:space="preserve"> recommendation</w:t>
      </w:r>
      <w:r w:rsidR="004A51D4" w:rsidRPr="00100F46">
        <w:rPr>
          <w:rFonts w:cstheme="minorHAnsi"/>
        </w:rPr>
        <w:t xml:space="preserve"> at </w:t>
      </w:r>
      <w:r w:rsidR="005E0560">
        <w:rPr>
          <w:rFonts w:cstheme="minorHAnsi"/>
        </w:rPr>
        <w:t>the</w:t>
      </w:r>
      <w:r w:rsidR="004A51D4" w:rsidRPr="00100F46">
        <w:rPr>
          <w:rFonts w:cstheme="minorHAnsi"/>
        </w:rPr>
        <w:t xml:space="preserve"> March 2020</w:t>
      </w:r>
      <w:r w:rsidR="005E0560">
        <w:rPr>
          <w:rFonts w:cstheme="minorHAnsi"/>
        </w:rPr>
        <w:t xml:space="preserve"> meeting</w:t>
      </w:r>
      <w:r w:rsidR="004A51D4" w:rsidRPr="00100F46">
        <w:rPr>
          <w:rFonts w:cstheme="minorHAnsi"/>
        </w:rPr>
        <w:t xml:space="preserve">, the PBAC requested </w:t>
      </w:r>
      <w:r w:rsidR="00100F46" w:rsidRPr="00100F46">
        <w:t xml:space="preserve">DUSC conduct a utilisation review of romosozumab including an investigation of the success of transitioning patients from romosozumab to anti-resorptive therapy. </w:t>
      </w:r>
      <w:r w:rsidR="002A4C59" w:rsidRPr="00100F46">
        <w:t xml:space="preserve">As </w:t>
      </w:r>
      <w:r w:rsidR="00C949E0">
        <w:t xml:space="preserve">shown </w:t>
      </w:r>
      <w:r w:rsidR="00D67138">
        <w:t>above</w:t>
      </w:r>
      <w:r w:rsidR="002A4C59" w:rsidRPr="00100F46">
        <w:t>, romosozumab utilisatio</w:t>
      </w:r>
      <w:r w:rsidR="002A4C59" w:rsidRPr="005D7A79">
        <w:t>n was lower</w:t>
      </w:r>
      <w:r w:rsidR="002A4C59" w:rsidRPr="00100F46">
        <w:t xml:space="preserve"> than estimated</w:t>
      </w:r>
      <w:r w:rsidR="00D67138">
        <w:t xml:space="preserve"> (Table </w:t>
      </w:r>
      <w:r w:rsidR="00245246">
        <w:t>8</w:t>
      </w:r>
      <w:r w:rsidR="00D67138">
        <w:t xml:space="preserve">) and </w:t>
      </w:r>
      <w:r w:rsidR="008D5D2D">
        <w:t xml:space="preserve">only </w:t>
      </w:r>
      <w:r w:rsidR="00BA5A28">
        <w:t>4</w:t>
      </w:r>
      <w:r w:rsidR="00AF799E">
        <w:t>9</w:t>
      </w:r>
      <w:r w:rsidR="00BA5A28">
        <w:t>%</w:t>
      </w:r>
      <w:r w:rsidR="00D67138">
        <w:t xml:space="preserve"> patients who initiated romosozumab during its first year of listing transitioned to an anti-resorptive therapy (Table </w:t>
      </w:r>
      <w:r w:rsidR="00245246">
        <w:t>6</w:t>
      </w:r>
      <w:r w:rsidR="00D67138">
        <w:t>).</w:t>
      </w:r>
    </w:p>
    <w:p w14:paraId="51CCB668" w14:textId="095B450E" w:rsidR="003F6BFA" w:rsidRDefault="002718C7" w:rsidP="001A5B8F">
      <w:r>
        <w:t>The Product Information</w:t>
      </w:r>
      <w:r w:rsidR="00CF1AA5">
        <w:t xml:space="preserve"> for</w:t>
      </w:r>
      <w:r w:rsidR="00711894">
        <w:t xml:space="preserve"> romosozumab</w:t>
      </w:r>
      <w:r>
        <w:t xml:space="preserve"> states</w:t>
      </w:r>
      <w:r w:rsidR="00DB38D2">
        <w:t xml:space="preserve"> the requirement to</w:t>
      </w:r>
      <w:r w:rsidR="00236F93">
        <w:t xml:space="preserve"> transition to an anti</w:t>
      </w:r>
      <w:r w:rsidR="00394861">
        <w:t>-</w:t>
      </w:r>
      <w:r w:rsidR="00236F93">
        <w:t xml:space="preserve">resorptive osteoporosis therapy to preserve bone mass. </w:t>
      </w:r>
      <w:r w:rsidR="000D754C">
        <w:t xml:space="preserve">At its July 2022 meeting, the PBAC noted </w:t>
      </w:r>
      <w:r w:rsidR="00175CF2">
        <w:t xml:space="preserve">an analysis conducted by the </w:t>
      </w:r>
      <w:r w:rsidR="009D32F8">
        <w:t>DUSC Secret</w:t>
      </w:r>
      <w:r w:rsidR="00306B5F">
        <w:t>ariat</w:t>
      </w:r>
      <w:r w:rsidR="00F92CDC">
        <w:t xml:space="preserve">. </w:t>
      </w:r>
      <w:r w:rsidR="001A2CAE">
        <w:t>Based on the same criteria in this report (</w:t>
      </w:r>
      <w:r w:rsidR="009B57AE">
        <w:t xml:space="preserve">at least </w:t>
      </w:r>
      <w:r w:rsidR="00DA0695">
        <w:t>two anti-resorptive prescriptions</w:t>
      </w:r>
      <w:r w:rsidR="009B57AE">
        <w:t xml:space="preserve"> accounting for variable prescription coverage between drugs),</w:t>
      </w:r>
      <w:r w:rsidR="00DA0695">
        <w:t xml:space="preserve"> </w:t>
      </w:r>
      <w:r w:rsidR="009B57AE">
        <w:t>o</w:t>
      </w:r>
      <w:r w:rsidR="00404CFA">
        <w:t xml:space="preserve">nly </w:t>
      </w:r>
      <w:r w:rsidR="00306B5F">
        <w:t>4</w:t>
      </w:r>
      <w:r w:rsidR="00CA030B">
        <w:t>9</w:t>
      </w:r>
      <w:r w:rsidR="00306B5F">
        <w:t xml:space="preserve">% of </w:t>
      </w:r>
      <w:r w:rsidR="00153639">
        <w:t xml:space="preserve">patients </w:t>
      </w:r>
      <w:r w:rsidR="00404CFA">
        <w:t>successfully</w:t>
      </w:r>
      <w:r w:rsidR="00153639">
        <w:t xml:space="preserve"> transitioned to anti-resorptive therapy after stopping teriparatide</w:t>
      </w:r>
      <w:r w:rsidR="00087A90">
        <w:t xml:space="preserve">. The </w:t>
      </w:r>
      <w:r w:rsidR="006E6C33">
        <w:t>PBAC considered concerns regarding the maintenance of treatment effect after discontinuation of romosozumab</w:t>
      </w:r>
      <w:r w:rsidR="00A64396">
        <w:t xml:space="preserve"> (paragraph 7.7, romosozumab Public Summary </w:t>
      </w:r>
      <w:r w:rsidR="003F2468">
        <w:t>Document, July</w:t>
      </w:r>
      <w:r w:rsidR="005932AF">
        <w:t xml:space="preserve"> 2022 PBAC Meeting). </w:t>
      </w:r>
    </w:p>
    <w:p w14:paraId="43EB57FB" w14:textId="4AD5DD39" w:rsidR="003666CE" w:rsidRDefault="00E71123" w:rsidP="00E777CE">
      <w:r>
        <w:t>The PBAC’s recommendation</w:t>
      </w:r>
      <w:r w:rsidR="005F25FB">
        <w:t xml:space="preserve"> </w:t>
      </w:r>
      <w:r w:rsidR="00041AEF">
        <w:t xml:space="preserve">for romosozumab listing </w:t>
      </w:r>
      <w:r>
        <w:t xml:space="preserve">was based on, among other matters, its assessment that the cost-effectiveness of romosozumab would be acceptable if </w:t>
      </w:r>
      <w:r w:rsidR="006D4CB8">
        <w:t xml:space="preserve">it </w:t>
      </w:r>
      <w:r>
        <w:t>were cost-minimised against teriparatide.</w:t>
      </w:r>
      <w:r w:rsidR="006E3528">
        <w:t xml:space="preserve"> </w:t>
      </w:r>
      <w:r w:rsidR="009138D3">
        <w:t xml:space="preserve">It is noted although both romosozumab and teriparatide are both indicated for second-line therapy for </w:t>
      </w:r>
      <w:r w:rsidR="0051558D">
        <w:t>osteoporosis</w:t>
      </w:r>
      <w:r w:rsidR="009138D3">
        <w:t>,</w:t>
      </w:r>
      <w:r w:rsidR="001D563E">
        <w:t xml:space="preserve"> </w:t>
      </w:r>
      <w:r w:rsidR="00B215BD">
        <w:t xml:space="preserve">the coadministration analysis indicated the low potential for </w:t>
      </w:r>
      <w:r w:rsidR="00634C09">
        <w:t>coadministration</w:t>
      </w:r>
      <w:r w:rsidR="00B215BD">
        <w:t xml:space="preserve"> between </w:t>
      </w:r>
      <w:r w:rsidR="001D563E">
        <w:t>them.</w:t>
      </w:r>
      <w:r w:rsidR="009138D3">
        <w:t xml:space="preserve"> </w:t>
      </w:r>
      <w:r w:rsidR="009C1035">
        <w:t>F</w:t>
      </w:r>
      <w:r w:rsidR="001D563E">
        <w:t>rom 2022 onwards, there was a greater number of patients treated with romosozumab</w:t>
      </w:r>
      <w:r w:rsidR="009C1035">
        <w:t xml:space="preserve"> compared to teriparatide (Figure </w:t>
      </w:r>
      <w:r w:rsidR="00B40969">
        <w:t>7</w:t>
      </w:r>
      <w:r w:rsidR="009C1035">
        <w:t>)</w:t>
      </w:r>
      <w:r w:rsidR="001D563E">
        <w:t xml:space="preserve">. The greater utilisation of romosozumab compared to teriparatide may be due to the </w:t>
      </w:r>
      <w:r w:rsidR="009138D3">
        <w:t xml:space="preserve">different dosing </w:t>
      </w:r>
      <w:r w:rsidR="005A2DFB">
        <w:t>schedules between them</w:t>
      </w:r>
      <w:r w:rsidR="004C35F8">
        <w:t xml:space="preserve"> </w:t>
      </w:r>
      <w:r w:rsidR="00046A4C">
        <w:t xml:space="preserve">(romosozumab administered </w:t>
      </w:r>
      <w:r w:rsidR="00A810B9">
        <w:t>monthly</w:t>
      </w:r>
      <w:r w:rsidR="00046A4C">
        <w:t xml:space="preserve">, </w:t>
      </w:r>
      <w:r w:rsidR="00E777CE">
        <w:t>whereas</w:t>
      </w:r>
      <w:r w:rsidR="005A2DFB">
        <w:t xml:space="preserve"> teriparatide</w:t>
      </w:r>
      <w:r w:rsidR="00A810B9">
        <w:t xml:space="preserve"> is </w:t>
      </w:r>
      <w:r w:rsidR="00AB2010">
        <w:t>administered daily</w:t>
      </w:r>
      <w:r w:rsidR="00046A4C">
        <w:t xml:space="preserve">). </w:t>
      </w:r>
    </w:p>
    <w:p w14:paraId="15C42524" w14:textId="46A6DFE2" w:rsidR="00FA3814" w:rsidRPr="00FA3814" w:rsidRDefault="00DF1454" w:rsidP="00176BFE">
      <w:pPr>
        <w:rPr>
          <w:rStyle w:val="cf01"/>
          <w:rFonts w:asciiTheme="minorHAnsi" w:hAnsiTheme="minorHAnsi" w:cstheme="minorHAnsi"/>
          <w:sz w:val="24"/>
          <w:szCs w:val="24"/>
        </w:rPr>
      </w:pPr>
      <w:r>
        <w:t>Several</w:t>
      </w:r>
      <w:r w:rsidR="007013A8">
        <w:t xml:space="preserve"> listing changes</w:t>
      </w:r>
      <w:r w:rsidR="002D2C93">
        <w:t xml:space="preserve"> have occurred since the PBS listing of romosozumab.</w:t>
      </w:r>
      <w:r w:rsidR="007013A8">
        <w:t xml:space="preserve"> </w:t>
      </w:r>
      <w:r w:rsidR="00281CDA">
        <w:t xml:space="preserve">On </w:t>
      </w:r>
      <w:r w:rsidR="00E802D0">
        <w:t xml:space="preserve">1 </w:t>
      </w:r>
      <w:r w:rsidR="00281CDA">
        <w:t xml:space="preserve">January 2021, the restrictions for romosozumab and teriparatide </w:t>
      </w:r>
      <w:r w:rsidR="00A57943">
        <w:t>were</w:t>
      </w:r>
      <w:r w:rsidR="00E96CA7">
        <w:t xml:space="preserve"> amended to include the addition of ‘PBS-subsidised treatment’</w:t>
      </w:r>
      <w:r w:rsidR="00281CDA">
        <w:t xml:space="preserve"> to ensure patients who previously self-funded their romosozumab or teriparatide treatment </w:t>
      </w:r>
      <w:r w:rsidR="00634435">
        <w:t>were</w:t>
      </w:r>
      <w:r w:rsidR="00281CDA">
        <w:t xml:space="preserve"> not excluded</w:t>
      </w:r>
      <w:r w:rsidR="00634435">
        <w:t xml:space="preserve"> from PBS </w:t>
      </w:r>
      <w:r w:rsidR="007424EC">
        <w:t xml:space="preserve">subsidised </w:t>
      </w:r>
      <w:r w:rsidR="00634435">
        <w:t>treatment</w:t>
      </w:r>
      <w:r w:rsidR="00281CDA">
        <w:t xml:space="preserve">. </w:t>
      </w:r>
      <w:r w:rsidR="00820BF9">
        <w:t xml:space="preserve">As shown </w:t>
      </w:r>
      <w:r w:rsidR="00B7476E">
        <w:t>above</w:t>
      </w:r>
      <w:r w:rsidR="00820BF9">
        <w:t xml:space="preserve">, </w:t>
      </w:r>
      <w:r w:rsidR="00105408">
        <w:t xml:space="preserve">the number of initiating romosozumab </w:t>
      </w:r>
      <w:r w:rsidR="003E45B2">
        <w:t>patients were relatively stable despite this</w:t>
      </w:r>
      <w:r w:rsidR="00E1244F">
        <w:t xml:space="preserve"> listing change</w:t>
      </w:r>
      <w:r w:rsidR="00B7476E">
        <w:t xml:space="preserve"> (Figure </w:t>
      </w:r>
      <w:r w:rsidR="00555EA4">
        <w:t>1</w:t>
      </w:r>
      <w:r w:rsidR="00245246">
        <w:t>0</w:t>
      </w:r>
      <w:r w:rsidR="00B7476E">
        <w:t>)</w:t>
      </w:r>
      <w:r w:rsidR="00E1244F">
        <w:t xml:space="preserve">. </w:t>
      </w:r>
      <w:r w:rsidR="009E1E78" w:rsidRPr="009E1E78">
        <w:rPr>
          <w:rFonts w:cstheme="minorHAnsi"/>
        </w:rPr>
        <w:t xml:space="preserve">On 1 February 2023, </w:t>
      </w:r>
      <w:r w:rsidR="009E1E78" w:rsidRPr="009E1E78">
        <w:rPr>
          <w:rStyle w:val="cf01"/>
          <w:rFonts w:asciiTheme="minorHAnsi" w:hAnsiTheme="minorHAnsi" w:cstheme="minorHAnsi"/>
          <w:sz w:val="24"/>
          <w:szCs w:val="24"/>
        </w:rPr>
        <w:t>the treatment criterion “Must be treated by a Specialist” was removed from the continuing restriction for romosozumab</w:t>
      </w:r>
      <w:r w:rsidR="00D24417">
        <w:rPr>
          <w:rStyle w:val="cf01"/>
          <w:rFonts w:asciiTheme="minorHAnsi" w:hAnsiTheme="minorHAnsi" w:cstheme="minorHAnsi"/>
          <w:sz w:val="24"/>
          <w:szCs w:val="24"/>
        </w:rPr>
        <w:t xml:space="preserve"> as recommended by the PBAC at its July 2022 meeting</w:t>
      </w:r>
      <w:r w:rsidR="009E1E78" w:rsidRPr="009E1E78">
        <w:rPr>
          <w:rStyle w:val="cf01"/>
          <w:rFonts w:asciiTheme="minorHAnsi" w:hAnsiTheme="minorHAnsi" w:cstheme="minorHAnsi"/>
          <w:sz w:val="24"/>
          <w:szCs w:val="24"/>
        </w:rPr>
        <w:t xml:space="preserve">. </w:t>
      </w:r>
      <w:r w:rsidR="006E62FB">
        <w:rPr>
          <w:rStyle w:val="cf01"/>
          <w:rFonts w:asciiTheme="minorHAnsi" w:hAnsiTheme="minorHAnsi" w:cstheme="minorHAnsi"/>
          <w:sz w:val="24"/>
          <w:szCs w:val="24"/>
        </w:rPr>
        <w:t xml:space="preserve">Prior to the listing change, </w:t>
      </w:r>
      <w:r w:rsidR="00612157">
        <w:rPr>
          <w:rStyle w:val="cf01"/>
          <w:rFonts w:asciiTheme="minorHAnsi" w:hAnsiTheme="minorHAnsi" w:cstheme="minorHAnsi"/>
          <w:sz w:val="24"/>
          <w:szCs w:val="24"/>
        </w:rPr>
        <w:t xml:space="preserve">GPs accounted for approximately 20% of </w:t>
      </w:r>
      <w:r w:rsidR="00425581">
        <w:rPr>
          <w:rStyle w:val="cf01"/>
          <w:rFonts w:asciiTheme="minorHAnsi" w:hAnsiTheme="minorHAnsi" w:cstheme="minorHAnsi"/>
          <w:sz w:val="24"/>
          <w:szCs w:val="24"/>
        </w:rPr>
        <w:t>continuing</w:t>
      </w:r>
      <w:r w:rsidR="00612157">
        <w:rPr>
          <w:rStyle w:val="cf01"/>
          <w:rFonts w:asciiTheme="minorHAnsi" w:hAnsiTheme="minorHAnsi" w:cstheme="minorHAnsi"/>
          <w:sz w:val="24"/>
          <w:szCs w:val="24"/>
        </w:rPr>
        <w:t xml:space="preserve"> prescriptions. Following this listing change this has increased to approximately 27% </w:t>
      </w:r>
      <w:r w:rsidR="00425581">
        <w:rPr>
          <w:rStyle w:val="cf01"/>
          <w:rFonts w:asciiTheme="minorHAnsi" w:hAnsiTheme="minorHAnsi" w:cstheme="minorHAnsi"/>
          <w:sz w:val="24"/>
          <w:szCs w:val="24"/>
        </w:rPr>
        <w:t>of continuing prescriptions</w:t>
      </w:r>
      <w:r w:rsidR="00245246">
        <w:rPr>
          <w:rStyle w:val="cf01"/>
          <w:rFonts w:asciiTheme="minorHAnsi" w:hAnsiTheme="minorHAnsi" w:cstheme="minorHAnsi"/>
          <w:sz w:val="24"/>
          <w:szCs w:val="24"/>
        </w:rPr>
        <w:t xml:space="preserve"> (Figure 13)</w:t>
      </w:r>
      <w:r w:rsidR="00425581">
        <w:rPr>
          <w:rStyle w:val="cf01"/>
          <w:rFonts w:asciiTheme="minorHAnsi" w:hAnsiTheme="minorHAnsi" w:cstheme="minorHAnsi"/>
          <w:sz w:val="24"/>
          <w:szCs w:val="24"/>
        </w:rPr>
        <w:t xml:space="preserve">. </w:t>
      </w:r>
    </w:p>
    <w:p w14:paraId="44EAA95D" w14:textId="56BF519E" w:rsidR="009D47FE" w:rsidRDefault="00981389" w:rsidP="002965BF">
      <w:r>
        <w:t>It is noted a</w:t>
      </w:r>
      <w:r w:rsidR="00176BFE" w:rsidRPr="0032080B">
        <w:t>t the time of this analysis, romos</w:t>
      </w:r>
      <w:r w:rsidR="0054773B">
        <w:t>o</w:t>
      </w:r>
      <w:r w:rsidR="00176BFE" w:rsidRPr="0032080B">
        <w:t>z</w:t>
      </w:r>
      <w:r w:rsidR="0054773B">
        <w:t>u</w:t>
      </w:r>
      <w:r w:rsidR="00176BFE" w:rsidRPr="0032080B">
        <w:t xml:space="preserve">mab was listed </w:t>
      </w:r>
      <w:r w:rsidR="00B814D1">
        <w:t>for use in the</w:t>
      </w:r>
      <w:r w:rsidR="00176BFE" w:rsidRPr="0032080B">
        <w:t xml:space="preserve"> second-line </w:t>
      </w:r>
      <w:r w:rsidR="00CF1AA5">
        <w:t>setting</w:t>
      </w:r>
      <w:r w:rsidR="00176BFE" w:rsidRPr="0032080B">
        <w:t xml:space="preserve">. </w:t>
      </w:r>
      <w:r w:rsidR="009D1D2C">
        <w:t>A</w:t>
      </w:r>
      <w:r w:rsidR="00CD51A9">
        <w:t xml:space="preserve">t </w:t>
      </w:r>
      <w:r w:rsidR="00AC2E2A">
        <w:t>its</w:t>
      </w:r>
      <w:r w:rsidR="00CD51A9">
        <w:t xml:space="preserve"> March 2023 meeting, </w:t>
      </w:r>
      <w:r w:rsidR="0001755F">
        <w:t xml:space="preserve">the PBAC recommended </w:t>
      </w:r>
      <w:r w:rsidR="00B814D1">
        <w:t xml:space="preserve">the </w:t>
      </w:r>
      <w:r w:rsidR="00CD51A9">
        <w:t>listing be extended</w:t>
      </w:r>
      <w:r w:rsidR="0001755F">
        <w:t xml:space="preserve"> </w:t>
      </w:r>
      <w:r w:rsidR="00B95433">
        <w:t xml:space="preserve">for use in </w:t>
      </w:r>
      <w:r w:rsidR="00B814D1">
        <w:t>the first-line setting</w:t>
      </w:r>
      <w:r w:rsidR="009D1D2C">
        <w:t>, however</w:t>
      </w:r>
      <w:r w:rsidR="002A7D52">
        <w:t xml:space="preserve"> the </w:t>
      </w:r>
      <w:r w:rsidR="006F120E">
        <w:t>recommendation is yet to be implemented</w:t>
      </w:r>
      <w:r w:rsidR="00B814D1">
        <w:t xml:space="preserve">. </w:t>
      </w:r>
    </w:p>
    <w:p w14:paraId="15256EC8" w14:textId="77777777" w:rsidR="00EE0DC9" w:rsidRDefault="00EE0DC9" w:rsidP="00EE0DC9">
      <w:pPr>
        <w:pStyle w:val="Heading1"/>
      </w:pPr>
      <w:r>
        <w:lastRenderedPageBreak/>
        <w:t>DUSC consideration</w:t>
      </w:r>
    </w:p>
    <w:p w14:paraId="7AB3CC3C" w14:textId="2CA839B2" w:rsidR="00AB18FA" w:rsidRPr="00AB18FA" w:rsidRDefault="00AB18FA" w:rsidP="00AB18FA">
      <w:pPr>
        <w:rPr>
          <w:lang w:val="en-GB"/>
        </w:rPr>
      </w:pPr>
      <w:r w:rsidRPr="005D7A79">
        <w:t>DUSC noted romosozumab utilisation was lower than estimated. The Pre-Sub-Committee Response (PSCR, p1) noted the lower than estimated utilisation was, “due to slower uptake than forecast as opposed to an overestimation of the size of the eligible patient</w:t>
      </w:r>
      <w:r w:rsidRPr="00AB18FA">
        <w:t xml:space="preserve"> population.” </w:t>
      </w:r>
      <w:r w:rsidRPr="00AB18FA">
        <w:rPr>
          <w:lang w:val="en-GB"/>
        </w:rPr>
        <w:t xml:space="preserve">DUSC considered the impact of the COVID-19 pandemic on treatment uptake. DUSC commented that during the pandemic, access to Bone Mineral Density testing was limited resulting in the underdiagnosis of osteoporosis. </w:t>
      </w:r>
    </w:p>
    <w:p w14:paraId="7B018C4C" w14:textId="16F9A469" w:rsidR="00AB18FA" w:rsidRPr="00AB18FA" w:rsidRDefault="00AB18FA" w:rsidP="00AB18FA">
      <w:pPr>
        <w:rPr>
          <w:color w:val="000000"/>
        </w:rPr>
      </w:pPr>
      <w:r w:rsidRPr="00AB18FA">
        <w:rPr>
          <w:lang w:val="en-GB"/>
        </w:rPr>
        <w:t xml:space="preserve">DUSC noted on 7 December </w:t>
      </w:r>
      <w:r w:rsidRPr="00AB18FA">
        <w:t>2023, the TGA provided a safety update regarding romosozumab treatment.</w:t>
      </w:r>
      <w:r w:rsidRPr="00AB18FA">
        <w:rPr>
          <w:rStyle w:val="FootnoteReference"/>
        </w:rPr>
        <w:footnoteReference w:id="5"/>
      </w:r>
      <w:r w:rsidRPr="00AB18FA">
        <w:t xml:space="preserve"> The TGA noted its “investigation into the risk of </w:t>
      </w:r>
      <w:r w:rsidRPr="00AB18FA">
        <w:rPr>
          <w:rFonts w:cstheme="minorHAnsi"/>
        </w:rPr>
        <w:t xml:space="preserve">myocardial infarction and stroke in patients taking romosozumab (Evenity) found that stronger warnings regarding these risks were needed in the Product Information (PI) and Consumer Medicine Information. Romosozumab use is now also contraindicated in patients with a history of myocardial infarction or stroke.” DUSC noted the Sponsor provided information regarding the PI update in its PSCR. The PSCR noted the </w:t>
      </w:r>
      <w:r w:rsidRPr="00AB18FA">
        <w:rPr>
          <w:color w:val="000000"/>
        </w:rPr>
        <w:t xml:space="preserve">TGA was made aware of the discrepancy in published information relating to cardiovascular risk between Australia and that of Europe and the United States. Information related to cardiovascular risk has been noted since initial registration of romosozumab in Europe and the United States. The PSCR noted the recent TGA update was to align the Australian PI with the European Summary of Product Characteristics (SmPC). DUSC noted the PSCR (p2) stated, “there has not been a change in the CV benefit/risk profile of romosozumab nor upward trend on MI or stroke identified since the marketing approval of romosozumab globally.” Although its post-marketing surveillance did not identify any new findings, DUSC considered the cardiovascular risks associated with romosozumab may have contributed to its lower than estimated utilisation. </w:t>
      </w:r>
    </w:p>
    <w:p w14:paraId="3E278211" w14:textId="73546CC5" w:rsidR="00AB18FA" w:rsidRPr="00AB18FA" w:rsidRDefault="00AB18FA" w:rsidP="00AB18FA">
      <w:r w:rsidRPr="00AB18FA">
        <w:t>DUSC noted only 49% patients were identified to have successfully transitioned to an antiresorptive after stopping treatment with romosozumab. The PSCR (p1), “acknowledges that transition to antiresorptive therapy is less than optimal and will make this a focus of future medical education and promotional efforts.” DUSC considered possible reasons for the low transition to antiresorptive osteoporosis therapy.  DUSC commented on the potential for mixed messaging regarding osteoporosis treatment pathways and noted the ‘drug holidays’ for patients treated with bisphosphonates. DUSC considered the low transition to antiresorptive to be a Quality Use of Medicines issue given the PI states the transition to antiresorptive osteoporosis therapy is required to preserve bone mass. DUSC commented on the importance of planning antiresorptive therapy continuation prior to initiating romosozumab treatment to ensure bone mass preservation, as the benefits associated with romosozumab treatment may not be realised unless patients continue onto antiresorptive therapy. DUSC considered the importance of educating prescribers and patients to ensure patients are transitioned to antiresorptive osteoporosis therapy.</w:t>
      </w:r>
    </w:p>
    <w:p w14:paraId="10D2F73B" w14:textId="376B1B7F" w:rsidR="00AB18FA" w:rsidRPr="00AB18FA" w:rsidRDefault="00AB18FA" w:rsidP="00EE0DC9">
      <w:r w:rsidRPr="00AB18FA">
        <w:lastRenderedPageBreak/>
        <w:t>DUSC noted most patients were treated with denosumab. DUSC considered denosumab would be preferred in residential aged care facilities given its dosing schedule and ease of administration compared to other treatments for osteoporosis. DUSC considered the potential for the market share of denosumab to decrease. DUSC noted the adverse events associated with denosumab, where patients were at increased risk of fractures if they discontinued therapy. Additionally, DUSC noted the U.S Food and Drug Administration recently added a Boxed Warning for denosumab for increased risk of severe hypocalcaemia in patients with advanced chronic kidney disease.</w:t>
      </w:r>
      <w:r w:rsidRPr="00AB18FA">
        <w:rPr>
          <w:rStyle w:val="FootnoteReference"/>
        </w:rPr>
        <w:footnoteReference w:id="6"/>
      </w:r>
      <w:r w:rsidRPr="00AB18FA">
        <w:t xml:space="preserve">  </w:t>
      </w:r>
    </w:p>
    <w:p w14:paraId="202947B4" w14:textId="77777777" w:rsidR="00EE0DC9" w:rsidRDefault="00EE0DC9" w:rsidP="00EE0DC9">
      <w:pPr>
        <w:pStyle w:val="Heading1"/>
      </w:pPr>
      <w:r>
        <w:t>DUSC actions</w:t>
      </w:r>
    </w:p>
    <w:p w14:paraId="355BAE2A" w14:textId="77777777" w:rsidR="007014C6" w:rsidRDefault="007014C6" w:rsidP="007014C6">
      <w:pPr>
        <w:rPr>
          <w:rFonts w:cstheme="minorHAnsi"/>
          <w:color w:val="222222"/>
          <w:shd w:val="clear" w:color="auto" w:fill="FFFFFF"/>
        </w:rPr>
      </w:pPr>
      <w:r>
        <w:rPr>
          <w:rFonts w:cstheme="minorHAnsi"/>
          <w:color w:val="222222"/>
          <w:shd w:val="clear" w:color="auto" w:fill="FFFFFF"/>
        </w:rPr>
        <w:t xml:space="preserve">DUSC requested the report be provided to the PBAC for consideration. </w:t>
      </w:r>
    </w:p>
    <w:p w14:paraId="119C92AC" w14:textId="77777777" w:rsidR="00EE0DC9" w:rsidRDefault="00EE0DC9" w:rsidP="00EE0DC9">
      <w:pPr>
        <w:pStyle w:val="Heading1"/>
      </w:pPr>
      <w:r w:rsidRPr="0092516A">
        <w:t>Context for analysis</w:t>
      </w:r>
    </w:p>
    <w:p w14:paraId="3EB39844" w14:textId="77777777" w:rsidR="00EE0DC9" w:rsidRDefault="00EE0DC9" w:rsidP="00EE0DC9">
      <w:r>
        <w:t>The DUSC is a Sub Committee of the Pharmaceutical Benefits Advisory Committee (PBAC). The DUSC assesses estimates on projected usage and financial cost of medicines.</w:t>
      </w:r>
    </w:p>
    <w:p w14:paraId="0AE542FF" w14:textId="77777777" w:rsidR="00EE0DC9" w:rsidRDefault="00EE0DC9" w:rsidP="00EE0DC9">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1847DF65" w14:textId="77777777" w:rsidR="00EE0DC9" w:rsidRDefault="00EE0DC9" w:rsidP="00EE0DC9">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851E65B" w14:textId="77777777" w:rsidR="00EE0DC9" w:rsidRDefault="00EE0DC9" w:rsidP="00EE0DC9">
      <w:r>
        <w:t>The utilisation analysis report was provided to the pharmaceutical sponsors of each drug and comments on the report were provided to DUSC prior to its consideration of the analysis.</w:t>
      </w:r>
    </w:p>
    <w:p w14:paraId="18FF0189" w14:textId="77777777" w:rsidR="00EE0DC9" w:rsidRDefault="00EE0DC9" w:rsidP="00EE0DC9">
      <w:pPr>
        <w:pStyle w:val="Heading1"/>
      </w:pPr>
      <w:r>
        <w:t>Sponsor</w:t>
      </w:r>
      <w:r w:rsidRPr="0092516A">
        <w:t>s</w:t>
      </w:r>
      <w:r>
        <w:t>’</w:t>
      </w:r>
      <w:r w:rsidRPr="0092516A">
        <w:t xml:space="preserve"> comments</w:t>
      </w:r>
    </w:p>
    <w:p w14:paraId="7F464D41" w14:textId="4BB9FAAB" w:rsidR="00E538DB" w:rsidRDefault="00E538DB" w:rsidP="00E538DB">
      <w:r>
        <w:t>Amgen Australia Pty Limited:</w:t>
      </w:r>
      <w:r w:rsidR="00761019">
        <w:t xml:space="preserve"> The sponsor has no comment. </w:t>
      </w:r>
    </w:p>
    <w:p w14:paraId="08583521" w14:textId="77777777" w:rsidR="00EE0DC9" w:rsidRDefault="00EE0DC9" w:rsidP="00EE0DC9">
      <w:pPr>
        <w:pStyle w:val="Heading1"/>
      </w:pPr>
      <w:r w:rsidRPr="00A4020E">
        <w:lastRenderedPageBreak/>
        <w:t>Disclaimer</w:t>
      </w:r>
    </w:p>
    <w:p w14:paraId="3AFAF8BF" w14:textId="77777777" w:rsidR="00EE0DC9" w:rsidRDefault="00EE0DC9" w:rsidP="00EE0DC9">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49259559" w14:textId="77777777" w:rsidR="00EE0DC9" w:rsidRDefault="00EE0DC9" w:rsidP="00EE0DC9">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41DF48A1" w14:textId="77777777" w:rsidR="00EE0DC9" w:rsidRDefault="00EE0DC9" w:rsidP="00EE0DC9">
      <w:r>
        <w:t xml:space="preserve">To the extent provided by law, the Department of Health and Aged Care makes no warranties or representations as to accuracy or completeness of information contained in this report. </w:t>
      </w:r>
    </w:p>
    <w:p w14:paraId="2DF22567" w14:textId="77777777" w:rsidR="00EE0DC9" w:rsidRDefault="00EE0DC9" w:rsidP="00EE0DC9">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222ECAE5" w14:textId="77777777" w:rsidR="00E538DB" w:rsidRDefault="00E538DB">
      <w:pPr>
        <w:spacing w:line="276" w:lineRule="auto"/>
        <w:rPr>
          <w:rFonts w:eastAsiaTheme="majorEastAsia" w:cstheme="majorBidi"/>
          <w:b/>
          <w:bCs/>
          <w:sz w:val="32"/>
          <w:szCs w:val="32"/>
        </w:rPr>
      </w:pPr>
      <w:r>
        <w:br w:type="page"/>
      </w:r>
    </w:p>
    <w:p w14:paraId="2CED313E" w14:textId="1757E667" w:rsidR="00D814AF" w:rsidRPr="00D814AF" w:rsidRDefault="00D814AF" w:rsidP="00D814AF">
      <w:pPr>
        <w:pStyle w:val="Heading1"/>
      </w:pPr>
      <w:r w:rsidRPr="00C050B6">
        <w:lastRenderedPageBreak/>
        <w:t>A</w:t>
      </w:r>
      <w:r>
        <w:t>ppendices</w:t>
      </w:r>
    </w:p>
    <w:p w14:paraId="62F52966" w14:textId="031E6327" w:rsidR="00706BFB" w:rsidRPr="00664D56" w:rsidRDefault="00706BFB" w:rsidP="00706BFB">
      <w:pPr>
        <w:pStyle w:val="Heading3"/>
        <w:rPr>
          <w:i w:val="0"/>
          <w:iCs/>
        </w:rPr>
      </w:pPr>
      <w:r w:rsidRPr="00664D56">
        <w:rPr>
          <w:i w:val="0"/>
          <w:iCs/>
        </w:rPr>
        <w:t>Appendix A</w:t>
      </w:r>
      <w:r w:rsidR="001E1121" w:rsidRPr="00664D56">
        <w:rPr>
          <w:i w:val="0"/>
          <w:iCs/>
        </w:rPr>
        <w:t>: Pharmacology as per Australian Product Information and the Australian Medicine Handbook</w:t>
      </w:r>
    </w:p>
    <w:p w14:paraId="1698534D" w14:textId="77777777" w:rsidR="00D96D95" w:rsidRDefault="001E1121" w:rsidP="001E1121">
      <w:r w:rsidRPr="001E1121">
        <w:t xml:space="preserve">Bisphosphonates slow bone loss by reducing bone resorption. In addition, they bind strongly to bone mineral, thus forming a depot from which they are released as the bisphosphonate-containing bone is remodelled. </w:t>
      </w:r>
    </w:p>
    <w:p w14:paraId="2E38E62A" w14:textId="4D4C8C2B" w:rsidR="00D96D95" w:rsidRDefault="001E1121" w:rsidP="001E1121">
      <w:r w:rsidRPr="001E1121">
        <w:t>Denosumab is a fully human</w:t>
      </w:r>
      <w:r w:rsidR="00205720">
        <w:t xml:space="preserve"> immunoglobulin G2</w:t>
      </w:r>
      <w:r w:rsidRPr="001E1121">
        <w:t xml:space="preserve"> </w:t>
      </w:r>
      <w:r w:rsidR="00205720">
        <w:t>(</w:t>
      </w:r>
      <w:r w:rsidRPr="001E1121">
        <w:t>IgG2</w:t>
      </w:r>
      <w:r w:rsidR="00205720">
        <w:t>)</w:t>
      </w:r>
      <w:r w:rsidRPr="001E1121">
        <w:t xml:space="preserve"> monoclonal antibody, which binds to the proteins responsible for bone resorption. This decreases bone resorption and increases bone mass and strength. </w:t>
      </w:r>
    </w:p>
    <w:p w14:paraId="2B1B0481" w14:textId="77777777" w:rsidR="00D96D95" w:rsidRDefault="001E1121" w:rsidP="001E1121">
      <w:r w:rsidRPr="001E1121">
        <w:t xml:space="preserve">Raloxifene is a selective oestrogen receptor modulator that has been shown to prevent postmenopausal bone loss. It is an alternative drug for women with postmenopausal osteoporosis. </w:t>
      </w:r>
    </w:p>
    <w:p w14:paraId="7DFCDCEE" w14:textId="425ED721" w:rsidR="00D96D95" w:rsidRDefault="00D96D95" w:rsidP="001E1121">
      <w:r>
        <w:t xml:space="preserve">Romosozumab </w:t>
      </w:r>
      <w:r w:rsidR="00FB5C9E">
        <w:t xml:space="preserve">is a humanised monoclonal antibody </w:t>
      </w:r>
      <w:r w:rsidR="00847B54" w:rsidRPr="00847B54">
        <w:t>that binds and inhibits sclerostin, a negative regulator of bone formation predominantly secreted by mature osteocytes. Romosozumab has a dual effect on bone, increasing bone formation and decreasing bone resorption.</w:t>
      </w:r>
    </w:p>
    <w:p w14:paraId="6F89B198" w14:textId="77777777" w:rsidR="00D96D95" w:rsidRDefault="001E1121" w:rsidP="001E1121">
      <w:r w:rsidRPr="001E1121">
        <w:t xml:space="preserve">Teriparatide is a synthetic form of human parathyroid hormone (PTH) and acts by increasing bone formation. </w:t>
      </w:r>
    </w:p>
    <w:p w14:paraId="4E82385A" w14:textId="53B925E0" w:rsidR="003E5B52" w:rsidRDefault="001E1121" w:rsidP="001E1121">
      <w:r w:rsidRPr="001E1121">
        <w:t>Calcium supplementation may reduce the rate of bone loss, particularly in late menopausal women with low dietary intake and without previous fragility fractures. The biologically active form of Vitamin D is responsible for endocrine functions for maintaining calcium homeostasis.</w:t>
      </w:r>
    </w:p>
    <w:p w14:paraId="5A2B09EC" w14:textId="7086A4ED" w:rsidR="00BB3926" w:rsidRDefault="00BB3926">
      <w:pPr>
        <w:spacing w:line="276" w:lineRule="auto"/>
      </w:pPr>
      <w:r>
        <w:br w:type="page"/>
      </w:r>
    </w:p>
    <w:p w14:paraId="72DB62EC" w14:textId="54BC233D" w:rsidR="00706BFB" w:rsidRPr="003E5B52" w:rsidRDefault="003E5B52" w:rsidP="003E5B52">
      <w:pPr>
        <w:pStyle w:val="Heading3"/>
        <w:rPr>
          <w:i w:val="0"/>
          <w:iCs/>
        </w:rPr>
      </w:pPr>
      <w:r w:rsidRPr="00664D56">
        <w:rPr>
          <w:i w:val="0"/>
          <w:iCs/>
        </w:rPr>
        <w:lastRenderedPageBreak/>
        <w:t xml:space="preserve">Appendix </w:t>
      </w:r>
      <w:r>
        <w:rPr>
          <w:i w:val="0"/>
          <w:iCs/>
        </w:rPr>
        <w:t>B</w:t>
      </w:r>
      <w:r w:rsidRPr="00664D56">
        <w:rPr>
          <w:i w:val="0"/>
          <w:iCs/>
        </w:rPr>
        <w:t xml:space="preserve">: </w:t>
      </w:r>
      <w:r>
        <w:rPr>
          <w:i w:val="0"/>
          <w:iCs/>
        </w:rPr>
        <w:t xml:space="preserve">Osteoporosis drugs listing history </w:t>
      </w:r>
    </w:p>
    <w:tbl>
      <w:tblPr>
        <w:tblW w:w="8987" w:type="dxa"/>
        <w:tblInd w:w="93" w:type="dxa"/>
        <w:tblLook w:val="0000" w:firstRow="0" w:lastRow="0" w:firstColumn="0" w:lastColumn="0" w:noHBand="0" w:noVBand="0"/>
      </w:tblPr>
      <w:tblGrid>
        <w:gridCol w:w="1320"/>
        <w:gridCol w:w="2410"/>
        <w:gridCol w:w="5257"/>
      </w:tblGrid>
      <w:tr w:rsidR="00F44BB1" w:rsidRPr="003E5B52" w14:paraId="03662353" w14:textId="77777777" w:rsidTr="0095462E">
        <w:trPr>
          <w:trHeight w:val="255"/>
          <w:tblHeader/>
        </w:trPr>
        <w:tc>
          <w:tcPr>
            <w:tcW w:w="1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E7428C9" w14:textId="77777777" w:rsidR="003E5B52" w:rsidRPr="003E5B52" w:rsidRDefault="003E5B52" w:rsidP="005206B0">
            <w:pPr>
              <w:spacing w:beforeLines="60" w:before="144" w:afterLines="60" w:after="144" w:line="276" w:lineRule="auto"/>
              <w:rPr>
                <w:b/>
                <w:sz w:val="20"/>
                <w:szCs w:val="20"/>
                <w:lang w:val="en-US"/>
              </w:rPr>
            </w:pPr>
            <w:r w:rsidRPr="003E5B52">
              <w:rPr>
                <w:b/>
                <w:sz w:val="20"/>
                <w:szCs w:val="20"/>
                <w:lang w:val="en-US"/>
              </w:rPr>
              <w:t>Date</w:t>
            </w:r>
          </w:p>
        </w:tc>
        <w:tc>
          <w:tcPr>
            <w:tcW w:w="241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94D74B9" w14:textId="77777777" w:rsidR="003E5B52" w:rsidRPr="003E5B52" w:rsidRDefault="003E5B52" w:rsidP="005206B0">
            <w:pPr>
              <w:spacing w:beforeLines="60" w:before="144" w:afterLines="60" w:after="144" w:line="276" w:lineRule="auto"/>
              <w:rPr>
                <w:b/>
                <w:sz w:val="20"/>
                <w:szCs w:val="20"/>
                <w:lang w:val="en-US"/>
              </w:rPr>
            </w:pPr>
            <w:r w:rsidRPr="003E5B52">
              <w:rPr>
                <w:b/>
                <w:sz w:val="20"/>
                <w:szCs w:val="20"/>
                <w:lang w:val="en-US"/>
              </w:rPr>
              <w:t>Drug</w:t>
            </w:r>
          </w:p>
        </w:tc>
        <w:tc>
          <w:tcPr>
            <w:tcW w:w="525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B839E8B" w14:textId="77777777" w:rsidR="003E5B52" w:rsidRPr="003E5B52" w:rsidRDefault="003E5B52" w:rsidP="005206B0">
            <w:pPr>
              <w:spacing w:beforeLines="60" w:before="144" w:afterLines="60" w:after="144" w:line="276" w:lineRule="auto"/>
              <w:rPr>
                <w:b/>
                <w:sz w:val="20"/>
                <w:szCs w:val="20"/>
                <w:lang w:val="en-US"/>
              </w:rPr>
            </w:pPr>
            <w:r w:rsidRPr="003E5B52">
              <w:rPr>
                <w:b/>
                <w:sz w:val="20"/>
                <w:szCs w:val="20"/>
                <w:lang w:val="en-US"/>
              </w:rPr>
              <w:t>Detail</w:t>
            </w:r>
          </w:p>
        </w:tc>
      </w:tr>
      <w:tr w:rsidR="00F44BB1" w:rsidRPr="003E5B52" w14:paraId="6F8E234B"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065DF21" w14:textId="5AEC4A09"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December </w:t>
            </w:r>
            <w:r w:rsidR="003E5B52" w:rsidRPr="003E5B52">
              <w:rPr>
                <w:sz w:val="20"/>
                <w:szCs w:val="20"/>
                <w:lang w:val="en-US"/>
              </w:rPr>
              <w:t>1991</w:t>
            </w:r>
          </w:p>
        </w:tc>
        <w:tc>
          <w:tcPr>
            <w:tcW w:w="2410" w:type="dxa"/>
            <w:tcBorders>
              <w:top w:val="nil"/>
              <w:left w:val="nil"/>
              <w:bottom w:val="single" w:sz="4" w:space="0" w:color="auto"/>
              <w:right w:val="single" w:sz="4" w:space="0" w:color="auto"/>
            </w:tcBorders>
            <w:shd w:val="clear" w:color="auto" w:fill="auto"/>
            <w:vAlign w:val="center"/>
          </w:tcPr>
          <w:p w14:paraId="5F2D9C66"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CALCITRIOL</w:t>
            </w:r>
          </w:p>
        </w:tc>
        <w:tc>
          <w:tcPr>
            <w:tcW w:w="5257" w:type="dxa"/>
            <w:tcBorders>
              <w:top w:val="nil"/>
              <w:left w:val="nil"/>
              <w:bottom w:val="single" w:sz="4" w:space="0" w:color="auto"/>
              <w:right w:val="single" w:sz="4" w:space="0" w:color="auto"/>
            </w:tcBorders>
            <w:shd w:val="clear" w:color="auto" w:fill="auto"/>
            <w:vAlign w:val="center"/>
          </w:tcPr>
          <w:p w14:paraId="73D5E3B9" w14:textId="2AEE4021"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for established osteoporosis in patients with fracture due to minimal trauma</w:t>
            </w:r>
            <w:r w:rsidR="00D46F7F">
              <w:rPr>
                <w:sz w:val="20"/>
                <w:szCs w:val="20"/>
                <w:lang w:val="en-US"/>
              </w:rPr>
              <w:t>.</w:t>
            </w:r>
          </w:p>
        </w:tc>
      </w:tr>
      <w:tr w:rsidR="00F44BB1" w:rsidRPr="003E5B52" w14:paraId="68D743BC"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AECF473" w14:textId="6478F8FF"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August </w:t>
            </w:r>
            <w:r w:rsidR="003E5B52" w:rsidRPr="003E5B52">
              <w:rPr>
                <w:sz w:val="20"/>
                <w:szCs w:val="20"/>
                <w:lang w:val="en-US"/>
              </w:rPr>
              <w:t>1996</w:t>
            </w:r>
          </w:p>
        </w:tc>
        <w:tc>
          <w:tcPr>
            <w:tcW w:w="2410" w:type="dxa"/>
            <w:tcBorders>
              <w:top w:val="nil"/>
              <w:left w:val="nil"/>
              <w:bottom w:val="single" w:sz="4" w:space="0" w:color="auto"/>
              <w:right w:val="single" w:sz="4" w:space="0" w:color="auto"/>
            </w:tcBorders>
            <w:shd w:val="clear" w:color="auto" w:fill="auto"/>
            <w:vAlign w:val="center"/>
          </w:tcPr>
          <w:p w14:paraId="2F6AB187"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DISODIUM ETIDRONATE and CALCIUM CARBONATE</w:t>
            </w:r>
          </w:p>
        </w:tc>
        <w:tc>
          <w:tcPr>
            <w:tcW w:w="5257" w:type="dxa"/>
            <w:tcBorders>
              <w:top w:val="nil"/>
              <w:left w:val="nil"/>
              <w:bottom w:val="single" w:sz="4" w:space="0" w:color="auto"/>
              <w:right w:val="single" w:sz="4" w:space="0" w:color="auto"/>
            </w:tcBorders>
            <w:shd w:val="clear" w:color="auto" w:fill="auto"/>
            <w:vAlign w:val="center"/>
          </w:tcPr>
          <w:p w14:paraId="2B29420A" w14:textId="111EF653"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on a cost-minimisation basis with calcitriol for established osteoporosis in patients with fracture due to minimal trauma</w:t>
            </w:r>
            <w:r w:rsidR="00D46F7F">
              <w:rPr>
                <w:sz w:val="20"/>
                <w:szCs w:val="20"/>
                <w:lang w:val="en-US"/>
              </w:rPr>
              <w:t>.</w:t>
            </w:r>
          </w:p>
        </w:tc>
      </w:tr>
      <w:tr w:rsidR="00F44BB1" w:rsidRPr="003E5B52" w14:paraId="6E6477FE"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54E75CA" w14:textId="3945D901"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November </w:t>
            </w:r>
            <w:r w:rsidR="003E5B52" w:rsidRPr="003E5B52">
              <w:rPr>
                <w:sz w:val="20"/>
                <w:szCs w:val="20"/>
                <w:lang w:val="en-US"/>
              </w:rPr>
              <w:t>1996</w:t>
            </w:r>
          </w:p>
        </w:tc>
        <w:tc>
          <w:tcPr>
            <w:tcW w:w="2410" w:type="dxa"/>
            <w:tcBorders>
              <w:top w:val="nil"/>
              <w:left w:val="nil"/>
              <w:bottom w:val="single" w:sz="4" w:space="0" w:color="auto"/>
              <w:right w:val="single" w:sz="4" w:space="0" w:color="auto"/>
            </w:tcBorders>
            <w:shd w:val="clear" w:color="auto" w:fill="auto"/>
            <w:vAlign w:val="center"/>
          </w:tcPr>
          <w:p w14:paraId="4E098ED7"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w:t>
            </w:r>
          </w:p>
        </w:tc>
        <w:tc>
          <w:tcPr>
            <w:tcW w:w="5257" w:type="dxa"/>
            <w:tcBorders>
              <w:top w:val="nil"/>
              <w:left w:val="nil"/>
              <w:bottom w:val="single" w:sz="4" w:space="0" w:color="auto"/>
              <w:right w:val="single" w:sz="4" w:space="0" w:color="auto"/>
            </w:tcBorders>
            <w:shd w:val="clear" w:color="auto" w:fill="auto"/>
            <w:vAlign w:val="center"/>
          </w:tcPr>
          <w:p w14:paraId="5FB99A62" w14:textId="6BDC9ACD"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on a cost-effectiveness basis with calcitriol for established post-menopausal osteoporosis in patients with fracture due to minimal trauma</w:t>
            </w:r>
            <w:r w:rsidR="00D46F7F">
              <w:rPr>
                <w:sz w:val="20"/>
                <w:szCs w:val="20"/>
                <w:lang w:val="en-US"/>
              </w:rPr>
              <w:t>.</w:t>
            </w:r>
          </w:p>
        </w:tc>
      </w:tr>
      <w:tr w:rsidR="00F44BB1" w:rsidRPr="003E5B52" w14:paraId="3BC0D9FA"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1F5C35AD" w14:textId="6273CDFF"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November </w:t>
            </w:r>
            <w:r w:rsidR="003E5B52" w:rsidRPr="003E5B52">
              <w:rPr>
                <w:sz w:val="20"/>
                <w:szCs w:val="20"/>
                <w:lang w:val="en-US"/>
              </w:rPr>
              <w:t>1999</w:t>
            </w:r>
          </w:p>
        </w:tc>
        <w:tc>
          <w:tcPr>
            <w:tcW w:w="2410" w:type="dxa"/>
            <w:tcBorders>
              <w:top w:val="nil"/>
              <w:left w:val="nil"/>
              <w:bottom w:val="single" w:sz="4" w:space="0" w:color="auto"/>
              <w:right w:val="single" w:sz="4" w:space="0" w:color="auto"/>
            </w:tcBorders>
            <w:shd w:val="clear" w:color="auto" w:fill="auto"/>
            <w:vAlign w:val="center"/>
          </w:tcPr>
          <w:p w14:paraId="2F83DEA1"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RALOXIFENE HYDROCHLORIDE</w:t>
            </w:r>
          </w:p>
        </w:tc>
        <w:tc>
          <w:tcPr>
            <w:tcW w:w="5257" w:type="dxa"/>
            <w:tcBorders>
              <w:top w:val="nil"/>
              <w:left w:val="nil"/>
              <w:bottom w:val="single" w:sz="4" w:space="0" w:color="auto"/>
              <w:right w:val="single" w:sz="4" w:space="0" w:color="auto"/>
            </w:tcBorders>
            <w:shd w:val="clear" w:color="auto" w:fill="auto"/>
            <w:vAlign w:val="center"/>
          </w:tcPr>
          <w:p w14:paraId="7100837A" w14:textId="092BA3B6"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on a cost-minimisation basis with alendronate for established post-menopausal osteoporosis in patients with fracture due to minimal trauma</w:t>
            </w:r>
            <w:r w:rsidR="00D46F7F">
              <w:rPr>
                <w:sz w:val="20"/>
                <w:szCs w:val="20"/>
                <w:lang w:val="en-US"/>
              </w:rPr>
              <w:t>.</w:t>
            </w:r>
          </w:p>
        </w:tc>
      </w:tr>
      <w:tr w:rsidR="00F44BB1" w:rsidRPr="003E5B52" w14:paraId="5F47C3FE"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707732FE" w14:textId="4712F467"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February </w:t>
            </w:r>
            <w:r w:rsidR="003E5B52" w:rsidRPr="003E5B52">
              <w:rPr>
                <w:sz w:val="20"/>
                <w:szCs w:val="20"/>
                <w:lang w:val="en-US"/>
              </w:rPr>
              <w:t>2001</w:t>
            </w:r>
          </w:p>
        </w:tc>
        <w:tc>
          <w:tcPr>
            <w:tcW w:w="2410" w:type="dxa"/>
            <w:tcBorders>
              <w:top w:val="nil"/>
              <w:left w:val="nil"/>
              <w:bottom w:val="single" w:sz="4" w:space="0" w:color="auto"/>
              <w:right w:val="single" w:sz="4" w:space="0" w:color="auto"/>
            </w:tcBorders>
            <w:shd w:val="clear" w:color="auto" w:fill="auto"/>
            <w:vAlign w:val="center"/>
          </w:tcPr>
          <w:p w14:paraId="27EC3F0C"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RISEDRONATE</w:t>
            </w:r>
          </w:p>
        </w:tc>
        <w:tc>
          <w:tcPr>
            <w:tcW w:w="5257" w:type="dxa"/>
            <w:tcBorders>
              <w:top w:val="nil"/>
              <w:left w:val="nil"/>
              <w:bottom w:val="single" w:sz="4" w:space="0" w:color="auto"/>
              <w:right w:val="single" w:sz="4" w:space="0" w:color="auto"/>
            </w:tcBorders>
            <w:shd w:val="clear" w:color="auto" w:fill="auto"/>
            <w:vAlign w:val="center"/>
          </w:tcPr>
          <w:p w14:paraId="2D3B841B" w14:textId="6A342CB2"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on a cost-minimisation basis with alendronate for established post-menopausal osteoporosis in patients with fracture due to minimal trauma</w:t>
            </w:r>
            <w:r w:rsidR="00D46F7F">
              <w:rPr>
                <w:sz w:val="20"/>
                <w:szCs w:val="20"/>
                <w:lang w:val="en-US"/>
              </w:rPr>
              <w:t>.</w:t>
            </w:r>
          </w:p>
        </w:tc>
      </w:tr>
      <w:tr w:rsidR="00F44BB1" w:rsidRPr="003E5B52" w14:paraId="6EBBA794"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5F36CC5A" w14:textId="4EAE40CD"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December </w:t>
            </w:r>
            <w:r w:rsidR="003E5B52" w:rsidRPr="003E5B52">
              <w:rPr>
                <w:sz w:val="20"/>
                <w:szCs w:val="20"/>
                <w:lang w:val="en-US"/>
              </w:rPr>
              <w:t>2005</w:t>
            </w:r>
          </w:p>
        </w:tc>
        <w:tc>
          <w:tcPr>
            <w:tcW w:w="2410" w:type="dxa"/>
            <w:tcBorders>
              <w:top w:val="nil"/>
              <w:left w:val="nil"/>
              <w:bottom w:val="single" w:sz="4" w:space="0" w:color="auto"/>
              <w:right w:val="single" w:sz="4" w:space="0" w:color="auto"/>
            </w:tcBorders>
            <w:shd w:val="clear" w:color="auto" w:fill="auto"/>
            <w:vAlign w:val="center"/>
          </w:tcPr>
          <w:p w14:paraId="544A73CF"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CALCIUM</w:t>
            </w:r>
          </w:p>
        </w:tc>
        <w:tc>
          <w:tcPr>
            <w:tcW w:w="5257" w:type="dxa"/>
            <w:tcBorders>
              <w:top w:val="nil"/>
              <w:left w:val="nil"/>
              <w:bottom w:val="single" w:sz="4" w:space="0" w:color="auto"/>
              <w:right w:val="single" w:sz="4" w:space="0" w:color="auto"/>
            </w:tcBorders>
            <w:shd w:val="clear" w:color="auto" w:fill="auto"/>
            <w:vAlign w:val="center"/>
          </w:tcPr>
          <w:p w14:paraId="4749A13E" w14:textId="6EA38F9D"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Delisting of calcium for patients other than those with chronic renal failure</w:t>
            </w:r>
            <w:r w:rsidR="00D46F7F">
              <w:rPr>
                <w:sz w:val="20"/>
                <w:szCs w:val="20"/>
                <w:lang w:val="en-US"/>
              </w:rPr>
              <w:t>.</w:t>
            </w:r>
            <w:r w:rsidRPr="003E5B52">
              <w:rPr>
                <w:sz w:val="20"/>
                <w:szCs w:val="20"/>
                <w:lang w:val="en-US"/>
              </w:rPr>
              <w:t xml:space="preserve"> </w:t>
            </w:r>
          </w:p>
        </w:tc>
      </w:tr>
      <w:tr w:rsidR="00F44BB1" w:rsidRPr="003E5B52" w14:paraId="2BFBB424"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018D3B9" w14:textId="66B2AAB0"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April </w:t>
            </w:r>
            <w:r w:rsidR="003E5B52" w:rsidRPr="003E5B52">
              <w:rPr>
                <w:sz w:val="20"/>
                <w:szCs w:val="20"/>
                <w:lang w:val="en-US"/>
              </w:rPr>
              <w:t>2006</w:t>
            </w:r>
          </w:p>
        </w:tc>
        <w:tc>
          <w:tcPr>
            <w:tcW w:w="2410" w:type="dxa"/>
            <w:tcBorders>
              <w:top w:val="nil"/>
              <w:left w:val="nil"/>
              <w:bottom w:val="single" w:sz="4" w:space="0" w:color="auto"/>
              <w:right w:val="single" w:sz="4" w:space="0" w:color="auto"/>
            </w:tcBorders>
            <w:shd w:val="clear" w:color="auto" w:fill="auto"/>
            <w:vAlign w:val="center"/>
          </w:tcPr>
          <w:p w14:paraId="437F3CE5"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 (</w:t>
            </w:r>
            <w:r w:rsidRPr="003E5B52">
              <w:rPr>
                <w:sz w:val="20"/>
                <w:szCs w:val="20"/>
              </w:rPr>
              <w:t>70 mg tabs)</w:t>
            </w:r>
            <w:r w:rsidRPr="003E5B52">
              <w:rPr>
                <w:sz w:val="20"/>
                <w:szCs w:val="20"/>
                <w:lang w:val="en-US"/>
              </w:rPr>
              <w:t>, RISEDRONATE (</w:t>
            </w:r>
            <w:r w:rsidRPr="003E5B52">
              <w:rPr>
                <w:sz w:val="20"/>
                <w:szCs w:val="20"/>
              </w:rPr>
              <w:t>5 mg and 35 mg tabs)</w:t>
            </w:r>
            <w:r w:rsidRPr="003E5B52">
              <w:rPr>
                <w:sz w:val="20"/>
                <w:szCs w:val="20"/>
                <w:lang w:val="en-US"/>
              </w:rPr>
              <w:t>, RALOXIFENE HYDROCHLORIDE (</w:t>
            </w:r>
            <w:r w:rsidRPr="003E5B52">
              <w:rPr>
                <w:sz w:val="20"/>
                <w:szCs w:val="20"/>
              </w:rPr>
              <w:t>60 mg)</w:t>
            </w:r>
            <w:r w:rsidRPr="003E5B52">
              <w:rPr>
                <w:sz w:val="20"/>
                <w:szCs w:val="20"/>
                <w:lang w:val="en-US"/>
              </w:rPr>
              <w:t>, DISODIUM ETIDRONATE, CALCITRIOL</w:t>
            </w:r>
          </w:p>
        </w:tc>
        <w:tc>
          <w:tcPr>
            <w:tcW w:w="5257" w:type="dxa"/>
            <w:tcBorders>
              <w:top w:val="nil"/>
              <w:left w:val="nil"/>
              <w:bottom w:val="single" w:sz="4" w:space="0" w:color="auto"/>
              <w:right w:val="single" w:sz="4" w:space="0" w:color="auto"/>
            </w:tcBorders>
            <w:shd w:val="clear" w:color="auto" w:fill="auto"/>
            <w:vAlign w:val="center"/>
          </w:tcPr>
          <w:p w14:paraId="034FEB1F" w14:textId="13C969E8"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Restriction amended to sole therapy for established osteoporosis</w:t>
            </w:r>
            <w:r w:rsidR="00D46F7F">
              <w:rPr>
                <w:sz w:val="20"/>
                <w:szCs w:val="20"/>
                <w:lang w:val="en-US"/>
              </w:rPr>
              <w:t>.</w:t>
            </w:r>
          </w:p>
        </w:tc>
      </w:tr>
      <w:tr w:rsidR="00F44BB1" w:rsidRPr="003E5B52" w14:paraId="5E2AF5B8"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723AA58A" w14:textId="01480693"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April </w:t>
            </w:r>
            <w:r w:rsidR="003E5B52" w:rsidRPr="003E5B52">
              <w:rPr>
                <w:sz w:val="20"/>
                <w:szCs w:val="20"/>
                <w:lang w:val="en-US"/>
              </w:rPr>
              <w:t>2006</w:t>
            </w:r>
          </w:p>
        </w:tc>
        <w:tc>
          <w:tcPr>
            <w:tcW w:w="2410" w:type="dxa"/>
            <w:tcBorders>
              <w:top w:val="nil"/>
              <w:left w:val="nil"/>
              <w:bottom w:val="single" w:sz="4" w:space="0" w:color="auto"/>
              <w:right w:val="single" w:sz="4" w:space="0" w:color="auto"/>
            </w:tcBorders>
            <w:shd w:val="clear" w:color="auto" w:fill="auto"/>
            <w:vAlign w:val="center"/>
          </w:tcPr>
          <w:p w14:paraId="4EED9585"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RISEDRONATE and CALCIUM CARBONATE</w:t>
            </w:r>
          </w:p>
        </w:tc>
        <w:tc>
          <w:tcPr>
            <w:tcW w:w="5257" w:type="dxa"/>
            <w:tcBorders>
              <w:top w:val="nil"/>
              <w:left w:val="nil"/>
              <w:bottom w:val="single" w:sz="4" w:space="0" w:color="auto"/>
              <w:right w:val="single" w:sz="4" w:space="0" w:color="auto"/>
            </w:tcBorders>
            <w:shd w:val="clear" w:color="auto" w:fill="auto"/>
            <w:vAlign w:val="center"/>
          </w:tcPr>
          <w:p w14:paraId="0B8DE8DC"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for established osteoporosis in patients with fracture due to minimal trauma</w:t>
            </w:r>
          </w:p>
        </w:tc>
      </w:tr>
      <w:tr w:rsidR="00F44BB1" w:rsidRPr="003E5B52" w14:paraId="468D237C"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1217DB8" w14:textId="45ED5F94"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August </w:t>
            </w:r>
            <w:r w:rsidR="003E5B52" w:rsidRPr="003E5B52">
              <w:rPr>
                <w:sz w:val="20"/>
                <w:szCs w:val="20"/>
                <w:lang w:val="en-US"/>
              </w:rPr>
              <w:t>2006</w:t>
            </w:r>
          </w:p>
        </w:tc>
        <w:tc>
          <w:tcPr>
            <w:tcW w:w="2410" w:type="dxa"/>
            <w:tcBorders>
              <w:top w:val="nil"/>
              <w:left w:val="nil"/>
              <w:bottom w:val="single" w:sz="4" w:space="0" w:color="auto"/>
              <w:right w:val="single" w:sz="4" w:space="0" w:color="auto"/>
            </w:tcBorders>
            <w:shd w:val="clear" w:color="auto" w:fill="auto"/>
            <w:vAlign w:val="center"/>
          </w:tcPr>
          <w:p w14:paraId="6CE0C891"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 with COLECALCIFEROL</w:t>
            </w:r>
          </w:p>
        </w:tc>
        <w:tc>
          <w:tcPr>
            <w:tcW w:w="5257" w:type="dxa"/>
            <w:tcBorders>
              <w:top w:val="nil"/>
              <w:left w:val="nil"/>
              <w:bottom w:val="single" w:sz="4" w:space="0" w:color="auto"/>
              <w:right w:val="single" w:sz="4" w:space="0" w:color="auto"/>
            </w:tcBorders>
            <w:shd w:val="clear" w:color="auto" w:fill="auto"/>
            <w:vAlign w:val="center"/>
          </w:tcPr>
          <w:p w14:paraId="067B62E2"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for established osteoporosis in patients with fracture due to minimal trauma</w:t>
            </w:r>
          </w:p>
        </w:tc>
      </w:tr>
      <w:tr w:rsidR="00F44BB1" w:rsidRPr="003E5B52" w14:paraId="56C292AC"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F972C68" w14:textId="60678CDA"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April </w:t>
            </w:r>
            <w:r w:rsidR="003E5B52" w:rsidRPr="003E5B52">
              <w:rPr>
                <w:sz w:val="20"/>
                <w:szCs w:val="20"/>
                <w:lang w:val="en-US"/>
              </w:rPr>
              <w:t>2007</w:t>
            </w:r>
          </w:p>
        </w:tc>
        <w:tc>
          <w:tcPr>
            <w:tcW w:w="2410" w:type="dxa"/>
            <w:tcBorders>
              <w:top w:val="nil"/>
              <w:left w:val="nil"/>
              <w:bottom w:val="single" w:sz="4" w:space="0" w:color="auto"/>
              <w:right w:val="single" w:sz="4" w:space="0" w:color="auto"/>
            </w:tcBorders>
            <w:shd w:val="clear" w:color="auto" w:fill="auto"/>
            <w:vAlign w:val="center"/>
          </w:tcPr>
          <w:p w14:paraId="558F5BE2"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STRONTIUM RANELATE</w:t>
            </w:r>
          </w:p>
        </w:tc>
        <w:tc>
          <w:tcPr>
            <w:tcW w:w="5257" w:type="dxa"/>
            <w:tcBorders>
              <w:top w:val="nil"/>
              <w:left w:val="nil"/>
              <w:bottom w:val="single" w:sz="4" w:space="0" w:color="auto"/>
              <w:right w:val="single" w:sz="4" w:space="0" w:color="auto"/>
            </w:tcBorders>
            <w:shd w:val="clear" w:color="auto" w:fill="auto"/>
            <w:vAlign w:val="center"/>
          </w:tcPr>
          <w:p w14:paraId="77C4DF97"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on a cost-minimisation basis with alendronate for established post-menopausal osteoporosis in patients with fracture due to minimal trauma</w:t>
            </w:r>
          </w:p>
        </w:tc>
      </w:tr>
      <w:tr w:rsidR="00F44BB1" w:rsidRPr="003E5B52" w14:paraId="38277601" w14:textId="77777777" w:rsidTr="0095462E">
        <w:trPr>
          <w:trHeight w:val="744"/>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181C334" w14:textId="38B0F0F3"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April </w:t>
            </w:r>
            <w:r w:rsidR="003E5B52" w:rsidRPr="003E5B52">
              <w:rPr>
                <w:sz w:val="20"/>
                <w:szCs w:val="20"/>
                <w:lang w:val="en-US"/>
              </w:rPr>
              <w:t>2007</w:t>
            </w:r>
          </w:p>
        </w:tc>
        <w:tc>
          <w:tcPr>
            <w:tcW w:w="2410" w:type="dxa"/>
            <w:tcBorders>
              <w:top w:val="nil"/>
              <w:left w:val="nil"/>
              <w:bottom w:val="single" w:sz="4" w:space="0" w:color="auto"/>
              <w:right w:val="single" w:sz="4" w:space="0" w:color="auto"/>
            </w:tcBorders>
            <w:shd w:val="clear" w:color="auto" w:fill="auto"/>
            <w:vAlign w:val="center"/>
          </w:tcPr>
          <w:p w14:paraId="6A2A58E3"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w:t>
            </w:r>
          </w:p>
        </w:tc>
        <w:tc>
          <w:tcPr>
            <w:tcW w:w="5257" w:type="dxa"/>
            <w:tcBorders>
              <w:top w:val="nil"/>
              <w:left w:val="nil"/>
              <w:bottom w:val="single" w:sz="4" w:space="0" w:color="auto"/>
              <w:right w:val="single" w:sz="4" w:space="0" w:color="auto"/>
            </w:tcBorders>
            <w:shd w:val="clear" w:color="auto" w:fill="auto"/>
            <w:vAlign w:val="center"/>
          </w:tcPr>
          <w:p w14:paraId="75A0E2BD"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Extension to patients 70 years or more at risk of fracture based on BMD test (-3.0 or less)</w:t>
            </w:r>
          </w:p>
        </w:tc>
      </w:tr>
      <w:tr w:rsidR="00F44BB1" w:rsidRPr="003E5B52" w14:paraId="43640D58"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5CE6DC41" w14:textId="05798021" w:rsidR="003E5B52" w:rsidRPr="003E5B52" w:rsidRDefault="00C23347" w:rsidP="005206B0">
            <w:pPr>
              <w:spacing w:beforeLines="60" w:before="144" w:afterLines="60" w:after="144" w:line="276" w:lineRule="auto"/>
              <w:rPr>
                <w:sz w:val="20"/>
                <w:szCs w:val="20"/>
                <w:lang w:val="en-US"/>
              </w:rPr>
            </w:pPr>
            <w:r>
              <w:rPr>
                <w:sz w:val="20"/>
                <w:szCs w:val="20"/>
                <w:lang w:val="en-US"/>
              </w:rPr>
              <w:lastRenderedPageBreak/>
              <w:t xml:space="preserve">1 July </w:t>
            </w:r>
            <w:r w:rsidR="003E5B52" w:rsidRPr="003E5B52">
              <w:rPr>
                <w:sz w:val="20"/>
                <w:szCs w:val="20"/>
                <w:lang w:val="en-US"/>
              </w:rPr>
              <w:t>2007</w:t>
            </w:r>
          </w:p>
        </w:tc>
        <w:tc>
          <w:tcPr>
            <w:tcW w:w="2410" w:type="dxa"/>
            <w:tcBorders>
              <w:top w:val="nil"/>
              <w:left w:val="nil"/>
              <w:bottom w:val="single" w:sz="4" w:space="0" w:color="auto"/>
              <w:right w:val="single" w:sz="4" w:space="0" w:color="auto"/>
            </w:tcBorders>
            <w:shd w:val="clear" w:color="auto" w:fill="auto"/>
            <w:vAlign w:val="center"/>
          </w:tcPr>
          <w:p w14:paraId="1F9C85ED"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 AND COMBINATIONS, RISEDRONATE AND COMBINATIONS, DISODIUM ETIDRONATE and CALCIUM CARBONATE, CALCITROL, RALOXIFENE HYDROCHLORIDE and STRONTIUM RANELATE</w:t>
            </w:r>
          </w:p>
        </w:tc>
        <w:tc>
          <w:tcPr>
            <w:tcW w:w="5257" w:type="dxa"/>
            <w:tcBorders>
              <w:top w:val="nil"/>
              <w:left w:val="nil"/>
              <w:bottom w:val="single" w:sz="4" w:space="0" w:color="auto"/>
              <w:right w:val="single" w:sz="4" w:space="0" w:color="auto"/>
            </w:tcBorders>
            <w:shd w:val="clear" w:color="auto" w:fill="auto"/>
            <w:vAlign w:val="center"/>
          </w:tcPr>
          <w:p w14:paraId="52CAA68B"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STREAMLINED process was introduced</w:t>
            </w:r>
          </w:p>
        </w:tc>
      </w:tr>
      <w:tr w:rsidR="00F44BB1" w:rsidRPr="003E5B52" w14:paraId="05DAE3AD"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7060C38E" w14:textId="2F1CD0DB" w:rsidR="003E5B52" w:rsidRPr="003E5B52" w:rsidRDefault="00C23347" w:rsidP="005206B0">
            <w:pPr>
              <w:spacing w:beforeLines="60" w:before="144" w:afterLines="60" w:after="144" w:line="276" w:lineRule="auto"/>
              <w:rPr>
                <w:sz w:val="20"/>
                <w:szCs w:val="20"/>
                <w:lang w:val="en-US"/>
              </w:rPr>
            </w:pPr>
            <w:r>
              <w:rPr>
                <w:sz w:val="20"/>
                <w:szCs w:val="20"/>
                <w:lang w:val="en-US"/>
              </w:rPr>
              <w:t xml:space="preserve">1 August </w:t>
            </w:r>
            <w:r w:rsidR="003E5B52" w:rsidRPr="003E5B52">
              <w:rPr>
                <w:sz w:val="20"/>
                <w:szCs w:val="20"/>
                <w:lang w:val="en-US"/>
              </w:rPr>
              <w:t>2007</w:t>
            </w:r>
          </w:p>
        </w:tc>
        <w:tc>
          <w:tcPr>
            <w:tcW w:w="2410" w:type="dxa"/>
            <w:tcBorders>
              <w:top w:val="nil"/>
              <w:left w:val="nil"/>
              <w:bottom w:val="single" w:sz="4" w:space="0" w:color="auto"/>
              <w:right w:val="single" w:sz="4" w:space="0" w:color="auto"/>
            </w:tcBorders>
            <w:shd w:val="clear" w:color="auto" w:fill="auto"/>
            <w:vAlign w:val="center"/>
          </w:tcPr>
          <w:p w14:paraId="4B3B0F94"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RISEDRONATE and COMBINATIONS</w:t>
            </w:r>
          </w:p>
        </w:tc>
        <w:tc>
          <w:tcPr>
            <w:tcW w:w="5257" w:type="dxa"/>
            <w:tcBorders>
              <w:top w:val="nil"/>
              <w:left w:val="nil"/>
              <w:bottom w:val="single" w:sz="4" w:space="0" w:color="auto"/>
              <w:right w:val="single" w:sz="4" w:space="0" w:color="auto"/>
            </w:tcBorders>
            <w:shd w:val="clear" w:color="auto" w:fill="auto"/>
            <w:vAlign w:val="center"/>
          </w:tcPr>
          <w:p w14:paraId="33D1774F"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Extension to patients 70 years or more at risk of fracture based on BMD test (-3.0 or less)</w:t>
            </w:r>
          </w:p>
        </w:tc>
      </w:tr>
      <w:tr w:rsidR="00F44BB1" w:rsidRPr="003E5B52" w14:paraId="6B1ACA9D"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95D0C62" w14:textId="6402B90F"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November </w:t>
            </w:r>
            <w:r w:rsidR="003E5B52" w:rsidRPr="003E5B52">
              <w:rPr>
                <w:sz w:val="20"/>
                <w:szCs w:val="20"/>
                <w:lang w:val="en-US"/>
              </w:rPr>
              <w:t>2007</w:t>
            </w:r>
          </w:p>
        </w:tc>
        <w:tc>
          <w:tcPr>
            <w:tcW w:w="2410" w:type="dxa"/>
            <w:tcBorders>
              <w:top w:val="nil"/>
              <w:left w:val="nil"/>
              <w:bottom w:val="single" w:sz="4" w:space="0" w:color="auto"/>
              <w:right w:val="single" w:sz="4" w:space="0" w:color="auto"/>
            </w:tcBorders>
            <w:shd w:val="clear" w:color="auto" w:fill="auto"/>
            <w:vAlign w:val="center"/>
          </w:tcPr>
          <w:p w14:paraId="41B0EFB5"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STRONTIUM RANELATE</w:t>
            </w:r>
          </w:p>
        </w:tc>
        <w:tc>
          <w:tcPr>
            <w:tcW w:w="5257" w:type="dxa"/>
            <w:tcBorders>
              <w:top w:val="nil"/>
              <w:left w:val="nil"/>
              <w:bottom w:val="single" w:sz="4" w:space="0" w:color="auto"/>
              <w:right w:val="single" w:sz="4" w:space="0" w:color="auto"/>
            </w:tcBorders>
            <w:shd w:val="clear" w:color="auto" w:fill="auto"/>
            <w:vAlign w:val="center"/>
          </w:tcPr>
          <w:p w14:paraId="3BE8C001"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Extension to patients 70 years or more at risk of fracture based on BMD test (-3.0 or less). Based on cost-minimisation with alendronate</w:t>
            </w:r>
          </w:p>
        </w:tc>
      </w:tr>
      <w:tr w:rsidR="00F44BB1" w:rsidRPr="003E5B52" w14:paraId="5C9E5F47"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7DDBEA95" w14:textId="680A46D9"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December </w:t>
            </w:r>
            <w:r w:rsidR="003E5B52" w:rsidRPr="003E5B52">
              <w:rPr>
                <w:sz w:val="20"/>
                <w:szCs w:val="20"/>
                <w:lang w:val="en-US"/>
              </w:rPr>
              <w:t>2007</w:t>
            </w:r>
          </w:p>
        </w:tc>
        <w:tc>
          <w:tcPr>
            <w:tcW w:w="2410" w:type="dxa"/>
            <w:tcBorders>
              <w:top w:val="nil"/>
              <w:left w:val="nil"/>
              <w:bottom w:val="single" w:sz="4" w:space="0" w:color="auto"/>
              <w:right w:val="single" w:sz="4" w:space="0" w:color="auto"/>
            </w:tcBorders>
            <w:shd w:val="clear" w:color="auto" w:fill="auto"/>
            <w:vAlign w:val="center"/>
          </w:tcPr>
          <w:p w14:paraId="78C35893"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w:t>
            </w:r>
          </w:p>
        </w:tc>
        <w:tc>
          <w:tcPr>
            <w:tcW w:w="5257" w:type="dxa"/>
            <w:tcBorders>
              <w:top w:val="nil"/>
              <w:left w:val="nil"/>
              <w:bottom w:val="single" w:sz="4" w:space="0" w:color="auto"/>
              <w:right w:val="single" w:sz="4" w:space="0" w:color="auto"/>
            </w:tcBorders>
            <w:shd w:val="clear" w:color="auto" w:fill="auto"/>
            <w:vAlign w:val="center"/>
          </w:tcPr>
          <w:p w14:paraId="792A08BE" w14:textId="3432C6B0"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Statutory price reduction</w:t>
            </w:r>
            <w:r w:rsidR="001047A4">
              <w:rPr>
                <w:sz w:val="20"/>
                <w:szCs w:val="20"/>
                <w:lang w:val="en-US"/>
              </w:rPr>
              <w:t>.</w:t>
            </w:r>
          </w:p>
        </w:tc>
      </w:tr>
      <w:tr w:rsidR="00F44BB1" w:rsidRPr="003E5B52" w14:paraId="01F675BD"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2BA032E" w14:textId="1E8E04B0"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December </w:t>
            </w:r>
            <w:r w:rsidR="003E5B52" w:rsidRPr="003E5B52">
              <w:rPr>
                <w:sz w:val="20"/>
                <w:szCs w:val="20"/>
                <w:lang w:val="en-US"/>
              </w:rPr>
              <w:t>2007</w:t>
            </w:r>
          </w:p>
        </w:tc>
        <w:tc>
          <w:tcPr>
            <w:tcW w:w="2410" w:type="dxa"/>
            <w:tcBorders>
              <w:top w:val="nil"/>
              <w:left w:val="nil"/>
              <w:bottom w:val="single" w:sz="4" w:space="0" w:color="auto"/>
              <w:right w:val="single" w:sz="4" w:space="0" w:color="auto"/>
            </w:tcBorders>
            <w:shd w:val="clear" w:color="auto" w:fill="auto"/>
            <w:vAlign w:val="center"/>
          </w:tcPr>
          <w:p w14:paraId="7518D420"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 with COLECALCIFEROL</w:t>
            </w:r>
          </w:p>
        </w:tc>
        <w:tc>
          <w:tcPr>
            <w:tcW w:w="5257" w:type="dxa"/>
            <w:tcBorders>
              <w:top w:val="nil"/>
              <w:left w:val="nil"/>
              <w:bottom w:val="single" w:sz="4" w:space="0" w:color="auto"/>
              <w:right w:val="single" w:sz="4" w:space="0" w:color="auto"/>
            </w:tcBorders>
            <w:shd w:val="clear" w:color="auto" w:fill="auto"/>
            <w:vAlign w:val="center"/>
          </w:tcPr>
          <w:p w14:paraId="548EB65A" w14:textId="1AFD2CF3"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Partial 12.5% price reduction to alendronate component</w:t>
            </w:r>
            <w:r w:rsidR="001047A4">
              <w:rPr>
                <w:sz w:val="20"/>
                <w:szCs w:val="20"/>
                <w:lang w:val="en-US"/>
              </w:rPr>
              <w:t>.</w:t>
            </w:r>
          </w:p>
        </w:tc>
      </w:tr>
      <w:tr w:rsidR="00F44BB1" w:rsidRPr="003E5B52" w14:paraId="7E8C7FBE"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70F7B5F" w14:textId="2B95A3EA"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May </w:t>
            </w:r>
            <w:r w:rsidR="003E5B52" w:rsidRPr="003E5B52">
              <w:rPr>
                <w:sz w:val="20"/>
                <w:szCs w:val="20"/>
                <w:lang w:val="en-US"/>
              </w:rPr>
              <w:t>2008</w:t>
            </w:r>
          </w:p>
        </w:tc>
        <w:tc>
          <w:tcPr>
            <w:tcW w:w="2410" w:type="dxa"/>
            <w:tcBorders>
              <w:top w:val="nil"/>
              <w:left w:val="nil"/>
              <w:bottom w:val="single" w:sz="4" w:space="0" w:color="auto"/>
              <w:right w:val="single" w:sz="4" w:space="0" w:color="auto"/>
            </w:tcBorders>
            <w:shd w:val="clear" w:color="auto" w:fill="auto"/>
            <w:vAlign w:val="center"/>
          </w:tcPr>
          <w:p w14:paraId="57FCCFB1"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RISEDRONATE and CALCIUM CARBONATE with COLECALCIFEROL</w:t>
            </w:r>
          </w:p>
        </w:tc>
        <w:tc>
          <w:tcPr>
            <w:tcW w:w="5257" w:type="dxa"/>
            <w:tcBorders>
              <w:top w:val="nil"/>
              <w:left w:val="nil"/>
              <w:bottom w:val="single" w:sz="4" w:space="0" w:color="auto"/>
              <w:right w:val="single" w:sz="4" w:space="0" w:color="auto"/>
            </w:tcBorders>
            <w:shd w:val="clear" w:color="auto" w:fill="auto"/>
            <w:vAlign w:val="center"/>
          </w:tcPr>
          <w:p w14:paraId="18B8A487" w14:textId="7DB2260A"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for established osteoporosis in patients 70 years or older with a BMD T-score of -3.0 or less and for established osteoporosis in patients with fracture due to minimal trauma</w:t>
            </w:r>
            <w:r w:rsidR="001047A4">
              <w:rPr>
                <w:sz w:val="20"/>
                <w:szCs w:val="20"/>
                <w:lang w:val="en-US"/>
              </w:rPr>
              <w:t>.</w:t>
            </w:r>
          </w:p>
        </w:tc>
      </w:tr>
      <w:tr w:rsidR="00F44BB1" w:rsidRPr="003E5B52" w14:paraId="7DB88976"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F0D9EC5" w14:textId="72B45E90"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December </w:t>
            </w:r>
            <w:r w:rsidR="003E5B52" w:rsidRPr="003E5B52">
              <w:rPr>
                <w:sz w:val="20"/>
                <w:szCs w:val="20"/>
                <w:lang w:val="en-US"/>
              </w:rPr>
              <w:t>2008</w:t>
            </w:r>
          </w:p>
        </w:tc>
        <w:tc>
          <w:tcPr>
            <w:tcW w:w="2410" w:type="dxa"/>
            <w:tcBorders>
              <w:top w:val="nil"/>
              <w:left w:val="nil"/>
              <w:bottom w:val="single" w:sz="4" w:space="0" w:color="auto"/>
              <w:right w:val="single" w:sz="4" w:space="0" w:color="auto"/>
            </w:tcBorders>
            <w:shd w:val="clear" w:color="auto" w:fill="auto"/>
            <w:vAlign w:val="center"/>
          </w:tcPr>
          <w:p w14:paraId="7890EA6B"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ZOLEDRONIC ACID</w:t>
            </w:r>
          </w:p>
        </w:tc>
        <w:tc>
          <w:tcPr>
            <w:tcW w:w="5257" w:type="dxa"/>
            <w:tcBorders>
              <w:top w:val="nil"/>
              <w:left w:val="nil"/>
              <w:bottom w:val="single" w:sz="4" w:space="0" w:color="auto"/>
              <w:right w:val="single" w:sz="4" w:space="0" w:color="auto"/>
            </w:tcBorders>
            <w:shd w:val="clear" w:color="auto" w:fill="auto"/>
            <w:vAlign w:val="center"/>
          </w:tcPr>
          <w:p w14:paraId="6A7DF8A4" w14:textId="366A3D94"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on a cost-minimisation basis with alendronate for established post-menopausal osteoporosis in women with fracture due to minimal trauma and for established osteoporosis in men with hip fracture due to minimal trauma</w:t>
            </w:r>
            <w:r w:rsidR="001047A4">
              <w:rPr>
                <w:sz w:val="20"/>
                <w:szCs w:val="20"/>
                <w:lang w:val="en-US"/>
              </w:rPr>
              <w:t>.</w:t>
            </w:r>
          </w:p>
        </w:tc>
      </w:tr>
      <w:tr w:rsidR="00F44BB1" w:rsidRPr="003E5B52" w14:paraId="5274B5FA"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B7E6490" w14:textId="0BC05A06" w:rsidR="003E5B52" w:rsidRPr="003E5B52" w:rsidRDefault="00F44BB1" w:rsidP="005206B0">
            <w:pPr>
              <w:spacing w:beforeLines="60" w:before="144" w:afterLines="60" w:after="144" w:line="276" w:lineRule="auto"/>
              <w:rPr>
                <w:sz w:val="20"/>
                <w:szCs w:val="20"/>
                <w:lang w:val="en-US"/>
              </w:rPr>
            </w:pPr>
            <w:r>
              <w:rPr>
                <w:sz w:val="20"/>
                <w:szCs w:val="20"/>
              </w:rPr>
              <w:t xml:space="preserve">1 February </w:t>
            </w:r>
            <w:r w:rsidR="003E5B52" w:rsidRPr="003E5B52">
              <w:rPr>
                <w:sz w:val="20"/>
                <w:szCs w:val="20"/>
              </w:rPr>
              <w:t>2009</w:t>
            </w:r>
          </w:p>
        </w:tc>
        <w:tc>
          <w:tcPr>
            <w:tcW w:w="2410" w:type="dxa"/>
            <w:tcBorders>
              <w:top w:val="nil"/>
              <w:left w:val="nil"/>
              <w:bottom w:val="single" w:sz="4" w:space="0" w:color="auto"/>
              <w:right w:val="single" w:sz="4" w:space="0" w:color="auto"/>
            </w:tcBorders>
            <w:shd w:val="clear" w:color="auto" w:fill="auto"/>
            <w:vAlign w:val="center"/>
          </w:tcPr>
          <w:p w14:paraId="2AE4A2FC" w14:textId="77777777" w:rsidR="003E5B52" w:rsidRPr="003E5B52" w:rsidRDefault="003E5B52" w:rsidP="005206B0">
            <w:pPr>
              <w:spacing w:beforeLines="60" w:before="144" w:afterLines="60" w:after="144" w:line="276" w:lineRule="auto"/>
              <w:rPr>
                <w:sz w:val="20"/>
                <w:szCs w:val="20"/>
                <w:lang w:val="en-US"/>
              </w:rPr>
            </w:pPr>
            <w:r w:rsidRPr="003E5B52">
              <w:rPr>
                <w:sz w:val="20"/>
                <w:szCs w:val="20"/>
              </w:rPr>
              <w:t>RISEDRONATE and COMBINATIONS</w:t>
            </w:r>
          </w:p>
        </w:tc>
        <w:tc>
          <w:tcPr>
            <w:tcW w:w="5257" w:type="dxa"/>
            <w:tcBorders>
              <w:top w:val="nil"/>
              <w:left w:val="nil"/>
              <w:bottom w:val="single" w:sz="4" w:space="0" w:color="auto"/>
              <w:right w:val="single" w:sz="4" w:space="0" w:color="auto"/>
            </w:tcBorders>
            <w:shd w:val="clear" w:color="auto" w:fill="auto"/>
            <w:vAlign w:val="center"/>
          </w:tcPr>
          <w:p w14:paraId="204D59A4" w14:textId="77777777" w:rsidR="003E5B52" w:rsidRPr="003E5B52" w:rsidRDefault="003E5B52" w:rsidP="005206B0">
            <w:pPr>
              <w:spacing w:beforeLines="60" w:before="144" w:afterLines="60" w:after="144" w:line="276" w:lineRule="auto"/>
              <w:rPr>
                <w:sz w:val="20"/>
                <w:szCs w:val="20"/>
                <w:lang w:val="en-US"/>
              </w:rPr>
            </w:pPr>
            <w:r w:rsidRPr="003E5B52">
              <w:rPr>
                <w:sz w:val="20"/>
                <w:szCs w:val="20"/>
              </w:rPr>
              <w:t xml:space="preserve">Extension </w:t>
            </w:r>
            <w:r w:rsidRPr="003E5B52">
              <w:rPr>
                <w:sz w:val="20"/>
                <w:szCs w:val="20"/>
                <w:lang w:val="en-US"/>
              </w:rPr>
              <w:t>to include treatment for corticoid-induced osteoporosis in a patient on at least three months high-dose corticosteroid therapy with a BMD (BMD) T-score of -1.5 or less</w:t>
            </w:r>
            <w:r w:rsidRPr="003E5B52">
              <w:rPr>
                <w:sz w:val="20"/>
                <w:szCs w:val="20"/>
              </w:rPr>
              <w:t>.</w:t>
            </w:r>
          </w:p>
        </w:tc>
      </w:tr>
      <w:tr w:rsidR="00F44BB1" w:rsidRPr="003E5B52" w14:paraId="2A746DCD"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62762A02" w14:textId="793CC0EE"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April </w:t>
            </w:r>
            <w:r w:rsidR="003E5B52" w:rsidRPr="003E5B52">
              <w:rPr>
                <w:sz w:val="20"/>
                <w:szCs w:val="20"/>
                <w:lang w:val="en-US"/>
              </w:rPr>
              <w:t>2009</w:t>
            </w:r>
          </w:p>
        </w:tc>
        <w:tc>
          <w:tcPr>
            <w:tcW w:w="2410" w:type="dxa"/>
            <w:tcBorders>
              <w:top w:val="nil"/>
              <w:left w:val="nil"/>
              <w:bottom w:val="single" w:sz="4" w:space="0" w:color="auto"/>
              <w:right w:val="single" w:sz="4" w:space="0" w:color="auto"/>
            </w:tcBorders>
            <w:shd w:val="clear" w:color="auto" w:fill="auto"/>
            <w:vAlign w:val="center"/>
          </w:tcPr>
          <w:p w14:paraId="6A368809"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ZOLEDRONIC ACID</w:t>
            </w:r>
          </w:p>
        </w:tc>
        <w:tc>
          <w:tcPr>
            <w:tcW w:w="5257" w:type="dxa"/>
            <w:tcBorders>
              <w:top w:val="nil"/>
              <w:left w:val="nil"/>
              <w:bottom w:val="single" w:sz="4" w:space="0" w:color="auto"/>
              <w:right w:val="single" w:sz="4" w:space="0" w:color="auto"/>
            </w:tcBorders>
            <w:shd w:val="clear" w:color="auto" w:fill="auto"/>
            <w:vAlign w:val="center"/>
          </w:tcPr>
          <w:p w14:paraId="490D9E08"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Extension to include treatment for osteoporosis in patients 70 years or older with a BMD T-score of -3.0 or less. Based on cost-minimisation with alendronate.</w:t>
            </w:r>
          </w:p>
        </w:tc>
      </w:tr>
      <w:tr w:rsidR="00F44BB1" w:rsidRPr="003E5B52" w14:paraId="615BF326"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FA52398" w14:textId="354F7575"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May </w:t>
            </w:r>
            <w:r w:rsidR="003E5B52" w:rsidRPr="003E5B52">
              <w:rPr>
                <w:sz w:val="20"/>
                <w:szCs w:val="20"/>
                <w:lang w:val="en-US"/>
              </w:rPr>
              <w:t>2009</w:t>
            </w:r>
          </w:p>
        </w:tc>
        <w:tc>
          <w:tcPr>
            <w:tcW w:w="2410" w:type="dxa"/>
            <w:tcBorders>
              <w:top w:val="nil"/>
              <w:left w:val="nil"/>
              <w:bottom w:val="single" w:sz="4" w:space="0" w:color="auto"/>
              <w:right w:val="single" w:sz="4" w:space="0" w:color="auto"/>
            </w:tcBorders>
            <w:shd w:val="clear" w:color="auto" w:fill="auto"/>
            <w:vAlign w:val="center"/>
          </w:tcPr>
          <w:p w14:paraId="0D535B0F"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TERIPARATIDE</w:t>
            </w:r>
          </w:p>
        </w:tc>
        <w:tc>
          <w:tcPr>
            <w:tcW w:w="5257" w:type="dxa"/>
            <w:tcBorders>
              <w:top w:val="nil"/>
              <w:left w:val="nil"/>
              <w:bottom w:val="single" w:sz="4" w:space="0" w:color="auto"/>
              <w:right w:val="single" w:sz="4" w:space="0" w:color="auto"/>
            </w:tcBorders>
            <w:shd w:val="clear" w:color="auto" w:fill="auto"/>
            <w:vAlign w:val="center"/>
          </w:tcPr>
          <w:p w14:paraId="51D903F2"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 xml:space="preserve">Listed on PBS on a cost-effectiveness basis over alendronate for patients as the sole PBS subsidised treatment of severe </w:t>
            </w:r>
            <w:r w:rsidRPr="003E5B52">
              <w:rPr>
                <w:sz w:val="20"/>
                <w:szCs w:val="20"/>
                <w:lang w:val="en-US"/>
              </w:rPr>
              <w:lastRenderedPageBreak/>
              <w:t>osteoporosis for patients with a very high risk of fracture who have:</w:t>
            </w:r>
          </w:p>
          <w:p w14:paraId="0D794F48"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 xml:space="preserve">a BMD T-score of -3.0 or less; </w:t>
            </w:r>
          </w:p>
          <w:p w14:paraId="01E33402"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 xml:space="preserve">had two or more fractures due to minimal trauma; and </w:t>
            </w:r>
          </w:p>
          <w:p w14:paraId="044EE2B5"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experienced at least one symptomatic new fracture after at least 12 months continuous therapy with an anti-resorptive agent at an adequate dose.</w:t>
            </w:r>
          </w:p>
        </w:tc>
      </w:tr>
      <w:tr w:rsidR="00F44BB1" w:rsidRPr="003E5B52" w14:paraId="6C166B87" w14:textId="77777777" w:rsidTr="0095462E">
        <w:trPr>
          <w:trHeight w:val="1327"/>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1F8BEEE2" w14:textId="030CCF16" w:rsidR="003E5B52" w:rsidRPr="003E5B52" w:rsidRDefault="00F44BB1" w:rsidP="005206B0">
            <w:pPr>
              <w:spacing w:beforeLines="60" w:before="144" w:afterLines="60" w:after="144" w:line="276" w:lineRule="auto"/>
              <w:rPr>
                <w:sz w:val="20"/>
                <w:szCs w:val="20"/>
                <w:lang w:val="en-US"/>
              </w:rPr>
            </w:pPr>
            <w:r>
              <w:rPr>
                <w:sz w:val="20"/>
                <w:szCs w:val="20"/>
                <w:lang w:val="en-US"/>
              </w:rPr>
              <w:lastRenderedPageBreak/>
              <w:t xml:space="preserve">1 April </w:t>
            </w:r>
            <w:r w:rsidR="003E5B52" w:rsidRPr="003E5B52">
              <w:rPr>
                <w:sz w:val="20"/>
                <w:szCs w:val="20"/>
                <w:lang w:val="en-US"/>
              </w:rPr>
              <w:t>2010</w:t>
            </w:r>
          </w:p>
        </w:tc>
        <w:tc>
          <w:tcPr>
            <w:tcW w:w="2410" w:type="dxa"/>
            <w:tcBorders>
              <w:top w:val="nil"/>
              <w:left w:val="nil"/>
              <w:bottom w:val="single" w:sz="4" w:space="0" w:color="auto"/>
              <w:right w:val="single" w:sz="4" w:space="0" w:color="auto"/>
            </w:tcBorders>
            <w:shd w:val="clear" w:color="auto" w:fill="auto"/>
            <w:vAlign w:val="center"/>
          </w:tcPr>
          <w:p w14:paraId="565828D8"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ZOLEDRONIC ACID</w:t>
            </w:r>
          </w:p>
        </w:tc>
        <w:tc>
          <w:tcPr>
            <w:tcW w:w="5257" w:type="dxa"/>
            <w:tcBorders>
              <w:top w:val="nil"/>
              <w:left w:val="nil"/>
              <w:bottom w:val="single" w:sz="4" w:space="0" w:color="auto"/>
              <w:right w:val="single" w:sz="4" w:space="0" w:color="auto"/>
            </w:tcBorders>
            <w:shd w:val="clear" w:color="auto" w:fill="auto"/>
            <w:vAlign w:val="center"/>
          </w:tcPr>
          <w:p w14:paraId="0F23D105" w14:textId="24C918A1"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Extension to include treatment for corticoid-induced osteoporosis in a patient on long-term, high-dose corticosteroid therapy with a BMD (BMD) T-score of -1.5 or less</w:t>
            </w:r>
            <w:r w:rsidR="001047A4">
              <w:rPr>
                <w:sz w:val="20"/>
                <w:szCs w:val="20"/>
                <w:lang w:val="en-US"/>
              </w:rPr>
              <w:t>.</w:t>
            </w:r>
          </w:p>
        </w:tc>
      </w:tr>
      <w:tr w:rsidR="00F44BB1" w:rsidRPr="003E5B52" w14:paraId="78754A46" w14:textId="77777777" w:rsidTr="0095462E">
        <w:trPr>
          <w:trHeight w:val="1589"/>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3281B85" w14:textId="1CB51FBC"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April </w:t>
            </w:r>
            <w:r w:rsidR="003E5B52" w:rsidRPr="003E5B52">
              <w:rPr>
                <w:sz w:val="20"/>
                <w:szCs w:val="20"/>
                <w:lang w:val="en-US"/>
              </w:rPr>
              <w:t>2010</w:t>
            </w:r>
          </w:p>
        </w:tc>
        <w:tc>
          <w:tcPr>
            <w:tcW w:w="2410" w:type="dxa"/>
            <w:tcBorders>
              <w:top w:val="nil"/>
              <w:left w:val="nil"/>
              <w:bottom w:val="single" w:sz="4" w:space="0" w:color="auto"/>
              <w:right w:val="single" w:sz="4" w:space="0" w:color="auto"/>
            </w:tcBorders>
            <w:shd w:val="clear" w:color="auto" w:fill="auto"/>
            <w:vAlign w:val="center"/>
          </w:tcPr>
          <w:p w14:paraId="24B4925D"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ZOLEDRONIC ACID</w:t>
            </w:r>
          </w:p>
        </w:tc>
        <w:tc>
          <w:tcPr>
            <w:tcW w:w="5257" w:type="dxa"/>
            <w:tcBorders>
              <w:top w:val="nil"/>
              <w:left w:val="nil"/>
              <w:bottom w:val="single" w:sz="4" w:space="0" w:color="auto"/>
              <w:right w:val="single" w:sz="4" w:space="0" w:color="auto"/>
            </w:tcBorders>
            <w:shd w:val="clear" w:color="auto" w:fill="auto"/>
            <w:vAlign w:val="center"/>
          </w:tcPr>
          <w:p w14:paraId="3E5FB37B"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Amending the listing to include men with established osteoporosis with fractures other than hip fracture due to minimal trauma, and men aged 70 years or older with a BMD (BMD) T-score of -3.0 or less. Based on cost-minimisation with zoledronic acid.</w:t>
            </w:r>
          </w:p>
        </w:tc>
      </w:tr>
      <w:tr w:rsidR="00F44BB1" w:rsidRPr="003E5B52" w14:paraId="1EDE4145"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6AF6267" w14:textId="6CAD01D9"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June </w:t>
            </w:r>
            <w:r w:rsidR="003E5B52" w:rsidRPr="003E5B52">
              <w:rPr>
                <w:sz w:val="20"/>
                <w:szCs w:val="20"/>
                <w:lang w:val="en-US"/>
              </w:rPr>
              <w:t>2010</w:t>
            </w:r>
          </w:p>
        </w:tc>
        <w:tc>
          <w:tcPr>
            <w:tcW w:w="2410" w:type="dxa"/>
            <w:tcBorders>
              <w:top w:val="nil"/>
              <w:left w:val="nil"/>
              <w:bottom w:val="single" w:sz="4" w:space="0" w:color="auto"/>
              <w:right w:val="single" w:sz="4" w:space="0" w:color="auto"/>
            </w:tcBorders>
            <w:shd w:val="clear" w:color="auto" w:fill="auto"/>
            <w:vAlign w:val="center"/>
          </w:tcPr>
          <w:p w14:paraId="515EF6BD"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 with COLECALCIFEROL and CALCIUM CARBONATE</w:t>
            </w:r>
          </w:p>
        </w:tc>
        <w:tc>
          <w:tcPr>
            <w:tcW w:w="5257" w:type="dxa"/>
            <w:tcBorders>
              <w:top w:val="nil"/>
              <w:left w:val="nil"/>
              <w:bottom w:val="single" w:sz="4" w:space="0" w:color="auto"/>
              <w:right w:val="single" w:sz="4" w:space="0" w:color="auto"/>
            </w:tcBorders>
            <w:shd w:val="clear" w:color="auto" w:fill="auto"/>
            <w:vAlign w:val="center"/>
          </w:tcPr>
          <w:p w14:paraId="432C8B06" w14:textId="51C2A55D"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for osteoporosis in patients 70 years or older with a BMD T-score of -3.0 or less and for established osteoporosis in patients with fracture due to minimal trauma</w:t>
            </w:r>
            <w:r w:rsidR="001047A4">
              <w:rPr>
                <w:sz w:val="20"/>
                <w:szCs w:val="20"/>
                <w:lang w:val="en-US"/>
              </w:rPr>
              <w:t>.</w:t>
            </w:r>
          </w:p>
        </w:tc>
      </w:tr>
      <w:tr w:rsidR="00F44BB1" w:rsidRPr="003E5B52" w14:paraId="611A01D9" w14:textId="77777777" w:rsidTr="0095462E">
        <w:trPr>
          <w:trHeight w:val="76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F7AB09C" w14:textId="77B8F7C0"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November </w:t>
            </w:r>
            <w:r w:rsidR="003E5B52" w:rsidRPr="003E5B52">
              <w:rPr>
                <w:sz w:val="20"/>
                <w:szCs w:val="20"/>
                <w:lang w:val="en-US"/>
              </w:rPr>
              <w:t>2010</w:t>
            </w:r>
          </w:p>
        </w:tc>
        <w:tc>
          <w:tcPr>
            <w:tcW w:w="2410" w:type="dxa"/>
            <w:tcBorders>
              <w:top w:val="nil"/>
              <w:left w:val="nil"/>
              <w:bottom w:val="single" w:sz="4" w:space="0" w:color="auto"/>
              <w:right w:val="single" w:sz="4" w:space="0" w:color="auto"/>
            </w:tcBorders>
            <w:shd w:val="clear" w:color="auto" w:fill="auto"/>
            <w:vAlign w:val="center"/>
          </w:tcPr>
          <w:p w14:paraId="30D62185"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 AND COMBINATIONS</w:t>
            </w:r>
          </w:p>
        </w:tc>
        <w:tc>
          <w:tcPr>
            <w:tcW w:w="5257" w:type="dxa"/>
            <w:tcBorders>
              <w:top w:val="nil"/>
              <w:left w:val="nil"/>
              <w:bottom w:val="single" w:sz="4" w:space="0" w:color="auto"/>
              <w:right w:val="single" w:sz="4" w:space="0" w:color="auto"/>
            </w:tcBorders>
            <w:shd w:val="clear" w:color="auto" w:fill="auto"/>
            <w:vAlign w:val="center"/>
          </w:tcPr>
          <w:p w14:paraId="21D0C4C8" w14:textId="334EC890"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Extension for people with corticosteroid-induced osteoporosis in a patient on long-term, high-dose corticosteroid therapy with a BMD (BMD) T-score of -1.5 or less</w:t>
            </w:r>
            <w:r w:rsidR="001047A4">
              <w:rPr>
                <w:sz w:val="20"/>
                <w:szCs w:val="20"/>
                <w:lang w:val="en-US"/>
              </w:rPr>
              <w:t>.</w:t>
            </w:r>
          </w:p>
        </w:tc>
      </w:tr>
      <w:tr w:rsidR="00F44BB1" w:rsidRPr="003E5B52" w14:paraId="3B9C8C81"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DC5CFD4" w14:textId="4484B931"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December </w:t>
            </w:r>
            <w:r w:rsidR="003E5B52" w:rsidRPr="003E5B52">
              <w:rPr>
                <w:sz w:val="20"/>
                <w:szCs w:val="20"/>
                <w:lang w:val="en-US"/>
              </w:rPr>
              <w:t>2010</w:t>
            </w:r>
          </w:p>
        </w:tc>
        <w:tc>
          <w:tcPr>
            <w:tcW w:w="2410" w:type="dxa"/>
            <w:tcBorders>
              <w:top w:val="nil"/>
              <w:left w:val="nil"/>
              <w:bottom w:val="single" w:sz="4" w:space="0" w:color="auto"/>
              <w:right w:val="single" w:sz="4" w:space="0" w:color="auto"/>
            </w:tcBorders>
            <w:shd w:val="clear" w:color="auto" w:fill="auto"/>
            <w:vAlign w:val="center"/>
          </w:tcPr>
          <w:p w14:paraId="68C2C45E"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DENOSUMAB</w:t>
            </w:r>
          </w:p>
        </w:tc>
        <w:tc>
          <w:tcPr>
            <w:tcW w:w="5257" w:type="dxa"/>
            <w:tcBorders>
              <w:top w:val="nil"/>
              <w:left w:val="nil"/>
              <w:bottom w:val="single" w:sz="4" w:space="0" w:color="auto"/>
              <w:right w:val="single" w:sz="4" w:space="0" w:color="auto"/>
            </w:tcBorders>
            <w:shd w:val="clear" w:color="auto" w:fill="auto"/>
            <w:vAlign w:val="center"/>
          </w:tcPr>
          <w:p w14:paraId="12F42783"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Listed on PBS on cost-minimisation basis with zoledronic acid (with an adjustment to the price to account for the different requirements for administration) for women aged 70 or older with a BMD T-score of -3.0 or less and for established post-menopausal osteoporosis in patients with fracture due to minimal trauma. Listed as Authority Required and changed to STREAMLINED in March 2012.</w:t>
            </w:r>
          </w:p>
        </w:tc>
      </w:tr>
      <w:tr w:rsidR="00F44BB1" w:rsidRPr="003E5B52" w14:paraId="318E3AB4"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7FC70860" w14:textId="0CDF552D"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April </w:t>
            </w:r>
            <w:r w:rsidR="003E5B52" w:rsidRPr="003E5B52">
              <w:rPr>
                <w:sz w:val="20"/>
                <w:szCs w:val="20"/>
                <w:lang w:val="en-US"/>
              </w:rPr>
              <w:t>2011</w:t>
            </w:r>
          </w:p>
        </w:tc>
        <w:tc>
          <w:tcPr>
            <w:tcW w:w="2410" w:type="dxa"/>
            <w:tcBorders>
              <w:top w:val="nil"/>
              <w:left w:val="nil"/>
              <w:bottom w:val="single" w:sz="4" w:space="0" w:color="auto"/>
              <w:right w:val="single" w:sz="4" w:space="0" w:color="auto"/>
            </w:tcBorders>
            <w:shd w:val="clear" w:color="auto" w:fill="auto"/>
            <w:noWrap/>
            <w:vAlign w:val="center"/>
          </w:tcPr>
          <w:p w14:paraId="11995113"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RISEDRONATE AND COMBINATIONS</w:t>
            </w:r>
          </w:p>
        </w:tc>
        <w:tc>
          <w:tcPr>
            <w:tcW w:w="5257" w:type="dxa"/>
            <w:tcBorders>
              <w:top w:val="nil"/>
              <w:left w:val="nil"/>
              <w:bottom w:val="single" w:sz="4" w:space="0" w:color="auto"/>
              <w:right w:val="single" w:sz="4" w:space="0" w:color="auto"/>
            </w:tcBorders>
            <w:shd w:val="clear" w:color="auto" w:fill="auto"/>
            <w:vAlign w:val="center"/>
          </w:tcPr>
          <w:p w14:paraId="41C805AB" w14:textId="707105BD"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Statutory price reduction</w:t>
            </w:r>
            <w:r w:rsidR="001047A4">
              <w:rPr>
                <w:sz w:val="20"/>
                <w:szCs w:val="20"/>
                <w:lang w:val="en-US"/>
              </w:rPr>
              <w:t>.</w:t>
            </w:r>
          </w:p>
        </w:tc>
      </w:tr>
      <w:tr w:rsidR="00F44BB1" w:rsidRPr="003E5B52" w14:paraId="2111EC77" w14:textId="77777777" w:rsidTr="0095462E">
        <w:trPr>
          <w:trHeight w:val="1411"/>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86ECD1B" w14:textId="2021514B"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December </w:t>
            </w:r>
            <w:r w:rsidR="003E5B52" w:rsidRPr="003E5B52">
              <w:rPr>
                <w:sz w:val="20"/>
                <w:szCs w:val="20"/>
                <w:lang w:val="en-US"/>
              </w:rPr>
              <w:t>2011</w:t>
            </w:r>
          </w:p>
        </w:tc>
        <w:tc>
          <w:tcPr>
            <w:tcW w:w="2410" w:type="dxa"/>
            <w:tcBorders>
              <w:top w:val="nil"/>
              <w:left w:val="nil"/>
              <w:bottom w:val="single" w:sz="4" w:space="0" w:color="auto"/>
              <w:right w:val="single" w:sz="4" w:space="0" w:color="auto"/>
            </w:tcBorders>
            <w:shd w:val="clear" w:color="auto" w:fill="auto"/>
            <w:vAlign w:val="center"/>
          </w:tcPr>
          <w:p w14:paraId="0DBF43C0"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 AND COMBINATIONS</w:t>
            </w:r>
          </w:p>
        </w:tc>
        <w:tc>
          <w:tcPr>
            <w:tcW w:w="5257" w:type="dxa"/>
            <w:tcBorders>
              <w:top w:val="nil"/>
              <w:left w:val="nil"/>
              <w:bottom w:val="single" w:sz="4" w:space="0" w:color="auto"/>
              <w:right w:val="single" w:sz="4" w:space="0" w:color="auto"/>
            </w:tcBorders>
            <w:shd w:val="clear" w:color="auto" w:fill="auto"/>
            <w:vAlign w:val="center"/>
          </w:tcPr>
          <w:p w14:paraId="7D96E667" w14:textId="3AF6242A"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Amend the listing of alendronate for the treatment of osteoporosis for patients aged 70 years and above be changed to include patients with a BMD T score of -2.5 or less</w:t>
            </w:r>
            <w:r w:rsidR="001047A4">
              <w:rPr>
                <w:sz w:val="20"/>
                <w:szCs w:val="20"/>
                <w:lang w:val="en-US"/>
              </w:rPr>
              <w:t>.</w:t>
            </w:r>
          </w:p>
        </w:tc>
      </w:tr>
      <w:tr w:rsidR="00F44BB1" w:rsidRPr="003E5B52" w14:paraId="61274F69"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7A94C33" w14:textId="578A8BA2" w:rsidR="003E5B52" w:rsidRPr="003E5B52" w:rsidRDefault="00F44BB1" w:rsidP="005206B0">
            <w:pPr>
              <w:spacing w:beforeLines="60" w:before="144" w:afterLines="60" w:after="144" w:line="276" w:lineRule="auto"/>
              <w:rPr>
                <w:sz w:val="20"/>
                <w:szCs w:val="20"/>
                <w:lang w:val="en-US"/>
              </w:rPr>
            </w:pPr>
            <w:r>
              <w:rPr>
                <w:sz w:val="20"/>
                <w:szCs w:val="20"/>
                <w:lang w:val="en-US"/>
              </w:rPr>
              <w:lastRenderedPageBreak/>
              <w:t xml:space="preserve">1 March </w:t>
            </w:r>
            <w:r w:rsidR="003E5B52" w:rsidRPr="003E5B52">
              <w:rPr>
                <w:sz w:val="20"/>
                <w:szCs w:val="20"/>
                <w:lang w:val="en-US"/>
              </w:rPr>
              <w:t>2012</w:t>
            </w:r>
          </w:p>
        </w:tc>
        <w:tc>
          <w:tcPr>
            <w:tcW w:w="2410" w:type="dxa"/>
            <w:tcBorders>
              <w:top w:val="nil"/>
              <w:left w:val="nil"/>
              <w:bottom w:val="single" w:sz="4" w:space="0" w:color="auto"/>
              <w:right w:val="single" w:sz="4" w:space="0" w:color="auto"/>
            </w:tcBorders>
            <w:shd w:val="clear" w:color="auto" w:fill="auto"/>
            <w:vAlign w:val="center"/>
          </w:tcPr>
          <w:p w14:paraId="44DD187E"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DENOSUMAB</w:t>
            </w:r>
          </w:p>
        </w:tc>
        <w:tc>
          <w:tcPr>
            <w:tcW w:w="5257" w:type="dxa"/>
            <w:tcBorders>
              <w:top w:val="nil"/>
              <w:left w:val="nil"/>
              <w:bottom w:val="single" w:sz="4" w:space="0" w:color="auto"/>
              <w:right w:val="single" w:sz="4" w:space="0" w:color="auto"/>
            </w:tcBorders>
            <w:shd w:val="clear" w:color="auto" w:fill="auto"/>
            <w:vAlign w:val="center"/>
          </w:tcPr>
          <w:p w14:paraId="71017D0D" w14:textId="0FD62685"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Changed to Authority Required (Streamlined)</w:t>
            </w:r>
            <w:r w:rsidR="001047A4">
              <w:rPr>
                <w:sz w:val="20"/>
                <w:szCs w:val="20"/>
                <w:lang w:val="en-US"/>
              </w:rPr>
              <w:t>.</w:t>
            </w:r>
          </w:p>
        </w:tc>
      </w:tr>
      <w:tr w:rsidR="00F44BB1" w:rsidRPr="003E5B52" w14:paraId="20A637A4"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3C1E5A5E" w14:textId="4729BF31"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April </w:t>
            </w:r>
            <w:r w:rsidR="003E5B52" w:rsidRPr="003E5B52">
              <w:rPr>
                <w:sz w:val="20"/>
                <w:szCs w:val="20"/>
                <w:lang w:val="en-US"/>
              </w:rPr>
              <w:t>2012</w:t>
            </w:r>
          </w:p>
        </w:tc>
        <w:tc>
          <w:tcPr>
            <w:tcW w:w="2410" w:type="dxa"/>
            <w:tcBorders>
              <w:top w:val="nil"/>
              <w:left w:val="nil"/>
              <w:bottom w:val="single" w:sz="4" w:space="0" w:color="auto"/>
              <w:right w:val="single" w:sz="4" w:space="0" w:color="auto"/>
            </w:tcBorders>
            <w:shd w:val="clear" w:color="auto" w:fill="auto"/>
            <w:vAlign w:val="center"/>
          </w:tcPr>
          <w:p w14:paraId="737D9F36"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w:t>
            </w:r>
          </w:p>
        </w:tc>
        <w:tc>
          <w:tcPr>
            <w:tcW w:w="5257" w:type="dxa"/>
            <w:tcBorders>
              <w:top w:val="nil"/>
              <w:left w:val="nil"/>
              <w:bottom w:val="single" w:sz="4" w:space="0" w:color="auto"/>
              <w:right w:val="single" w:sz="4" w:space="0" w:color="auto"/>
            </w:tcBorders>
            <w:shd w:val="clear" w:color="auto" w:fill="auto"/>
            <w:vAlign w:val="center"/>
          </w:tcPr>
          <w:p w14:paraId="3551DD5E" w14:textId="259065D4"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Price disclosure reduction of 31.84%</w:t>
            </w:r>
            <w:r w:rsidR="001047A4">
              <w:rPr>
                <w:sz w:val="20"/>
                <w:szCs w:val="20"/>
                <w:lang w:val="en-US"/>
              </w:rPr>
              <w:t>.</w:t>
            </w:r>
          </w:p>
        </w:tc>
      </w:tr>
      <w:tr w:rsidR="00F44BB1" w:rsidRPr="003E5B52" w14:paraId="07C77B9C" w14:textId="77777777" w:rsidTr="0095462E">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3B155E9" w14:textId="0FE83EC6"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1</w:t>
            </w:r>
            <w:r w:rsidR="00F44BB1">
              <w:rPr>
                <w:sz w:val="20"/>
                <w:szCs w:val="20"/>
                <w:lang w:val="en-US"/>
              </w:rPr>
              <w:t xml:space="preserve"> July </w:t>
            </w:r>
            <w:r w:rsidRPr="003E5B52">
              <w:rPr>
                <w:sz w:val="20"/>
                <w:szCs w:val="20"/>
                <w:lang w:val="en-US"/>
              </w:rPr>
              <w:t>2012</w:t>
            </w:r>
          </w:p>
        </w:tc>
        <w:tc>
          <w:tcPr>
            <w:tcW w:w="2410" w:type="dxa"/>
            <w:tcBorders>
              <w:top w:val="nil"/>
              <w:left w:val="nil"/>
              <w:bottom w:val="single" w:sz="4" w:space="0" w:color="auto"/>
              <w:right w:val="single" w:sz="4" w:space="0" w:color="auto"/>
            </w:tcBorders>
            <w:shd w:val="clear" w:color="auto" w:fill="auto"/>
            <w:vAlign w:val="center"/>
          </w:tcPr>
          <w:p w14:paraId="6539A27C"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TERIPARATIDE</w:t>
            </w:r>
          </w:p>
        </w:tc>
        <w:tc>
          <w:tcPr>
            <w:tcW w:w="5257" w:type="dxa"/>
            <w:tcBorders>
              <w:top w:val="nil"/>
              <w:left w:val="nil"/>
              <w:bottom w:val="single" w:sz="4" w:space="0" w:color="auto"/>
              <w:right w:val="single" w:sz="4" w:space="0" w:color="auto"/>
            </w:tcBorders>
            <w:shd w:val="clear" w:color="auto" w:fill="auto"/>
            <w:vAlign w:val="center"/>
          </w:tcPr>
          <w:p w14:paraId="6F1B5CE4" w14:textId="2F9F419F"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Changed from written authority to telephone authority (Authority Required)</w:t>
            </w:r>
            <w:r w:rsidR="001047A4">
              <w:rPr>
                <w:sz w:val="20"/>
                <w:szCs w:val="20"/>
                <w:lang w:val="en-US"/>
              </w:rPr>
              <w:t>.</w:t>
            </w:r>
          </w:p>
        </w:tc>
      </w:tr>
      <w:tr w:rsidR="00F44BB1" w:rsidRPr="003E5B52" w14:paraId="76633B74"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0ADDCEFD" w14:textId="23326E01"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August </w:t>
            </w:r>
            <w:r w:rsidR="003E5B52" w:rsidRPr="003E5B52">
              <w:rPr>
                <w:sz w:val="20"/>
                <w:szCs w:val="20"/>
                <w:lang w:val="en-US"/>
              </w:rPr>
              <w:t>2012</w:t>
            </w:r>
          </w:p>
        </w:tc>
        <w:tc>
          <w:tcPr>
            <w:tcW w:w="2410" w:type="dxa"/>
            <w:tcBorders>
              <w:top w:val="nil"/>
              <w:left w:val="nil"/>
              <w:bottom w:val="single" w:sz="4" w:space="0" w:color="auto"/>
              <w:right w:val="single" w:sz="4" w:space="0" w:color="auto"/>
            </w:tcBorders>
            <w:shd w:val="clear" w:color="auto" w:fill="auto"/>
            <w:vAlign w:val="center"/>
          </w:tcPr>
          <w:p w14:paraId="7A5A860A"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DENOSUMAB</w:t>
            </w:r>
          </w:p>
        </w:tc>
        <w:tc>
          <w:tcPr>
            <w:tcW w:w="5257" w:type="dxa"/>
            <w:tcBorders>
              <w:top w:val="nil"/>
              <w:left w:val="nil"/>
              <w:bottom w:val="single" w:sz="4" w:space="0" w:color="auto"/>
              <w:right w:val="single" w:sz="4" w:space="0" w:color="auto"/>
            </w:tcBorders>
            <w:shd w:val="clear" w:color="auto" w:fill="auto"/>
            <w:vAlign w:val="center"/>
          </w:tcPr>
          <w:p w14:paraId="7DD52E6E" w14:textId="0BA52ECE"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Amend the listing of denosumab for the treatment of osteoporosis for women aged 70 years and above be changed to include patients with a BMD T score of -2.5 or less</w:t>
            </w:r>
            <w:r w:rsidR="001047A4">
              <w:rPr>
                <w:sz w:val="20"/>
                <w:szCs w:val="20"/>
                <w:lang w:val="en-US"/>
              </w:rPr>
              <w:t>.</w:t>
            </w:r>
          </w:p>
        </w:tc>
      </w:tr>
      <w:tr w:rsidR="00F44BB1" w:rsidRPr="003E5B52" w14:paraId="223A34D7"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57ECB6F8" w14:textId="2246F54C"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September </w:t>
            </w:r>
            <w:r w:rsidR="003E5B52" w:rsidRPr="003E5B52">
              <w:rPr>
                <w:sz w:val="20"/>
                <w:szCs w:val="20"/>
                <w:lang w:val="en-US"/>
              </w:rPr>
              <w:t>2012</w:t>
            </w:r>
          </w:p>
        </w:tc>
        <w:tc>
          <w:tcPr>
            <w:tcW w:w="2410" w:type="dxa"/>
            <w:tcBorders>
              <w:top w:val="nil"/>
              <w:left w:val="nil"/>
              <w:bottom w:val="single" w:sz="4" w:space="0" w:color="auto"/>
              <w:right w:val="single" w:sz="4" w:space="0" w:color="auto"/>
            </w:tcBorders>
            <w:shd w:val="clear" w:color="auto" w:fill="auto"/>
            <w:vAlign w:val="center"/>
          </w:tcPr>
          <w:p w14:paraId="2F341C3D"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DISODIUM ETIDRONATE AND COMBINATIONS</w:t>
            </w:r>
          </w:p>
        </w:tc>
        <w:tc>
          <w:tcPr>
            <w:tcW w:w="5257" w:type="dxa"/>
            <w:tcBorders>
              <w:top w:val="nil"/>
              <w:left w:val="nil"/>
              <w:bottom w:val="single" w:sz="4" w:space="0" w:color="auto"/>
              <w:right w:val="single" w:sz="4" w:space="0" w:color="auto"/>
            </w:tcBorders>
            <w:shd w:val="clear" w:color="auto" w:fill="auto"/>
            <w:vAlign w:val="center"/>
          </w:tcPr>
          <w:p w14:paraId="7D2C2952" w14:textId="5B015799"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Delisted at request of Sponsor</w:t>
            </w:r>
            <w:r w:rsidR="001047A4">
              <w:rPr>
                <w:sz w:val="20"/>
                <w:szCs w:val="20"/>
                <w:lang w:val="en-US"/>
              </w:rPr>
              <w:t>.</w:t>
            </w:r>
          </w:p>
        </w:tc>
      </w:tr>
      <w:tr w:rsidR="00F44BB1" w:rsidRPr="003E5B52" w14:paraId="31CACD0D"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2E09CDEF" w14:textId="7B58D0F3"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December </w:t>
            </w:r>
            <w:r w:rsidR="003E5B52" w:rsidRPr="003E5B52">
              <w:rPr>
                <w:sz w:val="20"/>
                <w:szCs w:val="20"/>
                <w:lang w:val="en-US"/>
              </w:rPr>
              <w:t>2012</w:t>
            </w:r>
          </w:p>
        </w:tc>
        <w:tc>
          <w:tcPr>
            <w:tcW w:w="2410" w:type="dxa"/>
            <w:tcBorders>
              <w:top w:val="nil"/>
              <w:left w:val="nil"/>
              <w:bottom w:val="single" w:sz="4" w:space="0" w:color="auto"/>
              <w:right w:val="single" w:sz="4" w:space="0" w:color="auto"/>
            </w:tcBorders>
            <w:shd w:val="clear" w:color="auto" w:fill="auto"/>
            <w:vAlign w:val="center"/>
          </w:tcPr>
          <w:p w14:paraId="492E1BA5"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RISEDRONATE AND COMBINATIONS</w:t>
            </w:r>
          </w:p>
        </w:tc>
        <w:tc>
          <w:tcPr>
            <w:tcW w:w="5257" w:type="dxa"/>
            <w:tcBorders>
              <w:top w:val="nil"/>
              <w:left w:val="nil"/>
              <w:bottom w:val="single" w:sz="4" w:space="0" w:color="auto"/>
              <w:right w:val="single" w:sz="4" w:space="0" w:color="auto"/>
            </w:tcBorders>
            <w:shd w:val="clear" w:color="auto" w:fill="auto"/>
            <w:vAlign w:val="center"/>
          </w:tcPr>
          <w:p w14:paraId="08E77045" w14:textId="5D8A5C5A"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The price was decreased on 1 December 2012, however following a court order on 6 December 2012 the prices were corrected to the 1 November 2012 prices</w:t>
            </w:r>
            <w:r w:rsidR="001047A4">
              <w:rPr>
                <w:sz w:val="20"/>
                <w:szCs w:val="20"/>
                <w:lang w:val="en-US"/>
              </w:rPr>
              <w:t>.</w:t>
            </w:r>
          </w:p>
        </w:tc>
      </w:tr>
      <w:tr w:rsidR="00F44BB1" w:rsidRPr="003E5B52" w14:paraId="5BF45352" w14:textId="77777777" w:rsidTr="0095462E">
        <w:trPr>
          <w:trHeight w:val="510"/>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4C293839" w14:textId="2126E4CC"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April </w:t>
            </w:r>
            <w:r w:rsidR="003E5B52" w:rsidRPr="003E5B52">
              <w:rPr>
                <w:sz w:val="20"/>
                <w:szCs w:val="20"/>
                <w:lang w:val="en-US"/>
              </w:rPr>
              <w:t>2013</w:t>
            </w:r>
          </w:p>
        </w:tc>
        <w:tc>
          <w:tcPr>
            <w:tcW w:w="2410" w:type="dxa"/>
            <w:tcBorders>
              <w:top w:val="nil"/>
              <w:left w:val="nil"/>
              <w:bottom w:val="single" w:sz="4" w:space="0" w:color="auto"/>
              <w:right w:val="single" w:sz="4" w:space="0" w:color="auto"/>
            </w:tcBorders>
            <w:shd w:val="clear" w:color="auto" w:fill="auto"/>
            <w:vAlign w:val="center"/>
          </w:tcPr>
          <w:p w14:paraId="645ECE01"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w:t>
            </w:r>
          </w:p>
        </w:tc>
        <w:tc>
          <w:tcPr>
            <w:tcW w:w="5257" w:type="dxa"/>
            <w:tcBorders>
              <w:top w:val="nil"/>
              <w:left w:val="nil"/>
              <w:bottom w:val="single" w:sz="4" w:space="0" w:color="auto"/>
              <w:right w:val="single" w:sz="4" w:space="0" w:color="auto"/>
            </w:tcBorders>
            <w:shd w:val="clear" w:color="auto" w:fill="auto"/>
            <w:vAlign w:val="center"/>
          </w:tcPr>
          <w:p w14:paraId="2411DA66" w14:textId="2005C562"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Price disclosure reduction of 31.84%</w:t>
            </w:r>
            <w:r w:rsidR="001047A4">
              <w:rPr>
                <w:sz w:val="20"/>
                <w:szCs w:val="20"/>
                <w:lang w:val="en-US"/>
              </w:rPr>
              <w:t>.</w:t>
            </w:r>
          </w:p>
        </w:tc>
      </w:tr>
      <w:tr w:rsidR="00F44BB1" w:rsidRPr="003E5B52" w14:paraId="7CE415E7"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D4994" w14:textId="45158097"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August </w:t>
            </w:r>
            <w:r w:rsidR="003E5B52" w:rsidRPr="003E5B52">
              <w:rPr>
                <w:sz w:val="20"/>
                <w:szCs w:val="20"/>
                <w:lang w:val="en-US"/>
              </w:rPr>
              <w:t>2013</w:t>
            </w:r>
          </w:p>
        </w:tc>
        <w:tc>
          <w:tcPr>
            <w:tcW w:w="2410" w:type="dxa"/>
            <w:tcBorders>
              <w:top w:val="single" w:sz="4" w:space="0" w:color="auto"/>
              <w:left w:val="nil"/>
              <w:bottom w:val="single" w:sz="4" w:space="0" w:color="auto"/>
              <w:right w:val="single" w:sz="4" w:space="0" w:color="auto"/>
            </w:tcBorders>
            <w:shd w:val="clear" w:color="auto" w:fill="auto"/>
            <w:vAlign w:val="center"/>
          </w:tcPr>
          <w:p w14:paraId="2F6C95F9"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RISEDRONATE AND COMBINATIONS</w:t>
            </w:r>
          </w:p>
        </w:tc>
        <w:tc>
          <w:tcPr>
            <w:tcW w:w="5257" w:type="dxa"/>
            <w:tcBorders>
              <w:top w:val="single" w:sz="4" w:space="0" w:color="auto"/>
              <w:left w:val="nil"/>
              <w:bottom w:val="single" w:sz="4" w:space="0" w:color="auto"/>
              <w:right w:val="single" w:sz="4" w:space="0" w:color="auto"/>
            </w:tcBorders>
            <w:shd w:val="clear" w:color="auto" w:fill="auto"/>
            <w:vAlign w:val="center"/>
          </w:tcPr>
          <w:p w14:paraId="73C237D0"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 xml:space="preserve">Amend the listing of risedronate for the treatment of osteoporosis for patients aged 70 years and above be changed to include patients with a BMD T score of </w:t>
            </w:r>
            <w:r w:rsidRPr="003E5B52">
              <w:rPr>
                <w:sz w:val="20"/>
                <w:szCs w:val="20"/>
                <w:lang w:val="en-US"/>
              </w:rPr>
              <w:noBreakHyphen/>
              <w:t>2.5 or less</w:t>
            </w:r>
          </w:p>
        </w:tc>
      </w:tr>
      <w:tr w:rsidR="00F44BB1" w:rsidRPr="003E5B52" w14:paraId="1E3290FD"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93C1F" w14:textId="68DE37AD"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December </w:t>
            </w:r>
            <w:r w:rsidR="003E5B52" w:rsidRPr="003E5B52">
              <w:rPr>
                <w:sz w:val="20"/>
                <w:szCs w:val="20"/>
                <w:lang w:val="en-US"/>
              </w:rPr>
              <w:t>2013</w:t>
            </w:r>
          </w:p>
        </w:tc>
        <w:tc>
          <w:tcPr>
            <w:tcW w:w="2410" w:type="dxa"/>
            <w:tcBorders>
              <w:top w:val="single" w:sz="4" w:space="0" w:color="auto"/>
              <w:left w:val="nil"/>
              <w:bottom w:val="single" w:sz="4" w:space="0" w:color="auto"/>
              <w:right w:val="single" w:sz="4" w:space="0" w:color="auto"/>
            </w:tcBorders>
            <w:shd w:val="clear" w:color="auto" w:fill="auto"/>
            <w:vAlign w:val="center"/>
          </w:tcPr>
          <w:p w14:paraId="29F45F2F"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DENOSUMAB</w:t>
            </w:r>
          </w:p>
        </w:tc>
        <w:tc>
          <w:tcPr>
            <w:tcW w:w="5257" w:type="dxa"/>
            <w:tcBorders>
              <w:top w:val="single" w:sz="4" w:space="0" w:color="auto"/>
              <w:left w:val="nil"/>
              <w:bottom w:val="single" w:sz="4" w:space="0" w:color="auto"/>
              <w:right w:val="single" w:sz="4" w:space="0" w:color="auto"/>
            </w:tcBorders>
            <w:shd w:val="clear" w:color="auto" w:fill="auto"/>
            <w:vAlign w:val="center"/>
          </w:tcPr>
          <w:p w14:paraId="1EF45376"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Restriction expanded to include males</w:t>
            </w:r>
          </w:p>
        </w:tc>
      </w:tr>
      <w:tr w:rsidR="00F44BB1" w:rsidRPr="003E5B52" w14:paraId="399582C2"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0F974" w14:textId="164F6F6E" w:rsidR="003E5B52" w:rsidRPr="003E5B52" w:rsidRDefault="00F44BB1" w:rsidP="005206B0">
            <w:pPr>
              <w:spacing w:beforeLines="60" w:before="144" w:afterLines="60" w:after="144" w:line="276" w:lineRule="auto"/>
              <w:rPr>
                <w:sz w:val="20"/>
                <w:szCs w:val="20"/>
                <w:lang w:val="en-US"/>
              </w:rPr>
            </w:pPr>
            <w:r>
              <w:rPr>
                <w:sz w:val="20"/>
                <w:szCs w:val="20"/>
                <w:lang w:val="en-US"/>
              </w:rPr>
              <w:t xml:space="preserve">1 October </w:t>
            </w:r>
            <w:r w:rsidR="003E5B52" w:rsidRPr="003E5B52">
              <w:rPr>
                <w:sz w:val="20"/>
                <w:szCs w:val="20"/>
                <w:lang w:val="en-US"/>
              </w:rPr>
              <w:t>2014</w:t>
            </w:r>
          </w:p>
        </w:tc>
        <w:tc>
          <w:tcPr>
            <w:tcW w:w="2410" w:type="dxa"/>
            <w:tcBorders>
              <w:top w:val="single" w:sz="4" w:space="0" w:color="auto"/>
              <w:left w:val="nil"/>
              <w:bottom w:val="single" w:sz="4" w:space="0" w:color="auto"/>
              <w:right w:val="single" w:sz="4" w:space="0" w:color="auto"/>
            </w:tcBorders>
            <w:shd w:val="clear" w:color="auto" w:fill="auto"/>
            <w:vAlign w:val="center"/>
          </w:tcPr>
          <w:p w14:paraId="7B9E8BD0"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STRONTIUM</w:t>
            </w:r>
          </w:p>
        </w:tc>
        <w:tc>
          <w:tcPr>
            <w:tcW w:w="5257" w:type="dxa"/>
            <w:tcBorders>
              <w:top w:val="single" w:sz="4" w:space="0" w:color="auto"/>
              <w:left w:val="nil"/>
              <w:bottom w:val="single" w:sz="4" w:space="0" w:color="auto"/>
              <w:right w:val="single" w:sz="4" w:space="0" w:color="auto"/>
            </w:tcBorders>
            <w:shd w:val="clear" w:color="auto" w:fill="auto"/>
            <w:vAlign w:val="center"/>
          </w:tcPr>
          <w:p w14:paraId="0C669F01"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 xml:space="preserve">Restriction narrowed. </w:t>
            </w:r>
            <w:r w:rsidRPr="003E5B52">
              <w:rPr>
                <w:sz w:val="20"/>
                <w:szCs w:val="20"/>
                <w:lang w:val="en-US"/>
              </w:rPr>
              <w:br/>
              <w:t>• The approval type was change from Authority required (STREAMLINED) to Authority Required.</w:t>
            </w:r>
          </w:p>
          <w:p w14:paraId="57EEA754"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 The indication was changed from “Established osteoporosis” to “Severe established osteoporosis”</w:t>
            </w:r>
          </w:p>
          <w:p w14:paraId="799623AB"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 The following clinical criteria were added;</w:t>
            </w:r>
          </w:p>
          <w:p w14:paraId="0FE35561"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 Patient must be at high risk of fracture; and</w:t>
            </w:r>
          </w:p>
          <w:p w14:paraId="1F4F2044"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 Patient must be unable to use other medications for the treatment of osteoporosis due to contraindications or intolerance.</w:t>
            </w:r>
          </w:p>
        </w:tc>
      </w:tr>
      <w:tr w:rsidR="00F44BB1" w:rsidRPr="003E5B52" w14:paraId="3A63BE3E"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60CD7" w14:textId="55AC2D17" w:rsidR="003E5B52" w:rsidRPr="003E5B52" w:rsidRDefault="006D3638" w:rsidP="005206B0">
            <w:pPr>
              <w:spacing w:beforeLines="60" w:before="144" w:afterLines="60" w:after="144" w:line="276" w:lineRule="auto"/>
              <w:rPr>
                <w:sz w:val="20"/>
                <w:szCs w:val="20"/>
                <w:lang w:val="en-US"/>
              </w:rPr>
            </w:pPr>
            <w:r>
              <w:rPr>
                <w:sz w:val="20"/>
                <w:szCs w:val="20"/>
                <w:lang w:val="en-US"/>
              </w:rPr>
              <w:t xml:space="preserve">1 May </w:t>
            </w:r>
            <w:r w:rsidR="003E5B52" w:rsidRPr="003E5B52">
              <w:rPr>
                <w:sz w:val="20"/>
                <w:szCs w:val="20"/>
                <w:lang w:val="en-US"/>
              </w:rPr>
              <w:t>2015</w:t>
            </w:r>
          </w:p>
        </w:tc>
        <w:tc>
          <w:tcPr>
            <w:tcW w:w="2410" w:type="dxa"/>
            <w:tcBorders>
              <w:top w:val="single" w:sz="4" w:space="0" w:color="auto"/>
              <w:left w:val="nil"/>
              <w:bottom w:val="single" w:sz="4" w:space="0" w:color="auto"/>
              <w:right w:val="single" w:sz="4" w:space="0" w:color="auto"/>
            </w:tcBorders>
            <w:shd w:val="clear" w:color="auto" w:fill="auto"/>
            <w:vAlign w:val="center"/>
          </w:tcPr>
          <w:p w14:paraId="43E76F12"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ALENDRONATE and RISEDRONATE</w:t>
            </w:r>
          </w:p>
        </w:tc>
        <w:tc>
          <w:tcPr>
            <w:tcW w:w="5257" w:type="dxa"/>
            <w:tcBorders>
              <w:top w:val="single" w:sz="4" w:space="0" w:color="auto"/>
              <w:left w:val="nil"/>
              <w:bottom w:val="single" w:sz="4" w:space="0" w:color="auto"/>
              <w:right w:val="single" w:sz="4" w:space="0" w:color="auto"/>
            </w:tcBorders>
            <w:shd w:val="clear" w:color="auto" w:fill="auto"/>
            <w:vAlign w:val="center"/>
          </w:tcPr>
          <w:p w14:paraId="209CCCA6" w14:textId="70DF39D2"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Changed from Authority Required (STREAMLINED) to Restricted Benefit. Combination items including these drugs remained Authority Required (</w:t>
            </w:r>
            <w:r w:rsidR="00D87CB2" w:rsidRPr="003E5B52">
              <w:rPr>
                <w:sz w:val="20"/>
                <w:szCs w:val="20"/>
                <w:lang w:val="en-US"/>
              </w:rPr>
              <w:t>ST</w:t>
            </w:r>
            <w:r w:rsidR="00D87CB2">
              <w:rPr>
                <w:sz w:val="20"/>
                <w:szCs w:val="20"/>
                <w:lang w:val="en-US"/>
              </w:rPr>
              <w:t>R</w:t>
            </w:r>
            <w:r w:rsidR="00D87CB2" w:rsidRPr="003E5B52">
              <w:rPr>
                <w:sz w:val="20"/>
                <w:szCs w:val="20"/>
                <w:lang w:val="en-US"/>
              </w:rPr>
              <w:t>EAMLINED</w:t>
            </w:r>
            <w:r w:rsidRPr="003E5B52">
              <w:rPr>
                <w:sz w:val="20"/>
                <w:szCs w:val="20"/>
                <w:lang w:val="en-US"/>
              </w:rPr>
              <w:t>)</w:t>
            </w:r>
            <w:r w:rsidR="00A44FA9">
              <w:rPr>
                <w:sz w:val="20"/>
                <w:szCs w:val="20"/>
                <w:lang w:val="en-US"/>
              </w:rPr>
              <w:t>.</w:t>
            </w:r>
          </w:p>
        </w:tc>
      </w:tr>
      <w:tr w:rsidR="00F44BB1" w:rsidRPr="003E5B52" w14:paraId="03B2A746"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6245F" w14:textId="00C7B720" w:rsidR="003E5B52" w:rsidRPr="003E5B52" w:rsidRDefault="00F44BB1" w:rsidP="005206B0">
            <w:pPr>
              <w:spacing w:beforeLines="60" w:before="144" w:afterLines="60" w:after="144" w:line="276" w:lineRule="auto"/>
              <w:rPr>
                <w:sz w:val="20"/>
                <w:szCs w:val="20"/>
                <w:lang w:val="en-US"/>
              </w:rPr>
            </w:pPr>
            <w:r>
              <w:rPr>
                <w:sz w:val="20"/>
                <w:szCs w:val="20"/>
                <w:lang w:val="en-US"/>
              </w:rPr>
              <w:lastRenderedPageBreak/>
              <w:t xml:space="preserve">1 August </w:t>
            </w:r>
            <w:r w:rsidR="003E5B52" w:rsidRPr="003E5B52">
              <w:rPr>
                <w:sz w:val="20"/>
                <w:szCs w:val="20"/>
                <w:lang w:val="en-US"/>
              </w:rPr>
              <w:t>2016</w:t>
            </w:r>
          </w:p>
        </w:tc>
        <w:tc>
          <w:tcPr>
            <w:tcW w:w="2410" w:type="dxa"/>
            <w:tcBorders>
              <w:top w:val="single" w:sz="4" w:space="0" w:color="auto"/>
              <w:left w:val="nil"/>
              <w:bottom w:val="single" w:sz="4" w:space="0" w:color="auto"/>
              <w:right w:val="single" w:sz="4" w:space="0" w:color="auto"/>
            </w:tcBorders>
            <w:shd w:val="clear" w:color="auto" w:fill="auto"/>
            <w:vAlign w:val="center"/>
          </w:tcPr>
          <w:p w14:paraId="782E0DCD" w14:textId="77777777"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STRONTIUM RANELATE</w:t>
            </w:r>
          </w:p>
        </w:tc>
        <w:tc>
          <w:tcPr>
            <w:tcW w:w="5257" w:type="dxa"/>
            <w:tcBorders>
              <w:top w:val="single" w:sz="4" w:space="0" w:color="auto"/>
              <w:left w:val="nil"/>
              <w:bottom w:val="single" w:sz="4" w:space="0" w:color="auto"/>
              <w:right w:val="single" w:sz="4" w:space="0" w:color="auto"/>
            </w:tcBorders>
            <w:shd w:val="clear" w:color="auto" w:fill="auto"/>
            <w:vAlign w:val="center"/>
          </w:tcPr>
          <w:p w14:paraId="19D461A5" w14:textId="086FB703" w:rsidR="003E5B52" w:rsidRPr="003E5B52" w:rsidRDefault="003E5B52" w:rsidP="005206B0">
            <w:pPr>
              <w:spacing w:beforeLines="60" w:before="144" w:afterLines="60" w:after="144" w:line="276" w:lineRule="auto"/>
              <w:rPr>
                <w:sz w:val="20"/>
                <w:szCs w:val="20"/>
                <w:lang w:val="en-US"/>
              </w:rPr>
            </w:pPr>
            <w:r w:rsidRPr="003E5B52">
              <w:rPr>
                <w:sz w:val="20"/>
                <w:szCs w:val="20"/>
                <w:lang w:val="en-US"/>
              </w:rPr>
              <w:t>Delisted</w:t>
            </w:r>
            <w:r w:rsidR="00C0010E">
              <w:rPr>
                <w:sz w:val="20"/>
                <w:szCs w:val="20"/>
                <w:lang w:val="en-US"/>
              </w:rPr>
              <w:t xml:space="preserve">. </w:t>
            </w:r>
          </w:p>
        </w:tc>
      </w:tr>
      <w:tr w:rsidR="00C0010E" w:rsidRPr="003E5B52" w14:paraId="3A92BB88"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00873" w14:textId="425D1ACE" w:rsidR="00C0010E" w:rsidRDefault="00C0010E" w:rsidP="005206B0">
            <w:pPr>
              <w:spacing w:beforeLines="60" w:before="144" w:afterLines="60" w:after="144" w:line="276" w:lineRule="auto"/>
              <w:rPr>
                <w:sz w:val="20"/>
                <w:szCs w:val="20"/>
                <w:lang w:val="en-US"/>
              </w:rPr>
            </w:pPr>
            <w:r>
              <w:rPr>
                <w:sz w:val="20"/>
                <w:szCs w:val="20"/>
                <w:lang w:val="en-US"/>
              </w:rPr>
              <w:t xml:space="preserve">1 May 2018 </w:t>
            </w:r>
          </w:p>
        </w:tc>
        <w:tc>
          <w:tcPr>
            <w:tcW w:w="2410" w:type="dxa"/>
            <w:tcBorders>
              <w:top w:val="single" w:sz="4" w:space="0" w:color="auto"/>
              <w:left w:val="nil"/>
              <w:bottom w:val="single" w:sz="4" w:space="0" w:color="auto"/>
              <w:right w:val="single" w:sz="4" w:space="0" w:color="auto"/>
            </w:tcBorders>
            <w:shd w:val="clear" w:color="auto" w:fill="auto"/>
            <w:vAlign w:val="center"/>
          </w:tcPr>
          <w:p w14:paraId="2320F18E" w14:textId="133D9378" w:rsidR="00C0010E" w:rsidRPr="00C0010E" w:rsidRDefault="00C0010E" w:rsidP="005206B0">
            <w:pPr>
              <w:spacing w:beforeLines="60" w:before="144" w:afterLines="60" w:after="144" w:line="276" w:lineRule="auto"/>
              <w:rPr>
                <w:sz w:val="20"/>
                <w:szCs w:val="20"/>
                <w:lang w:val="en-US"/>
              </w:rPr>
            </w:pPr>
            <w:r w:rsidRPr="00C0010E">
              <w:rPr>
                <w:rFonts w:cstheme="minorHAnsi"/>
                <w:sz w:val="20"/>
                <w:szCs w:val="20"/>
              </w:rPr>
              <w:t>RISEDRONATE AND CALCIUM CARBONATE WITH COLECALCIFEROL</w:t>
            </w:r>
          </w:p>
        </w:tc>
        <w:tc>
          <w:tcPr>
            <w:tcW w:w="5257" w:type="dxa"/>
            <w:tcBorders>
              <w:top w:val="single" w:sz="4" w:space="0" w:color="auto"/>
              <w:left w:val="nil"/>
              <w:bottom w:val="single" w:sz="4" w:space="0" w:color="auto"/>
              <w:right w:val="single" w:sz="4" w:space="0" w:color="auto"/>
            </w:tcBorders>
            <w:shd w:val="clear" w:color="auto" w:fill="auto"/>
            <w:vAlign w:val="center"/>
          </w:tcPr>
          <w:p w14:paraId="41DF9CE4" w14:textId="6CF0BEE3" w:rsidR="00C0010E" w:rsidRPr="003E5B52" w:rsidRDefault="00C0010E" w:rsidP="005206B0">
            <w:pPr>
              <w:spacing w:beforeLines="60" w:before="144" w:afterLines="60" w:after="144" w:line="276" w:lineRule="auto"/>
              <w:rPr>
                <w:sz w:val="20"/>
                <w:szCs w:val="20"/>
                <w:lang w:val="en-US"/>
              </w:rPr>
            </w:pPr>
            <w:r>
              <w:rPr>
                <w:sz w:val="20"/>
                <w:szCs w:val="20"/>
                <w:lang w:val="en-US"/>
              </w:rPr>
              <w:t xml:space="preserve">Delisted. </w:t>
            </w:r>
          </w:p>
        </w:tc>
      </w:tr>
      <w:tr w:rsidR="00F44BB1" w:rsidRPr="003E5B52" w14:paraId="4385EBFF"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C51B" w14:textId="44F5879D" w:rsidR="003807D6" w:rsidRPr="003E5B52" w:rsidRDefault="00F44BB1" w:rsidP="005206B0">
            <w:pPr>
              <w:spacing w:beforeLines="60" w:before="144" w:afterLines="60" w:after="144" w:line="276" w:lineRule="auto"/>
              <w:rPr>
                <w:sz w:val="20"/>
                <w:szCs w:val="20"/>
                <w:lang w:val="en-US"/>
              </w:rPr>
            </w:pPr>
            <w:r>
              <w:rPr>
                <w:sz w:val="20"/>
                <w:szCs w:val="20"/>
                <w:lang w:val="en-US"/>
              </w:rPr>
              <w:t xml:space="preserve">1 April </w:t>
            </w:r>
            <w:r w:rsidR="009848CF">
              <w:rPr>
                <w:sz w:val="20"/>
                <w:szCs w:val="20"/>
                <w:lang w:val="en-US"/>
              </w:rPr>
              <w:t>2021</w:t>
            </w:r>
          </w:p>
        </w:tc>
        <w:tc>
          <w:tcPr>
            <w:tcW w:w="2410" w:type="dxa"/>
            <w:tcBorders>
              <w:top w:val="single" w:sz="4" w:space="0" w:color="auto"/>
              <w:left w:val="nil"/>
              <w:bottom w:val="single" w:sz="4" w:space="0" w:color="auto"/>
              <w:right w:val="single" w:sz="4" w:space="0" w:color="auto"/>
            </w:tcBorders>
            <w:shd w:val="clear" w:color="auto" w:fill="auto"/>
            <w:vAlign w:val="center"/>
          </w:tcPr>
          <w:p w14:paraId="3F9D644A" w14:textId="1BA36425" w:rsidR="003807D6" w:rsidRPr="003E5B52" w:rsidRDefault="009848CF" w:rsidP="005206B0">
            <w:pPr>
              <w:spacing w:beforeLines="60" w:before="144" w:afterLines="60" w:after="144" w:line="276" w:lineRule="auto"/>
              <w:rPr>
                <w:sz w:val="20"/>
                <w:szCs w:val="20"/>
                <w:lang w:val="en-US"/>
              </w:rPr>
            </w:pPr>
            <w:r>
              <w:rPr>
                <w:sz w:val="20"/>
                <w:szCs w:val="20"/>
                <w:lang w:val="en-US"/>
              </w:rPr>
              <w:t xml:space="preserve">ROMOSOZUMAB </w:t>
            </w:r>
          </w:p>
        </w:tc>
        <w:tc>
          <w:tcPr>
            <w:tcW w:w="5257" w:type="dxa"/>
            <w:tcBorders>
              <w:top w:val="single" w:sz="4" w:space="0" w:color="auto"/>
              <w:left w:val="nil"/>
              <w:bottom w:val="single" w:sz="4" w:space="0" w:color="auto"/>
              <w:right w:val="single" w:sz="4" w:space="0" w:color="auto"/>
            </w:tcBorders>
            <w:shd w:val="clear" w:color="auto" w:fill="auto"/>
            <w:vAlign w:val="center"/>
          </w:tcPr>
          <w:p w14:paraId="141D4FAA" w14:textId="27F24730" w:rsidR="003807D6" w:rsidRPr="003E5B52" w:rsidRDefault="009848CF" w:rsidP="005206B0">
            <w:pPr>
              <w:spacing w:beforeLines="60" w:before="144" w:afterLines="60" w:after="144" w:line="276" w:lineRule="auto"/>
              <w:rPr>
                <w:sz w:val="20"/>
                <w:szCs w:val="20"/>
                <w:lang w:val="en-US"/>
              </w:rPr>
            </w:pPr>
            <w:r>
              <w:rPr>
                <w:sz w:val="20"/>
                <w:szCs w:val="20"/>
                <w:lang w:val="en-US"/>
              </w:rPr>
              <w:t xml:space="preserve">Listed for the treatment for severe established osteoporosis. </w:t>
            </w:r>
          </w:p>
        </w:tc>
      </w:tr>
      <w:tr w:rsidR="00F44BB1" w:rsidRPr="003E5B52" w14:paraId="02746163"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5B7D0" w14:textId="2D950FC7" w:rsidR="00B33D40" w:rsidRDefault="00F44BB1" w:rsidP="005206B0">
            <w:pPr>
              <w:spacing w:beforeLines="60" w:before="144" w:afterLines="60" w:after="144" w:line="276" w:lineRule="auto"/>
              <w:rPr>
                <w:sz w:val="20"/>
                <w:szCs w:val="20"/>
                <w:lang w:val="en-US"/>
              </w:rPr>
            </w:pPr>
            <w:r>
              <w:rPr>
                <w:sz w:val="20"/>
                <w:szCs w:val="20"/>
                <w:lang w:val="en-US"/>
              </w:rPr>
              <w:t xml:space="preserve">1 January </w:t>
            </w:r>
            <w:r w:rsidR="00B33D40">
              <w:rPr>
                <w:sz w:val="20"/>
                <w:szCs w:val="20"/>
                <w:lang w:val="en-US"/>
              </w:rPr>
              <w:t>2022</w:t>
            </w:r>
          </w:p>
        </w:tc>
        <w:tc>
          <w:tcPr>
            <w:tcW w:w="2410" w:type="dxa"/>
            <w:tcBorders>
              <w:top w:val="single" w:sz="4" w:space="0" w:color="auto"/>
              <w:left w:val="nil"/>
              <w:bottom w:val="single" w:sz="4" w:space="0" w:color="auto"/>
              <w:right w:val="single" w:sz="4" w:space="0" w:color="auto"/>
            </w:tcBorders>
            <w:shd w:val="clear" w:color="auto" w:fill="auto"/>
            <w:vAlign w:val="center"/>
          </w:tcPr>
          <w:p w14:paraId="3F497A8F" w14:textId="348B34EE" w:rsidR="00B33D40" w:rsidRDefault="00B33D40" w:rsidP="005206B0">
            <w:pPr>
              <w:spacing w:beforeLines="60" w:before="144" w:afterLines="60" w:after="144" w:line="276" w:lineRule="auto"/>
              <w:rPr>
                <w:sz w:val="20"/>
                <w:szCs w:val="20"/>
                <w:lang w:val="en-US"/>
              </w:rPr>
            </w:pPr>
            <w:r>
              <w:rPr>
                <w:sz w:val="20"/>
                <w:szCs w:val="20"/>
                <w:lang w:val="en-US"/>
              </w:rPr>
              <w:t xml:space="preserve">ROMOSOZUMAB and TERIPARATIDE </w:t>
            </w:r>
          </w:p>
        </w:tc>
        <w:tc>
          <w:tcPr>
            <w:tcW w:w="5257" w:type="dxa"/>
            <w:tcBorders>
              <w:top w:val="single" w:sz="4" w:space="0" w:color="auto"/>
              <w:left w:val="nil"/>
              <w:bottom w:val="single" w:sz="4" w:space="0" w:color="auto"/>
              <w:right w:val="single" w:sz="4" w:space="0" w:color="auto"/>
            </w:tcBorders>
            <w:shd w:val="clear" w:color="auto" w:fill="auto"/>
            <w:vAlign w:val="center"/>
          </w:tcPr>
          <w:p w14:paraId="00EF96AF" w14:textId="06F93335" w:rsidR="00B33D40" w:rsidRPr="00F70840" w:rsidRDefault="00F70840" w:rsidP="005206B0">
            <w:pPr>
              <w:spacing w:beforeLines="60" w:before="144" w:afterLines="60" w:after="144" w:line="276" w:lineRule="auto"/>
              <w:rPr>
                <w:sz w:val="20"/>
                <w:szCs w:val="20"/>
                <w:lang w:val="en-US"/>
              </w:rPr>
            </w:pPr>
            <w:r w:rsidRPr="00F70840">
              <w:rPr>
                <w:sz w:val="20"/>
                <w:szCs w:val="20"/>
              </w:rPr>
              <w:t>‘PBS-subsidised treatment’ to ensure that patients who previously self-funded their romosozumab or teriparatide treatment were not excluded from initiating PBS treatment</w:t>
            </w:r>
          </w:p>
        </w:tc>
      </w:tr>
      <w:tr w:rsidR="00C0010E" w:rsidRPr="003E5B52" w14:paraId="7CB8B681"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E3359" w14:textId="6003A3B3" w:rsidR="00C0010E" w:rsidRDefault="00C0010E" w:rsidP="005206B0">
            <w:pPr>
              <w:spacing w:beforeLines="60" w:before="144" w:afterLines="60" w:after="144" w:line="276" w:lineRule="auto"/>
              <w:rPr>
                <w:sz w:val="20"/>
                <w:szCs w:val="20"/>
                <w:lang w:val="en-US"/>
              </w:rPr>
            </w:pPr>
            <w:r>
              <w:rPr>
                <w:sz w:val="20"/>
                <w:szCs w:val="20"/>
                <w:lang w:val="en-US"/>
              </w:rPr>
              <w:t>1 October 2022</w:t>
            </w:r>
          </w:p>
        </w:tc>
        <w:tc>
          <w:tcPr>
            <w:tcW w:w="2410" w:type="dxa"/>
            <w:tcBorders>
              <w:top w:val="single" w:sz="4" w:space="0" w:color="auto"/>
              <w:left w:val="nil"/>
              <w:bottom w:val="single" w:sz="4" w:space="0" w:color="auto"/>
              <w:right w:val="single" w:sz="4" w:space="0" w:color="auto"/>
            </w:tcBorders>
            <w:shd w:val="clear" w:color="auto" w:fill="auto"/>
            <w:vAlign w:val="center"/>
          </w:tcPr>
          <w:p w14:paraId="34F48725" w14:textId="5DFFD757" w:rsidR="00C0010E" w:rsidRPr="00C0010E" w:rsidRDefault="00C0010E" w:rsidP="005206B0">
            <w:pPr>
              <w:spacing w:beforeLines="60" w:before="144" w:afterLines="60" w:after="144" w:line="276" w:lineRule="auto"/>
              <w:rPr>
                <w:sz w:val="20"/>
                <w:szCs w:val="20"/>
                <w:lang w:val="en-US"/>
              </w:rPr>
            </w:pPr>
            <w:r w:rsidRPr="00C0010E">
              <w:rPr>
                <w:rFonts w:cstheme="minorHAnsi"/>
                <w:sz w:val="20"/>
                <w:szCs w:val="20"/>
              </w:rPr>
              <w:t>ALENDRONATE WITH COLECALCIFEROL AND CALCIUM CARBONATE</w:t>
            </w:r>
          </w:p>
        </w:tc>
        <w:tc>
          <w:tcPr>
            <w:tcW w:w="5257" w:type="dxa"/>
            <w:tcBorders>
              <w:top w:val="single" w:sz="4" w:space="0" w:color="auto"/>
              <w:left w:val="nil"/>
              <w:bottom w:val="single" w:sz="4" w:space="0" w:color="auto"/>
              <w:right w:val="single" w:sz="4" w:space="0" w:color="auto"/>
            </w:tcBorders>
            <w:shd w:val="clear" w:color="auto" w:fill="auto"/>
            <w:vAlign w:val="center"/>
          </w:tcPr>
          <w:p w14:paraId="23F1578E" w14:textId="6602B3DE" w:rsidR="00C0010E" w:rsidRDefault="00C0010E" w:rsidP="005206B0">
            <w:pPr>
              <w:spacing w:beforeLines="60" w:before="144" w:afterLines="60" w:after="144" w:line="276" w:lineRule="auto"/>
              <w:rPr>
                <w:sz w:val="20"/>
                <w:szCs w:val="20"/>
                <w:lang w:val="en-US"/>
              </w:rPr>
            </w:pPr>
            <w:r>
              <w:rPr>
                <w:sz w:val="20"/>
                <w:szCs w:val="20"/>
                <w:lang w:val="en-US"/>
              </w:rPr>
              <w:t xml:space="preserve">Delisted. </w:t>
            </w:r>
          </w:p>
        </w:tc>
      </w:tr>
      <w:tr w:rsidR="00F44BB1" w:rsidRPr="003E5B52" w14:paraId="3CDF18EF"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CDE90" w14:textId="7C9A43E7" w:rsidR="00B33D40" w:rsidRDefault="00F44BB1" w:rsidP="005206B0">
            <w:pPr>
              <w:spacing w:beforeLines="60" w:before="144" w:afterLines="60" w:after="144" w:line="276" w:lineRule="auto"/>
              <w:rPr>
                <w:sz w:val="20"/>
                <w:szCs w:val="20"/>
                <w:lang w:val="en-US"/>
              </w:rPr>
            </w:pPr>
            <w:r>
              <w:rPr>
                <w:sz w:val="20"/>
                <w:szCs w:val="20"/>
                <w:lang w:val="en-US"/>
              </w:rPr>
              <w:t xml:space="preserve">1 March </w:t>
            </w:r>
            <w:r w:rsidR="00F17E47">
              <w:rPr>
                <w:sz w:val="20"/>
                <w:szCs w:val="20"/>
                <w:lang w:val="en-US"/>
              </w:rPr>
              <w:t>2023</w:t>
            </w:r>
          </w:p>
        </w:tc>
        <w:tc>
          <w:tcPr>
            <w:tcW w:w="2410" w:type="dxa"/>
            <w:tcBorders>
              <w:top w:val="single" w:sz="4" w:space="0" w:color="auto"/>
              <w:left w:val="nil"/>
              <w:bottom w:val="single" w:sz="4" w:space="0" w:color="auto"/>
              <w:right w:val="single" w:sz="4" w:space="0" w:color="auto"/>
            </w:tcBorders>
            <w:shd w:val="clear" w:color="auto" w:fill="auto"/>
            <w:vAlign w:val="center"/>
          </w:tcPr>
          <w:p w14:paraId="690334BE" w14:textId="308B62E5" w:rsidR="00B33D40" w:rsidRDefault="00F17E47" w:rsidP="005206B0">
            <w:pPr>
              <w:spacing w:beforeLines="60" w:before="144" w:afterLines="60" w:after="144" w:line="276" w:lineRule="auto"/>
              <w:rPr>
                <w:sz w:val="20"/>
                <w:szCs w:val="20"/>
                <w:lang w:val="en-US"/>
              </w:rPr>
            </w:pPr>
            <w:r>
              <w:rPr>
                <w:sz w:val="20"/>
                <w:szCs w:val="20"/>
                <w:lang w:val="en-US"/>
              </w:rPr>
              <w:t xml:space="preserve">ROMOSOZUMAB </w:t>
            </w:r>
          </w:p>
        </w:tc>
        <w:tc>
          <w:tcPr>
            <w:tcW w:w="5257" w:type="dxa"/>
            <w:tcBorders>
              <w:top w:val="single" w:sz="4" w:space="0" w:color="auto"/>
              <w:left w:val="nil"/>
              <w:bottom w:val="single" w:sz="4" w:space="0" w:color="auto"/>
              <w:right w:val="single" w:sz="4" w:space="0" w:color="auto"/>
            </w:tcBorders>
            <w:shd w:val="clear" w:color="auto" w:fill="auto"/>
            <w:vAlign w:val="center"/>
          </w:tcPr>
          <w:p w14:paraId="3B0B5595" w14:textId="7D87EF46" w:rsidR="00B33D40" w:rsidRDefault="009A4C8C" w:rsidP="005206B0">
            <w:pPr>
              <w:spacing w:beforeLines="60" w:before="144" w:afterLines="60" w:after="144" w:line="276" w:lineRule="auto"/>
              <w:rPr>
                <w:sz w:val="20"/>
                <w:szCs w:val="20"/>
                <w:lang w:val="en-US"/>
              </w:rPr>
            </w:pPr>
            <w:r>
              <w:rPr>
                <w:sz w:val="20"/>
                <w:szCs w:val="20"/>
                <w:lang w:val="en-US"/>
              </w:rPr>
              <w:t xml:space="preserve">Removal of requirement for specialist continuing treatment. </w:t>
            </w:r>
          </w:p>
        </w:tc>
      </w:tr>
      <w:tr w:rsidR="00F44BB1" w:rsidRPr="003E5B52" w14:paraId="60FFC685" w14:textId="77777777" w:rsidTr="0095462E">
        <w:trPr>
          <w:trHeight w:val="51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5333F" w14:textId="492100D9" w:rsidR="00B33D40" w:rsidRDefault="00F44BB1" w:rsidP="005206B0">
            <w:pPr>
              <w:spacing w:beforeLines="60" w:before="144" w:afterLines="60" w:after="144" w:line="276" w:lineRule="auto"/>
              <w:rPr>
                <w:sz w:val="20"/>
                <w:szCs w:val="20"/>
                <w:lang w:val="en-US"/>
              </w:rPr>
            </w:pPr>
            <w:r>
              <w:rPr>
                <w:sz w:val="20"/>
                <w:szCs w:val="20"/>
                <w:lang w:val="en-US"/>
              </w:rPr>
              <w:t xml:space="preserve">1 September </w:t>
            </w:r>
            <w:r w:rsidR="00F17E47">
              <w:rPr>
                <w:sz w:val="20"/>
                <w:szCs w:val="20"/>
                <w:lang w:val="en-US"/>
              </w:rPr>
              <w:t>2023</w:t>
            </w:r>
          </w:p>
        </w:tc>
        <w:tc>
          <w:tcPr>
            <w:tcW w:w="2410" w:type="dxa"/>
            <w:tcBorders>
              <w:top w:val="single" w:sz="4" w:space="0" w:color="auto"/>
              <w:left w:val="nil"/>
              <w:bottom w:val="single" w:sz="4" w:space="0" w:color="auto"/>
              <w:right w:val="single" w:sz="4" w:space="0" w:color="auto"/>
            </w:tcBorders>
            <w:shd w:val="clear" w:color="auto" w:fill="auto"/>
            <w:vAlign w:val="center"/>
          </w:tcPr>
          <w:p w14:paraId="488BB328" w14:textId="508066AA" w:rsidR="00B33D40" w:rsidRDefault="002D5392" w:rsidP="005206B0">
            <w:pPr>
              <w:spacing w:beforeLines="60" w:before="144" w:afterLines="60" w:after="144" w:line="276" w:lineRule="auto"/>
              <w:rPr>
                <w:sz w:val="20"/>
                <w:szCs w:val="20"/>
                <w:lang w:val="en-US"/>
              </w:rPr>
            </w:pPr>
            <w:r>
              <w:rPr>
                <w:sz w:val="20"/>
                <w:szCs w:val="20"/>
                <w:lang w:val="en-US"/>
              </w:rPr>
              <w:t xml:space="preserve">ALENDRONATE AND COMBINATIONS, CALCITRIOL, RALOXIFENE, RISEDRONATE AND COMBINATIONS </w:t>
            </w:r>
          </w:p>
        </w:tc>
        <w:tc>
          <w:tcPr>
            <w:tcW w:w="5257" w:type="dxa"/>
            <w:tcBorders>
              <w:top w:val="single" w:sz="4" w:space="0" w:color="auto"/>
              <w:left w:val="nil"/>
              <w:bottom w:val="single" w:sz="4" w:space="0" w:color="auto"/>
              <w:right w:val="single" w:sz="4" w:space="0" w:color="auto"/>
            </w:tcBorders>
            <w:shd w:val="clear" w:color="auto" w:fill="auto"/>
            <w:vAlign w:val="center"/>
          </w:tcPr>
          <w:p w14:paraId="3264D302" w14:textId="02AAF69A" w:rsidR="00B33D40" w:rsidRDefault="00E478F1" w:rsidP="005206B0">
            <w:pPr>
              <w:spacing w:beforeLines="60" w:before="144" w:afterLines="60" w:after="144" w:line="276" w:lineRule="auto"/>
              <w:rPr>
                <w:sz w:val="20"/>
                <w:szCs w:val="20"/>
                <w:lang w:val="en-US"/>
              </w:rPr>
            </w:pPr>
            <w:r>
              <w:rPr>
                <w:sz w:val="20"/>
                <w:szCs w:val="20"/>
                <w:lang w:val="en-US"/>
              </w:rPr>
              <w:t xml:space="preserve">Additional listings due to introduction of the 60 day prescribing measure. </w:t>
            </w:r>
            <w:r w:rsidR="009A4C8C">
              <w:rPr>
                <w:sz w:val="20"/>
                <w:szCs w:val="20"/>
                <w:lang w:val="en-US"/>
              </w:rPr>
              <w:t xml:space="preserve"> </w:t>
            </w:r>
          </w:p>
        </w:tc>
      </w:tr>
    </w:tbl>
    <w:p w14:paraId="6320134D" w14:textId="3D4876D0" w:rsidR="002D5392" w:rsidRDefault="002D5392" w:rsidP="00B413C6">
      <w:pPr>
        <w:spacing w:line="276" w:lineRule="auto"/>
      </w:pPr>
    </w:p>
    <w:p w14:paraId="73558267" w14:textId="77777777" w:rsidR="006D3638" w:rsidRDefault="006D3638" w:rsidP="00B413C6">
      <w:pPr>
        <w:spacing w:line="276" w:lineRule="auto"/>
      </w:pPr>
    </w:p>
    <w:sectPr w:rsidR="006D3638" w:rsidSect="00560567">
      <w:footerReference w:type="even" r:id="rId40"/>
      <w:footerReference w:type="default" r:id="rId41"/>
      <w:footerReference w:type="first" r:id="rId42"/>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9D75" w14:textId="77777777" w:rsidR="00D10C6C" w:rsidRDefault="00D10C6C" w:rsidP="00A35800">
      <w:r>
        <w:separator/>
      </w:r>
    </w:p>
  </w:endnote>
  <w:endnote w:type="continuationSeparator" w:id="0">
    <w:p w14:paraId="0B7A5289" w14:textId="77777777" w:rsidR="00D10C6C" w:rsidRDefault="00D10C6C"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059A4E65" w:rsidR="00214013" w:rsidRDefault="00214013" w:rsidP="00A35800">
    <w:pPr>
      <w:pStyle w:val="Footer"/>
      <w:rPr>
        <w:rStyle w:val="PageNumber"/>
      </w:rPr>
    </w:pPr>
    <w:r>
      <w:rPr>
        <w:rStyle w:val="PageNumber"/>
      </w:rPr>
      <w:fldChar w:fldCharType="begin"/>
    </w:r>
    <w:r>
      <w:rPr>
        <w:rStyle w:val="PageNumber"/>
      </w:rPr>
      <w:instrText xml:space="preserve">PAGE  </w:instrText>
    </w:r>
    <w:r w:rsidR="00761019">
      <w:rPr>
        <w:rStyle w:val="PageNumber"/>
      </w:rPr>
      <w:fldChar w:fldCharType="separate"/>
    </w:r>
    <w:r w:rsidR="00761019">
      <w:rPr>
        <w:rStyle w:val="PageNumber"/>
        <w:noProof/>
      </w:rPr>
      <w:t>23</w: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14:paraId="30682B98" w14:textId="3D5EE083" w:rsidR="000E72C6" w:rsidRPr="000E72C6" w:rsidRDefault="008A50A1" w:rsidP="000E72C6">
            <w:pPr>
              <w:pStyle w:val="Footer"/>
              <w:jc w:val="center"/>
              <w:rPr>
                <w:i/>
                <w:sz w:val="20"/>
              </w:rPr>
            </w:pPr>
            <w:r>
              <w:rPr>
                <w:i/>
                <w:sz w:val="20"/>
              </w:rPr>
              <w:t xml:space="preserve">Public Release Document, February 2024 </w:t>
            </w:r>
            <w:r w:rsidR="00C30669">
              <w:rPr>
                <w:i/>
                <w:sz w:val="20"/>
              </w:rPr>
              <w:t xml:space="preserve">DUSC </w:t>
            </w:r>
            <w:r>
              <w:rPr>
                <w:i/>
                <w:sz w:val="20"/>
              </w:rPr>
              <w:t>Meeting</w:t>
            </w:r>
          </w:p>
          <w:p w14:paraId="10292A9A" w14:textId="275D445E"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F0A4E">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F0A4E">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632C" w14:textId="77777777" w:rsidR="00D10C6C" w:rsidRDefault="00D10C6C" w:rsidP="00A35800">
      <w:r>
        <w:separator/>
      </w:r>
    </w:p>
  </w:footnote>
  <w:footnote w:type="continuationSeparator" w:id="0">
    <w:p w14:paraId="2BACD6E7" w14:textId="77777777" w:rsidR="00D10C6C" w:rsidRDefault="00D10C6C" w:rsidP="00A35800">
      <w:r>
        <w:continuationSeparator/>
      </w:r>
    </w:p>
  </w:footnote>
  <w:footnote w:id="1">
    <w:p w14:paraId="212FBD65" w14:textId="77777777" w:rsidR="00626C22" w:rsidRPr="0003077B" w:rsidRDefault="00626C22" w:rsidP="00626C22">
      <w:pPr>
        <w:pStyle w:val="FootnoteText"/>
        <w:rPr>
          <w:lang w:val="en-US"/>
        </w:rPr>
      </w:pPr>
      <w:r>
        <w:rPr>
          <w:rStyle w:val="FootnoteReference"/>
        </w:rPr>
        <w:footnoteRef/>
      </w:r>
      <w:r>
        <w:t xml:space="preserve"> </w:t>
      </w:r>
      <w:r w:rsidRPr="0003077B">
        <w:t>Australian Institute of Health and Welfare. Osteoporosis. Canberra: AIHW; 2019.</w:t>
      </w:r>
    </w:p>
  </w:footnote>
  <w:footnote w:id="2">
    <w:p w14:paraId="3F817E91" w14:textId="77777777" w:rsidR="00626C22" w:rsidRPr="0003077B" w:rsidRDefault="00626C22" w:rsidP="00626C22">
      <w:pPr>
        <w:pStyle w:val="FootnoteText"/>
        <w:rPr>
          <w:lang w:val="en-US"/>
        </w:rPr>
      </w:pPr>
      <w:r>
        <w:rPr>
          <w:rStyle w:val="FootnoteReference"/>
        </w:rPr>
        <w:footnoteRef/>
      </w:r>
      <w:r>
        <w:t xml:space="preserve"> </w:t>
      </w:r>
      <w:r w:rsidRPr="0003077B">
        <w:t>The Royal Australian College of General Practitioners, Osteoporosis Australia. Osteoporosis prevention, diagnosis and management in postmenopausal women and men over 50 years of age. East Melbourne: RACGP; 2017.</w:t>
      </w:r>
    </w:p>
  </w:footnote>
  <w:footnote w:id="3">
    <w:p w14:paraId="65E16753" w14:textId="77777777" w:rsidR="00626C22" w:rsidRPr="0003077B" w:rsidRDefault="00626C22" w:rsidP="00626C22">
      <w:pPr>
        <w:pStyle w:val="FootnoteText"/>
        <w:rPr>
          <w:lang w:val="en-US"/>
        </w:rPr>
      </w:pPr>
      <w:r>
        <w:rPr>
          <w:rStyle w:val="FootnoteReference"/>
        </w:rPr>
        <w:footnoteRef/>
      </w:r>
      <w:r>
        <w:t xml:space="preserve"> </w:t>
      </w:r>
      <w:r w:rsidRPr="0003077B">
        <w:t>Expert Group for Bone and Metabolism. Osteoporosis and minimal-trauma fracture [published June 2019]. Melbourne: Therapeutic Guidelines Limited; 2020.</w:t>
      </w:r>
    </w:p>
  </w:footnote>
  <w:footnote w:id="4">
    <w:p w14:paraId="14ECC962" w14:textId="430F9C86" w:rsidR="00492146" w:rsidRPr="007E57EA" w:rsidRDefault="00492146">
      <w:pPr>
        <w:pStyle w:val="FootnoteText"/>
        <w:rPr>
          <w:sz w:val="20"/>
        </w:rPr>
      </w:pPr>
      <w:r w:rsidRPr="007E57EA">
        <w:rPr>
          <w:rStyle w:val="FootnoteReference"/>
          <w:sz w:val="20"/>
        </w:rPr>
        <w:footnoteRef/>
      </w:r>
      <w:r w:rsidRPr="007E57EA">
        <w:rPr>
          <w:sz w:val="20"/>
        </w:rPr>
        <w:t xml:space="preserve"> </w:t>
      </w:r>
      <w:r w:rsidRPr="002C730F">
        <w:rPr>
          <w:szCs w:val="18"/>
        </w:rPr>
        <w:t xml:space="preserve">PBS statistics. Australian Government Services Australia. Canberra. Available from </w:t>
      </w:r>
      <w:hyperlink r:id="rId1" w:history="1">
        <w:r w:rsidR="007E57EA" w:rsidRPr="002C730F">
          <w:rPr>
            <w:rStyle w:val="Hyperlink"/>
            <w:szCs w:val="18"/>
          </w:rPr>
          <w:t>http://www.medicareaustralia.gov.au/provider/pbs/stats.jsp</w:t>
        </w:r>
      </w:hyperlink>
      <w:r w:rsidR="007E57EA" w:rsidRPr="002C730F">
        <w:rPr>
          <w:szCs w:val="18"/>
        </w:rPr>
        <w:t>.</w:t>
      </w:r>
    </w:p>
  </w:footnote>
  <w:footnote w:id="5">
    <w:p w14:paraId="2D55BBCF" w14:textId="77777777" w:rsidR="00AB18FA" w:rsidRPr="00D507E1" w:rsidRDefault="00AB18FA" w:rsidP="00AB18FA">
      <w:pPr>
        <w:rPr>
          <w:sz w:val="18"/>
          <w:szCs w:val="18"/>
        </w:rPr>
      </w:pPr>
      <w:r w:rsidRPr="00D507E1">
        <w:rPr>
          <w:rStyle w:val="FootnoteReference"/>
          <w:sz w:val="18"/>
          <w:szCs w:val="18"/>
        </w:rPr>
        <w:footnoteRef/>
      </w:r>
      <w:r w:rsidRPr="00D507E1">
        <w:rPr>
          <w:sz w:val="18"/>
          <w:szCs w:val="18"/>
        </w:rPr>
        <w:t xml:space="preserve"> Therapeutic Goods Administration. New warnings of romosozumab (Evenity) cardiovascular risks</w:t>
      </w:r>
      <w:r>
        <w:rPr>
          <w:sz w:val="18"/>
          <w:szCs w:val="18"/>
        </w:rPr>
        <w:t xml:space="preserve">. Available from: </w:t>
      </w:r>
      <w:hyperlink r:id="rId2" w:history="1">
        <w:r w:rsidRPr="00471204">
          <w:rPr>
            <w:rStyle w:val="Hyperlink"/>
            <w:sz w:val="18"/>
            <w:szCs w:val="18"/>
          </w:rPr>
          <w:t>https://www.tga.gov.au/news/safety-updates/new-warnings-romosozumab-evenity-cardiovascular-risks</w:t>
        </w:r>
      </w:hyperlink>
    </w:p>
  </w:footnote>
  <w:footnote w:id="6">
    <w:p w14:paraId="4D12C81E" w14:textId="77777777" w:rsidR="00AB18FA" w:rsidRDefault="00AB18FA" w:rsidP="00AB18FA">
      <w:pPr>
        <w:pStyle w:val="FootnoteText"/>
      </w:pPr>
      <w:r>
        <w:rPr>
          <w:rStyle w:val="FootnoteReference"/>
        </w:rPr>
        <w:footnoteRef/>
      </w:r>
      <w:r>
        <w:t xml:space="preserve"> U.S. Food and Drug Administration. FDA adds Boxed Warning for increased risk of severe hypocalcemia in patients in advanced chronic kidney disease taking osteoporosis medicine Prolia (denosumab). Accessed from: </w:t>
      </w:r>
      <w:r w:rsidRPr="00683985">
        <w:t>https://www.fda.gov/drugs/drug-safety-and-availability/fda-adds-boxed-warning-increased-risk-severe-hypocalcemia-patients-advanced-chronic-kidney-disease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BD9"/>
    <w:multiLevelType w:val="multilevel"/>
    <w:tmpl w:val="B970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93A2F"/>
    <w:multiLevelType w:val="multilevel"/>
    <w:tmpl w:val="A30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55AFC"/>
    <w:multiLevelType w:val="multilevel"/>
    <w:tmpl w:val="7C80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035D"/>
    <w:multiLevelType w:val="hybridMultilevel"/>
    <w:tmpl w:val="E3FCEDD0"/>
    <w:lvl w:ilvl="0" w:tplc="55762A1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C319D"/>
    <w:multiLevelType w:val="multilevel"/>
    <w:tmpl w:val="287E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97CC8"/>
    <w:multiLevelType w:val="multilevel"/>
    <w:tmpl w:val="C09C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D570F"/>
    <w:multiLevelType w:val="multilevel"/>
    <w:tmpl w:val="51E2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B6F97"/>
    <w:multiLevelType w:val="hybridMultilevel"/>
    <w:tmpl w:val="BD502576"/>
    <w:lvl w:ilvl="0" w:tplc="F7FC006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F3054"/>
    <w:multiLevelType w:val="hybridMultilevel"/>
    <w:tmpl w:val="655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7578A3"/>
    <w:multiLevelType w:val="multilevel"/>
    <w:tmpl w:val="A7A8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27880"/>
    <w:multiLevelType w:val="multilevel"/>
    <w:tmpl w:val="2632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670E8"/>
    <w:multiLevelType w:val="multilevel"/>
    <w:tmpl w:val="9C10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B55B5"/>
    <w:multiLevelType w:val="hybridMultilevel"/>
    <w:tmpl w:val="B0342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F391D"/>
    <w:multiLevelType w:val="hybridMultilevel"/>
    <w:tmpl w:val="9CB0B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56156"/>
    <w:multiLevelType w:val="hybridMultilevel"/>
    <w:tmpl w:val="F7B44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465B06"/>
    <w:multiLevelType w:val="multilevel"/>
    <w:tmpl w:val="5B20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51DF0"/>
    <w:multiLevelType w:val="hybridMultilevel"/>
    <w:tmpl w:val="910E3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D56BB2"/>
    <w:multiLevelType w:val="multilevel"/>
    <w:tmpl w:val="B68A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73EFD"/>
    <w:multiLevelType w:val="multilevel"/>
    <w:tmpl w:val="63B2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92439"/>
    <w:multiLevelType w:val="multilevel"/>
    <w:tmpl w:val="D0B6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650779"/>
    <w:multiLevelType w:val="multilevel"/>
    <w:tmpl w:val="C948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DB2D2A"/>
    <w:multiLevelType w:val="hybridMultilevel"/>
    <w:tmpl w:val="D2A2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4251CF"/>
    <w:multiLevelType w:val="hybridMultilevel"/>
    <w:tmpl w:val="7FFA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67CA4"/>
    <w:multiLevelType w:val="multilevel"/>
    <w:tmpl w:val="F056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049DE"/>
    <w:multiLevelType w:val="multilevel"/>
    <w:tmpl w:val="144E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31D1C"/>
    <w:multiLevelType w:val="hybridMultilevel"/>
    <w:tmpl w:val="E6328C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15:restartNumberingAfterBreak="0">
    <w:nsid w:val="4EEF62E5"/>
    <w:multiLevelType w:val="multilevel"/>
    <w:tmpl w:val="4F0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97F7E"/>
    <w:multiLevelType w:val="multilevel"/>
    <w:tmpl w:val="95A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1B7B7B"/>
    <w:multiLevelType w:val="hybridMultilevel"/>
    <w:tmpl w:val="C1241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4B559D"/>
    <w:multiLevelType w:val="multilevel"/>
    <w:tmpl w:val="5E2C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252F1"/>
    <w:multiLevelType w:val="hybridMultilevel"/>
    <w:tmpl w:val="79203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34F1A9C"/>
    <w:multiLevelType w:val="multilevel"/>
    <w:tmpl w:val="F736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80EB7"/>
    <w:multiLevelType w:val="hybridMultilevel"/>
    <w:tmpl w:val="2BACD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A05248"/>
    <w:multiLevelType w:val="multilevel"/>
    <w:tmpl w:val="BB10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524305"/>
    <w:multiLevelType w:val="multilevel"/>
    <w:tmpl w:val="A408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348EF"/>
    <w:multiLevelType w:val="hybridMultilevel"/>
    <w:tmpl w:val="D43CA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3072757">
    <w:abstractNumId w:val="34"/>
  </w:num>
  <w:num w:numId="2" w16cid:durableId="846748654">
    <w:abstractNumId w:val="32"/>
  </w:num>
  <w:num w:numId="3" w16cid:durableId="2106075722">
    <w:abstractNumId w:val="13"/>
  </w:num>
  <w:num w:numId="4" w16cid:durableId="2022775106">
    <w:abstractNumId w:val="22"/>
  </w:num>
  <w:num w:numId="5" w16cid:durableId="179902401">
    <w:abstractNumId w:val="7"/>
  </w:num>
  <w:num w:numId="6" w16cid:durableId="2075735632">
    <w:abstractNumId w:val="15"/>
  </w:num>
  <w:num w:numId="7" w16cid:durableId="874268390">
    <w:abstractNumId w:val="12"/>
  </w:num>
  <w:num w:numId="8" w16cid:durableId="1696880137">
    <w:abstractNumId w:val="19"/>
  </w:num>
  <w:num w:numId="9" w16cid:durableId="1838571061">
    <w:abstractNumId w:val="1"/>
  </w:num>
  <w:num w:numId="10" w16cid:durableId="1353916577">
    <w:abstractNumId w:val="36"/>
  </w:num>
  <w:num w:numId="11" w16cid:durableId="2075540176">
    <w:abstractNumId w:val="27"/>
  </w:num>
  <w:num w:numId="12" w16cid:durableId="2063749201">
    <w:abstractNumId w:val="9"/>
  </w:num>
  <w:num w:numId="13" w16cid:durableId="1725445821">
    <w:abstractNumId w:val="4"/>
  </w:num>
  <w:num w:numId="14" w16cid:durableId="987782276">
    <w:abstractNumId w:val="33"/>
  </w:num>
  <w:num w:numId="15" w16cid:durableId="1867020587">
    <w:abstractNumId w:val="28"/>
  </w:num>
  <w:num w:numId="16" w16cid:durableId="1180506439">
    <w:abstractNumId w:val="5"/>
  </w:num>
  <w:num w:numId="17" w16cid:durableId="2066831750">
    <w:abstractNumId w:val="10"/>
  </w:num>
  <w:num w:numId="18" w16cid:durableId="582765724">
    <w:abstractNumId w:val="18"/>
  </w:num>
  <w:num w:numId="19" w16cid:durableId="1641957909">
    <w:abstractNumId w:val="26"/>
  </w:num>
  <w:num w:numId="20" w16cid:durableId="985858259">
    <w:abstractNumId w:val="31"/>
  </w:num>
  <w:num w:numId="21" w16cid:durableId="1234196433">
    <w:abstractNumId w:val="23"/>
  </w:num>
  <w:num w:numId="22" w16cid:durableId="1354695035">
    <w:abstractNumId w:val="37"/>
  </w:num>
  <w:num w:numId="23" w16cid:durableId="1886402140">
    <w:abstractNumId w:val="3"/>
  </w:num>
  <w:num w:numId="24" w16cid:durableId="1796210836">
    <w:abstractNumId w:val="29"/>
  </w:num>
  <w:num w:numId="25" w16cid:durableId="759444594">
    <w:abstractNumId w:val="17"/>
  </w:num>
  <w:num w:numId="26" w16cid:durableId="790441629">
    <w:abstractNumId w:val="20"/>
  </w:num>
  <w:num w:numId="27" w16cid:durableId="1757287487">
    <w:abstractNumId w:val="2"/>
  </w:num>
  <w:num w:numId="28" w16cid:durableId="1625236957">
    <w:abstractNumId w:val="11"/>
  </w:num>
  <w:num w:numId="29" w16cid:durableId="905068041">
    <w:abstractNumId w:val="24"/>
  </w:num>
  <w:num w:numId="30" w16cid:durableId="613756496">
    <w:abstractNumId w:val="6"/>
  </w:num>
  <w:num w:numId="31" w16cid:durableId="1554347635">
    <w:abstractNumId w:val="16"/>
  </w:num>
  <w:num w:numId="32" w16cid:durableId="1854878846">
    <w:abstractNumId w:val="30"/>
  </w:num>
  <w:num w:numId="33" w16cid:durableId="1927956159">
    <w:abstractNumId w:val="21"/>
  </w:num>
  <w:num w:numId="34" w16cid:durableId="1378551991">
    <w:abstractNumId w:val="25"/>
  </w:num>
  <w:num w:numId="35" w16cid:durableId="401634476">
    <w:abstractNumId w:val="35"/>
  </w:num>
  <w:num w:numId="36" w16cid:durableId="1272318153">
    <w:abstractNumId w:val="0"/>
  </w:num>
  <w:num w:numId="37" w16cid:durableId="1893076082">
    <w:abstractNumId w:val="14"/>
  </w:num>
  <w:num w:numId="38" w16cid:durableId="4398348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42CB"/>
    <w:rsid w:val="00004B1C"/>
    <w:rsid w:val="00005DC4"/>
    <w:rsid w:val="00007E85"/>
    <w:rsid w:val="00012979"/>
    <w:rsid w:val="00013465"/>
    <w:rsid w:val="000139EE"/>
    <w:rsid w:val="0001585B"/>
    <w:rsid w:val="00016303"/>
    <w:rsid w:val="0001755F"/>
    <w:rsid w:val="00017ACA"/>
    <w:rsid w:val="000226B3"/>
    <w:rsid w:val="00023349"/>
    <w:rsid w:val="00023AEF"/>
    <w:rsid w:val="00024549"/>
    <w:rsid w:val="000325F3"/>
    <w:rsid w:val="00032BDA"/>
    <w:rsid w:val="00034F32"/>
    <w:rsid w:val="0003537C"/>
    <w:rsid w:val="000353DA"/>
    <w:rsid w:val="00041574"/>
    <w:rsid w:val="00041AEF"/>
    <w:rsid w:val="00043672"/>
    <w:rsid w:val="0004611C"/>
    <w:rsid w:val="00046A4C"/>
    <w:rsid w:val="00050103"/>
    <w:rsid w:val="00051392"/>
    <w:rsid w:val="000544B6"/>
    <w:rsid w:val="00056899"/>
    <w:rsid w:val="000604AF"/>
    <w:rsid w:val="00060722"/>
    <w:rsid w:val="00061C77"/>
    <w:rsid w:val="00062A63"/>
    <w:rsid w:val="0006335D"/>
    <w:rsid w:val="000677E9"/>
    <w:rsid w:val="00070528"/>
    <w:rsid w:val="00071FEE"/>
    <w:rsid w:val="00074D97"/>
    <w:rsid w:val="00076B9B"/>
    <w:rsid w:val="00076EB0"/>
    <w:rsid w:val="0008008E"/>
    <w:rsid w:val="00080DEE"/>
    <w:rsid w:val="00081315"/>
    <w:rsid w:val="00086C11"/>
    <w:rsid w:val="00087359"/>
    <w:rsid w:val="00087A90"/>
    <w:rsid w:val="00087AB3"/>
    <w:rsid w:val="000911E9"/>
    <w:rsid w:val="00094DCF"/>
    <w:rsid w:val="00097594"/>
    <w:rsid w:val="000A12DE"/>
    <w:rsid w:val="000A586F"/>
    <w:rsid w:val="000A5CF7"/>
    <w:rsid w:val="000A63C4"/>
    <w:rsid w:val="000A6CFD"/>
    <w:rsid w:val="000B0982"/>
    <w:rsid w:val="000B0D50"/>
    <w:rsid w:val="000B2C43"/>
    <w:rsid w:val="000B332F"/>
    <w:rsid w:val="000B37C1"/>
    <w:rsid w:val="000B4182"/>
    <w:rsid w:val="000B48F0"/>
    <w:rsid w:val="000B4A3E"/>
    <w:rsid w:val="000B56C8"/>
    <w:rsid w:val="000B796C"/>
    <w:rsid w:val="000C0ACD"/>
    <w:rsid w:val="000C322D"/>
    <w:rsid w:val="000C46BB"/>
    <w:rsid w:val="000C4C66"/>
    <w:rsid w:val="000C4D9D"/>
    <w:rsid w:val="000C7151"/>
    <w:rsid w:val="000C7C4B"/>
    <w:rsid w:val="000C7D8B"/>
    <w:rsid w:val="000D1FCD"/>
    <w:rsid w:val="000D34FC"/>
    <w:rsid w:val="000D4474"/>
    <w:rsid w:val="000D47B8"/>
    <w:rsid w:val="000D52DE"/>
    <w:rsid w:val="000D754C"/>
    <w:rsid w:val="000E1F7A"/>
    <w:rsid w:val="000E485D"/>
    <w:rsid w:val="000E4884"/>
    <w:rsid w:val="000E545D"/>
    <w:rsid w:val="000E72C6"/>
    <w:rsid w:val="000E77B9"/>
    <w:rsid w:val="000F00A9"/>
    <w:rsid w:val="000F1893"/>
    <w:rsid w:val="000F2F51"/>
    <w:rsid w:val="000F7615"/>
    <w:rsid w:val="00100F46"/>
    <w:rsid w:val="001047A4"/>
    <w:rsid w:val="00105408"/>
    <w:rsid w:val="00105B7B"/>
    <w:rsid w:val="001064C9"/>
    <w:rsid w:val="00106CA5"/>
    <w:rsid w:val="00106E1C"/>
    <w:rsid w:val="00107083"/>
    <w:rsid w:val="0011120A"/>
    <w:rsid w:val="001126BF"/>
    <w:rsid w:val="00113BED"/>
    <w:rsid w:val="00113CF8"/>
    <w:rsid w:val="00113D46"/>
    <w:rsid w:val="00113D74"/>
    <w:rsid w:val="00114621"/>
    <w:rsid w:val="00116A0A"/>
    <w:rsid w:val="00117C3B"/>
    <w:rsid w:val="00117C5C"/>
    <w:rsid w:val="00121307"/>
    <w:rsid w:val="00123331"/>
    <w:rsid w:val="0012381E"/>
    <w:rsid w:val="00123AB7"/>
    <w:rsid w:val="00123AD3"/>
    <w:rsid w:val="00124735"/>
    <w:rsid w:val="001248D9"/>
    <w:rsid w:val="00127628"/>
    <w:rsid w:val="001310AE"/>
    <w:rsid w:val="00131806"/>
    <w:rsid w:val="001420B3"/>
    <w:rsid w:val="00142A5B"/>
    <w:rsid w:val="0014338F"/>
    <w:rsid w:val="001460C4"/>
    <w:rsid w:val="00150336"/>
    <w:rsid w:val="00150B9B"/>
    <w:rsid w:val="00151B02"/>
    <w:rsid w:val="00153639"/>
    <w:rsid w:val="00156239"/>
    <w:rsid w:val="0015691C"/>
    <w:rsid w:val="001603F6"/>
    <w:rsid w:val="001609BE"/>
    <w:rsid w:val="00161E13"/>
    <w:rsid w:val="001621F7"/>
    <w:rsid w:val="001624D7"/>
    <w:rsid w:val="00167199"/>
    <w:rsid w:val="00175526"/>
    <w:rsid w:val="00175CF2"/>
    <w:rsid w:val="00176BFE"/>
    <w:rsid w:val="00177B86"/>
    <w:rsid w:val="00177ED9"/>
    <w:rsid w:val="001801A8"/>
    <w:rsid w:val="001817F4"/>
    <w:rsid w:val="0018203D"/>
    <w:rsid w:val="00182585"/>
    <w:rsid w:val="0018388E"/>
    <w:rsid w:val="00183A37"/>
    <w:rsid w:val="00186C59"/>
    <w:rsid w:val="001903F0"/>
    <w:rsid w:val="00191182"/>
    <w:rsid w:val="001919EC"/>
    <w:rsid w:val="0019288A"/>
    <w:rsid w:val="00195076"/>
    <w:rsid w:val="00195F46"/>
    <w:rsid w:val="0019664D"/>
    <w:rsid w:val="001A094B"/>
    <w:rsid w:val="001A1816"/>
    <w:rsid w:val="001A1B72"/>
    <w:rsid w:val="001A2CAE"/>
    <w:rsid w:val="001A5B8F"/>
    <w:rsid w:val="001A6103"/>
    <w:rsid w:val="001A6A6C"/>
    <w:rsid w:val="001A6D18"/>
    <w:rsid w:val="001A7460"/>
    <w:rsid w:val="001A75CD"/>
    <w:rsid w:val="001B215F"/>
    <w:rsid w:val="001B5D37"/>
    <w:rsid w:val="001B61FB"/>
    <w:rsid w:val="001B7F6A"/>
    <w:rsid w:val="001C2940"/>
    <w:rsid w:val="001C4016"/>
    <w:rsid w:val="001C43E3"/>
    <w:rsid w:val="001C5299"/>
    <w:rsid w:val="001C548D"/>
    <w:rsid w:val="001C6A5D"/>
    <w:rsid w:val="001C6CEB"/>
    <w:rsid w:val="001D0272"/>
    <w:rsid w:val="001D098C"/>
    <w:rsid w:val="001D30C3"/>
    <w:rsid w:val="001D4712"/>
    <w:rsid w:val="001D4955"/>
    <w:rsid w:val="001D563E"/>
    <w:rsid w:val="001D5A20"/>
    <w:rsid w:val="001D5DE4"/>
    <w:rsid w:val="001D7D6C"/>
    <w:rsid w:val="001E09DC"/>
    <w:rsid w:val="001E1121"/>
    <w:rsid w:val="001E21FA"/>
    <w:rsid w:val="001E31A6"/>
    <w:rsid w:val="001E3AAB"/>
    <w:rsid w:val="001E3EE2"/>
    <w:rsid w:val="001E42C7"/>
    <w:rsid w:val="001E4CAB"/>
    <w:rsid w:val="001F0A4E"/>
    <w:rsid w:val="001F21D9"/>
    <w:rsid w:val="001F2447"/>
    <w:rsid w:val="001F2C7C"/>
    <w:rsid w:val="001F2F3E"/>
    <w:rsid w:val="001F3DEB"/>
    <w:rsid w:val="001F3FB2"/>
    <w:rsid w:val="001F4906"/>
    <w:rsid w:val="001F4E28"/>
    <w:rsid w:val="001F7C4A"/>
    <w:rsid w:val="002028AD"/>
    <w:rsid w:val="00205181"/>
    <w:rsid w:val="00205720"/>
    <w:rsid w:val="0020578A"/>
    <w:rsid w:val="00206F83"/>
    <w:rsid w:val="00207631"/>
    <w:rsid w:val="0020772F"/>
    <w:rsid w:val="00207818"/>
    <w:rsid w:val="00214013"/>
    <w:rsid w:val="00215242"/>
    <w:rsid w:val="00215284"/>
    <w:rsid w:val="00220227"/>
    <w:rsid w:val="00220402"/>
    <w:rsid w:val="0022078A"/>
    <w:rsid w:val="00220FC1"/>
    <w:rsid w:val="00222E9A"/>
    <w:rsid w:val="00223B8C"/>
    <w:rsid w:val="002264AF"/>
    <w:rsid w:val="00226980"/>
    <w:rsid w:val="0023022A"/>
    <w:rsid w:val="00230AF5"/>
    <w:rsid w:val="0023179D"/>
    <w:rsid w:val="002326BC"/>
    <w:rsid w:val="00236A8C"/>
    <w:rsid w:val="00236F93"/>
    <w:rsid w:val="0023715A"/>
    <w:rsid w:val="00237844"/>
    <w:rsid w:val="00237D8A"/>
    <w:rsid w:val="00245246"/>
    <w:rsid w:val="00250459"/>
    <w:rsid w:val="00251683"/>
    <w:rsid w:val="00253007"/>
    <w:rsid w:val="002532B3"/>
    <w:rsid w:val="0025389D"/>
    <w:rsid w:val="00254E02"/>
    <w:rsid w:val="00255987"/>
    <w:rsid w:val="0026265F"/>
    <w:rsid w:val="0026320A"/>
    <w:rsid w:val="0026398F"/>
    <w:rsid w:val="0026563B"/>
    <w:rsid w:val="00266F0C"/>
    <w:rsid w:val="0027174D"/>
    <w:rsid w:val="002718C7"/>
    <w:rsid w:val="00272959"/>
    <w:rsid w:val="00273981"/>
    <w:rsid w:val="002800D8"/>
    <w:rsid w:val="00281CDA"/>
    <w:rsid w:val="002856AB"/>
    <w:rsid w:val="00286C3A"/>
    <w:rsid w:val="00286EE0"/>
    <w:rsid w:val="00290897"/>
    <w:rsid w:val="0029168B"/>
    <w:rsid w:val="00291BE6"/>
    <w:rsid w:val="002930F5"/>
    <w:rsid w:val="002931B4"/>
    <w:rsid w:val="002942B4"/>
    <w:rsid w:val="00296336"/>
    <w:rsid w:val="002965BF"/>
    <w:rsid w:val="002A0457"/>
    <w:rsid w:val="002A06B7"/>
    <w:rsid w:val="002A4C59"/>
    <w:rsid w:val="002A4EA0"/>
    <w:rsid w:val="002A6718"/>
    <w:rsid w:val="002A7D52"/>
    <w:rsid w:val="002B02CF"/>
    <w:rsid w:val="002B1787"/>
    <w:rsid w:val="002B75B1"/>
    <w:rsid w:val="002C0F59"/>
    <w:rsid w:val="002C6E0C"/>
    <w:rsid w:val="002C730F"/>
    <w:rsid w:val="002C763B"/>
    <w:rsid w:val="002D0123"/>
    <w:rsid w:val="002D03A1"/>
    <w:rsid w:val="002D03CB"/>
    <w:rsid w:val="002D03F8"/>
    <w:rsid w:val="002D144A"/>
    <w:rsid w:val="002D2C93"/>
    <w:rsid w:val="002D5392"/>
    <w:rsid w:val="002D6283"/>
    <w:rsid w:val="002D777A"/>
    <w:rsid w:val="002D78B1"/>
    <w:rsid w:val="002E19A3"/>
    <w:rsid w:val="002E212B"/>
    <w:rsid w:val="002E3337"/>
    <w:rsid w:val="002E68D3"/>
    <w:rsid w:val="002E6B03"/>
    <w:rsid w:val="002E6D03"/>
    <w:rsid w:val="002F3BD9"/>
    <w:rsid w:val="002F3F3F"/>
    <w:rsid w:val="002F49A8"/>
    <w:rsid w:val="002F5E66"/>
    <w:rsid w:val="002F61CA"/>
    <w:rsid w:val="002F7148"/>
    <w:rsid w:val="0030010D"/>
    <w:rsid w:val="00306B5F"/>
    <w:rsid w:val="003075E1"/>
    <w:rsid w:val="00311303"/>
    <w:rsid w:val="003151F5"/>
    <w:rsid w:val="00315591"/>
    <w:rsid w:val="0032080B"/>
    <w:rsid w:val="003238FD"/>
    <w:rsid w:val="00324C5F"/>
    <w:rsid w:val="0032537E"/>
    <w:rsid w:val="00325C05"/>
    <w:rsid w:val="003277DD"/>
    <w:rsid w:val="00331A60"/>
    <w:rsid w:val="00332006"/>
    <w:rsid w:val="0033294A"/>
    <w:rsid w:val="00334644"/>
    <w:rsid w:val="0033504C"/>
    <w:rsid w:val="00335C88"/>
    <w:rsid w:val="00336816"/>
    <w:rsid w:val="003370D0"/>
    <w:rsid w:val="00337355"/>
    <w:rsid w:val="003402E4"/>
    <w:rsid w:val="00340F95"/>
    <w:rsid w:val="00341F27"/>
    <w:rsid w:val="00343E21"/>
    <w:rsid w:val="0034501B"/>
    <w:rsid w:val="0034672C"/>
    <w:rsid w:val="00346F6F"/>
    <w:rsid w:val="0034750F"/>
    <w:rsid w:val="00347969"/>
    <w:rsid w:val="00350A9A"/>
    <w:rsid w:val="00351A94"/>
    <w:rsid w:val="003531ED"/>
    <w:rsid w:val="00353C02"/>
    <w:rsid w:val="00353FB7"/>
    <w:rsid w:val="003570DD"/>
    <w:rsid w:val="00357BEC"/>
    <w:rsid w:val="00360B9A"/>
    <w:rsid w:val="003623B7"/>
    <w:rsid w:val="003640E3"/>
    <w:rsid w:val="003655F5"/>
    <w:rsid w:val="003666CE"/>
    <w:rsid w:val="00367946"/>
    <w:rsid w:val="00370A53"/>
    <w:rsid w:val="00373907"/>
    <w:rsid w:val="003744BA"/>
    <w:rsid w:val="00374797"/>
    <w:rsid w:val="00374BE2"/>
    <w:rsid w:val="0037697C"/>
    <w:rsid w:val="00376ADB"/>
    <w:rsid w:val="003772FE"/>
    <w:rsid w:val="00377560"/>
    <w:rsid w:val="00377E95"/>
    <w:rsid w:val="00377F0E"/>
    <w:rsid w:val="003807D6"/>
    <w:rsid w:val="00381D35"/>
    <w:rsid w:val="00382061"/>
    <w:rsid w:val="00386A8F"/>
    <w:rsid w:val="003900F2"/>
    <w:rsid w:val="0039017F"/>
    <w:rsid w:val="00392332"/>
    <w:rsid w:val="003924B3"/>
    <w:rsid w:val="00393C61"/>
    <w:rsid w:val="00393FC6"/>
    <w:rsid w:val="00394840"/>
    <w:rsid w:val="00394861"/>
    <w:rsid w:val="00394AEE"/>
    <w:rsid w:val="00395297"/>
    <w:rsid w:val="00395EBF"/>
    <w:rsid w:val="003A1941"/>
    <w:rsid w:val="003A22BE"/>
    <w:rsid w:val="003A4FF9"/>
    <w:rsid w:val="003A64D8"/>
    <w:rsid w:val="003A6653"/>
    <w:rsid w:val="003A6BFA"/>
    <w:rsid w:val="003A764B"/>
    <w:rsid w:val="003A7722"/>
    <w:rsid w:val="003A7784"/>
    <w:rsid w:val="003B0B69"/>
    <w:rsid w:val="003B1B9E"/>
    <w:rsid w:val="003B3DB8"/>
    <w:rsid w:val="003B488A"/>
    <w:rsid w:val="003B4B44"/>
    <w:rsid w:val="003B595A"/>
    <w:rsid w:val="003B6F61"/>
    <w:rsid w:val="003B723B"/>
    <w:rsid w:val="003B76A1"/>
    <w:rsid w:val="003C00B3"/>
    <w:rsid w:val="003C1383"/>
    <w:rsid w:val="003C2D98"/>
    <w:rsid w:val="003C2EF2"/>
    <w:rsid w:val="003C4F9D"/>
    <w:rsid w:val="003D18C7"/>
    <w:rsid w:val="003D3A96"/>
    <w:rsid w:val="003D3B9C"/>
    <w:rsid w:val="003D455E"/>
    <w:rsid w:val="003D49A5"/>
    <w:rsid w:val="003D4EC0"/>
    <w:rsid w:val="003E45B2"/>
    <w:rsid w:val="003E541E"/>
    <w:rsid w:val="003E5B52"/>
    <w:rsid w:val="003E7BEC"/>
    <w:rsid w:val="003F0314"/>
    <w:rsid w:val="003F2040"/>
    <w:rsid w:val="003F2468"/>
    <w:rsid w:val="003F33B5"/>
    <w:rsid w:val="003F3DC5"/>
    <w:rsid w:val="003F6BFA"/>
    <w:rsid w:val="003F79BA"/>
    <w:rsid w:val="004003BC"/>
    <w:rsid w:val="0040341A"/>
    <w:rsid w:val="00403D03"/>
    <w:rsid w:val="004041D4"/>
    <w:rsid w:val="004045EC"/>
    <w:rsid w:val="00404C30"/>
    <w:rsid w:val="00404CFA"/>
    <w:rsid w:val="00404F03"/>
    <w:rsid w:val="004052E7"/>
    <w:rsid w:val="00407412"/>
    <w:rsid w:val="00411D71"/>
    <w:rsid w:val="00412051"/>
    <w:rsid w:val="00413642"/>
    <w:rsid w:val="004144CF"/>
    <w:rsid w:val="00415867"/>
    <w:rsid w:val="0041780E"/>
    <w:rsid w:val="0042294D"/>
    <w:rsid w:val="00423B3B"/>
    <w:rsid w:val="00423B94"/>
    <w:rsid w:val="00425581"/>
    <w:rsid w:val="004260BF"/>
    <w:rsid w:val="0042709D"/>
    <w:rsid w:val="00427C57"/>
    <w:rsid w:val="004328B8"/>
    <w:rsid w:val="0043463F"/>
    <w:rsid w:val="00434D77"/>
    <w:rsid w:val="00435A93"/>
    <w:rsid w:val="0044036F"/>
    <w:rsid w:val="0044150B"/>
    <w:rsid w:val="00442166"/>
    <w:rsid w:val="004473BB"/>
    <w:rsid w:val="00450AA3"/>
    <w:rsid w:val="00451648"/>
    <w:rsid w:val="00453CB0"/>
    <w:rsid w:val="004551D4"/>
    <w:rsid w:val="004558B0"/>
    <w:rsid w:val="00455A9E"/>
    <w:rsid w:val="00457864"/>
    <w:rsid w:val="0046268B"/>
    <w:rsid w:val="00463731"/>
    <w:rsid w:val="0046400A"/>
    <w:rsid w:val="0046639A"/>
    <w:rsid w:val="00466816"/>
    <w:rsid w:val="00466EC1"/>
    <w:rsid w:val="00467B25"/>
    <w:rsid w:val="004721EC"/>
    <w:rsid w:val="00472836"/>
    <w:rsid w:val="004750AA"/>
    <w:rsid w:val="004762AF"/>
    <w:rsid w:val="00476694"/>
    <w:rsid w:val="00477D14"/>
    <w:rsid w:val="00480FA6"/>
    <w:rsid w:val="00481108"/>
    <w:rsid w:val="00482DAB"/>
    <w:rsid w:val="004848E3"/>
    <w:rsid w:val="00487A0F"/>
    <w:rsid w:val="0049042B"/>
    <w:rsid w:val="00490EB2"/>
    <w:rsid w:val="00491C77"/>
    <w:rsid w:val="00492146"/>
    <w:rsid w:val="00495473"/>
    <w:rsid w:val="004966FA"/>
    <w:rsid w:val="00497459"/>
    <w:rsid w:val="004A097C"/>
    <w:rsid w:val="004A2C33"/>
    <w:rsid w:val="004A30AB"/>
    <w:rsid w:val="004A458E"/>
    <w:rsid w:val="004A51D4"/>
    <w:rsid w:val="004A5DFB"/>
    <w:rsid w:val="004A63D2"/>
    <w:rsid w:val="004A66B9"/>
    <w:rsid w:val="004B197C"/>
    <w:rsid w:val="004B1E02"/>
    <w:rsid w:val="004B23E7"/>
    <w:rsid w:val="004B306F"/>
    <w:rsid w:val="004B53B6"/>
    <w:rsid w:val="004B5BD9"/>
    <w:rsid w:val="004B76DF"/>
    <w:rsid w:val="004C3186"/>
    <w:rsid w:val="004C35F8"/>
    <w:rsid w:val="004C5042"/>
    <w:rsid w:val="004C7668"/>
    <w:rsid w:val="004C76F2"/>
    <w:rsid w:val="004D039A"/>
    <w:rsid w:val="004D048B"/>
    <w:rsid w:val="004D0BA9"/>
    <w:rsid w:val="004D203C"/>
    <w:rsid w:val="004D21DA"/>
    <w:rsid w:val="004D7078"/>
    <w:rsid w:val="004D742B"/>
    <w:rsid w:val="004E4422"/>
    <w:rsid w:val="004E530F"/>
    <w:rsid w:val="004F113B"/>
    <w:rsid w:val="004F26E3"/>
    <w:rsid w:val="005027B1"/>
    <w:rsid w:val="00503998"/>
    <w:rsid w:val="0050623B"/>
    <w:rsid w:val="005129CB"/>
    <w:rsid w:val="00513E8B"/>
    <w:rsid w:val="00514DDA"/>
    <w:rsid w:val="0051558D"/>
    <w:rsid w:val="005206B0"/>
    <w:rsid w:val="00523181"/>
    <w:rsid w:val="0052447A"/>
    <w:rsid w:val="00524862"/>
    <w:rsid w:val="00524D13"/>
    <w:rsid w:val="005253A6"/>
    <w:rsid w:val="00525974"/>
    <w:rsid w:val="005264C0"/>
    <w:rsid w:val="005269A9"/>
    <w:rsid w:val="005322AD"/>
    <w:rsid w:val="00532A99"/>
    <w:rsid w:val="005339F6"/>
    <w:rsid w:val="00533B8F"/>
    <w:rsid w:val="00534716"/>
    <w:rsid w:val="0053726C"/>
    <w:rsid w:val="005413D4"/>
    <w:rsid w:val="0054174D"/>
    <w:rsid w:val="005424FA"/>
    <w:rsid w:val="0054400A"/>
    <w:rsid w:val="00545983"/>
    <w:rsid w:val="005470F0"/>
    <w:rsid w:val="0054773B"/>
    <w:rsid w:val="00553063"/>
    <w:rsid w:val="00553EEA"/>
    <w:rsid w:val="0055469D"/>
    <w:rsid w:val="00555EA4"/>
    <w:rsid w:val="00560567"/>
    <w:rsid w:val="00561086"/>
    <w:rsid w:val="0056152F"/>
    <w:rsid w:val="00562611"/>
    <w:rsid w:val="0056376B"/>
    <w:rsid w:val="005638BD"/>
    <w:rsid w:val="00564C23"/>
    <w:rsid w:val="00565CE6"/>
    <w:rsid w:val="00566C5B"/>
    <w:rsid w:val="00570843"/>
    <w:rsid w:val="00571B6A"/>
    <w:rsid w:val="00571DB4"/>
    <w:rsid w:val="00573307"/>
    <w:rsid w:val="00573DF0"/>
    <w:rsid w:val="00574F02"/>
    <w:rsid w:val="00575F94"/>
    <w:rsid w:val="00576B18"/>
    <w:rsid w:val="00580918"/>
    <w:rsid w:val="005828BE"/>
    <w:rsid w:val="00583830"/>
    <w:rsid w:val="00586ABB"/>
    <w:rsid w:val="00586F52"/>
    <w:rsid w:val="00587031"/>
    <w:rsid w:val="00587724"/>
    <w:rsid w:val="005903DD"/>
    <w:rsid w:val="00590B01"/>
    <w:rsid w:val="00591512"/>
    <w:rsid w:val="005927C4"/>
    <w:rsid w:val="005928AF"/>
    <w:rsid w:val="00592AA6"/>
    <w:rsid w:val="00592B47"/>
    <w:rsid w:val="005932AF"/>
    <w:rsid w:val="005A2DFB"/>
    <w:rsid w:val="005A4602"/>
    <w:rsid w:val="005A50E9"/>
    <w:rsid w:val="005B0A9D"/>
    <w:rsid w:val="005B1800"/>
    <w:rsid w:val="005B2821"/>
    <w:rsid w:val="005B2D91"/>
    <w:rsid w:val="005B419A"/>
    <w:rsid w:val="005B48B4"/>
    <w:rsid w:val="005B4E86"/>
    <w:rsid w:val="005B6141"/>
    <w:rsid w:val="005B634A"/>
    <w:rsid w:val="005C01A4"/>
    <w:rsid w:val="005C53FE"/>
    <w:rsid w:val="005C6661"/>
    <w:rsid w:val="005C6E3B"/>
    <w:rsid w:val="005D00E2"/>
    <w:rsid w:val="005D1CA6"/>
    <w:rsid w:val="005D1FB5"/>
    <w:rsid w:val="005D3AC5"/>
    <w:rsid w:val="005D3D90"/>
    <w:rsid w:val="005D474B"/>
    <w:rsid w:val="005D5766"/>
    <w:rsid w:val="005D7493"/>
    <w:rsid w:val="005D7A79"/>
    <w:rsid w:val="005E0560"/>
    <w:rsid w:val="005E085C"/>
    <w:rsid w:val="005E147D"/>
    <w:rsid w:val="005E22C2"/>
    <w:rsid w:val="005E4DEA"/>
    <w:rsid w:val="005E57BB"/>
    <w:rsid w:val="005E6AD0"/>
    <w:rsid w:val="005E7FF7"/>
    <w:rsid w:val="005F0017"/>
    <w:rsid w:val="005F25FB"/>
    <w:rsid w:val="005F67B0"/>
    <w:rsid w:val="005F6A70"/>
    <w:rsid w:val="006014F1"/>
    <w:rsid w:val="006115F1"/>
    <w:rsid w:val="00612157"/>
    <w:rsid w:val="006125FA"/>
    <w:rsid w:val="00612695"/>
    <w:rsid w:val="0061357B"/>
    <w:rsid w:val="00614A7D"/>
    <w:rsid w:val="00616245"/>
    <w:rsid w:val="00616B22"/>
    <w:rsid w:val="00617623"/>
    <w:rsid w:val="0062486B"/>
    <w:rsid w:val="00626C22"/>
    <w:rsid w:val="006306FA"/>
    <w:rsid w:val="006318CF"/>
    <w:rsid w:val="00631E8A"/>
    <w:rsid w:val="00634435"/>
    <w:rsid w:val="00634C09"/>
    <w:rsid w:val="0063631C"/>
    <w:rsid w:val="0063654B"/>
    <w:rsid w:val="0063757B"/>
    <w:rsid w:val="006377CE"/>
    <w:rsid w:val="00640242"/>
    <w:rsid w:val="00641012"/>
    <w:rsid w:val="00644569"/>
    <w:rsid w:val="006475AC"/>
    <w:rsid w:val="006475B2"/>
    <w:rsid w:val="00650558"/>
    <w:rsid w:val="00650EFA"/>
    <w:rsid w:val="00652C00"/>
    <w:rsid w:val="00652ED4"/>
    <w:rsid w:val="006531BD"/>
    <w:rsid w:val="006537D9"/>
    <w:rsid w:val="00660E85"/>
    <w:rsid w:val="00661DDE"/>
    <w:rsid w:val="006623EE"/>
    <w:rsid w:val="006648E1"/>
    <w:rsid w:val="00664A48"/>
    <w:rsid w:val="00664D56"/>
    <w:rsid w:val="00665DEF"/>
    <w:rsid w:val="00666741"/>
    <w:rsid w:val="00671120"/>
    <w:rsid w:val="006714CF"/>
    <w:rsid w:val="0067468C"/>
    <w:rsid w:val="00674725"/>
    <w:rsid w:val="00674ADF"/>
    <w:rsid w:val="00675BB1"/>
    <w:rsid w:val="006775F1"/>
    <w:rsid w:val="00677AD0"/>
    <w:rsid w:val="00680299"/>
    <w:rsid w:val="006804E0"/>
    <w:rsid w:val="00681471"/>
    <w:rsid w:val="0068186E"/>
    <w:rsid w:val="006825A6"/>
    <w:rsid w:val="00682C15"/>
    <w:rsid w:val="00682D1F"/>
    <w:rsid w:val="00683D27"/>
    <w:rsid w:val="00683E42"/>
    <w:rsid w:val="00683F1E"/>
    <w:rsid w:val="00692207"/>
    <w:rsid w:val="006923A9"/>
    <w:rsid w:val="00692AA7"/>
    <w:rsid w:val="006932F6"/>
    <w:rsid w:val="0069387E"/>
    <w:rsid w:val="00693AD9"/>
    <w:rsid w:val="00693B94"/>
    <w:rsid w:val="00697FEC"/>
    <w:rsid w:val="006A175F"/>
    <w:rsid w:val="006A294F"/>
    <w:rsid w:val="006A44F5"/>
    <w:rsid w:val="006B4537"/>
    <w:rsid w:val="006B554F"/>
    <w:rsid w:val="006B5F85"/>
    <w:rsid w:val="006B673E"/>
    <w:rsid w:val="006B6929"/>
    <w:rsid w:val="006B709B"/>
    <w:rsid w:val="006C54AF"/>
    <w:rsid w:val="006D25E7"/>
    <w:rsid w:val="006D3638"/>
    <w:rsid w:val="006D4019"/>
    <w:rsid w:val="006D4CB8"/>
    <w:rsid w:val="006D4CCF"/>
    <w:rsid w:val="006D69F9"/>
    <w:rsid w:val="006D79B2"/>
    <w:rsid w:val="006E0181"/>
    <w:rsid w:val="006E02AF"/>
    <w:rsid w:val="006E0EAC"/>
    <w:rsid w:val="006E2D93"/>
    <w:rsid w:val="006E3528"/>
    <w:rsid w:val="006E62FB"/>
    <w:rsid w:val="006E6B9F"/>
    <w:rsid w:val="006E6C33"/>
    <w:rsid w:val="006F120E"/>
    <w:rsid w:val="006F2421"/>
    <w:rsid w:val="006F3019"/>
    <w:rsid w:val="006F429F"/>
    <w:rsid w:val="006F539B"/>
    <w:rsid w:val="006F541C"/>
    <w:rsid w:val="00700C0E"/>
    <w:rsid w:val="007013A8"/>
    <w:rsid w:val="007014C6"/>
    <w:rsid w:val="00702614"/>
    <w:rsid w:val="00702CB5"/>
    <w:rsid w:val="00704095"/>
    <w:rsid w:val="007057A8"/>
    <w:rsid w:val="00705DAD"/>
    <w:rsid w:val="007062ED"/>
    <w:rsid w:val="00706BFB"/>
    <w:rsid w:val="00710F22"/>
    <w:rsid w:val="00711598"/>
    <w:rsid w:val="00711894"/>
    <w:rsid w:val="00711E62"/>
    <w:rsid w:val="00712B2E"/>
    <w:rsid w:val="007130F3"/>
    <w:rsid w:val="00714919"/>
    <w:rsid w:val="00715AF1"/>
    <w:rsid w:val="00716049"/>
    <w:rsid w:val="007212A2"/>
    <w:rsid w:val="0072264D"/>
    <w:rsid w:val="007247B9"/>
    <w:rsid w:val="00727D85"/>
    <w:rsid w:val="00730797"/>
    <w:rsid w:val="0073095B"/>
    <w:rsid w:val="007310E8"/>
    <w:rsid w:val="0073174E"/>
    <w:rsid w:val="007346C7"/>
    <w:rsid w:val="00736041"/>
    <w:rsid w:val="00736AE2"/>
    <w:rsid w:val="007408C7"/>
    <w:rsid w:val="00740C2A"/>
    <w:rsid w:val="00740CF1"/>
    <w:rsid w:val="007424EC"/>
    <w:rsid w:val="0074507B"/>
    <w:rsid w:val="007465DA"/>
    <w:rsid w:val="007527CE"/>
    <w:rsid w:val="00752C7F"/>
    <w:rsid w:val="00752F04"/>
    <w:rsid w:val="00754761"/>
    <w:rsid w:val="00754A60"/>
    <w:rsid w:val="00754F8E"/>
    <w:rsid w:val="00756CFA"/>
    <w:rsid w:val="00761019"/>
    <w:rsid w:val="007612CC"/>
    <w:rsid w:val="00761444"/>
    <w:rsid w:val="00761902"/>
    <w:rsid w:val="0076339E"/>
    <w:rsid w:val="007641ED"/>
    <w:rsid w:val="007663C0"/>
    <w:rsid w:val="00772CF2"/>
    <w:rsid w:val="00773D75"/>
    <w:rsid w:val="00774660"/>
    <w:rsid w:val="00776598"/>
    <w:rsid w:val="007771AF"/>
    <w:rsid w:val="007809DF"/>
    <w:rsid w:val="00782D06"/>
    <w:rsid w:val="00784AC8"/>
    <w:rsid w:val="00784F3C"/>
    <w:rsid w:val="00785818"/>
    <w:rsid w:val="00785E70"/>
    <w:rsid w:val="00786975"/>
    <w:rsid w:val="00787739"/>
    <w:rsid w:val="00790284"/>
    <w:rsid w:val="00791AC1"/>
    <w:rsid w:val="00792609"/>
    <w:rsid w:val="00792948"/>
    <w:rsid w:val="0079489B"/>
    <w:rsid w:val="00796E84"/>
    <w:rsid w:val="007A3ADE"/>
    <w:rsid w:val="007A560A"/>
    <w:rsid w:val="007A5733"/>
    <w:rsid w:val="007A5774"/>
    <w:rsid w:val="007A6140"/>
    <w:rsid w:val="007A7DE6"/>
    <w:rsid w:val="007B0D66"/>
    <w:rsid w:val="007B1993"/>
    <w:rsid w:val="007B211F"/>
    <w:rsid w:val="007B2679"/>
    <w:rsid w:val="007B4032"/>
    <w:rsid w:val="007B6667"/>
    <w:rsid w:val="007B7EC2"/>
    <w:rsid w:val="007C018F"/>
    <w:rsid w:val="007C0D7A"/>
    <w:rsid w:val="007C1A08"/>
    <w:rsid w:val="007C2E89"/>
    <w:rsid w:val="007C4971"/>
    <w:rsid w:val="007C6401"/>
    <w:rsid w:val="007C7F4A"/>
    <w:rsid w:val="007D12FB"/>
    <w:rsid w:val="007D68A9"/>
    <w:rsid w:val="007D6E28"/>
    <w:rsid w:val="007D7974"/>
    <w:rsid w:val="007E1C15"/>
    <w:rsid w:val="007E2328"/>
    <w:rsid w:val="007E29B6"/>
    <w:rsid w:val="007E37D0"/>
    <w:rsid w:val="007E57EA"/>
    <w:rsid w:val="007F2703"/>
    <w:rsid w:val="007F3664"/>
    <w:rsid w:val="007F47BA"/>
    <w:rsid w:val="007F6F66"/>
    <w:rsid w:val="0080054D"/>
    <w:rsid w:val="008013A0"/>
    <w:rsid w:val="00801E74"/>
    <w:rsid w:val="0080301E"/>
    <w:rsid w:val="00803CB7"/>
    <w:rsid w:val="00803D46"/>
    <w:rsid w:val="0080485E"/>
    <w:rsid w:val="00806CFA"/>
    <w:rsid w:val="008104A3"/>
    <w:rsid w:val="00810793"/>
    <w:rsid w:val="00810A0F"/>
    <w:rsid w:val="00811DA8"/>
    <w:rsid w:val="00811E34"/>
    <w:rsid w:val="008133CD"/>
    <w:rsid w:val="008142B4"/>
    <w:rsid w:val="008146EC"/>
    <w:rsid w:val="00816CB4"/>
    <w:rsid w:val="008176EE"/>
    <w:rsid w:val="00820A70"/>
    <w:rsid w:val="00820BF9"/>
    <w:rsid w:val="0082349B"/>
    <w:rsid w:val="008243C1"/>
    <w:rsid w:val="0082511C"/>
    <w:rsid w:val="008261CF"/>
    <w:rsid w:val="008301E0"/>
    <w:rsid w:val="00830A70"/>
    <w:rsid w:val="00831843"/>
    <w:rsid w:val="00832324"/>
    <w:rsid w:val="00832CA0"/>
    <w:rsid w:val="00835337"/>
    <w:rsid w:val="00836867"/>
    <w:rsid w:val="00836FAD"/>
    <w:rsid w:val="008374D7"/>
    <w:rsid w:val="00837FCC"/>
    <w:rsid w:val="00840754"/>
    <w:rsid w:val="0084171B"/>
    <w:rsid w:val="00841C46"/>
    <w:rsid w:val="00845107"/>
    <w:rsid w:val="00845259"/>
    <w:rsid w:val="00846DCD"/>
    <w:rsid w:val="008470AE"/>
    <w:rsid w:val="00847555"/>
    <w:rsid w:val="00847B54"/>
    <w:rsid w:val="00850C7B"/>
    <w:rsid w:val="00851D85"/>
    <w:rsid w:val="008547E8"/>
    <w:rsid w:val="00854DA7"/>
    <w:rsid w:val="008606CD"/>
    <w:rsid w:val="00860CCB"/>
    <w:rsid w:val="00860CDB"/>
    <w:rsid w:val="00860E9C"/>
    <w:rsid w:val="00862229"/>
    <w:rsid w:val="008636F6"/>
    <w:rsid w:val="0086660A"/>
    <w:rsid w:val="008740A3"/>
    <w:rsid w:val="008748CD"/>
    <w:rsid w:val="00874BF2"/>
    <w:rsid w:val="008767B9"/>
    <w:rsid w:val="0087761F"/>
    <w:rsid w:val="008801D4"/>
    <w:rsid w:val="008829CE"/>
    <w:rsid w:val="00882AEE"/>
    <w:rsid w:val="0088355F"/>
    <w:rsid w:val="008908BC"/>
    <w:rsid w:val="00891072"/>
    <w:rsid w:val="0089297B"/>
    <w:rsid w:val="00893F23"/>
    <w:rsid w:val="008965C4"/>
    <w:rsid w:val="00897AA8"/>
    <w:rsid w:val="008A00EE"/>
    <w:rsid w:val="008A1E53"/>
    <w:rsid w:val="008A2828"/>
    <w:rsid w:val="008A330D"/>
    <w:rsid w:val="008A4F0B"/>
    <w:rsid w:val="008A50A1"/>
    <w:rsid w:val="008A759B"/>
    <w:rsid w:val="008B0695"/>
    <w:rsid w:val="008B32AD"/>
    <w:rsid w:val="008B5959"/>
    <w:rsid w:val="008B6E53"/>
    <w:rsid w:val="008B7D8E"/>
    <w:rsid w:val="008C0829"/>
    <w:rsid w:val="008C2C60"/>
    <w:rsid w:val="008C36CA"/>
    <w:rsid w:val="008C3DD8"/>
    <w:rsid w:val="008D5D2D"/>
    <w:rsid w:val="008D6F15"/>
    <w:rsid w:val="008D7B22"/>
    <w:rsid w:val="008E161E"/>
    <w:rsid w:val="008E1CFD"/>
    <w:rsid w:val="008E3F8C"/>
    <w:rsid w:val="008E4B3B"/>
    <w:rsid w:val="008E55FB"/>
    <w:rsid w:val="008F1457"/>
    <w:rsid w:val="008F1717"/>
    <w:rsid w:val="008F5258"/>
    <w:rsid w:val="008F75C4"/>
    <w:rsid w:val="008F7BCF"/>
    <w:rsid w:val="00902FD0"/>
    <w:rsid w:val="009053D3"/>
    <w:rsid w:val="0090691F"/>
    <w:rsid w:val="00907F08"/>
    <w:rsid w:val="00907FA2"/>
    <w:rsid w:val="009105BE"/>
    <w:rsid w:val="009138D3"/>
    <w:rsid w:val="00917976"/>
    <w:rsid w:val="009179C0"/>
    <w:rsid w:val="00922475"/>
    <w:rsid w:val="0092322C"/>
    <w:rsid w:val="0092364E"/>
    <w:rsid w:val="00927AA7"/>
    <w:rsid w:val="0093111F"/>
    <w:rsid w:val="0093350D"/>
    <w:rsid w:val="009339F3"/>
    <w:rsid w:val="00935689"/>
    <w:rsid w:val="00937BB7"/>
    <w:rsid w:val="0094361A"/>
    <w:rsid w:val="00945C09"/>
    <w:rsid w:val="009468BA"/>
    <w:rsid w:val="0094721E"/>
    <w:rsid w:val="00947D09"/>
    <w:rsid w:val="00952918"/>
    <w:rsid w:val="00952B77"/>
    <w:rsid w:val="00952B7D"/>
    <w:rsid w:val="0095303B"/>
    <w:rsid w:val="0095462E"/>
    <w:rsid w:val="0095680A"/>
    <w:rsid w:val="00956956"/>
    <w:rsid w:val="00962978"/>
    <w:rsid w:val="00964504"/>
    <w:rsid w:val="00965C5F"/>
    <w:rsid w:val="009663B6"/>
    <w:rsid w:val="00967C7A"/>
    <w:rsid w:val="009718AC"/>
    <w:rsid w:val="009732C6"/>
    <w:rsid w:val="00974A47"/>
    <w:rsid w:val="009758A4"/>
    <w:rsid w:val="00976A61"/>
    <w:rsid w:val="00976EC2"/>
    <w:rsid w:val="00980286"/>
    <w:rsid w:val="00981389"/>
    <w:rsid w:val="009848CF"/>
    <w:rsid w:val="0098557D"/>
    <w:rsid w:val="00986904"/>
    <w:rsid w:val="00986AC9"/>
    <w:rsid w:val="00990DCF"/>
    <w:rsid w:val="00991644"/>
    <w:rsid w:val="00991845"/>
    <w:rsid w:val="00993206"/>
    <w:rsid w:val="00996698"/>
    <w:rsid w:val="009A2955"/>
    <w:rsid w:val="009A2EBE"/>
    <w:rsid w:val="009A4C8C"/>
    <w:rsid w:val="009A4CD6"/>
    <w:rsid w:val="009A537C"/>
    <w:rsid w:val="009A5DE9"/>
    <w:rsid w:val="009B02A5"/>
    <w:rsid w:val="009B3CF8"/>
    <w:rsid w:val="009B401C"/>
    <w:rsid w:val="009B428C"/>
    <w:rsid w:val="009B46B1"/>
    <w:rsid w:val="009B57AE"/>
    <w:rsid w:val="009B693D"/>
    <w:rsid w:val="009C0886"/>
    <w:rsid w:val="009C0FF2"/>
    <w:rsid w:val="009C1035"/>
    <w:rsid w:val="009C19EE"/>
    <w:rsid w:val="009C24E6"/>
    <w:rsid w:val="009C28D0"/>
    <w:rsid w:val="009C3588"/>
    <w:rsid w:val="009C35F2"/>
    <w:rsid w:val="009C5562"/>
    <w:rsid w:val="009C7782"/>
    <w:rsid w:val="009C7A16"/>
    <w:rsid w:val="009D00C4"/>
    <w:rsid w:val="009D1D2C"/>
    <w:rsid w:val="009D1ED5"/>
    <w:rsid w:val="009D207C"/>
    <w:rsid w:val="009D32F8"/>
    <w:rsid w:val="009D37A8"/>
    <w:rsid w:val="009D47FE"/>
    <w:rsid w:val="009D4C13"/>
    <w:rsid w:val="009E0E61"/>
    <w:rsid w:val="009E1E78"/>
    <w:rsid w:val="009E21A7"/>
    <w:rsid w:val="009E398B"/>
    <w:rsid w:val="009E5A4F"/>
    <w:rsid w:val="009F0F5F"/>
    <w:rsid w:val="009F2361"/>
    <w:rsid w:val="009F52EB"/>
    <w:rsid w:val="00A030E8"/>
    <w:rsid w:val="00A05203"/>
    <w:rsid w:val="00A05265"/>
    <w:rsid w:val="00A055DC"/>
    <w:rsid w:val="00A06942"/>
    <w:rsid w:val="00A103ED"/>
    <w:rsid w:val="00A13C60"/>
    <w:rsid w:val="00A15134"/>
    <w:rsid w:val="00A16FC7"/>
    <w:rsid w:val="00A1743B"/>
    <w:rsid w:val="00A20FAA"/>
    <w:rsid w:val="00A210DA"/>
    <w:rsid w:val="00A22440"/>
    <w:rsid w:val="00A239EB"/>
    <w:rsid w:val="00A23A1D"/>
    <w:rsid w:val="00A24025"/>
    <w:rsid w:val="00A26451"/>
    <w:rsid w:val="00A312EB"/>
    <w:rsid w:val="00A341A3"/>
    <w:rsid w:val="00A35800"/>
    <w:rsid w:val="00A40D09"/>
    <w:rsid w:val="00A41606"/>
    <w:rsid w:val="00A44FA9"/>
    <w:rsid w:val="00A451CE"/>
    <w:rsid w:val="00A4667A"/>
    <w:rsid w:val="00A47A9C"/>
    <w:rsid w:val="00A504E2"/>
    <w:rsid w:val="00A52918"/>
    <w:rsid w:val="00A52FCD"/>
    <w:rsid w:val="00A547B3"/>
    <w:rsid w:val="00A5704A"/>
    <w:rsid w:val="00A570BC"/>
    <w:rsid w:val="00A57943"/>
    <w:rsid w:val="00A60E15"/>
    <w:rsid w:val="00A60EF9"/>
    <w:rsid w:val="00A64396"/>
    <w:rsid w:val="00A6439F"/>
    <w:rsid w:val="00A64F31"/>
    <w:rsid w:val="00A65859"/>
    <w:rsid w:val="00A70E82"/>
    <w:rsid w:val="00A725CE"/>
    <w:rsid w:val="00A73FDF"/>
    <w:rsid w:val="00A75465"/>
    <w:rsid w:val="00A75D93"/>
    <w:rsid w:val="00A76557"/>
    <w:rsid w:val="00A7685A"/>
    <w:rsid w:val="00A7741A"/>
    <w:rsid w:val="00A810B9"/>
    <w:rsid w:val="00A81E58"/>
    <w:rsid w:val="00A84CAD"/>
    <w:rsid w:val="00A90E50"/>
    <w:rsid w:val="00A91BC6"/>
    <w:rsid w:val="00A9209A"/>
    <w:rsid w:val="00A93827"/>
    <w:rsid w:val="00A95FA5"/>
    <w:rsid w:val="00A960DE"/>
    <w:rsid w:val="00A96D92"/>
    <w:rsid w:val="00AA354A"/>
    <w:rsid w:val="00AA3580"/>
    <w:rsid w:val="00AA5E7A"/>
    <w:rsid w:val="00AB038C"/>
    <w:rsid w:val="00AB18FA"/>
    <w:rsid w:val="00AB199C"/>
    <w:rsid w:val="00AB2010"/>
    <w:rsid w:val="00AB3733"/>
    <w:rsid w:val="00AB425E"/>
    <w:rsid w:val="00AB469F"/>
    <w:rsid w:val="00AB506F"/>
    <w:rsid w:val="00AB5186"/>
    <w:rsid w:val="00AB588C"/>
    <w:rsid w:val="00AB7897"/>
    <w:rsid w:val="00AB799A"/>
    <w:rsid w:val="00AB7BC8"/>
    <w:rsid w:val="00AB7DD8"/>
    <w:rsid w:val="00AC0B0A"/>
    <w:rsid w:val="00AC192E"/>
    <w:rsid w:val="00AC2DEF"/>
    <w:rsid w:val="00AC2E2A"/>
    <w:rsid w:val="00AC359D"/>
    <w:rsid w:val="00AC3B4F"/>
    <w:rsid w:val="00AC5054"/>
    <w:rsid w:val="00AC689B"/>
    <w:rsid w:val="00AC7ED1"/>
    <w:rsid w:val="00AD38D0"/>
    <w:rsid w:val="00AD4D17"/>
    <w:rsid w:val="00AE0351"/>
    <w:rsid w:val="00AE04FA"/>
    <w:rsid w:val="00AE12B7"/>
    <w:rsid w:val="00AE1403"/>
    <w:rsid w:val="00AE2726"/>
    <w:rsid w:val="00AE45B1"/>
    <w:rsid w:val="00AE4BAC"/>
    <w:rsid w:val="00AE66D5"/>
    <w:rsid w:val="00AE79E9"/>
    <w:rsid w:val="00AF05AF"/>
    <w:rsid w:val="00AF15C1"/>
    <w:rsid w:val="00AF799E"/>
    <w:rsid w:val="00B00E72"/>
    <w:rsid w:val="00B010A2"/>
    <w:rsid w:val="00B01A3D"/>
    <w:rsid w:val="00B0349E"/>
    <w:rsid w:val="00B034FC"/>
    <w:rsid w:val="00B05310"/>
    <w:rsid w:val="00B06133"/>
    <w:rsid w:val="00B0652D"/>
    <w:rsid w:val="00B068DD"/>
    <w:rsid w:val="00B10A0B"/>
    <w:rsid w:val="00B16639"/>
    <w:rsid w:val="00B215BD"/>
    <w:rsid w:val="00B22F9D"/>
    <w:rsid w:val="00B23D5B"/>
    <w:rsid w:val="00B30125"/>
    <w:rsid w:val="00B30D85"/>
    <w:rsid w:val="00B31E56"/>
    <w:rsid w:val="00B3318A"/>
    <w:rsid w:val="00B33D40"/>
    <w:rsid w:val="00B34CD4"/>
    <w:rsid w:val="00B35A4A"/>
    <w:rsid w:val="00B3617A"/>
    <w:rsid w:val="00B40969"/>
    <w:rsid w:val="00B413C6"/>
    <w:rsid w:val="00B41981"/>
    <w:rsid w:val="00B453CF"/>
    <w:rsid w:val="00B453EE"/>
    <w:rsid w:val="00B47114"/>
    <w:rsid w:val="00B50D07"/>
    <w:rsid w:val="00B53A26"/>
    <w:rsid w:val="00B53FA5"/>
    <w:rsid w:val="00B56954"/>
    <w:rsid w:val="00B61110"/>
    <w:rsid w:val="00B614B1"/>
    <w:rsid w:val="00B61DBC"/>
    <w:rsid w:val="00B62432"/>
    <w:rsid w:val="00B63FD7"/>
    <w:rsid w:val="00B64396"/>
    <w:rsid w:val="00B71482"/>
    <w:rsid w:val="00B72E2A"/>
    <w:rsid w:val="00B741C5"/>
    <w:rsid w:val="00B7476E"/>
    <w:rsid w:val="00B77236"/>
    <w:rsid w:val="00B80174"/>
    <w:rsid w:val="00B814D1"/>
    <w:rsid w:val="00B816D9"/>
    <w:rsid w:val="00B818DA"/>
    <w:rsid w:val="00B83059"/>
    <w:rsid w:val="00B8500A"/>
    <w:rsid w:val="00B9120F"/>
    <w:rsid w:val="00B9216C"/>
    <w:rsid w:val="00B924A4"/>
    <w:rsid w:val="00B93794"/>
    <w:rsid w:val="00B94CDD"/>
    <w:rsid w:val="00B95433"/>
    <w:rsid w:val="00B9686D"/>
    <w:rsid w:val="00B97352"/>
    <w:rsid w:val="00BA1018"/>
    <w:rsid w:val="00BA134F"/>
    <w:rsid w:val="00BA1FC7"/>
    <w:rsid w:val="00BA37CF"/>
    <w:rsid w:val="00BA3F15"/>
    <w:rsid w:val="00BA5A28"/>
    <w:rsid w:val="00BA5D22"/>
    <w:rsid w:val="00BA5D90"/>
    <w:rsid w:val="00BA79A0"/>
    <w:rsid w:val="00BA7BD5"/>
    <w:rsid w:val="00BB049C"/>
    <w:rsid w:val="00BB08E7"/>
    <w:rsid w:val="00BB0D1A"/>
    <w:rsid w:val="00BB1D3B"/>
    <w:rsid w:val="00BB2235"/>
    <w:rsid w:val="00BB2430"/>
    <w:rsid w:val="00BB3765"/>
    <w:rsid w:val="00BB3926"/>
    <w:rsid w:val="00BB3E76"/>
    <w:rsid w:val="00BB5429"/>
    <w:rsid w:val="00BB748A"/>
    <w:rsid w:val="00BC0329"/>
    <w:rsid w:val="00BC2AA1"/>
    <w:rsid w:val="00BC3539"/>
    <w:rsid w:val="00BC35ED"/>
    <w:rsid w:val="00BC3AFA"/>
    <w:rsid w:val="00BC50A4"/>
    <w:rsid w:val="00BC5585"/>
    <w:rsid w:val="00BC602F"/>
    <w:rsid w:val="00BC6175"/>
    <w:rsid w:val="00BC6779"/>
    <w:rsid w:val="00BC7439"/>
    <w:rsid w:val="00BC7C16"/>
    <w:rsid w:val="00BD3669"/>
    <w:rsid w:val="00BD3AC6"/>
    <w:rsid w:val="00BD68FE"/>
    <w:rsid w:val="00BD797D"/>
    <w:rsid w:val="00BE0BF5"/>
    <w:rsid w:val="00BE205A"/>
    <w:rsid w:val="00BE3802"/>
    <w:rsid w:val="00BE4639"/>
    <w:rsid w:val="00BE5AED"/>
    <w:rsid w:val="00BE683E"/>
    <w:rsid w:val="00BF1FAA"/>
    <w:rsid w:val="00BF238E"/>
    <w:rsid w:val="00BF2F4A"/>
    <w:rsid w:val="00BF3134"/>
    <w:rsid w:val="00BF35BE"/>
    <w:rsid w:val="00BF3D59"/>
    <w:rsid w:val="00BF51DF"/>
    <w:rsid w:val="00BF544D"/>
    <w:rsid w:val="00BF5AA6"/>
    <w:rsid w:val="00BF6053"/>
    <w:rsid w:val="00BF79EE"/>
    <w:rsid w:val="00C0010E"/>
    <w:rsid w:val="00C0076F"/>
    <w:rsid w:val="00C0112A"/>
    <w:rsid w:val="00C01199"/>
    <w:rsid w:val="00C0301C"/>
    <w:rsid w:val="00C050B6"/>
    <w:rsid w:val="00C066D8"/>
    <w:rsid w:val="00C07072"/>
    <w:rsid w:val="00C10F12"/>
    <w:rsid w:val="00C1500A"/>
    <w:rsid w:val="00C15A0F"/>
    <w:rsid w:val="00C162AC"/>
    <w:rsid w:val="00C20443"/>
    <w:rsid w:val="00C22F87"/>
    <w:rsid w:val="00C23347"/>
    <w:rsid w:val="00C245EA"/>
    <w:rsid w:val="00C256F6"/>
    <w:rsid w:val="00C26DDD"/>
    <w:rsid w:val="00C30669"/>
    <w:rsid w:val="00C3097E"/>
    <w:rsid w:val="00C3514F"/>
    <w:rsid w:val="00C35C3D"/>
    <w:rsid w:val="00C35ECC"/>
    <w:rsid w:val="00C361A8"/>
    <w:rsid w:val="00C40EBA"/>
    <w:rsid w:val="00C41246"/>
    <w:rsid w:val="00C4586E"/>
    <w:rsid w:val="00C45E5F"/>
    <w:rsid w:val="00C4622D"/>
    <w:rsid w:val="00C46291"/>
    <w:rsid w:val="00C46405"/>
    <w:rsid w:val="00C505B5"/>
    <w:rsid w:val="00C509DA"/>
    <w:rsid w:val="00C51281"/>
    <w:rsid w:val="00C52C76"/>
    <w:rsid w:val="00C531A6"/>
    <w:rsid w:val="00C54275"/>
    <w:rsid w:val="00C54AB2"/>
    <w:rsid w:val="00C5745D"/>
    <w:rsid w:val="00C6283D"/>
    <w:rsid w:val="00C63412"/>
    <w:rsid w:val="00C639F1"/>
    <w:rsid w:val="00C655EB"/>
    <w:rsid w:val="00C664DD"/>
    <w:rsid w:val="00C6701B"/>
    <w:rsid w:val="00C714D0"/>
    <w:rsid w:val="00C7355A"/>
    <w:rsid w:val="00C77EA3"/>
    <w:rsid w:val="00C80188"/>
    <w:rsid w:val="00C82491"/>
    <w:rsid w:val="00C82CA3"/>
    <w:rsid w:val="00C84885"/>
    <w:rsid w:val="00C84B0A"/>
    <w:rsid w:val="00C85F94"/>
    <w:rsid w:val="00C87790"/>
    <w:rsid w:val="00C90EF4"/>
    <w:rsid w:val="00C90FB3"/>
    <w:rsid w:val="00C92E5B"/>
    <w:rsid w:val="00C94420"/>
    <w:rsid w:val="00C949E0"/>
    <w:rsid w:val="00C94A67"/>
    <w:rsid w:val="00C95D66"/>
    <w:rsid w:val="00CA015A"/>
    <w:rsid w:val="00CA030B"/>
    <w:rsid w:val="00CA07B5"/>
    <w:rsid w:val="00CA15CC"/>
    <w:rsid w:val="00CA3530"/>
    <w:rsid w:val="00CA51C0"/>
    <w:rsid w:val="00CA5EF3"/>
    <w:rsid w:val="00CB012A"/>
    <w:rsid w:val="00CB0927"/>
    <w:rsid w:val="00CB169D"/>
    <w:rsid w:val="00CC112B"/>
    <w:rsid w:val="00CC1AA3"/>
    <w:rsid w:val="00CC251C"/>
    <w:rsid w:val="00CC6FCF"/>
    <w:rsid w:val="00CC7559"/>
    <w:rsid w:val="00CC7FB8"/>
    <w:rsid w:val="00CD2AEC"/>
    <w:rsid w:val="00CD3EEB"/>
    <w:rsid w:val="00CD4486"/>
    <w:rsid w:val="00CD51A9"/>
    <w:rsid w:val="00CD59F9"/>
    <w:rsid w:val="00CD6DD5"/>
    <w:rsid w:val="00CE0FFD"/>
    <w:rsid w:val="00CE12B5"/>
    <w:rsid w:val="00CE1FA8"/>
    <w:rsid w:val="00CE30E6"/>
    <w:rsid w:val="00CE3619"/>
    <w:rsid w:val="00CE3796"/>
    <w:rsid w:val="00CE4010"/>
    <w:rsid w:val="00CE67E8"/>
    <w:rsid w:val="00CE6F8D"/>
    <w:rsid w:val="00CF0AB6"/>
    <w:rsid w:val="00CF1AA5"/>
    <w:rsid w:val="00CF5E22"/>
    <w:rsid w:val="00CF6E48"/>
    <w:rsid w:val="00D01F36"/>
    <w:rsid w:val="00D06A44"/>
    <w:rsid w:val="00D06B97"/>
    <w:rsid w:val="00D06BF4"/>
    <w:rsid w:val="00D1039C"/>
    <w:rsid w:val="00D105B9"/>
    <w:rsid w:val="00D10C00"/>
    <w:rsid w:val="00D10C2F"/>
    <w:rsid w:val="00D10C6C"/>
    <w:rsid w:val="00D12894"/>
    <w:rsid w:val="00D13B3E"/>
    <w:rsid w:val="00D14432"/>
    <w:rsid w:val="00D151A5"/>
    <w:rsid w:val="00D151EB"/>
    <w:rsid w:val="00D16D45"/>
    <w:rsid w:val="00D214B2"/>
    <w:rsid w:val="00D215C7"/>
    <w:rsid w:val="00D21BB3"/>
    <w:rsid w:val="00D223A6"/>
    <w:rsid w:val="00D24083"/>
    <w:rsid w:val="00D24417"/>
    <w:rsid w:val="00D24816"/>
    <w:rsid w:val="00D274A1"/>
    <w:rsid w:val="00D27BE4"/>
    <w:rsid w:val="00D300E0"/>
    <w:rsid w:val="00D3018B"/>
    <w:rsid w:val="00D33A01"/>
    <w:rsid w:val="00D35C0B"/>
    <w:rsid w:val="00D374CD"/>
    <w:rsid w:val="00D378E6"/>
    <w:rsid w:val="00D3797C"/>
    <w:rsid w:val="00D43E00"/>
    <w:rsid w:val="00D46F7F"/>
    <w:rsid w:val="00D507E1"/>
    <w:rsid w:val="00D51FB0"/>
    <w:rsid w:val="00D527B4"/>
    <w:rsid w:val="00D53549"/>
    <w:rsid w:val="00D536CD"/>
    <w:rsid w:val="00D54573"/>
    <w:rsid w:val="00D552F7"/>
    <w:rsid w:val="00D61D2C"/>
    <w:rsid w:val="00D63DFB"/>
    <w:rsid w:val="00D650CE"/>
    <w:rsid w:val="00D65166"/>
    <w:rsid w:val="00D67138"/>
    <w:rsid w:val="00D67B34"/>
    <w:rsid w:val="00D67BEA"/>
    <w:rsid w:val="00D71719"/>
    <w:rsid w:val="00D727FE"/>
    <w:rsid w:val="00D72FF0"/>
    <w:rsid w:val="00D741F5"/>
    <w:rsid w:val="00D7478D"/>
    <w:rsid w:val="00D769E1"/>
    <w:rsid w:val="00D776DA"/>
    <w:rsid w:val="00D814AF"/>
    <w:rsid w:val="00D817A4"/>
    <w:rsid w:val="00D82767"/>
    <w:rsid w:val="00D83041"/>
    <w:rsid w:val="00D8462C"/>
    <w:rsid w:val="00D84C09"/>
    <w:rsid w:val="00D85629"/>
    <w:rsid w:val="00D8608D"/>
    <w:rsid w:val="00D8758B"/>
    <w:rsid w:val="00D87CB2"/>
    <w:rsid w:val="00D9088C"/>
    <w:rsid w:val="00D912B6"/>
    <w:rsid w:val="00D9280C"/>
    <w:rsid w:val="00D942B3"/>
    <w:rsid w:val="00D94863"/>
    <w:rsid w:val="00D96D95"/>
    <w:rsid w:val="00DA0695"/>
    <w:rsid w:val="00DA1C68"/>
    <w:rsid w:val="00DA5A3D"/>
    <w:rsid w:val="00DA5AF8"/>
    <w:rsid w:val="00DA7D09"/>
    <w:rsid w:val="00DB036F"/>
    <w:rsid w:val="00DB38D2"/>
    <w:rsid w:val="00DB4F0E"/>
    <w:rsid w:val="00DB6EDA"/>
    <w:rsid w:val="00DC0595"/>
    <w:rsid w:val="00DC1450"/>
    <w:rsid w:val="00DC2630"/>
    <w:rsid w:val="00DC4999"/>
    <w:rsid w:val="00DC49E9"/>
    <w:rsid w:val="00DC55E4"/>
    <w:rsid w:val="00DC5CE2"/>
    <w:rsid w:val="00DC6909"/>
    <w:rsid w:val="00DC69DE"/>
    <w:rsid w:val="00DC7AEC"/>
    <w:rsid w:val="00DC7D71"/>
    <w:rsid w:val="00DD0B69"/>
    <w:rsid w:val="00DD188C"/>
    <w:rsid w:val="00DD2102"/>
    <w:rsid w:val="00DD243B"/>
    <w:rsid w:val="00DD263B"/>
    <w:rsid w:val="00DD29A3"/>
    <w:rsid w:val="00DD4420"/>
    <w:rsid w:val="00DD48EE"/>
    <w:rsid w:val="00DD7424"/>
    <w:rsid w:val="00DE0B96"/>
    <w:rsid w:val="00DE0CAB"/>
    <w:rsid w:val="00DE10B9"/>
    <w:rsid w:val="00DE13DD"/>
    <w:rsid w:val="00DE4015"/>
    <w:rsid w:val="00DE431F"/>
    <w:rsid w:val="00DE50CB"/>
    <w:rsid w:val="00DE5131"/>
    <w:rsid w:val="00DE57C4"/>
    <w:rsid w:val="00DF0B13"/>
    <w:rsid w:val="00DF1454"/>
    <w:rsid w:val="00DF2EB8"/>
    <w:rsid w:val="00DF2FE4"/>
    <w:rsid w:val="00DF316E"/>
    <w:rsid w:val="00DF3279"/>
    <w:rsid w:val="00DF4A94"/>
    <w:rsid w:val="00DF5740"/>
    <w:rsid w:val="00DF6003"/>
    <w:rsid w:val="00DF73D6"/>
    <w:rsid w:val="00E00095"/>
    <w:rsid w:val="00E005D0"/>
    <w:rsid w:val="00E040D2"/>
    <w:rsid w:val="00E04827"/>
    <w:rsid w:val="00E066C3"/>
    <w:rsid w:val="00E068BA"/>
    <w:rsid w:val="00E10D8C"/>
    <w:rsid w:val="00E11C54"/>
    <w:rsid w:val="00E1244F"/>
    <w:rsid w:val="00E1353A"/>
    <w:rsid w:val="00E1427F"/>
    <w:rsid w:val="00E1564B"/>
    <w:rsid w:val="00E20265"/>
    <w:rsid w:val="00E208A0"/>
    <w:rsid w:val="00E20CE1"/>
    <w:rsid w:val="00E22763"/>
    <w:rsid w:val="00E2338F"/>
    <w:rsid w:val="00E249E1"/>
    <w:rsid w:val="00E24DAB"/>
    <w:rsid w:val="00E25B49"/>
    <w:rsid w:val="00E270DB"/>
    <w:rsid w:val="00E271B2"/>
    <w:rsid w:val="00E35354"/>
    <w:rsid w:val="00E35B6A"/>
    <w:rsid w:val="00E36D68"/>
    <w:rsid w:val="00E371EA"/>
    <w:rsid w:val="00E372D9"/>
    <w:rsid w:val="00E379DE"/>
    <w:rsid w:val="00E4034A"/>
    <w:rsid w:val="00E421E7"/>
    <w:rsid w:val="00E4366D"/>
    <w:rsid w:val="00E478F1"/>
    <w:rsid w:val="00E521AE"/>
    <w:rsid w:val="00E538DB"/>
    <w:rsid w:val="00E61A23"/>
    <w:rsid w:val="00E624CC"/>
    <w:rsid w:val="00E626CA"/>
    <w:rsid w:val="00E63BF7"/>
    <w:rsid w:val="00E64429"/>
    <w:rsid w:val="00E6478E"/>
    <w:rsid w:val="00E647F3"/>
    <w:rsid w:val="00E658D6"/>
    <w:rsid w:val="00E65974"/>
    <w:rsid w:val="00E65A3B"/>
    <w:rsid w:val="00E65F51"/>
    <w:rsid w:val="00E677DD"/>
    <w:rsid w:val="00E701F3"/>
    <w:rsid w:val="00E7024B"/>
    <w:rsid w:val="00E70D8D"/>
    <w:rsid w:val="00E71123"/>
    <w:rsid w:val="00E7251A"/>
    <w:rsid w:val="00E72E50"/>
    <w:rsid w:val="00E740CE"/>
    <w:rsid w:val="00E7515C"/>
    <w:rsid w:val="00E755D1"/>
    <w:rsid w:val="00E7594B"/>
    <w:rsid w:val="00E768A6"/>
    <w:rsid w:val="00E76C5A"/>
    <w:rsid w:val="00E777CE"/>
    <w:rsid w:val="00E802D0"/>
    <w:rsid w:val="00E803C9"/>
    <w:rsid w:val="00E82F7C"/>
    <w:rsid w:val="00E87A82"/>
    <w:rsid w:val="00E87E62"/>
    <w:rsid w:val="00E900DD"/>
    <w:rsid w:val="00E91665"/>
    <w:rsid w:val="00E94B48"/>
    <w:rsid w:val="00E9516D"/>
    <w:rsid w:val="00E96CA7"/>
    <w:rsid w:val="00E96F22"/>
    <w:rsid w:val="00E971E9"/>
    <w:rsid w:val="00EA0DB3"/>
    <w:rsid w:val="00EA6134"/>
    <w:rsid w:val="00EB0351"/>
    <w:rsid w:val="00EB302E"/>
    <w:rsid w:val="00EB3513"/>
    <w:rsid w:val="00EB35A2"/>
    <w:rsid w:val="00EB4688"/>
    <w:rsid w:val="00EB6C07"/>
    <w:rsid w:val="00EB7857"/>
    <w:rsid w:val="00EC028D"/>
    <w:rsid w:val="00EC4EDC"/>
    <w:rsid w:val="00EC55AA"/>
    <w:rsid w:val="00EC7005"/>
    <w:rsid w:val="00ED0B82"/>
    <w:rsid w:val="00ED0E66"/>
    <w:rsid w:val="00ED4A2E"/>
    <w:rsid w:val="00ED633B"/>
    <w:rsid w:val="00EE0C4A"/>
    <w:rsid w:val="00EE0D30"/>
    <w:rsid w:val="00EE0DC9"/>
    <w:rsid w:val="00EE15B6"/>
    <w:rsid w:val="00EE203A"/>
    <w:rsid w:val="00EE2BBB"/>
    <w:rsid w:val="00EE478C"/>
    <w:rsid w:val="00EE7CA6"/>
    <w:rsid w:val="00EE7D21"/>
    <w:rsid w:val="00EF0AD9"/>
    <w:rsid w:val="00EF3D16"/>
    <w:rsid w:val="00EF70A3"/>
    <w:rsid w:val="00F017F3"/>
    <w:rsid w:val="00F03806"/>
    <w:rsid w:val="00F0484A"/>
    <w:rsid w:val="00F1132C"/>
    <w:rsid w:val="00F11501"/>
    <w:rsid w:val="00F12D4F"/>
    <w:rsid w:val="00F13168"/>
    <w:rsid w:val="00F15DD5"/>
    <w:rsid w:val="00F1685A"/>
    <w:rsid w:val="00F16B62"/>
    <w:rsid w:val="00F17D4B"/>
    <w:rsid w:val="00F17E47"/>
    <w:rsid w:val="00F2211D"/>
    <w:rsid w:val="00F23139"/>
    <w:rsid w:val="00F23516"/>
    <w:rsid w:val="00F243A0"/>
    <w:rsid w:val="00F25DE6"/>
    <w:rsid w:val="00F27898"/>
    <w:rsid w:val="00F3160F"/>
    <w:rsid w:val="00F3183D"/>
    <w:rsid w:val="00F351AC"/>
    <w:rsid w:val="00F35871"/>
    <w:rsid w:val="00F36AA4"/>
    <w:rsid w:val="00F438F3"/>
    <w:rsid w:val="00F44A7A"/>
    <w:rsid w:val="00F44BB1"/>
    <w:rsid w:val="00F473A5"/>
    <w:rsid w:val="00F52C14"/>
    <w:rsid w:val="00F57F8C"/>
    <w:rsid w:val="00F60ACD"/>
    <w:rsid w:val="00F6144F"/>
    <w:rsid w:val="00F61673"/>
    <w:rsid w:val="00F640F5"/>
    <w:rsid w:val="00F66CD5"/>
    <w:rsid w:val="00F677F3"/>
    <w:rsid w:val="00F67A9A"/>
    <w:rsid w:val="00F70840"/>
    <w:rsid w:val="00F70F4E"/>
    <w:rsid w:val="00F72A87"/>
    <w:rsid w:val="00F73113"/>
    <w:rsid w:val="00F75FC4"/>
    <w:rsid w:val="00F813ED"/>
    <w:rsid w:val="00F83367"/>
    <w:rsid w:val="00F8416E"/>
    <w:rsid w:val="00F85981"/>
    <w:rsid w:val="00F85A2D"/>
    <w:rsid w:val="00F87263"/>
    <w:rsid w:val="00F87FFA"/>
    <w:rsid w:val="00F92CDC"/>
    <w:rsid w:val="00F92F95"/>
    <w:rsid w:val="00F930A8"/>
    <w:rsid w:val="00F93725"/>
    <w:rsid w:val="00FA0B16"/>
    <w:rsid w:val="00FA0B56"/>
    <w:rsid w:val="00FA168E"/>
    <w:rsid w:val="00FA17A3"/>
    <w:rsid w:val="00FA2171"/>
    <w:rsid w:val="00FA21EC"/>
    <w:rsid w:val="00FA295A"/>
    <w:rsid w:val="00FA3814"/>
    <w:rsid w:val="00FA4890"/>
    <w:rsid w:val="00FA52E4"/>
    <w:rsid w:val="00FA720C"/>
    <w:rsid w:val="00FB07A4"/>
    <w:rsid w:val="00FB163E"/>
    <w:rsid w:val="00FB244D"/>
    <w:rsid w:val="00FB469C"/>
    <w:rsid w:val="00FB5C9E"/>
    <w:rsid w:val="00FB5CC0"/>
    <w:rsid w:val="00FB63E1"/>
    <w:rsid w:val="00FB73E5"/>
    <w:rsid w:val="00FB77FA"/>
    <w:rsid w:val="00FC1185"/>
    <w:rsid w:val="00FC1635"/>
    <w:rsid w:val="00FC2638"/>
    <w:rsid w:val="00FC2E5E"/>
    <w:rsid w:val="00FC346B"/>
    <w:rsid w:val="00FC3C70"/>
    <w:rsid w:val="00FC3E64"/>
    <w:rsid w:val="00FC4A73"/>
    <w:rsid w:val="00FC559C"/>
    <w:rsid w:val="00FC6912"/>
    <w:rsid w:val="00FC6B7A"/>
    <w:rsid w:val="00FC7C5D"/>
    <w:rsid w:val="00FC7F0D"/>
    <w:rsid w:val="00FC7FE2"/>
    <w:rsid w:val="00FD12B1"/>
    <w:rsid w:val="00FD19AA"/>
    <w:rsid w:val="00FD2A81"/>
    <w:rsid w:val="00FD774C"/>
    <w:rsid w:val="00FE3DAB"/>
    <w:rsid w:val="00FE41F9"/>
    <w:rsid w:val="00FE44BD"/>
    <w:rsid w:val="00FE645A"/>
    <w:rsid w:val="00FE77F3"/>
    <w:rsid w:val="00FE7907"/>
    <w:rsid w:val="00FF1342"/>
    <w:rsid w:val="00FF14CC"/>
    <w:rsid w:val="00FF3353"/>
    <w:rsid w:val="00FF5A35"/>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15:docId w15:val="{A1D261D8-2D63-447C-91F6-10BA6950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aliases w:val="Summary box,Table Gridbeth,CMA Table Template,ASD Table"/>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Revision">
    <w:name w:val="Revision"/>
    <w:hidden/>
    <w:uiPriority w:val="99"/>
    <w:semiHidden/>
    <w:rsid w:val="00640242"/>
    <w:pPr>
      <w:spacing w:after="0" w:line="240" w:lineRule="auto"/>
    </w:pPr>
    <w:rPr>
      <w:sz w:val="24"/>
      <w:szCs w:val="24"/>
    </w:rPr>
  </w:style>
  <w:style w:type="paragraph" w:styleId="NormalWeb">
    <w:name w:val="Normal (Web)"/>
    <w:basedOn w:val="Normal"/>
    <w:uiPriority w:val="99"/>
    <w:semiHidden/>
    <w:unhideWhenUsed/>
    <w:rsid w:val="00785E70"/>
    <w:pPr>
      <w:spacing w:before="100" w:beforeAutospacing="1" w:after="100" w:afterAutospacing="1"/>
    </w:pPr>
    <w:rPr>
      <w:rFonts w:ascii="Times New Roman" w:eastAsia="Times New Roman" w:hAnsi="Times New Roman" w:cs="Times New Roman"/>
    </w:rPr>
  </w:style>
  <w:style w:type="paragraph" w:customStyle="1" w:styleId="TableText">
    <w:name w:val="Table Text"/>
    <w:basedOn w:val="Normal"/>
    <w:link w:val="TableTextChar"/>
    <w:qFormat/>
    <w:rsid w:val="009C24E6"/>
    <w:pPr>
      <w:keepNext/>
      <w:spacing w:before="40" w:after="40"/>
    </w:pPr>
    <w:rPr>
      <w:rFonts w:ascii="Arial Narrow" w:eastAsiaTheme="minorHAnsi" w:hAnsi="Arial Narrow"/>
      <w:sz w:val="20"/>
      <w:szCs w:val="22"/>
      <w:lang w:eastAsia="en-US"/>
    </w:rPr>
  </w:style>
  <w:style w:type="character" w:customStyle="1" w:styleId="TableTextChar">
    <w:name w:val="Table Text Char"/>
    <w:link w:val="TableText"/>
    <w:locked/>
    <w:rsid w:val="009C24E6"/>
    <w:rPr>
      <w:rFonts w:ascii="Arial Narrow" w:eastAsiaTheme="minorHAnsi" w:hAnsi="Arial Narrow"/>
      <w:sz w:val="20"/>
      <w:lang w:eastAsia="en-US"/>
    </w:rPr>
  </w:style>
  <w:style w:type="paragraph" w:customStyle="1" w:styleId="TableHeading0">
    <w:name w:val="Table Heading"/>
    <w:basedOn w:val="Normal"/>
    <w:qFormat/>
    <w:rsid w:val="009C24E6"/>
    <w:pPr>
      <w:keepNext/>
      <w:spacing w:after="60"/>
    </w:pPr>
    <w:rPr>
      <w:rFonts w:ascii="Arial Narrow" w:eastAsiaTheme="minorHAnsi" w:hAnsi="Arial Narrow"/>
      <w:b/>
      <w:sz w:val="20"/>
      <w:szCs w:val="22"/>
      <w:lang w:eastAsia="en-US"/>
    </w:rPr>
  </w:style>
  <w:style w:type="paragraph" w:customStyle="1" w:styleId="Tableheadingrow">
    <w:name w:val="Table heading row"/>
    <w:qFormat/>
    <w:rsid w:val="009C24E6"/>
    <w:pPr>
      <w:keepNext/>
      <w:spacing w:after="0" w:line="240" w:lineRule="auto"/>
    </w:pPr>
    <w:rPr>
      <w:rFonts w:ascii="Arial Narrow" w:eastAsiaTheme="majorEastAsia" w:hAnsi="Arial Narrow" w:cs="Times New Roman"/>
      <w:b/>
      <w:sz w:val="20"/>
      <w:szCs w:val="24"/>
      <w:lang w:val="en-US"/>
    </w:rPr>
  </w:style>
  <w:style w:type="paragraph" w:customStyle="1" w:styleId="TableFigureFooter">
    <w:name w:val="Table/Figure Footer"/>
    <w:basedOn w:val="Normal"/>
    <w:link w:val="TableFigureFooterChar"/>
    <w:qFormat/>
    <w:rsid w:val="009C24E6"/>
    <w:pPr>
      <w:spacing w:after="120"/>
      <w:contextualSpacing/>
      <w:jc w:val="both"/>
    </w:pPr>
    <w:rPr>
      <w:rFonts w:ascii="Arial Narrow" w:eastAsia="Times New Roman" w:hAnsi="Arial Narrow" w:cs="Arial"/>
      <w:snapToGrid w:val="0"/>
      <w:sz w:val="18"/>
      <w:szCs w:val="22"/>
    </w:rPr>
  </w:style>
  <w:style w:type="character" w:customStyle="1" w:styleId="TableFigureFooterChar">
    <w:name w:val="Table/Figure Footer Char"/>
    <w:link w:val="TableFigureFooter"/>
    <w:rsid w:val="009C24E6"/>
    <w:rPr>
      <w:rFonts w:ascii="Arial Narrow" w:eastAsia="Times New Roman" w:hAnsi="Arial Narrow" w:cs="Arial"/>
      <w:snapToGrid w:val="0"/>
      <w:sz w:val="18"/>
    </w:rPr>
  </w:style>
  <w:style w:type="character" w:styleId="UnresolvedMention">
    <w:name w:val="Unresolved Mention"/>
    <w:basedOn w:val="DefaultParagraphFont"/>
    <w:uiPriority w:val="99"/>
    <w:semiHidden/>
    <w:unhideWhenUsed/>
    <w:rsid w:val="00773D75"/>
    <w:rPr>
      <w:color w:val="605E5C"/>
      <w:shd w:val="clear" w:color="auto" w:fill="E1DFDD"/>
    </w:rPr>
  </w:style>
  <w:style w:type="paragraph" w:customStyle="1" w:styleId="pf0">
    <w:name w:val="pf0"/>
    <w:basedOn w:val="Normal"/>
    <w:rsid w:val="00BF3D59"/>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F3D59"/>
    <w:rPr>
      <w:rFonts w:ascii="Segoe UI" w:hAnsi="Segoe UI" w:cs="Segoe UI" w:hint="default"/>
      <w:sz w:val="18"/>
      <w:szCs w:val="18"/>
    </w:rPr>
  </w:style>
  <w:style w:type="character" w:customStyle="1" w:styleId="sr-only">
    <w:name w:val="sr-only"/>
    <w:basedOn w:val="DefaultParagraphFont"/>
    <w:rsid w:val="00AC689B"/>
  </w:style>
  <w:style w:type="character" w:styleId="FollowedHyperlink">
    <w:name w:val="FollowedHyperlink"/>
    <w:basedOn w:val="DefaultParagraphFont"/>
    <w:uiPriority w:val="99"/>
    <w:semiHidden/>
    <w:unhideWhenUsed/>
    <w:rsid w:val="00324C5F"/>
    <w:rPr>
      <w:color w:val="800080" w:themeColor="followedHyperlink"/>
      <w:u w:val="single"/>
    </w:rPr>
  </w:style>
  <w:style w:type="paragraph" w:styleId="EndnoteText">
    <w:name w:val="endnote text"/>
    <w:basedOn w:val="Normal"/>
    <w:link w:val="EndnoteTextChar"/>
    <w:uiPriority w:val="99"/>
    <w:semiHidden/>
    <w:unhideWhenUsed/>
    <w:rsid w:val="00ED0E66"/>
    <w:pPr>
      <w:spacing w:after="0"/>
    </w:pPr>
    <w:rPr>
      <w:sz w:val="20"/>
      <w:szCs w:val="20"/>
    </w:rPr>
  </w:style>
  <w:style w:type="character" w:customStyle="1" w:styleId="EndnoteTextChar">
    <w:name w:val="Endnote Text Char"/>
    <w:basedOn w:val="DefaultParagraphFont"/>
    <w:link w:val="EndnoteText"/>
    <w:uiPriority w:val="99"/>
    <w:semiHidden/>
    <w:rsid w:val="00ED0E66"/>
    <w:rPr>
      <w:sz w:val="20"/>
      <w:szCs w:val="20"/>
    </w:rPr>
  </w:style>
  <w:style w:type="character" w:styleId="EndnoteReference">
    <w:name w:val="endnote reference"/>
    <w:basedOn w:val="DefaultParagraphFont"/>
    <w:uiPriority w:val="99"/>
    <w:semiHidden/>
    <w:unhideWhenUsed/>
    <w:rsid w:val="00ED0E66"/>
    <w:rPr>
      <w:vertAlign w:val="superscript"/>
    </w:rPr>
  </w:style>
  <w:style w:type="paragraph" w:customStyle="1" w:styleId="TableFigureCaption">
    <w:name w:val="Table/Figure Caption"/>
    <w:next w:val="Tableheadingrow"/>
    <w:link w:val="TableFigureCaptionChar"/>
    <w:qFormat/>
    <w:rsid w:val="00215284"/>
    <w:pPr>
      <w:keepNext/>
      <w:spacing w:after="0" w:line="240" w:lineRule="auto"/>
    </w:pPr>
    <w:rPr>
      <w:rFonts w:ascii="Arial Narrow" w:eastAsiaTheme="majorEastAsia" w:hAnsi="Arial Narrow" w:cstheme="majorBidi"/>
      <w:b/>
      <w:bCs/>
      <w:sz w:val="20"/>
      <w:szCs w:val="24"/>
    </w:rPr>
  </w:style>
  <w:style w:type="character" w:customStyle="1" w:styleId="TableFigureCaptionChar">
    <w:name w:val="Table/Figure Caption Char"/>
    <w:basedOn w:val="DefaultParagraphFont"/>
    <w:link w:val="TableFigureCaption"/>
    <w:rsid w:val="00215284"/>
    <w:rPr>
      <w:rFonts w:ascii="Arial Narrow" w:eastAsiaTheme="majorEastAsia" w:hAnsi="Arial Narrow" w:cstheme="majorBidi"/>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2829">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66573532">
      <w:bodyDiv w:val="1"/>
      <w:marLeft w:val="0"/>
      <w:marRight w:val="0"/>
      <w:marTop w:val="0"/>
      <w:marBottom w:val="0"/>
      <w:divBdr>
        <w:top w:val="none" w:sz="0" w:space="0" w:color="auto"/>
        <w:left w:val="none" w:sz="0" w:space="0" w:color="auto"/>
        <w:bottom w:val="none" w:sz="0" w:space="0" w:color="auto"/>
        <w:right w:val="none" w:sz="0" w:space="0" w:color="auto"/>
      </w:divBdr>
      <w:divsChild>
        <w:div w:id="744374361">
          <w:marLeft w:val="0"/>
          <w:marRight w:val="0"/>
          <w:marTop w:val="0"/>
          <w:marBottom w:val="0"/>
          <w:divBdr>
            <w:top w:val="none" w:sz="0" w:space="0" w:color="C4DEEE"/>
            <w:left w:val="none" w:sz="0" w:space="0" w:color="C4DEEE"/>
            <w:bottom w:val="none" w:sz="0" w:space="0" w:color="C4DEEE"/>
            <w:right w:val="none" w:sz="0" w:space="0" w:color="C4DEEE"/>
          </w:divBdr>
          <w:divsChild>
            <w:div w:id="1155486023">
              <w:marLeft w:val="0"/>
              <w:marRight w:val="0"/>
              <w:marTop w:val="0"/>
              <w:marBottom w:val="0"/>
              <w:divBdr>
                <w:top w:val="none" w:sz="0" w:space="0" w:color="C4DEEE"/>
                <w:left w:val="none" w:sz="0" w:space="8" w:color="C4DEEE"/>
                <w:bottom w:val="none" w:sz="0" w:space="0" w:color="C4DEEE"/>
                <w:right w:val="none" w:sz="0" w:space="0" w:color="C4DEEE"/>
              </w:divBdr>
              <w:divsChild>
                <w:div w:id="318312029">
                  <w:marLeft w:val="0"/>
                  <w:marRight w:val="0"/>
                  <w:marTop w:val="0"/>
                  <w:marBottom w:val="0"/>
                  <w:divBdr>
                    <w:top w:val="none" w:sz="0" w:space="2" w:color="C4DEEE"/>
                    <w:left w:val="none" w:sz="0" w:space="15" w:color="C4DEEE"/>
                    <w:bottom w:val="none" w:sz="0" w:space="2" w:color="C4DEEE"/>
                    <w:right w:val="none" w:sz="0" w:space="2" w:color="C4DEEE"/>
                  </w:divBdr>
                </w:div>
                <w:div w:id="998845305">
                  <w:marLeft w:val="0"/>
                  <w:marRight w:val="0"/>
                  <w:marTop w:val="0"/>
                  <w:marBottom w:val="0"/>
                  <w:divBdr>
                    <w:top w:val="none" w:sz="0" w:space="0" w:color="C4DEEE"/>
                    <w:left w:val="none" w:sz="0" w:space="0" w:color="C4DEEE"/>
                    <w:bottom w:val="none" w:sz="0" w:space="0" w:color="C4DEEE"/>
                    <w:right w:val="none" w:sz="0" w:space="0" w:color="C4DEEE"/>
                  </w:divBdr>
                  <w:divsChild>
                    <w:div w:id="884026312">
                      <w:marLeft w:val="0"/>
                      <w:marRight w:val="0"/>
                      <w:marTop w:val="0"/>
                      <w:marBottom w:val="0"/>
                      <w:divBdr>
                        <w:top w:val="none" w:sz="0" w:space="0" w:color="C4DEEE"/>
                        <w:left w:val="none" w:sz="0" w:space="0" w:color="C4DEEE"/>
                        <w:bottom w:val="none" w:sz="0" w:space="0" w:color="C4DEEE"/>
                        <w:right w:val="none" w:sz="0" w:space="0" w:color="C4DEEE"/>
                      </w:divBdr>
                    </w:div>
                  </w:divsChild>
                </w:div>
                <w:div w:id="2143689704">
                  <w:marLeft w:val="0"/>
                  <w:marRight w:val="0"/>
                  <w:marTop w:val="0"/>
                  <w:marBottom w:val="0"/>
                  <w:divBdr>
                    <w:top w:val="none" w:sz="0" w:space="0" w:color="C4DEEE"/>
                    <w:left w:val="none" w:sz="0" w:space="0" w:color="C4DEEE"/>
                    <w:bottom w:val="none" w:sz="0" w:space="0" w:color="C4DEEE"/>
                    <w:right w:val="none" w:sz="0" w:space="0" w:color="C4DEEE"/>
                  </w:divBdr>
                  <w:divsChild>
                    <w:div w:id="254363353">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 w:id="2058775838">
          <w:marLeft w:val="0"/>
          <w:marRight w:val="0"/>
          <w:marTop w:val="0"/>
          <w:marBottom w:val="0"/>
          <w:divBdr>
            <w:top w:val="none" w:sz="0" w:space="0" w:color="C4DEEE"/>
            <w:left w:val="none" w:sz="0" w:space="8" w:color="C4DEEE"/>
            <w:bottom w:val="none" w:sz="0" w:space="0" w:color="C4DEEE"/>
            <w:right w:val="none" w:sz="0" w:space="0" w:color="C4DEEE"/>
          </w:divBdr>
        </w:div>
      </w:divsChild>
    </w:div>
    <w:div w:id="747193259">
      <w:bodyDiv w:val="1"/>
      <w:marLeft w:val="0"/>
      <w:marRight w:val="0"/>
      <w:marTop w:val="0"/>
      <w:marBottom w:val="0"/>
      <w:divBdr>
        <w:top w:val="none" w:sz="0" w:space="0" w:color="auto"/>
        <w:left w:val="none" w:sz="0" w:space="0" w:color="auto"/>
        <w:bottom w:val="none" w:sz="0" w:space="0" w:color="auto"/>
        <w:right w:val="none" w:sz="0" w:space="0" w:color="auto"/>
      </w:divBdr>
    </w:div>
    <w:div w:id="987368744">
      <w:bodyDiv w:val="1"/>
      <w:marLeft w:val="0"/>
      <w:marRight w:val="0"/>
      <w:marTop w:val="0"/>
      <w:marBottom w:val="0"/>
      <w:divBdr>
        <w:top w:val="none" w:sz="0" w:space="0" w:color="auto"/>
        <w:left w:val="none" w:sz="0" w:space="0" w:color="auto"/>
        <w:bottom w:val="none" w:sz="0" w:space="0" w:color="auto"/>
        <w:right w:val="none" w:sz="0" w:space="0" w:color="auto"/>
      </w:divBdr>
      <w:divsChild>
        <w:div w:id="80180334">
          <w:marLeft w:val="0"/>
          <w:marRight w:val="0"/>
          <w:marTop w:val="0"/>
          <w:marBottom w:val="0"/>
          <w:divBdr>
            <w:top w:val="none" w:sz="0" w:space="0" w:color="C4DEEE"/>
            <w:left w:val="none" w:sz="0" w:space="0" w:color="C4DEEE"/>
            <w:bottom w:val="none" w:sz="0" w:space="0" w:color="C4DEEE"/>
            <w:right w:val="none" w:sz="0" w:space="0" w:color="C4DEEE"/>
          </w:divBdr>
          <w:divsChild>
            <w:div w:id="431710301">
              <w:marLeft w:val="0"/>
              <w:marRight w:val="0"/>
              <w:marTop w:val="0"/>
              <w:marBottom w:val="0"/>
              <w:divBdr>
                <w:top w:val="none" w:sz="0" w:space="0" w:color="C4DEEE"/>
                <w:left w:val="none" w:sz="0" w:space="0" w:color="C4DEEE"/>
                <w:bottom w:val="none" w:sz="0" w:space="0" w:color="C4DEEE"/>
                <w:right w:val="none" w:sz="0" w:space="0" w:color="C4DEEE"/>
              </w:divBdr>
            </w:div>
          </w:divsChild>
        </w:div>
        <w:div w:id="938098824">
          <w:marLeft w:val="0"/>
          <w:marRight w:val="0"/>
          <w:marTop w:val="0"/>
          <w:marBottom w:val="0"/>
          <w:divBdr>
            <w:top w:val="none" w:sz="0" w:space="2" w:color="C4DEEE"/>
            <w:left w:val="none" w:sz="0" w:space="15" w:color="C4DEEE"/>
            <w:bottom w:val="none" w:sz="0" w:space="2" w:color="C4DEEE"/>
            <w:right w:val="none" w:sz="0" w:space="2" w:color="C4DEEE"/>
          </w:divBdr>
        </w:div>
        <w:div w:id="928343599">
          <w:marLeft w:val="0"/>
          <w:marRight w:val="0"/>
          <w:marTop w:val="0"/>
          <w:marBottom w:val="0"/>
          <w:divBdr>
            <w:top w:val="none" w:sz="0" w:space="0" w:color="C4DEEE"/>
            <w:left w:val="none" w:sz="0" w:space="0" w:color="C4DEEE"/>
            <w:bottom w:val="none" w:sz="0" w:space="0" w:color="C4DEEE"/>
            <w:right w:val="none" w:sz="0" w:space="0" w:color="C4DEEE"/>
          </w:divBdr>
          <w:divsChild>
            <w:div w:id="513962987">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320186478">
      <w:bodyDiv w:val="1"/>
      <w:marLeft w:val="0"/>
      <w:marRight w:val="0"/>
      <w:marTop w:val="0"/>
      <w:marBottom w:val="0"/>
      <w:divBdr>
        <w:top w:val="none" w:sz="0" w:space="0" w:color="auto"/>
        <w:left w:val="none" w:sz="0" w:space="0" w:color="auto"/>
        <w:bottom w:val="none" w:sz="0" w:space="0" w:color="auto"/>
        <w:right w:val="none" w:sz="0" w:space="0" w:color="auto"/>
      </w:divBdr>
    </w:div>
    <w:div w:id="1344554566">
      <w:bodyDiv w:val="1"/>
      <w:marLeft w:val="0"/>
      <w:marRight w:val="0"/>
      <w:marTop w:val="0"/>
      <w:marBottom w:val="0"/>
      <w:divBdr>
        <w:top w:val="none" w:sz="0" w:space="0" w:color="auto"/>
        <w:left w:val="none" w:sz="0" w:space="0" w:color="auto"/>
        <w:bottom w:val="none" w:sz="0" w:space="0" w:color="auto"/>
        <w:right w:val="none" w:sz="0" w:space="0" w:color="auto"/>
      </w:divBdr>
    </w:div>
    <w:div w:id="1416367231">
      <w:bodyDiv w:val="1"/>
      <w:marLeft w:val="0"/>
      <w:marRight w:val="0"/>
      <w:marTop w:val="0"/>
      <w:marBottom w:val="0"/>
      <w:divBdr>
        <w:top w:val="none" w:sz="0" w:space="0" w:color="auto"/>
        <w:left w:val="none" w:sz="0" w:space="0" w:color="auto"/>
        <w:bottom w:val="none" w:sz="0" w:space="0" w:color="auto"/>
        <w:right w:val="none" w:sz="0" w:space="0" w:color="auto"/>
      </w:divBdr>
    </w:div>
    <w:div w:id="1498233358">
      <w:bodyDiv w:val="1"/>
      <w:marLeft w:val="0"/>
      <w:marRight w:val="0"/>
      <w:marTop w:val="0"/>
      <w:marBottom w:val="0"/>
      <w:divBdr>
        <w:top w:val="none" w:sz="0" w:space="0" w:color="auto"/>
        <w:left w:val="none" w:sz="0" w:space="0" w:color="auto"/>
        <w:bottom w:val="none" w:sz="0" w:space="0" w:color="auto"/>
        <w:right w:val="none" w:sz="0" w:space="0" w:color="auto"/>
      </w:divBdr>
      <w:divsChild>
        <w:div w:id="547572207">
          <w:marLeft w:val="0"/>
          <w:marRight w:val="0"/>
          <w:marTop w:val="0"/>
          <w:marBottom w:val="0"/>
          <w:divBdr>
            <w:top w:val="none" w:sz="0" w:space="0" w:color="C4DEEE"/>
            <w:left w:val="none" w:sz="0" w:space="0" w:color="C4DEEE"/>
            <w:bottom w:val="none" w:sz="0" w:space="0" w:color="C4DEEE"/>
            <w:right w:val="none" w:sz="0" w:space="0" w:color="C4DEEE"/>
          </w:divBdr>
          <w:divsChild>
            <w:div w:id="1191718863">
              <w:marLeft w:val="0"/>
              <w:marRight w:val="0"/>
              <w:marTop w:val="0"/>
              <w:marBottom w:val="0"/>
              <w:divBdr>
                <w:top w:val="none" w:sz="0" w:space="0" w:color="C4DEEE"/>
                <w:left w:val="none" w:sz="0" w:space="0" w:color="C4DEEE"/>
                <w:bottom w:val="none" w:sz="0" w:space="0" w:color="C4DEEE"/>
                <w:right w:val="none" w:sz="0" w:space="0" w:color="C4DEEE"/>
              </w:divBdr>
            </w:div>
          </w:divsChild>
        </w:div>
        <w:div w:id="1630356742">
          <w:marLeft w:val="0"/>
          <w:marRight w:val="0"/>
          <w:marTop w:val="0"/>
          <w:marBottom w:val="0"/>
          <w:divBdr>
            <w:top w:val="none" w:sz="0" w:space="2" w:color="C4DEEE"/>
            <w:left w:val="none" w:sz="0" w:space="15" w:color="C4DEEE"/>
            <w:bottom w:val="none" w:sz="0" w:space="2" w:color="C4DEEE"/>
            <w:right w:val="none" w:sz="0" w:space="2" w:color="C4DEEE"/>
          </w:divBdr>
        </w:div>
        <w:div w:id="1275290710">
          <w:marLeft w:val="0"/>
          <w:marRight w:val="0"/>
          <w:marTop w:val="0"/>
          <w:marBottom w:val="0"/>
          <w:divBdr>
            <w:top w:val="none" w:sz="0" w:space="0" w:color="C4DEEE"/>
            <w:left w:val="none" w:sz="0" w:space="0" w:color="C4DEEE"/>
            <w:bottom w:val="none" w:sz="0" w:space="0" w:color="C4DEEE"/>
            <w:right w:val="none" w:sz="0" w:space="0" w:color="C4DEEE"/>
          </w:divBdr>
          <w:divsChild>
            <w:div w:id="295184282">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1500316905">
      <w:bodyDiv w:val="1"/>
      <w:marLeft w:val="0"/>
      <w:marRight w:val="0"/>
      <w:marTop w:val="0"/>
      <w:marBottom w:val="0"/>
      <w:divBdr>
        <w:top w:val="none" w:sz="0" w:space="0" w:color="auto"/>
        <w:left w:val="none" w:sz="0" w:space="0" w:color="auto"/>
        <w:bottom w:val="none" w:sz="0" w:space="0" w:color="auto"/>
        <w:right w:val="none" w:sz="0" w:space="0" w:color="auto"/>
      </w:divBdr>
    </w:div>
    <w:div w:id="208995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ga.gov.au/consumers/information-medicines-cmi.htm" TargetMode="External"/><Relationship Id="rId18" Type="http://schemas.openxmlformats.org/officeDocument/2006/relationships/hyperlink" Target="file:///\\central.health\DFSGroupData\Sites\CO1\CO\PBD\PEB\EVAL\DUSC\DUSC%20Documents\Predicted%20vs%20actual%20usage\pbs.gov.au" TargetMode="External"/><Relationship Id="rId26" Type="http://schemas.openxmlformats.org/officeDocument/2006/relationships/chart" Target="charts/chart1.xml"/><Relationship Id="rId39" Type="http://schemas.openxmlformats.org/officeDocument/2006/relationships/chart" Target="charts/chart14.xml"/><Relationship Id="rId3" Type="http://schemas.openxmlformats.org/officeDocument/2006/relationships/customXml" Target="../customXml/item3.xml"/><Relationship Id="rId21" Type="http://schemas.openxmlformats.org/officeDocument/2006/relationships/hyperlink" Target="https://www.pbs.gov.au/info/industry/listing/elements/pbac-meetings/psd/2020-03/romosozumab-injection-105-mg-in-1-17-ml-single-use-pre-fill" TargetMode="External"/><Relationship Id="rId34" Type="http://schemas.openxmlformats.org/officeDocument/2006/relationships/chart" Target="charts/chart9.xml"/><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tga.gov.au/hp/information-medicines-pi.htm" TargetMode="External"/><Relationship Id="rId17" Type="http://schemas.openxmlformats.org/officeDocument/2006/relationships/hyperlink" Target="https://www.pbs.gov.au/info/industry/listing/elements/pbac-meetings/psd/2022-07/romosozumab-injection-105-mg-in-1-17-ml-single-use-pre-filed-syringe-evenity" TargetMode="External"/><Relationship Id="rId25" Type="http://schemas.openxmlformats.org/officeDocument/2006/relationships/hyperlink" Target="https://www.pbs.gov.au/info/industry/listing/participants/public-release-docs/2020-10/denosumab-for-osteoporosis-october-2020" TargetMode="External"/><Relationship Id="rId33" Type="http://schemas.openxmlformats.org/officeDocument/2006/relationships/chart" Target="charts/chart8.xml"/><Relationship Id="rId38" Type="http://schemas.openxmlformats.org/officeDocument/2006/relationships/chart" Target="charts/chart13.xml"/><Relationship Id="rId2" Type="http://schemas.openxmlformats.org/officeDocument/2006/relationships/customXml" Target="../customXml/item2.xml"/><Relationship Id="rId16" Type="http://schemas.openxmlformats.org/officeDocument/2006/relationships/hyperlink" Target="https://www.pbs.gov.au/industry/listing/elements/pbac-meetings/pbac-outcomes/2021-09/September-2021-pbac-web-outcomes.pdf" TargetMode="External"/><Relationship Id="rId20" Type="http://schemas.openxmlformats.org/officeDocument/2006/relationships/hyperlink" Target="https://www.pbs.gov.au/info/industry/listing/elements/pbac-meetings/psd/2019-07/romosozumab-injection-105-mg-in-1-17-ml-single-use-pre-fill" TargetMode="External"/><Relationship Id="rId29" Type="http://schemas.openxmlformats.org/officeDocument/2006/relationships/chart" Target="charts/chart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product-information-0" TargetMode="External"/><Relationship Id="rId24" Type="http://schemas.openxmlformats.org/officeDocument/2006/relationships/hyperlink" Target="https://www.pbs.gov.au/info/industry/listing/participants/public-release-docs/2016-09/medicines-osteoporosis-2016-09" TargetMode="Externa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entral.health\DFSGroupData\Sites\CO1\CO\PBD\PEB\EVAL\DUSC\DUSC%20Documents\Predicted%20vs%20actual%20usage\pbs.gov.au" TargetMode="External"/><Relationship Id="rId23" Type="http://schemas.openxmlformats.org/officeDocument/2006/relationships/hyperlink" Target="https://www.pbs.gov.au/info/industry/listing/elements/pbac-meetings/psd/2023-03/romosozumab-Evenity-PSD-March-2023" TargetMode="External"/><Relationship Id="rId28" Type="http://schemas.openxmlformats.org/officeDocument/2006/relationships/chart" Target="charts/chart3.xml"/><Relationship Id="rId36"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hyperlink" Target="https://www.pbs.gov.au/info/industry/listing/elements/pbac-meetings/psd/2018-11/romosozumab-psd-november-2018" TargetMode="External"/><Relationship Id="rId31" Type="http://schemas.openxmlformats.org/officeDocument/2006/relationships/chart" Target="charts/chart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bs.gov.au/pbs/home" TargetMode="External"/><Relationship Id="rId22" Type="http://schemas.openxmlformats.org/officeDocument/2006/relationships/hyperlink" Target="https://www.pbs.gov.au/info/industry/listing/elements/pbac-meetings/psd/2022-07/romosozumab-injection-105-mg-in-1-17-ml-single-use-pre-filed-syringe-evenity"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ga.gov.au/news/safety-updates/new-warnings-romosozumab-evenity-cardiovascular-risks" TargetMode="External"/><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ROMOSOZUMAB/Item%207.4%20romosozumab%20Feb%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ROMOSOZUMAB/Item%207.4%20romosozumab%20Feb%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ROMOSOZUMAB/romo%20(version%20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ROMOSOZUMAB/romo%20review.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ROMOSOZUMAB/Item%207.4%20romosozumab%20Feb%2024.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MONI\OneDrive%20-%20Department%20of%20Health\Desktop\ROMOSOZUMAB\Item%207.4%20romosozumab%20Feb%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MONI\OneDrive%20-%20Department%20of%20Health\Desktop\ROMOSOZUMAB\Item%207.4%20romosozumab%20Feb%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OMONI\OneDrive%20-%20Department%20of%20Health\Desktop\ROMOSOZUMAB\Item%207.4%20romosozumab%20Feb%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ROMOSOZUMAB/Item%207.4%20romosozumab%20Feb%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healthgov-my.sharepoint.com/personal/monica_ho2_health_gov_au/Documents/Desktop/ROMOSOZUMAB/Item%207.4%20romosozumab%20Feb%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OMONI\OneDrive%20-%20Department%20of%20Health\Desktop\ROMOSOZUMAB\Item%207.4%20romosozumab%20Feb%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OMONI\OneDrive%20-%20Department%20of%20Health\Desktop\ROMOSOZUMAB\Item%207.4%20romosozumab%20Feb%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OMONI\OneDrive%20-%20Department%20of%20Health\Desktop\ROMOSOZUMAB\Item%207.4%20romosozumab%20Feb%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24.xlsx]overall!PivotTable4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overall!$S$1</c:f>
              <c:strCache>
                <c:ptCount val="1"/>
                <c:pt idx="0">
                  <c:v>Initiating patients</c:v>
                </c:pt>
              </c:strCache>
            </c:strRef>
          </c:tx>
          <c:spPr>
            <a:ln w="28575" cap="rnd">
              <a:solidFill>
                <a:schemeClr val="accent1"/>
              </a:solidFill>
              <a:round/>
            </a:ln>
            <a:effectLst/>
          </c:spPr>
          <c:marker>
            <c:symbol val="none"/>
          </c:marker>
          <c:cat>
            <c:strRef>
              <c:f>overall!$R$2:$R$8</c:f>
              <c:strCache>
                <c:ptCount val="6"/>
                <c:pt idx="0">
                  <c:v>2018</c:v>
                </c:pt>
                <c:pt idx="1">
                  <c:v>2019</c:v>
                </c:pt>
                <c:pt idx="2">
                  <c:v>2020</c:v>
                </c:pt>
                <c:pt idx="3">
                  <c:v>2021</c:v>
                </c:pt>
                <c:pt idx="4">
                  <c:v>2022</c:v>
                </c:pt>
                <c:pt idx="5">
                  <c:v>2023</c:v>
                </c:pt>
              </c:strCache>
            </c:strRef>
          </c:cat>
          <c:val>
            <c:numRef>
              <c:f>overall!$S$2:$S$8</c:f>
              <c:numCache>
                <c:formatCode>General</c:formatCode>
                <c:ptCount val="6"/>
                <c:pt idx="0">
                  <c:v>100202</c:v>
                </c:pt>
                <c:pt idx="1">
                  <c:v>100870</c:v>
                </c:pt>
                <c:pt idx="2">
                  <c:v>92185</c:v>
                </c:pt>
                <c:pt idx="3">
                  <c:v>99152</c:v>
                </c:pt>
                <c:pt idx="4">
                  <c:v>98306</c:v>
                </c:pt>
                <c:pt idx="5">
                  <c:v>77040</c:v>
                </c:pt>
              </c:numCache>
            </c:numRef>
          </c:val>
          <c:smooth val="0"/>
          <c:extLst>
            <c:ext xmlns:c16="http://schemas.microsoft.com/office/drawing/2014/chart" uri="{C3380CC4-5D6E-409C-BE32-E72D297353CC}">
              <c16:uniqueId val="{00000000-CF35-427B-BB41-34B75D4B6073}"/>
            </c:ext>
          </c:extLst>
        </c:ser>
        <c:ser>
          <c:idx val="1"/>
          <c:order val="1"/>
          <c:tx>
            <c:strRef>
              <c:f>overall!$T$1</c:f>
              <c:strCache>
                <c:ptCount val="1"/>
                <c:pt idx="0">
                  <c:v>Prevalent patients</c:v>
                </c:pt>
              </c:strCache>
            </c:strRef>
          </c:tx>
          <c:spPr>
            <a:ln w="28575" cap="rnd">
              <a:solidFill>
                <a:schemeClr val="accent2"/>
              </a:solidFill>
              <a:round/>
            </a:ln>
            <a:effectLst/>
          </c:spPr>
          <c:marker>
            <c:symbol val="none"/>
          </c:marker>
          <c:cat>
            <c:strRef>
              <c:f>overall!$R$2:$R$8</c:f>
              <c:strCache>
                <c:ptCount val="6"/>
                <c:pt idx="0">
                  <c:v>2018</c:v>
                </c:pt>
                <c:pt idx="1">
                  <c:v>2019</c:v>
                </c:pt>
                <c:pt idx="2">
                  <c:v>2020</c:v>
                </c:pt>
                <c:pt idx="3">
                  <c:v>2021</c:v>
                </c:pt>
                <c:pt idx="4">
                  <c:v>2022</c:v>
                </c:pt>
                <c:pt idx="5">
                  <c:v>2023</c:v>
                </c:pt>
              </c:strCache>
            </c:strRef>
          </c:cat>
          <c:val>
            <c:numRef>
              <c:f>overall!$T$2:$T$8</c:f>
              <c:numCache>
                <c:formatCode>General</c:formatCode>
                <c:ptCount val="6"/>
                <c:pt idx="0">
                  <c:v>567234</c:v>
                </c:pt>
                <c:pt idx="1">
                  <c:v>610828</c:v>
                </c:pt>
                <c:pt idx="2">
                  <c:v>644165</c:v>
                </c:pt>
                <c:pt idx="3">
                  <c:v>688642</c:v>
                </c:pt>
                <c:pt idx="4">
                  <c:v>725017</c:v>
                </c:pt>
                <c:pt idx="5">
                  <c:v>720464</c:v>
                </c:pt>
              </c:numCache>
            </c:numRef>
          </c:val>
          <c:smooth val="0"/>
          <c:extLst>
            <c:ext xmlns:c16="http://schemas.microsoft.com/office/drawing/2014/chart" uri="{C3380CC4-5D6E-409C-BE32-E72D297353CC}">
              <c16:uniqueId val="{00000001-CF35-427B-BB41-34B75D4B6073}"/>
            </c:ext>
          </c:extLst>
        </c:ser>
        <c:dLbls>
          <c:showLegendKey val="0"/>
          <c:showVal val="0"/>
          <c:showCatName val="0"/>
          <c:showSerName val="0"/>
          <c:showPercent val="0"/>
          <c:showBubbleSize val="0"/>
        </c:dLbls>
        <c:smooth val="0"/>
        <c:axId val="1022917792"/>
        <c:axId val="1022912032"/>
      </c:lineChart>
      <c:catAx>
        <c:axId val="1022917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Calendar</a:t>
                </a:r>
                <a:r>
                  <a:rPr lang="en-AU" baseline="0"/>
                  <a:t> year</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912032"/>
        <c:crosses val="autoZero"/>
        <c:auto val="1"/>
        <c:lblAlgn val="ctr"/>
        <c:lblOffset val="100"/>
        <c:noMultiLvlLbl val="0"/>
      </c:catAx>
      <c:valAx>
        <c:axId val="1022912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91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[romo.xlsx]romo!PivotTable1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romo!$V$1</c:f>
              <c:strCache>
                <c:ptCount val="1"/>
                <c:pt idx="0">
                  <c:v>Initiating patients </c:v>
                </c:pt>
              </c:strCache>
            </c:strRef>
          </c:tx>
          <c:spPr>
            <a:ln w="28575" cap="rnd">
              <a:solidFill>
                <a:schemeClr val="accent1"/>
              </a:solidFill>
              <a:round/>
            </a:ln>
            <a:effectLst/>
          </c:spPr>
          <c:marker>
            <c:symbol val="none"/>
          </c:marker>
          <c:cat>
            <c:strRef>
              <c:f>romo!$U$2:$U$12</c:f>
              <c:strCache>
                <c:ptCount val="10"/>
                <c:pt idx="0">
                  <c:v>2021Q2</c:v>
                </c:pt>
                <c:pt idx="1">
                  <c:v>2021Q3</c:v>
                </c:pt>
                <c:pt idx="2">
                  <c:v>2021Q4</c:v>
                </c:pt>
                <c:pt idx="3">
                  <c:v>2022Q1</c:v>
                </c:pt>
                <c:pt idx="4">
                  <c:v>2022Q2</c:v>
                </c:pt>
                <c:pt idx="5">
                  <c:v>2022Q3</c:v>
                </c:pt>
                <c:pt idx="6">
                  <c:v>2022Q4</c:v>
                </c:pt>
                <c:pt idx="7">
                  <c:v>2023Q1</c:v>
                </c:pt>
                <c:pt idx="8">
                  <c:v>2023Q2</c:v>
                </c:pt>
                <c:pt idx="9">
                  <c:v>2023Q3</c:v>
                </c:pt>
              </c:strCache>
            </c:strRef>
          </c:cat>
          <c:val>
            <c:numRef>
              <c:f>romo!$V$2:$V$12</c:f>
              <c:numCache>
                <c:formatCode>General</c:formatCode>
                <c:ptCount val="10"/>
                <c:pt idx="0">
                  <c:v>150</c:v>
                </c:pt>
                <c:pt idx="1">
                  <c:v>182</c:v>
                </c:pt>
                <c:pt idx="2">
                  <c:v>183</c:v>
                </c:pt>
                <c:pt idx="3">
                  <c:v>191</c:v>
                </c:pt>
                <c:pt idx="4">
                  <c:v>202</c:v>
                </c:pt>
                <c:pt idx="5">
                  <c:v>238</c:v>
                </c:pt>
                <c:pt idx="6">
                  <c:v>221</c:v>
                </c:pt>
                <c:pt idx="7">
                  <c:v>224</c:v>
                </c:pt>
                <c:pt idx="8">
                  <c:v>219</c:v>
                </c:pt>
                <c:pt idx="9">
                  <c:v>255</c:v>
                </c:pt>
              </c:numCache>
            </c:numRef>
          </c:val>
          <c:smooth val="0"/>
          <c:extLst>
            <c:ext xmlns:c16="http://schemas.microsoft.com/office/drawing/2014/chart" uri="{C3380CC4-5D6E-409C-BE32-E72D297353CC}">
              <c16:uniqueId val="{00000000-7E72-41B4-BCFC-F6093FA00455}"/>
            </c:ext>
          </c:extLst>
        </c:ser>
        <c:ser>
          <c:idx val="1"/>
          <c:order val="1"/>
          <c:tx>
            <c:strRef>
              <c:f>romo!$W$1</c:f>
              <c:strCache>
                <c:ptCount val="1"/>
                <c:pt idx="0">
                  <c:v>Prevalent patients </c:v>
                </c:pt>
              </c:strCache>
            </c:strRef>
          </c:tx>
          <c:spPr>
            <a:ln w="28575" cap="rnd">
              <a:solidFill>
                <a:schemeClr val="accent2"/>
              </a:solidFill>
              <a:round/>
            </a:ln>
            <a:effectLst/>
          </c:spPr>
          <c:marker>
            <c:symbol val="none"/>
          </c:marker>
          <c:cat>
            <c:strRef>
              <c:f>romo!$U$2:$U$12</c:f>
              <c:strCache>
                <c:ptCount val="10"/>
                <c:pt idx="0">
                  <c:v>2021Q2</c:v>
                </c:pt>
                <c:pt idx="1">
                  <c:v>2021Q3</c:v>
                </c:pt>
                <c:pt idx="2">
                  <c:v>2021Q4</c:v>
                </c:pt>
                <c:pt idx="3">
                  <c:v>2022Q1</c:v>
                </c:pt>
                <c:pt idx="4">
                  <c:v>2022Q2</c:v>
                </c:pt>
                <c:pt idx="5">
                  <c:v>2022Q3</c:v>
                </c:pt>
                <c:pt idx="6">
                  <c:v>2022Q4</c:v>
                </c:pt>
                <c:pt idx="7">
                  <c:v>2023Q1</c:v>
                </c:pt>
                <c:pt idx="8">
                  <c:v>2023Q2</c:v>
                </c:pt>
                <c:pt idx="9">
                  <c:v>2023Q3</c:v>
                </c:pt>
              </c:strCache>
            </c:strRef>
          </c:cat>
          <c:val>
            <c:numRef>
              <c:f>romo!$W$2:$W$12</c:f>
              <c:numCache>
                <c:formatCode>General</c:formatCode>
                <c:ptCount val="10"/>
                <c:pt idx="0">
                  <c:v>150</c:v>
                </c:pt>
                <c:pt idx="1">
                  <c:v>325</c:v>
                </c:pt>
                <c:pt idx="2">
                  <c:v>492</c:v>
                </c:pt>
                <c:pt idx="3">
                  <c:v>665</c:v>
                </c:pt>
                <c:pt idx="4">
                  <c:v>817</c:v>
                </c:pt>
                <c:pt idx="5">
                  <c:v>888</c:v>
                </c:pt>
                <c:pt idx="6">
                  <c:v>920</c:v>
                </c:pt>
                <c:pt idx="7">
                  <c:v>937</c:v>
                </c:pt>
                <c:pt idx="8">
                  <c:v>958</c:v>
                </c:pt>
                <c:pt idx="9">
                  <c:v>999</c:v>
                </c:pt>
              </c:numCache>
            </c:numRef>
          </c:val>
          <c:smooth val="0"/>
          <c:extLst>
            <c:ext xmlns:c16="http://schemas.microsoft.com/office/drawing/2014/chart" uri="{C3380CC4-5D6E-409C-BE32-E72D297353CC}">
              <c16:uniqueId val="{00000001-7E72-41B4-BCFC-F6093FA00455}"/>
            </c:ext>
          </c:extLst>
        </c:ser>
        <c:dLbls>
          <c:showLegendKey val="0"/>
          <c:showVal val="0"/>
          <c:showCatName val="0"/>
          <c:showSerName val="0"/>
          <c:showPercent val="0"/>
          <c:showBubbleSize val="0"/>
        </c:dLbls>
        <c:marker val="1"/>
        <c:smooth val="0"/>
        <c:axId val="732085240"/>
        <c:axId val="732085600"/>
      </c:lineChart>
      <c:lineChart>
        <c:grouping val="standard"/>
        <c:varyColors val="0"/>
        <c:ser>
          <c:idx val="2"/>
          <c:order val="2"/>
          <c:tx>
            <c:strRef>
              <c:f>romo!$X$1</c:f>
              <c:strCache>
                <c:ptCount val="1"/>
                <c:pt idx="0">
                  <c:v>Prescriptions</c:v>
                </c:pt>
              </c:strCache>
            </c:strRef>
          </c:tx>
          <c:spPr>
            <a:ln w="28575" cap="rnd">
              <a:solidFill>
                <a:schemeClr val="accent3"/>
              </a:solidFill>
              <a:round/>
            </a:ln>
            <a:effectLst/>
          </c:spPr>
          <c:marker>
            <c:symbol val="none"/>
          </c:marker>
          <c:cat>
            <c:strRef>
              <c:f>romo!$U$2:$U$12</c:f>
              <c:strCache>
                <c:ptCount val="10"/>
                <c:pt idx="0">
                  <c:v>2021Q2</c:v>
                </c:pt>
                <c:pt idx="1">
                  <c:v>2021Q3</c:v>
                </c:pt>
                <c:pt idx="2">
                  <c:v>2021Q4</c:v>
                </c:pt>
                <c:pt idx="3">
                  <c:v>2022Q1</c:v>
                </c:pt>
                <c:pt idx="4">
                  <c:v>2022Q2</c:v>
                </c:pt>
                <c:pt idx="5">
                  <c:v>2022Q3</c:v>
                </c:pt>
                <c:pt idx="6">
                  <c:v>2022Q4</c:v>
                </c:pt>
                <c:pt idx="7">
                  <c:v>2023Q1</c:v>
                </c:pt>
                <c:pt idx="8">
                  <c:v>2023Q2</c:v>
                </c:pt>
                <c:pt idx="9">
                  <c:v>2023Q3</c:v>
                </c:pt>
              </c:strCache>
            </c:strRef>
          </c:cat>
          <c:val>
            <c:numRef>
              <c:f>romo!$X$2:$X$12</c:f>
              <c:numCache>
                <c:formatCode>General</c:formatCode>
                <c:ptCount val="10"/>
                <c:pt idx="0">
                  <c:v>250</c:v>
                </c:pt>
                <c:pt idx="1">
                  <c:v>761</c:v>
                </c:pt>
                <c:pt idx="2">
                  <c:v>1279</c:v>
                </c:pt>
                <c:pt idx="3">
                  <c:v>1699</c:v>
                </c:pt>
                <c:pt idx="4">
                  <c:v>2002</c:v>
                </c:pt>
                <c:pt idx="5">
                  <c:v>2220</c:v>
                </c:pt>
                <c:pt idx="6">
                  <c:v>2316</c:v>
                </c:pt>
                <c:pt idx="7">
                  <c:v>2238</c:v>
                </c:pt>
                <c:pt idx="8">
                  <c:v>2353</c:v>
                </c:pt>
                <c:pt idx="9">
                  <c:v>2432</c:v>
                </c:pt>
              </c:numCache>
            </c:numRef>
          </c:val>
          <c:smooth val="0"/>
          <c:extLst>
            <c:ext xmlns:c16="http://schemas.microsoft.com/office/drawing/2014/chart" uri="{C3380CC4-5D6E-409C-BE32-E72D297353CC}">
              <c16:uniqueId val="{00000002-7E72-41B4-BCFC-F6093FA00455}"/>
            </c:ext>
          </c:extLst>
        </c:ser>
        <c:dLbls>
          <c:showLegendKey val="0"/>
          <c:showVal val="0"/>
          <c:showCatName val="0"/>
          <c:showSerName val="0"/>
          <c:showPercent val="0"/>
          <c:showBubbleSize val="0"/>
        </c:dLbls>
        <c:marker val="1"/>
        <c:smooth val="0"/>
        <c:axId val="534827216"/>
        <c:axId val="534830456"/>
      </c:lineChart>
      <c:catAx>
        <c:axId val="732085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Supply quarter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085600"/>
        <c:crosses val="autoZero"/>
        <c:auto val="1"/>
        <c:lblAlgn val="ctr"/>
        <c:lblOffset val="100"/>
        <c:noMultiLvlLbl val="0"/>
      </c:catAx>
      <c:valAx>
        <c:axId val="73208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085240"/>
        <c:crosses val="autoZero"/>
        <c:crossBetween val="between"/>
      </c:valAx>
      <c:valAx>
        <c:axId val="5348304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827216"/>
        <c:crosses val="max"/>
        <c:crossBetween val="between"/>
      </c:valAx>
      <c:catAx>
        <c:axId val="534827216"/>
        <c:scaling>
          <c:orientation val="minMax"/>
        </c:scaling>
        <c:delete val="1"/>
        <c:axPos val="b"/>
        <c:numFmt formatCode="General" sourceLinked="1"/>
        <c:majorTickMark val="out"/>
        <c:minorTickMark val="none"/>
        <c:tickLblPos val="nextTo"/>
        <c:crossAx val="5348304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24.xlsx]Sheet4!PivotTable10</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Sheet4!$U$1:$U$2</c:f>
              <c:strCache>
                <c:ptCount val="1"/>
                <c:pt idx="0">
                  <c:v>Females</c:v>
                </c:pt>
              </c:strCache>
            </c:strRef>
          </c:tx>
          <c:spPr>
            <a:solidFill>
              <a:schemeClr val="accent2"/>
            </a:solidFill>
            <a:ln>
              <a:noFill/>
            </a:ln>
            <a:effectLst/>
          </c:spPr>
          <c:invertIfNegative val="0"/>
          <c:cat>
            <c:strRef>
              <c:f>Sheet4!$T$3:$T$9</c:f>
              <c:strCache>
                <c:ptCount val="6"/>
                <c:pt idx="0">
                  <c:v>≤49  yrs</c:v>
                </c:pt>
                <c:pt idx="1">
                  <c:v>50-59 yrs</c:v>
                </c:pt>
                <c:pt idx="2">
                  <c:v>60-69 yrs</c:v>
                </c:pt>
                <c:pt idx="3">
                  <c:v>70-79 yrs</c:v>
                </c:pt>
                <c:pt idx="4">
                  <c:v>80-89 yrs</c:v>
                </c:pt>
                <c:pt idx="5">
                  <c:v>≥ 90 yrs</c:v>
                </c:pt>
              </c:strCache>
            </c:strRef>
          </c:cat>
          <c:val>
            <c:numRef>
              <c:f>Sheet4!$U$3:$U$9</c:f>
              <c:numCache>
                <c:formatCode>General</c:formatCode>
                <c:ptCount val="6"/>
                <c:pt idx="0">
                  <c:v>12902</c:v>
                </c:pt>
                <c:pt idx="1">
                  <c:v>39115</c:v>
                </c:pt>
                <c:pt idx="2">
                  <c:v>94140</c:v>
                </c:pt>
                <c:pt idx="3">
                  <c:v>173731</c:v>
                </c:pt>
                <c:pt idx="4">
                  <c:v>87275</c:v>
                </c:pt>
                <c:pt idx="5">
                  <c:v>19260</c:v>
                </c:pt>
              </c:numCache>
            </c:numRef>
          </c:val>
          <c:extLst>
            <c:ext xmlns:c16="http://schemas.microsoft.com/office/drawing/2014/chart" uri="{C3380CC4-5D6E-409C-BE32-E72D297353CC}">
              <c16:uniqueId val="{00000000-9E3A-4424-8420-AE1BC9F07BDE}"/>
            </c:ext>
          </c:extLst>
        </c:ser>
        <c:ser>
          <c:idx val="1"/>
          <c:order val="1"/>
          <c:tx>
            <c:strRef>
              <c:f>Sheet4!$V$1:$V$2</c:f>
              <c:strCache>
                <c:ptCount val="1"/>
                <c:pt idx="0">
                  <c:v>Males</c:v>
                </c:pt>
              </c:strCache>
            </c:strRef>
          </c:tx>
          <c:spPr>
            <a:solidFill>
              <a:schemeClr val="accent1"/>
            </a:solidFill>
            <a:ln>
              <a:noFill/>
            </a:ln>
            <a:effectLst/>
          </c:spPr>
          <c:invertIfNegative val="0"/>
          <c:cat>
            <c:strRef>
              <c:f>Sheet4!$T$3:$T$9</c:f>
              <c:strCache>
                <c:ptCount val="6"/>
                <c:pt idx="0">
                  <c:v>≤49  yrs</c:v>
                </c:pt>
                <c:pt idx="1">
                  <c:v>50-59 yrs</c:v>
                </c:pt>
                <c:pt idx="2">
                  <c:v>60-69 yrs</c:v>
                </c:pt>
                <c:pt idx="3">
                  <c:v>70-79 yrs</c:v>
                </c:pt>
                <c:pt idx="4">
                  <c:v>80-89 yrs</c:v>
                </c:pt>
                <c:pt idx="5">
                  <c:v>≥ 90 yrs</c:v>
                </c:pt>
              </c:strCache>
            </c:strRef>
          </c:cat>
          <c:val>
            <c:numRef>
              <c:f>Sheet4!$V$3:$V$9</c:f>
              <c:numCache>
                <c:formatCode>General</c:formatCode>
                <c:ptCount val="6"/>
                <c:pt idx="0">
                  <c:v>7965</c:v>
                </c:pt>
                <c:pt idx="1">
                  <c:v>9610</c:v>
                </c:pt>
                <c:pt idx="2">
                  <c:v>20601</c:v>
                </c:pt>
                <c:pt idx="3">
                  <c:v>56742</c:v>
                </c:pt>
                <c:pt idx="4">
                  <c:v>37908</c:v>
                </c:pt>
                <c:pt idx="5">
                  <c:v>8442</c:v>
                </c:pt>
              </c:numCache>
            </c:numRef>
          </c:val>
          <c:extLst>
            <c:ext xmlns:c16="http://schemas.microsoft.com/office/drawing/2014/chart" uri="{C3380CC4-5D6E-409C-BE32-E72D297353CC}">
              <c16:uniqueId val="{00000001-9E3A-4424-8420-AE1BC9F07BDE}"/>
            </c:ext>
          </c:extLst>
        </c:ser>
        <c:dLbls>
          <c:showLegendKey val="0"/>
          <c:showVal val="0"/>
          <c:showCatName val="0"/>
          <c:showSerName val="0"/>
          <c:showPercent val="0"/>
          <c:showBubbleSize val="0"/>
        </c:dLbls>
        <c:gapWidth val="219"/>
        <c:overlap val="-27"/>
        <c:axId val="1115593008"/>
        <c:axId val="1115593368"/>
      </c:barChart>
      <c:catAx>
        <c:axId val="111559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593368"/>
        <c:crosses val="autoZero"/>
        <c:auto val="1"/>
        <c:lblAlgn val="ctr"/>
        <c:lblOffset val="100"/>
        <c:noMultiLvlLbl val="0"/>
      </c:catAx>
      <c:valAx>
        <c:axId val="1115593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59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[romo (version 1).xlsx]age_romo!PivotTable1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age_romo!$Q$1:$Q$2</c:f>
              <c:strCache>
                <c:ptCount val="1"/>
                <c:pt idx="0">
                  <c:v>Female</c:v>
                </c:pt>
              </c:strCache>
            </c:strRef>
          </c:tx>
          <c:spPr>
            <a:solidFill>
              <a:schemeClr val="accent2"/>
            </a:solidFill>
            <a:ln>
              <a:noFill/>
            </a:ln>
            <a:effectLst/>
          </c:spPr>
          <c:invertIfNegative val="0"/>
          <c:cat>
            <c:strRef>
              <c:f>age_romo!$P$3:$P$9</c:f>
              <c:strCache>
                <c:ptCount val="6"/>
                <c:pt idx="0">
                  <c:v>0-49  yrs</c:v>
                </c:pt>
                <c:pt idx="1">
                  <c:v>50-59 yrs</c:v>
                </c:pt>
                <c:pt idx="2">
                  <c:v>60-69 yrs</c:v>
                </c:pt>
                <c:pt idx="3">
                  <c:v>70-79 yrs</c:v>
                </c:pt>
                <c:pt idx="4">
                  <c:v>80-89 yrs</c:v>
                </c:pt>
                <c:pt idx="5">
                  <c:v>90+ yrs</c:v>
                </c:pt>
              </c:strCache>
            </c:strRef>
          </c:cat>
          <c:val>
            <c:numRef>
              <c:f>age_romo!$Q$3:$Q$9</c:f>
              <c:numCache>
                <c:formatCode>General</c:formatCode>
                <c:ptCount val="6"/>
                <c:pt idx="0">
                  <c:v>33</c:v>
                </c:pt>
                <c:pt idx="1">
                  <c:v>122</c:v>
                </c:pt>
                <c:pt idx="2">
                  <c:v>452</c:v>
                </c:pt>
                <c:pt idx="3">
                  <c:v>680</c:v>
                </c:pt>
                <c:pt idx="4">
                  <c:v>456</c:v>
                </c:pt>
                <c:pt idx="5">
                  <c:v>78</c:v>
                </c:pt>
              </c:numCache>
            </c:numRef>
          </c:val>
          <c:extLst>
            <c:ext xmlns:c16="http://schemas.microsoft.com/office/drawing/2014/chart" uri="{C3380CC4-5D6E-409C-BE32-E72D297353CC}">
              <c16:uniqueId val="{00000000-DA16-4996-9169-E081594E9FD7}"/>
            </c:ext>
          </c:extLst>
        </c:ser>
        <c:ser>
          <c:idx val="1"/>
          <c:order val="1"/>
          <c:tx>
            <c:strRef>
              <c:f>age_romo!$R$1:$R$2</c:f>
              <c:strCache>
                <c:ptCount val="1"/>
                <c:pt idx="0">
                  <c:v>Male</c:v>
                </c:pt>
              </c:strCache>
            </c:strRef>
          </c:tx>
          <c:spPr>
            <a:solidFill>
              <a:schemeClr val="accent1"/>
            </a:solidFill>
            <a:ln>
              <a:noFill/>
            </a:ln>
            <a:effectLst/>
          </c:spPr>
          <c:invertIfNegative val="0"/>
          <c:cat>
            <c:strRef>
              <c:f>age_romo!$P$3:$P$9</c:f>
              <c:strCache>
                <c:ptCount val="6"/>
                <c:pt idx="0">
                  <c:v>0-49  yrs</c:v>
                </c:pt>
                <c:pt idx="1">
                  <c:v>50-59 yrs</c:v>
                </c:pt>
                <c:pt idx="2">
                  <c:v>60-69 yrs</c:v>
                </c:pt>
                <c:pt idx="3">
                  <c:v>70-79 yrs</c:v>
                </c:pt>
                <c:pt idx="4">
                  <c:v>80-89 yrs</c:v>
                </c:pt>
                <c:pt idx="5">
                  <c:v>90+ yrs</c:v>
                </c:pt>
              </c:strCache>
            </c:strRef>
          </c:cat>
          <c:val>
            <c:numRef>
              <c:f>age_romo!$R$3:$R$9</c:f>
              <c:numCache>
                <c:formatCode>General</c:formatCode>
                <c:ptCount val="6"/>
                <c:pt idx="0">
                  <c:v>31</c:v>
                </c:pt>
                <c:pt idx="1">
                  <c:v>38</c:v>
                </c:pt>
                <c:pt idx="2">
                  <c:v>50</c:v>
                </c:pt>
                <c:pt idx="3">
                  <c:v>70</c:v>
                </c:pt>
                <c:pt idx="4">
                  <c:v>48</c:v>
                </c:pt>
                <c:pt idx="5">
                  <c:v>5</c:v>
                </c:pt>
              </c:numCache>
            </c:numRef>
          </c:val>
          <c:extLst>
            <c:ext xmlns:c16="http://schemas.microsoft.com/office/drawing/2014/chart" uri="{C3380CC4-5D6E-409C-BE32-E72D297353CC}">
              <c16:uniqueId val="{00000001-DA16-4996-9169-E081594E9FD7}"/>
            </c:ext>
          </c:extLst>
        </c:ser>
        <c:dLbls>
          <c:showLegendKey val="0"/>
          <c:showVal val="0"/>
          <c:showCatName val="0"/>
          <c:showSerName val="0"/>
          <c:showPercent val="0"/>
          <c:showBubbleSize val="0"/>
        </c:dLbls>
        <c:gapWidth val="219"/>
        <c:overlap val="-27"/>
        <c:axId val="784102432"/>
        <c:axId val="784103512"/>
      </c:barChart>
      <c:catAx>
        <c:axId val="784102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group</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103512"/>
        <c:crosses val="autoZero"/>
        <c:auto val="1"/>
        <c:lblAlgn val="ctr"/>
        <c:lblOffset val="100"/>
        <c:noMultiLvlLbl val="0"/>
      </c:catAx>
      <c:valAx>
        <c:axId val="784103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102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[romo review.xlsx]prescriber type!PivotTable1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'prescriber type'!$S$1:$S$2</c:f>
              <c:strCache>
                <c:ptCount val="1"/>
                <c:pt idx="0">
                  <c:v>Endocrinology</c:v>
                </c:pt>
              </c:strCache>
            </c:strRef>
          </c:tx>
          <c:spPr>
            <a:solidFill>
              <a:schemeClr val="accent1"/>
            </a:solidFill>
            <a:ln>
              <a:noFill/>
            </a:ln>
            <a:effectLst/>
          </c:spPr>
          <c:invertIfNegative val="0"/>
          <c:cat>
            <c:strRef>
              <c:f>'prescriber type'!$R$3:$R$5</c:f>
              <c:strCache>
                <c:ptCount val="2"/>
                <c:pt idx="0">
                  <c:v>After listing change</c:v>
                </c:pt>
                <c:pt idx="1">
                  <c:v>Before listing change</c:v>
                </c:pt>
              </c:strCache>
            </c:strRef>
          </c:cat>
          <c:val>
            <c:numRef>
              <c:f>'prescriber type'!$S$3:$S$5</c:f>
              <c:numCache>
                <c:formatCode>0.00%</c:formatCode>
                <c:ptCount val="2"/>
                <c:pt idx="0">
                  <c:v>0.47897071872227154</c:v>
                </c:pt>
                <c:pt idx="1">
                  <c:v>0.53025845765917212</c:v>
                </c:pt>
              </c:numCache>
            </c:numRef>
          </c:val>
          <c:extLst>
            <c:ext xmlns:c16="http://schemas.microsoft.com/office/drawing/2014/chart" uri="{C3380CC4-5D6E-409C-BE32-E72D297353CC}">
              <c16:uniqueId val="{00000000-07C6-4ED8-A858-B4A22A97BD62}"/>
            </c:ext>
          </c:extLst>
        </c:ser>
        <c:ser>
          <c:idx val="1"/>
          <c:order val="1"/>
          <c:tx>
            <c:strRef>
              <c:f>'prescriber type'!$T$1:$T$2</c:f>
              <c:strCache>
                <c:ptCount val="1"/>
                <c:pt idx="0">
                  <c:v>GP</c:v>
                </c:pt>
              </c:strCache>
            </c:strRef>
          </c:tx>
          <c:spPr>
            <a:solidFill>
              <a:schemeClr val="accent2"/>
            </a:solidFill>
            <a:ln>
              <a:noFill/>
            </a:ln>
            <a:effectLst/>
          </c:spPr>
          <c:invertIfNegative val="0"/>
          <c:cat>
            <c:strRef>
              <c:f>'prescriber type'!$R$3:$R$5</c:f>
              <c:strCache>
                <c:ptCount val="2"/>
                <c:pt idx="0">
                  <c:v>After listing change</c:v>
                </c:pt>
                <c:pt idx="1">
                  <c:v>Before listing change</c:v>
                </c:pt>
              </c:strCache>
            </c:strRef>
          </c:cat>
          <c:val>
            <c:numRef>
              <c:f>'prescriber type'!$T$3:$T$5</c:f>
              <c:numCache>
                <c:formatCode>0.00%</c:formatCode>
                <c:ptCount val="2"/>
                <c:pt idx="0">
                  <c:v>0.26867790594498669</c:v>
                </c:pt>
                <c:pt idx="1">
                  <c:v>0.20161798697205296</c:v>
                </c:pt>
              </c:numCache>
            </c:numRef>
          </c:val>
          <c:extLst>
            <c:ext xmlns:c16="http://schemas.microsoft.com/office/drawing/2014/chart" uri="{C3380CC4-5D6E-409C-BE32-E72D297353CC}">
              <c16:uniqueId val="{00000001-07C6-4ED8-A858-B4A22A97BD62}"/>
            </c:ext>
          </c:extLst>
        </c:ser>
        <c:ser>
          <c:idx val="2"/>
          <c:order val="2"/>
          <c:tx>
            <c:strRef>
              <c:f>'prescriber type'!$U$1:$U$2</c:f>
              <c:strCache>
                <c:ptCount val="1"/>
                <c:pt idx="0">
                  <c:v>Internal Medicine</c:v>
                </c:pt>
              </c:strCache>
            </c:strRef>
          </c:tx>
          <c:spPr>
            <a:solidFill>
              <a:schemeClr val="accent3"/>
            </a:solidFill>
            <a:ln>
              <a:noFill/>
            </a:ln>
            <a:effectLst/>
          </c:spPr>
          <c:invertIfNegative val="0"/>
          <c:cat>
            <c:strRef>
              <c:f>'prescriber type'!$R$3:$R$5</c:f>
              <c:strCache>
                <c:ptCount val="2"/>
                <c:pt idx="0">
                  <c:v>After listing change</c:v>
                </c:pt>
                <c:pt idx="1">
                  <c:v>Before listing change</c:v>
                </c:pt>
              </c:strCache>
            </c:strRef>
          </c:cat>
          <c:val>
            <c:numRef>
              <c:f>'prescriber type'!$U$3:$U$5</c:f>
              <c:numCache>
                <c:formatCode>0.00%</c:formatCode>
                <c:ptCount val="2"/>
                <c:pt idx="0">
                  <c:v>8.00354924578527E-2</c:v>
                </c:pt>
                <c:pt idx="1">
                  <c:v>7.9533515444421096E-2</c:v>
                </c:pt>
              </c:numCache>
            </c:numRef>
          </c:val>
          <c:extLst>
            <c:ext xmlns:c16="http://schemas.microsoft.com/office/drawing/2014/chart" uri="{C3380CC4-5D6E-409C-BE32-E72D297353CC}">
              <c16:uniqueId val="{00000002-07C6-4ED8-A858-B4A22A97BD62}"/>
            </c:ext>
          </c:extLst>
        </c:ser>
        <c:ser>
          <c:idx val="3"/>
          <c:order val="3"/>
          <c:tx>
            <c:strRef>
              <c:f>'prescriber type'!$V$1:$V$2</c:f>
              <c:strCache>
                <c:ptCount val="1"/>
                <c:pt idx="0">
                  <c:v>Rheumatology</c:v>
                </c:pt>
              </c:strCache>
            </c:strRef>
          </c:tx>
          <c:spPr>
            <a:solidFill>
              <a:schemeClr val="accent4"/>
            </a:solidFill>
            <a:ln>
              <a:noFill/>
            </a:ln>
            <a:effectLst/>
          </c:spPr>
          <c:invertIfNegative val="0"/>
          <c:cat>
            <c:strRef>
              <c:f>'prescriber type'!$R$3:$R$5</c:f>
              <c:strCache>
                <c:ptCount val="2"/>
                <c:pt idx="0">
                  <c:v>After listing change</c:v>
                </c:pt>
                <c:pt idx="1">
                  <c:v>Before listing change</c:v>
                </c:pt>
              </c:strCache>
            </c:strRef>
          </c:cat>
          <c:val>
            <c:numRef>
              <c:f>'prescriber type'!$V$3:$V$5</c:f>
              <c:numCache>
                <c:formatCode>0.00%</c:formatCode>
                <c:ptCount val="2"/>
                <c:pt idx="0">
                  <c:v>0.12617568766637088</c:v>
                </c:pt>
                <c:pt idx="1">
                  <c:v>0.14089094347552006</c:v>
                </c:pt>
              </c:numCache>
            </c:numRef>
          </c:val>
          <c:extLst>
            <c:ext xmlns:c16="http://schemas.microsoft.com/office/drawing/2014/chart" uri="{C3380CC4-5D6E-409C-BE32-E72D297353CC}">
              <c16:uniqueId val="{00000003-07C6-4ED8-A858-B4A22A97BD62}"/>
            </c:ext>
          </c:extLst>
        </c:ser>
        <c:ser>
          <c:idx val="4"/>
          <c:order val="4"/>
          <c:tx>
            <c:strRef>
              <c:f>'prescriber type'!$W$1:$W$2</c:f>
              <c:strCache>
                <c:ptCount val="1"/>
                <c:pt idx="0">
                  <c:v>Other specialty</c:v>
                </c:pt>
              </c:strCache>
            </c:strRef>
          </c:tx>
          <c:spPr>
            <a:solidFill>
              <a:schemeClr val="accent5"/>
            </a:solidFill>
            <a:ln>
              <a:noFill/>
            </a:ln>
            <a:effectLst/>
          </c:spPr>
          <c:invertIfNegative val="0"/>
          <c:cat>
            <c:strRef>
              <c:f>'prescriber type'!$R$3:$R$5</c:f>
              <c:strCache>
                <c:ptCount val="2"/>
                <c:pt idx="0">
                  <c:v>After listing change</c:v>
                </c:pt>
                <c:pt idx="1">
                  <c:v>Before listing change</c:v>
                </c:pt>
              </c:strCache>
            </c:strRef>
          </c:cat>
          <c:val>
            <c:numRef>
              <c:f>'prescriber type'!$W$3:$W$5</c:f>
              <c:numCache>
                <c:formatCode>0.00%</c:formatCode>
                <c:ptCount val="2"/>
                <c:pt idx="0">
                  <c:v>4.6140195208518191E-2</c:v>
                </c:pt>
                <c:pt idx="1">
                  <c:v>4.7699096448833786E-2</c:v>
                </c:pt>
              </c:numCache>
            </c:numRef>
          </c:val>
          <c:extLst>
            <c:ext xmlns:c16="http://schemas.microsoft.com/office/drawing/2014/chart" uri="{C3380CC4-5D6E-409C-BE32-E72D297353CC}">
              <c16:uniqueId val="{00000004-07C6-4ED8-A858-B4A22A97BD62}"/>
            </c:ext>
          </c:extLst>
        </c:ser>
        <c:dLbls>
          <c:showLegendKey val="0"/>
          <c:showVal val="0"/>
          <c:showCatName val="0"/>
          <c:showSerName val="0"/>
          <c:showPercent val="0"/>
          <c:showBubbleSize val="0"/>
        </c:dLbls>
        <c:gapWidth val="150"/>
        <c:overlap val="100"/>
        <c:axId val="714865680"/>
        <c:axId val="714858840"/>
      </c:barChart>
      <c:catAx>
        <c:axId val="714865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858840"/>
        <c:crosses val="autoZero"/>
        <c:auto val="1"/>
        <c:lblAlgn val="ctr"/>
        <c:lblOffset val="100"/>
        <c:noMultiLvlLbl val="0"/>
      </c:catAx>
      <c:valAx>
        <c:axId val="7148588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86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24.xlsx]overall!PivotTable5</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overall!$S$18</c:f>
              <c:strCache>
                <c:ptCount val="1"/>
                <c:pt idx="0">
                  <c:v>Total</c:v>
                </c:pt>
              </c:strCache>
            </c:strRef>
          </c:tx>
          <c:spPr>
            <a:ln w="28575" cap="rnd">
              <a:solidFill>
                <a:schemeClr val="accent1"/>
              </a:solidFill>
              <a:round/>
            </a:ln>
            <a:effectLst/>
          </c:spPr>
          <c:marker>
            <c:symbol val="none"/>
          </c:marker>
          <c:cat>
            <c:strRef>
              <c:f>overall!$R$19:$R$25</c:f>
              <c:strCache>
                <c:ptCount val="6"/>
                <c:pt idx="0">
                  <c:v>2018</c:v>
                </c:pt>
                <c:pt idx="1">
                  <c:v>2019</c:v>
                </c:pt>
                <c:pt idx="2">
                  <c:v>2020</c:v>
                </c:pt>
                <c:pt idx="3">
                  <c:v>2021</c:v>
                </c:pt>
                <c:pt idx="4">
                  <c:v>2022</c:v>
                </c:pt>
                <c:pt idx="5">
                  <c:v>2023</c:v>
                </c:pt>
              </c:strCache>
            </c:strRef>
          </c:cat>
          <c:val>
            <c:numRef>
              <c:f>overall!$S$19:$S$25</c:f>
              <c:numCache>
                <c:formatCode>General</c:formatCode>
                <c:ptCount val="6"/>
                <c:pt idx="0">
                  <c:v>210786347.12</c:v>
                </c:pt>
                <c:pt idx="1">
                  <c:v>234486096.80000001</c:v>
                </c:pt>
                <c:pt idx="2">
                  <c:v>257251823.74000001</c:v>
                </c:pt>
                <c:pt idx="3">
                  <c:v>259239359.72999999</c:v>
                </c:pt>
                <c:pt idx="4">
                  <c:v>267089529.50999999</c:v>
                </c:pt>
                <c:pt idx="5">
                  <c:v>210731373.11000001</c:v>
                </c:pt>
              </c:numCache>
            </c:numRef>
          </c:val>
          <c:smooth val="0"/>
          <c:extLst>
            <c:ext xmlns:c16="http://schemas.microsoft.com/office/drawing/2014/chart" uri="{C3380CC4-5D6E-409C-BE32-E72D297353CC}">
              <c16:uniqueId val="{00000000-D4DD-46C0-80F4-0C2ED4845D70}"/>
            </c:ext>
          </c:extLst>
        </c:ser>
        <c:dLbls>
          <c:showLegendKey val="0"/>
          <c:showVal val="0"/>
          <c:showCatName val="0"/>
          <c:showSerName val="0"/>
          <c:showPercent val="0"/>
          <c:showBubbleSize val="0"/>
        </c:dLbls>
        <c:smooth val="0"/>
        <c:axId val="1025461848"/>
        <c:axId val="1025458968"/>
      </c:lineChart>
      <c:catAx>
        <c:axId val="1025461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458968"/>
        <c:crosses val="autoZero"/>
        <c:auto val="1"/>
        <c:lblAlgn val="ctr"/>
        <c:lblOffset val="100"/>
        <c:noMultiLvlLbl val="0"/>
      </c:catAx>
      <c:valAx>
        <c:axId val="1025458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Expenditure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461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24.xlsx]by drug!PivotTable2</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'by drug'!$U$43:$U$44</c:f>
              <c:strCache>
                <c:ptCount val="1"/>
                <c:pt idx="0">
                  <c:v>ALENDRONATE (incl. combination products)</c:v>
                </c:pt>
              </c:strCache>
            </c:strRef>
          </c:tx>
          <c:spPr>
            <a:ln w="28575" cap="rnd">
              <a:solidFill>
                <a:schemeClr val="accent1"/>
              </a:solidFill>
              <a:round/>
            </a:ln>
            <a:effectLst/>
          </c:spPr>
          <c:marker>
            <c:symbol val="none"/>
          </c:marker>
          <c:cat>
            <c:strRef>
              <c:f>'by drug'!$T$45:$T$51</c:f>
              <c:strCache>
                <c:ptCount val="6"/>
                <c:pt idx="0">
                  <c:v>2018</c:v>
                </c:pt>
                <c:pt idx="1">
                  <c:v>2019</c:v>
                </c:pt>
                <c:pt idx="2">
                  <c:v>2020</c:v>
                </c:pt>
                <c:pt idx="3">
                  <c:v>2021</c:v>
                </c:pt>
                <c:pt idx="4">
                  <c:v>2022</c:v>
                </c:pt>
                <c:pt idx="5">
                  <c:v>2023</c:v>
                </c:pt>
              </c:strCache>
            </c:strRef>
          </c:cat>
          <c:val>
            <c:numRef>
              <c:f>'by drug'!$U$45:$U$51</c:f>
              <c:numCache>
                <c:formatCode>General</c:formatCode>
                <c:ptCount val="6"/>
                <c:pt idx="0">
                  <c:v>8835</c:v>
                </c:pt>
                <c:pt idx="1">
                  <c:v>8263</c:v>
                </c:pt>
                <c:pt idx="2">
                  <c:v>7354</c:v>
                </c:pt>
                <c:pt idx="3">
                  <c:v>7239</c:v>
                </c:pt>
                <c:pt idx="4">
                  <c:v>7000</c:v>
                </c:pt>
                <c:pt idx="5">
                  <c:v>6014</c:v>
                </c:pt>
              </c:numCache>
            </c:numRef>
          </c:val>
          <c:smooth val="0"/>
          <c:extLst>
            <c:ext xmlns:c16="http://schemas.microsoft.com/office/drawing/2014/chart" uri="{C3380CC4-5D6E-409C-BE32-E72D297353CC}">
              <c16:uniqueId val="{00000000-6750-4FCA-B504-AE209C71B1CB}"/>
            </c:ext>
          </c:extLst>
        </c:ser>
        <c:ser>
          <c:idx val="1"/>
          <c:order val="1"/>
          <c:tx>
            <c:strRef>
              <c:f>'by drug'!$V$43:$V$44</c:f>
              <c:strCache>
                <c:ptCount val="1"/>
                <c:pt idx="0">
                  <c:v>CALCITRIOL</c:v>
                </c:pt>
              </c:strCache>
            </c:strRef>
          </c:tx>
          <c:spPr>
            <a:ln w="28575" cap="rnd">
              <a:solidFill>
                <a:schemeClr val="accent2"/>
              </a:solidFill>
              <a:round/>
            </a:ln>
            <a:effectLst/>
          </c:spPr>
          <c:marker>
            <c:symbol val="none"/>
          </c:marker>
          <c:cat>
            <c:strRef>
              <c:f>'by drug'!$T$45:$T$51</c:f>
              <c:strCache>
                <c:ptCount val="6"/>
                <c:pt idx="0">
                  <c:v>2018</c:v>
                </c:pt>
                <c:pt idx="1">
                  <c:v>2019</c:v>
                </c:pt>
                <c:pt idx="2">
                  <c:v>2020</c:v>
                </c:pt>
                <c:pt idx="3">
                  <c:v>2021</c:v>
                </c:pt>
                <c:pt idx="4">
                  <c:v>2022</c:v>
                </c:pt>
                <c:pt idx="5">
                  <c:v>2023</c:v>
                </c:pt>
              </c:strCache>
            </c:strRef>
          </c:cat>
          <c:val>
            <c:numRef>
              <c:f>'by drug'!$V$45:$V$51</c:f>
              <c:numCache>
                <c:formatCode>General</c:formatCode>
                <c:ptCount val="6"/>
                <c:pt idx="0">
                  <c:v>5701</c:v>
                </c:pt>
                <c:pt idx="1">
                  <c:v>5809</c:v>
                </c:pt>
                <c:pt idx="2">
                  <c:v>6162</c:v>
                </c:pt>
                <c:pt idx="3">
                  <c:v>5799</c:v>
                </c:pt>
                <c:pt idx="4">
                  <c:v>5436</c:v>
                </c:pt>
                <c:pt idx="5">
                  <c:v>4322</c:v>
                </c:pt>
              </c:numCache>
            </c:numRef>
          </c:val>
          <c:smooth val="0"/>
          <c:extLst>
            <c:ext xmlns:c16="http://schemas.microsoft.com/office/drawing/2014/chart" uri="{C3380CC4-5D6E-409C-BE32-E72D297353CC}">
              <c16:uniqueId val="{00000001-6750-4FCA-B504-AE209C71B1CB}"/>
            </c:ext>
          </c:extLst>
        </c:ser>
        <c:ser>
          <c:idx val="2"/>
          <c:order val="2"/>
          <c:tx>
            <c:strRef>
              <c:f>'by drug'!$W$43:$W$44</c:f>
              <c:strCache>
                <c:ptCount val="1"/>
                <c:pt idx="0">
                  <c:v>DENOSUMAB</c:v>
                </c:pt>
              </c:strCache>
            </c:strRef>
          </c:tx>
          <c:spPr>
            <a:ln w="28575" cap="rnd">
              <a:solidFill>
                <a:schemeClr val="accent3"/>
              </a:solidFill>
              <a:round/>
            </a:ln>
            <a:effectLst/>
          </c:spPr>
          <c:marker>
            <c:symbol val="none"/>
          </c:marker>
          <c:cat>
            <c:strRef>
              <c:f>'by drug'!$T$45:$T$51</c:f>
              <c:strCache>
                <c:ptCount val="6"/>
                <c:pt idx="0">
                  <c:v>2018</c:v>
                </c:pt>
                <c:pt idx="1">
                  <c:v>2019</c:v>
                </c:pt>
                <c:pt idx="2">
                  <c:v>2020</c:v>
                </c:pt>
                <c:pt idx="3">
                  <c:v>2021</c:v>
                </c:pt>
                <c:pt idx="4">
                  <c:v>2022</c:v>
                </c:pt>
                <c:pt idx="5">
                  <c:v>2023</c:v>
                </c:pt>
              </c:strCache>
            </c:strRef>
          </c:cat>
          <c:val>
            <c:numRef>
              <c:f>'by drug'!$W$45:$W$51</c:f>
              <c:numCache>
                <c:formatCode>General</c:formatCode>
                <c:ptCount val="6"/>
                <c:pt idx="0">
                  <c:v>70393</c:v>
                </c:pt>
                <c:pt idx="1">
                  <c:v>70635</c:v>
                </c:pt>
                <c:pt idx="2">
                  <c:v>63519</c:v>
                </c:pt>
                <c:pt idx="3">
                  <c:v>69380</c:v>
                </c:pt>
                <c:pt idx="4">
                  <c:v>68934</c:v>
                </c:pt>
                <c:pt idx="5">
                  <c:v>53259</c:v>
                </c:pt>
              </c:numCache>
            </c:numRef>
          </c:val>
          <c:smooth val="0"/>
          <c:extLst>
            <c:ext xmlns:c16="http://schemas.microsoft.com/office/drawing/2014/chart" uri="{C3380CC4-5D6E-409C-BE32-E72D297353CC}">
              <c16:uniqueId val="{00000002-6750-4FCA-B504-AE209C71B1CB}"/>
            </c:ext>
          </c:extLst>
        </c:ser>
        <c:ser>
          <c:idx val="3"/>
          <c:order val="3"/>
          <c:tx>
            <c:strRef>
              <c:f>'by drug'!$X$43:$X$44</c:f>
              <c:strCache>
                <c:ptCount val="1"/>
                <c:pt idx="0">
                  <c:v>RALOXIFENE</c:v>
                </c:pt>
              </c:strCache>
            </c:strRef>
          </c:tx>
          <c:spPr>
            <a:ln w="28575" cap="rnd">
              <a:solidFill>
                <a:schemeClr val="accent4"/>
              </a:solidFill>
              <a:round/>
            </a:ln>
            <a:effectLst/>
          </c:spPr>
          <c:marker>
            <c:symbol val="none"/>
          </c:marker>
          <c:cat>
            <c:strRef>
              <c:f>'by drug'!$T$45:$T$51</c:f>
              <c:strCache>
                <c:ptCount val="6"/>
                <c:pt idx="0">
                  <c:v>2018</c:v>
                </c:pt>
                <c:pt idx="1">
                  <c:v>2019</c:v>
                </c:pt>
                <c:pt idx="2">
                  <c:v>2020</c:v>
                </c:pt>
                <c:pt idx="3">
                  <c:v>2021</c:v>
                </c:pt>
                <c:pt idx="4">
                  <c:v>2022</c:v>
                </c:pt>
                <c:pt idx="5">
                  <c:v>2023</c:v>
                </c:pt>
              </c:strCache>
            </c:strRef>
          </c:cat>
          <c:val>
            <c:numRef>
              <c:f>'by drug'!$X$45:$X$51</c:f>
              <c:numCache>
                <c:formatCode>General</c:formatCode>
                <c:ptCount val="6"/>
                <c:pt idx="0">
                  <c:v>347</c:v>
                </c:pt>
                <c:pt idx="1">
                  <c:v>354</c:v>
                </c:pt>
                <c:pt idx="2">
                  <c:v>338</c:v>
                </c:pt>
                <c:pt idx="3">
                  <c:v>310</c:v>
                </c:pt>
                <c:pt idx="4">
                  <c:v>289</c:v>
                </c:pt>
                <c:pt idx="5">
                  <c:v>214</c:v>
                </c:pt>
              </c:numCache>
            </c:numRef>
          </c:val>
          <c:smooth val="0"/>
          <c:extLst>
            <c:ext xmlns:c16="http://schemas.microsoft.com/office/drawing/2014/chart" uri="{C3380CC4-5D6E-409C-BE32-E72D297353CC}">
              <c16:uniqueId val="{00000003-6750-4FCA-B504-AE209C71B1CB}"/>
            </c:ext>
          </c:extLst>
        </c:ser>
        <c:ser>
          <c:idx val="4"/>
          <c:order val="4"/>
          <c:tx>
            <c:strRef>
              <c:f>'by drug'!$Y$43:$Y$44</c:f>
              <c:strCache>
                <c:ptCount val="1"/>
                <c:pt idx="0">
                  <c:v>RISEDRONATE (incl. combination products)</c:v>
                </c:pt>
              </c:strCache>
            </c:strRef>
          </c:tx>
          <c:spPr>
            <a:ln w="28575" cap="rnd">
              <a:solidFill>
                <a:schemeClr val="accent5"/>
              </a:solidFill>
              <a:round/>
            </a:ln>
            <a:effectLst/>
          </c:spPr>
          <c:marker>
            <c:symbol val="none"/>
          </c:marker>
          <c:cat>
            <c:strRef>
              <c:f>'by drug'!$T$45:$T$51</c:f>
              <c:strCache>
                <c:ptCount val="6"/>
                <c:pt idx="0">
                  <c:v>2018</c:v>
                </c:pt>
                <c:pt idx="1">
                  <c:v>2019</c:v>
                </c:pt>
                <c:pt idx="2">
                  <c:v>2020</c:v>
                </c:pt>
                <c:pt idx="3">
                  <c:v>2021</c:v>
                </c:pt>
                <c:pt idx="4">
                  <c:v>2022</c:v>
                </c:pt>
                <c:pt idx="5">
                  <c:v>2023</c:v>
                </c:pt>
              </c:strCache>
            </c:strRef>
          </c:cat>
          <c:val>
            <c:numRef>
              <c:f>'by drug'!$Y$45:$Y$51</c:f>
              <c:numCache>
                <c:formatCode>General</c:formatCode>
                <c:ptCount val="6"/>
                <c:pt idx="0">
                  <c:v>11601</c:v>
                </c:pt>
                <c:pt idx="1">
                  <c:v>12014</c:v>
                </c:pt>
                <c:pt idx="2">
                  <c:v>11423</c:v>
                </c:pt>
                <c:pt idx="3">
                  <c:v>12566</c:v>
                </c:pt>
                <c:pt idx="4">
                  <c:v>12462</c:v>
                </c:pt>
                <c:pt idx="5">
                  <c:v>10055</c:v>
                </c:pt>
              </c:numCache>
            </c:numRef>
          </c:val>
          <c:smooth val="0"/>
          <c:extLst>
            <c:ext xmlns:c16="http://schemas.microsoft.com/office/drawing/2014/chart" uri="{C3380CC4-5D6E-409C-BE32-E72D297353CC}">
              <c16:uniqueId val="{00000004-6750-4FCA-B504-AE209C71B1CB}"/>
            </c:ext>
          </c:extLst>
        </c:ser>
        <c:ser>
          <c:idx val="5"/>
          <c:order val="5"/>
          <c:tx>
            <c:strRef>
              <c:f>'by drug'!$Z$43:$Z$44</c:f>
              <c:strCache>
                <c:ptCount val="1"/>
                <c:pt idx="0">
                  <c:v>ROMOSOZUMAB</c:v>
                </c:pt>
              </c:strCache>
            </c:strRef>
          </c:tx>
          <c:spPr>
            <a:ln w="28575" cap="rnd">
              <a:solidFill>
                <a:schemeClr val="accent6"/>
              </a:solidFill>
              <a:round/>
            </a:ln>
            <a:effectLst/>
          </c:spPr>
          <c:marker>
            <c:symbol val="none"/>
          </c:marker>
          <c:cat>
            <c:strRef>
              <c:f>'by drug'!$T$45:$T$51</c:f>
              <c:strCache>
                <c:ptCount val="6"/>
                <c:pt idx="0">
                  <c:v>2018</c:v>
                </c:pt>
                <c:pt idx="1">
                  <c:v>2019</c:v>
                </c:pt>
                <c:pt idx="2">
                  <c:v>2020</c:v>
                </c:pt>
                <c:pt idx="3">
                  <c:v>2021</c:v>
                </c:pt>
                <c:pt idx="4">
                  <c:v>2022</c:v>
                </c:pt>
                <c:pt idx="5">
                  <c:v>2023</c:v>
                </c:pt>
              </c:strCache>
            </c:strRef>
          </c:cat>
          <c:val>
            <c:numRef>
              <c:f>'by drug'!$Z$45:$Z$51</c:f>
              <c:numCache>
                <c:formatCode>General</c:formatCode>
                <c:ptCount val="6"/>
                <c:pt idx="3">
                  <c:v>14</c:v>
                </c:pt>
                <c:pt idx="4">
                  <c:v>31</c:v>
                </c:pt>
                <c:pt idx="5">
                  <c:v>24</c:v>
                </c:pt>
              </c:numCache>
            </c:numRef>
          </c:val>
          <c:smooth val="0"/>
          <c:extLst>
            <c:ext xmlns:c16="http://schemas.microsoft.com/office/drawing/2014/chart" uri="{C3380CC4-5D6E-409C-BE32-E72D297353CC}">
              <c16:uniqueId val="{00000005-6750-4FCA-B504-AE209C71B1CB}"/>
            </c:ext>
          </c:extLst>
        </c:ser>
        <c:ser>
          <c:idx val="6"/>
          <c:order val="6"/>
          <c:tx>
            <c:strRef>
              <c:f>'by drug'!$AA$43:$AA$44</c:f>
              <c:strCache>
                <c:ptCount val="1"/>
                <c:pt idx="0">
                  <c:v>TERIPARATIDE</c:v>
                </c:pt>
              </c:strCache>
            </c:strRef>
          </c:tx>
          <c:spPr>
            <a:ln w="28575" cap="rnd">
              <a:solidFill>
                <a:schemeClr val="accent1">
                  <a:lumMod val="60000"/>
                </a:schemeClr>
              </a:solidFill>
              <a:round/>
            </a:ln>
            <a:effectLst/>
          </c:spPr>
          <c:marker>
            <c:symbol val="none"/>
          </c:marker>
          <c:cat>
            <c:strRef>
              <c:f>'by drug'!$T$45:$T$51</c:f>
              <c:strCache>
                <c:ptCount val="6"/>
                <c:pt idx="0">
                  <c:v>2018</c:v>
                </c:pt>
                <c:pt idx="1">
                  <c:v>2019</c:v>
                </c:pt>
                <c:pt idx="2">
                  <c:v>2020</c:v>
                </c:pt>
                <c:pt idx="3">
                  <c:v>2021</c:v>
                </c:pt>
                <c:pt idx="4">
                  <c:v>2022</c:v>
                </c:pt>
                <c:pt idx="5">
                  <c:v>2023</c:v>
                </c:pt>
              </c:strCache>
            </c:strRef>
          </c:cat>
          <c:val>
            <c:numRef>
              <c:f>'by drug'!$AA$45:$AA$51</c:f>
              <c:numCache>
                <c:formatCode>General</c:formatCode>
                <c:ptCount val="6"/>
                <c:pt idx="0">
                  <c:v>43</c:v>
                </c:pt>
                <c:pt idx="1">
                  <c:v>52</c:v>
                </c:pt>
                <c:pt idx="2">
                  <c:v>33</c:v>
                </c:pt>
                <c:pt idx="3">
                  <c:v>30</c:v>
                </c:pt>
                <c:pt idx="4">
                  <c:v>20</c:v>
                </c:pt>
                <c:pt idx="5">
                  <c:v>27</c:v>
                </c:pt>
              </c:numCache>
            </c:numRef>
          </c:val>
          <c:smooth val="0"/>
          <c:extLst>
            <c:ext xmlns:c16="http://schemas.microsoft.com/office/drawing/2014/chart" uri="{C3380CC4-5D6E-409C-BE32-E72D297353CC}">
              <c16:uniqueId val="{00000006-6750-4FCA-B504-AE209C71B1CB}"/>
            </c:ext>
          </c:extLst>
        </c:ser>
        <c:ser>
          <c:idx val="7"/>
          <c:order val="7"/>
          <c:tx>
            <c:strRef>
              <c:f>'by drug'!$AB$43:$AB$44</c:f>
              <c:strCache>
                <c:ptCount val="1"/>
                <c:pt idx="0">
                  <c:v>ZOLEDRONIC ACID</c:v>
                </c:pt>
              </c:strCache>
            </c:strRef>
          </c:tx>
          <c:spPr>
            <a:ln w="28575" cap="rnd">
              <a:solidFill>
                <a:schemeClr val="accent2">
                  <a:lumMod val="60000"/>
                </a:schemeClr>
              </a:solidFill>
              <a:round/>
            </a:ln>
            <a:effectLst/>
          </c:spPr>
          <c:marker>
            <c:symbol val="none"/>
          </c:marker>
          <c:cat>
            <c:strRef>
              <c:f>'by drug'!$T$45:$T$51</c:f>
              <c:strCache>
                <c:ptCount val="6"/>
                <c:pt idx="0">
                  <c:v>2018</c:v>
                </c:pt>
                <c:pt idx="1">
                  <c:v>2019</c:v>
                </c:pt>
                <c:pt idx="2">
                  <c:v>2020</c:v>
                </c:pt>
                <c:pt idx="3">
                  <c:v>2021</c:v>
                </c:pt>
                <c:pt idx="4">
                  <c:v>2022</c:v>
                </c:pt>
                <c:pt idx="5">
                  <c:v>2023</c:v>
                </c:pt>
              </c:strCache>
            </c:strRef>
          </c:cat>
          <c:val>
            <c:numRef>
              <c:f>'by drug'!$AB$45:$AB$51</c:f>
              <c:numCache>
                <c:formatCode>General</c:formatCode>
                <c:ptCount val="6"/>
                <c:pt idx="0">
                  <c:v>3282</c:v>
                </c:pt>
                <c:pt idx="1">
                  <c:v>3743</c:v>
                </c:pt>
                <c:pt idx="2">
                  <c:v>3356</c:v>
                </c:pt>
                <c:pt idx="3">
                  <c:v>3815</c:v>
                </c:pt>
                <c:pt idx="4">
                  <c:v>4150</c:v>
                </c:pt>
                <c:pt idx="5">
                  <c:v>3151</c:v>
                </c:pt>
              </c:numCache>
            </c:numRef>
          </c:val>
          <c:smooth val="0"/>
          <c:extLst>
            <c:ext xmlns:c16="http://schemas.microsoft.com/office/drawing/2014/chart" uri="{C3380CC4-5D6E-409C-BE32-E72D297353CC}">
              <c16:uniqueId val="{00000007-6750-4FCA-B504-AE209C71B1CB}"/>
            </c:ext>
          </c:extLst>
        </c:ser>
        <c:dLbls>
          <c:showLegendKey val="0"/>
          <c:showVal val="0"/>
          <c:showCatName val="0"/>
          <c:showSerName val="0"/>
          <c:showPercent val="0"/>
          <c:showBubbleSize val="0"/>
        </c:dLbls>
        <c:smooth val="0"/>
        <c:axId val="823045416"/>
        <c:axId val="823045776"/>
      </c:lineChart>
      <c:catAx>
        <c:axId val="823045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045776"/>
        <c:crosses val="autoZero"/>
        <c:auto val="1"/>
        <c:lblAlgn val="ctr"/>
        <c:lblOffset val="100"/>
        <c:noMultiLvlLbl val="0"/>
      </c:catAx>
      <c:valAx>
        <c:axId val="823045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045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24.xlsx]by drug!PivotTable3</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'by drug'!$U$1:$U$2</c:f>
              <c:strCache>
                <c:ptCount val="1"/>
                <c:pt idx="0">
                  <c:v>ALENDRONATE (incl. combination products)</c:v>
                </c:pt>
              </c:strCache>
            </c:strRef>
          </c:tx>
          <c:spPr>
            <a:solidFill>
              <a:schemeClr val="accent1"/>
            </a:solidFill>
            <a:ln>
              <a:noFill/>
            </a:ln>
            <a:effectLst/>
          </c:spPr>
          <c:invertIfNegative val="0"/>
          <c:cat>
            <c:strRef>
              <c:f>'by drug'!$T$3:$T$9</c:f>
              <c:strCache>
                <c:ptCount val="6"/>
                <c:pt idx="0">
                  <c:v>2018</c:v>
                </c:pt>
                <c:pt idx="1">
                  <c:v>2019</c:v>
                </c:pt>
                <c:pt idx="2">
                  <c:v>2020</c:v>
                </c:pt>
                <c:pt idx="3">
                  <c:v>2021</c:v>
                </c:pt>
                <c:pt idx="4">
                  <c:v>2022</c:v>
                </c:pt>
                <c:pt idx="5">
                  <c:v>2023</c:v>
                </c:pt>
              </c:strCache>
            </c:strRef>
          </c:cat>
          <c:val>
            <c:numRef>
              <c:f>'by drug'!$U$3:$U$9</c:f>
              <c:numCache>
                <c:formatCode>0.00%</c:formatCode>
                <c:ptCount val="6"/>
                <c:pt idx="0">
                  <c:v>0.11022408183182802</c:v>
                </c:pt>
                <c:pt idx="1">
                  <c:v>8.9737635305491836E-2</c:v>
                </c:pt>
                <c:pt idx="2">
                  <c:v>7.4904898231303182E-2</c:v>
                </c:pt>
                <c:pt idx="3">
                  <c:v>6.6608006046556228E-2</c:v>
                </c:pt>
                <c:pt idx="4">
                  <c:v>5.8999559253525971E-2</c:v>
                </c:pt>
                <c:pt idx="5">
                  <c:v>5.5702020215746974E-2</c:v>
                </c:pt>
              </c:numCache>
            </c:numRef>
          </c:val>
          <c:extLst>
            <c:ext xmlns:c16="http://schemas.microsoft.com/office/drawing/2014/chart" uri="{C3380CC4-5D6E-409C-BE32-E72D297353CC}">
              <c16:uniqueId val="{00000000-DD62-4EF7-8302-C37607D72390}"/>
            </c:ext>
          </c:extLst>
        </c:ser>
        <c:ser>
          <c:idx val="1"/>
          <c:order val="1"/>
          <c:tx>
            <c:strRef>
              <c:f>'by drug'!$V$1:$V$2</c:f>
              <c:strCache>
                <c:ptCount val="1"/>
                <c:pt idx="0">
                  <c:v>CALCITRIOL</c:v>
                </c:pt>
              </c:strCache>
            </c:strRef>
          </c:tx>
          <c:spPr>
            <a:solidFill>
              <a:schemeClr val="accent2"/>
            </a:solidFill>
            <a:ln>
              <a:noFill/>
            </a:ln>
            <a:effectLst/>
          </c:spPr>
          <c:invertIfNegative val="0"/>
          <c:cat>
            <c:strRef>
              <c:f>'by drug'!$T$3:$T$9</c:f>
              <c:strCache>
                <c:ptCount val="6"/>
                <c:pt idx="0">
                  <c:v>2018</c:v>
                </c:pt>
                <c:pt idx="1">
                  <c:v>2019</c:v>
                </c:pt>
                <c:pt idx="2">
                  <c:v>2020</c:v>
                </c:pt>
                <c:pt idx="3">
                  <c:v>2021</c:v>
                </c:pt>
                <c:pt idx="4">
                  <c:v>2022</c:v>
                </c:pt>
                <c:pt idx="5">
                  <c:v>2023</c:v>
                </c:pt>
              </c:strCache>
            </c:strRef>
          </c:cat>
          <c:val>
            <c:numRef>
              <c:f>'by drug'!$V$3:$V$9</c:f>
              <c:numCache>
                <c:formatCode>0.00%</c:formatCode>
                <c:ptCount val="6"/>
                <c:pt idx="0">
                  <c:v>5.6205349529497385E-2</c:v>
                </c:pt>
                <c:pt idx="1">
                  <c:v>5.3471340195762482E-2</c:v>
                </c:pt>
                <c:pt idx="2">
                  <c:v>5.337464214282913E-2</c:v>
                </c:pt>
                <c:pt idx="3">
                  <c:v>5.0968464276246399E-2</c:v>
                </c:pt>
                <c:pt idx="4">
                  <c:v>4.8222770467836254E-2</c:v>
                </c:pt>
                <c:pt idx="5">
                  <c:v>4.5451456930783216E-2</c:v>
                </c:pt>
              </c:numCache>
            </c:numRef>
          </c:val>
          <c:extLst>
            <c:ext xmlns:c16="http://schemas.microsoft.com/office/drawing/2014/chart" uri="{C3380CC4-5D6E-409C-BE32-E72D297353CC}">
              <c16:uniqueId val="{00000001-DD62-4EF7-8302-C37607D72390}"/>
            </c:ext>
          </c:extLst>
        </c:ser>
        <c:ser>
          <c:idx val="2"/>
          <c:order val="2"/>
          <c:tx>
            <c:strRef>
              <c:f>'by drug'!$W$1:$W$2</c:f>
              <c:strCache>
                <c:ptCount val="1"/>
                <c:pt idx="0">
                  <c:v>DENOSUMAB</c:v>
                </c:pt>
              </c:strCache>
            </c:strRef>
          </c:tx>
          <c:spPr>
            <a:solidFill>
              <a:schemeClr val="accent3"/>
            </a:solidFill>
            <a:ln>
              <a:noFill/>
            </a:ln>
            <a:effectLst/>
          </c:spPr>
          <c:invertIfNegative val="0"/>
          <c:cat>
            <c:strRef>
              <c:f>'by drug'!$T$3:$T$9</c:f>
              <c:strCache>
                <c:ptCount val="6"/>
                <c:pt idx="0">
                  <c:v>2018</c:v>
                </c:pt>
                <c:pt idx="1">
                  <c:v>2019</c:v>
                </c:pt>
                <c:pt idx="2">
                  <c:v>2020</c:v>
                </c:pt>
                <c:pt idx="3">
                  <c:v>2021</c:v>
                </c:pt>
                <c:pt idx="4">
                  <c:v>2022</c:v>
                </c:pt>
                <c:pt idx="5">
                  <c:v>2023</c:v>
                </c:pt>
              </c:strCache>
            </c:strRef>
          </c:cat>
          <c:val>
            <c:numRef>
              <c:f>'by drug'!$W$3:$W$9</c:f>
              <c:numCache>
                <c:formatCode>0.00%</c:formatCode>
                <c:ptCount val="6"/>
                <c:pt idx="0">
                  <c:v>0.66118745979241489</c:v>
                </c:pt>
                <c:pt idx="1">
                  <c:v>0.70597239862751415</c:v>
                </c:pt>
                <c:pt idx="2">
                  <c:v>0.7322021678074857</c:v>
                </c:pt>
                <c:pt idx="3">
                  <c:v>0.74784817052191033</c:v>
                </c:pt>
                <c:pt idx="4">
                  <c:v>0.76122291021671828</c:v>
                </c:pt>
                <c:pt idx="5">
                  <c:v>0.77587101929437852</c:v>
                </c:pt>
              </c:numCache>
            </c:numRef>
          </c:val>
          <c:extLst>
            <c:ext xmlns:c16="http://schemas.microsoft.com/office/drawing/2014/chart" uri="{C3380CC4-5D6E-409C-BE32-E72D297353CC}">
              <c16:uniqueId val="{00000002-DD62-4EF7-8302-C37607D72390}"/>
            </c:ext>
          </c:extLst>
        </c:ser>
        <c:ser>
          <c:idx val="3"/>
          <c:order val="3"/>
          <c:tx>
            <c:strRef>
              <c:f>'by drug'!$X$1:$X$2</c:f>
              <c:strCache>
                <c:ptCount val="1"/>
                <c:pt idx="0">
                  <c:v>RALOXIFENE</c:v>
                </c:pt>
              </c:strCache>
            </c:strRef>
          </c:tx>
          <c:spPr>
            <a:solidFill>
              <a:schemeClr val="accent4"/>
            </a:solidFill>
            <a:ln>
              <a:noFill/>
            </a:ln>
            <a:effectLst/>
          </c:spPr>
          <c:invertIfNegative val="0"/>
          <c:cat>
            <c:strRef>
              <c:f>'by drug'!$T$3:$T$9</c:f>
              <c:strCache>
                <c:ptCount val="6"/>
                <c:pt idx="0">
                  <c:v>2018</c:v>
                </c:pt>
                <c:pt idx="1">
                  <c:v>2019</c:v>
                </c:pt>
                <c:pt idx="2">
                  <c:v>2020</c:v>
                </c:pt>
                <c:pt idx="3">
                  <c:v>2021</c:v>
                </c:pt>
                <c:pt idx="4">
                  <c:v>2022</c:v>
                </c:pt>
                <c:pt idx="5">
                  <c:v>2023</c:v>
                </c:pt>
              </c:strCache>
            </c:strRef>
          </c:cat>
          <c:val>
            <c:numRef>
              <c:f>'by drug'!$X$3:$X$9</c:f>
              <c:numCache>
                <c:formatCode>0.00%</c:formatCode>
                <c:ptCount val="6"/>
                <c:pt idx="0">
                  <c:v>1.2596266034489455E-2</c:v>
                </c:pt>
                <c:pt idx="1">
                  <c:v>1.0290484224627652E-2</c:v>
                </c:pt>
                <c:pt idx="2">
                  <c:v>8.6715316136077737E-3</c:v>
                </c:pt>
                <c:pt idx="3">
                  <c:v>7.2902741819945742E-3</c:v>
                </c:pt>
                <c:pt idx="4">
                  <c:v>6.3558866529067771E-3</c:v>
                </c:pt>
                <c:pt idx="5">
                  <c:v>5.7714625840171122E-3</c:v>
                </c:pt>
              </c:numCache>
            </c:numRef>
          </c:val>
          <c:extLst>
            <c:ext xmlns:c16="http://schemas.microsoft.com/office/drawing/2014/chart" uri="{C3380CC4-5D6E-409C-BE32-E72D297353CC}">
              <c16:uniqueId val="{00000003-DD62-4EF7-8302-C37607D72390}"/>
            </c:ext>
          </c:extLst>
        </c:ser>
        <c:ser>
          <c:idx val="4"/>
          <c:order val="4"/>
          <c:tx>
            <c:strRef>
              <c:f>'by drug'!$Y$1:$Y$2</c:f>
              <c:strCache>
                <c:ptCount val="1"/>
                <c:pt idx="0">
                  <c:v>RISEDRONATE (incl. combination products)</c:v>
                </c:pt>
              </c:strCache>
            </c:strRef>
          </c:tx>
          <c:spPr>
            <a:solidFill>
              <a:schemeClr val="accent5"/>
            </a:solidFill>
            <a:ln>
              <a:noFill/>
            </a:ln>
            <a:effectLst/>
          </c:spPr>
          <c:invertIfNegative val="0"/>
          <c:cat>
            <c:strRef>
              <c:f>'by drug'!$T$3:$T$9</c:f>
              <c:strCache>
                <c:ptCount val="6"/>
                <c:pt idx="0">
                  <c:v>2018</c:v>
                </c:pt>
                <c:pt idx="1">
                  <c:v>2019</c:v>
                </c:pt>
                <c:pt idx="2">
                  <c:v>2020</c:v>
                </c:pt>
                <c:pt idx="3">
                  <c:v>2021</c:v>
                </c:pt>
                <c:pt idx="4">
                  <c:v>2022</c:v>
                </c:pt>
                <c:pt idx="5">
                  <c:v>2023</c:v>
                </c:pt>
              </c:strCache>
            </c:strRef>
          </c:cat>
          <c:val>
            <c:numRef>
              <c:f>'by drug'!$Y$3:$Y$9</c:f>
              <c:numCache>
                <c:formatCode>0.00%</c:formatCode>
                <c:ptCount val="6"/>
                <c:pt idx="0">
                  <c:v>0.13546895763365804</c:v>
                </c:pt>
                <c:pt idx="1">
                  <c:v>0.11674344246238617</c:v>
                </c:pt>
                <c:pt idx="2">
                  <c:v>0.10906913393285408</c:v>
                </c:pt>
                <c:pt idx="3">
                  <c:v>0.10514211099266178</c:v>
                </c:pt>
                <c:pt idx="4">
                  <c:v>0.10144559468524252</c:v>
                </c:pt>
                <c:pt idx="5">
                  <c:v>9.8165145095140127E-2</c:v>
                </c:pt>
              </c:numCache>
            </c:numRef>
          </c:val>
          <c:extLst>
            <c:ext xmlns:c16="http://schemas.microsoft.com/office/drawing/2014/chart" uri="{C3380CC4-5D6E-409C-BE32-E72D297353CC}">
              <c16:uniqueId val="{00000004-DD62-4EF7-8302-C37607D72390}"/>
            </c:ext>
          </c:extLst>
        </c:ser>
        <c:ser>
          <c:idx val="5"/>
          <c:order val="5"/>
          <c:tx>
            <c:strRef>
              <c:f>'by drug'!$Z$1:$Z$2</c:f>
              <c:strCache>
                <c:ptCount val="1"/>
                <c:pt idx="0">
                  <c:v>ROMOSOZUMAB</c:v>
                </c:pt>
              </c:strCache>
            </c:strRef>
          </c:tx>
          <c:spPr>
            <a:solidFill>
              <a:schemeClr val="accent6"/>
            </a:solidFill>
            <a:ln>
              <a:noFill/>
            </a:ln>
            <a:effectLst/>
          </c:spPr>
          <c:invertIfNegative val="0"/>
          <c:cat>
            <c:strRef>
              <c:f>'by drug'!$T$3:$T$9</c:f>
              <c:strCache>
                <c:ptCount val="6"/>
                <c:pt idx="0">
                  <c:v>2018</c:v>
                </c:pt>
                <c:pt idx="1">
                  <c:v>2019</c:v>
                </c:pt>
                <c:pt idx="2">
                  <c:v>2020</c:v>
                </c:pt>
                <c:pt idx="3">
                  <c:v>2021</c:v>
                </c:pt>
                <c:pt idx="4">
                  <c:v>2022</c:v>
                </c:pt>
                <c:pt idx="5">
                  <c:v>2023</c:v>
                </c:pt>
              </c:strCache>
            </c:strRef>
          </c:cat>
          <c:val>
            <c:numRef>
              <c:f>'by drug'!$Z$3:$Z$9</c:f>
              <c:numCache>
                <c:formatCode>0.00%</c:formatCode>
                <c:ptCount val="6"/>
                <c:pt idx="0">
                  <c:v>0</c:v>
                </c:pt>
                <c:pt idx="1">
                  <c:v>0</c:v>
                </c:pt>
                <c:pt idx="2">
                  <c:v>0</c:v>
                </c:pt>
                <c:pt idx="3">
                  <c:v>7.2479708501841603E-4</c:v>
                </c:pt>
                <c:pt idx="4">
                  <c:v>1.7952356381148952E-3</c:v>
                </c:pt>
                <c:pt idx="5">
                  <c:v>1.9432991511995456E-3</c:v>
                </c:pt>
              </c:numCache>
            </c:numRef>
          </c:val>
          <c:extLst>
            <c:ext xmlns:c16="http://schemas.microsoft.com/office/drawing/2014/chart" uri="{C3380CC4-5D6E-409C-BE32-E72D297353CC}">
              <c16:uniqueId val="{00000005-DD62-4EF7-8302-C37607D72390}"/>
            </c:ext>
          </c:extLst>
        </c:ser>
        <c:ser>
          <c:idx val="6"/>
          <c:order val="6"/>
          <c:tx>
            <c:strRef>
              <c:f>'by drug'!$AA$1:$AA$2</c:f>
              <c:strCache>
                <c:ptCount val="1"/>
                <c:pt idx="0">
                  <c:v>TERIPARATIDE</c:v>
                </c:pt>
              </c:strCache>
            </c:strRef>
          </c:tx>
          <c:spPr>
            <a:solidFill>
              <a:schemeClr val="accent1">
                <a:lumMod val="60000"/>
              </a:schemeClr>
            </a:solidFill>
            <a:ln>
              <a:noFill/>
            </a:ln>
            <a:effectLst/>
          </c:spPr>
          <c:invertIfNegative val="0"/>
          <c:cat>
            <c:strRef>
              <c:f>'by drug'!$T$3:$T$9</c:f>
              <c:strCache>
                <c:ptCount val="6"/>
                <c:pt idx="0">
                  <c:v>2018</c:v>
                </c:pt>
                <c:pt idx="1">
                  <c:v>2019</c:v>
                </c:pt>
                <c:pt idx="2">
                  <c:v>2020</c:v>
                </c:pt>
                <c:pt idx="3">
                  <c:v>2021</c:v>
                </c:pt>
                <c:pt idx="4">
                  <c:v>2022</c:v>
                </c:pt>
                <c:pt idx="5">
                  <c:v>2023</c:v>
                </c:pt>
              </c:strCache>
            </c:strRef>
          </c:cat>
          <c:val>
            <c:numRef>
              <c:f>'by drug'!$AA$3:$AA$9</c:f>
              <c:numCache>
                <c:formatCode>0.00%</c:formatCode>
                <c:ptCount val="6"/>
                <c:pt idx="0">
                  <c:v>2.7151200782116677E-3</c:v>
                </c:pt>
                <c:pt idx="1">
                  <c:v>2.6903123479491702E-3</c:v>
                </c:pt>
                <c:pt idx="2">
                  <c:v>2.3801838382802344E-3</c:v>
                </c:pt>
                <c:pt idx="3">
                  <c:v>1.9389027079772803E-3</c:v>
                </c:pt>
                <c:pt idx="4">
                  <c:v>1.3397080323357413E-3</c:v>
                </c:pt>
                <c:pt idx="5">
                  <c:v>1.0599813551997522E-3</c:v>
                </c:pt>
              </c:numCache>
            </c:numRef>
          </c:val>
          <c:extLst>
            <c:ext xmlns:c16="http://schemas.microsoft.com/office/drawing/2014/chart" uri="{C3380CC4-5D6E-409C-BE32-E72D297353CC}">
              <c16:uniqueId val="{00000006-DD62-4EF7-8302-C37607D72390}"/>
            </c:ext>
          </c:extLst>
        </c:ser>
        <c:ser>
          <c:idx val="7"/>
          <c:order val="7"/>
          <c:tx>
            <c:strRef>
              <c:f>'by drug'!$AB$1:$AB$2</c:f>
              <c:strCache>
                <c:ptCount val="1"/>
                <c:pt idx="0">
                  <c:v>ZOLEDRONIC ACID</c:v>
                </c:pt>
              </c:strCache>
            </c:strRef>
          </c:tx>
          <c:spPr>
            <a:solidFill>
              <a:schemeClr val="accent2">
                <a:lumMod val="60000"/>
              </a:schemeClr>
            </a:solidFill>
            <a:ln>
              <a:noFill/>
            </a:ln>
            <a:effectLst/>
          </c:spPr>
          <c:invertIfNegative val="0"/>
          <c:cat>
            <c:strRef>
              <c:f>'by drug'!$T$3:$T$9</c:f>
              <c:strCache>
                <c:ptCount val="6"/>
                <c:pt idx="0">
                  <c:v>2018</c:v>
                </c:pt>
                <c:pt idx="1">
                  <c:v>2019</c:v>
                </c:pt>
                <c:pt idx="2">
                  <c:v>2020</c:v>
                </c:pt>
                <c:pt idx="3">
                  <c:v>2021</c:v>
                </c:pt>
                <c:pt idx="4">
                  <c:v>2022</c:v>
                </c:pt>
                <c:pt idx="5">
                  <c:v>2023</c:v>
                </c:pt>
              </c:strCache>
            </c:strRef>
          </c:cat>
          <c:val>
            <c:numRef>
              <c:f>'by drug'!$AB$3:$AB$9</c:f>
              <c:numCache>
                <c:formatCode>0.00%</c:formatCode>
                <c:ptCount val="6"/>
                <c:pt idx="0">
                  <c:v>2.1602765099900546E-2</c:v>
                </c:pt>
                <c:pt idx="1">
                  <c:v>2.1094386836268506E-2</c:v>
                </c:pt>
                <c:pt idx="2">
                  <c:v>1.939744243363993E-2</c:v>
                </c:pt>
                <c:pt idx="3">
                  <c:v>1.9479274187635016E-2</c:v>
                </c:pt>
                <c:pt idx="4">
                  <c:v>2.0618335053319573E-2</c:v>
                </c:pt>
                <c:pt idx="5">
                  <c:v>1.6035615373534713E-2</c:v>
                </c:pt>
              </c:numCache>
            </c:numRef>
          </c:val>
          <c:extLst>
            <c:ext xmlns:c16="http://schemas.microsoft.com/office/drawing/2014/chart" uri="{C3380CC4-5D6E-409C-BE32-E72D297353CC}">
              <c16:uniqueId val="{00000007-DD62-4EF7-8302-C37607D72390}"/>
            </c:ext>
          </c:extLst>
        </c:ser>
        <c:dLbls>
          <c:showLegendKey val="0"/>
          <c:showVal val="0"/>
          <c:showCatName val="0"/>
          <c:showSerName val="0"/>
          <c:showPercent val="0"/>
          <c:showBubbleSize val="0"/>
        </c:dLbls>
        <c:gapWidth val="150"/>
        <c:overlap val="100"/>
        <c:axId val="911998112"/>
        <c:axId val="912009632"/>
      </c:barChart>
      <c:catAx>
        <c:axId val="911998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009632"/>
        <c:crosses val="autoZero"/>
        <c:auto val="1"/>
        <c:lblAlgn val="ctr"/>
        <c:lblOffset val="100"/>
        <c:noMultiLvlLbl val="0"/>
      </c:catAx>
      <c:valAx>
        <c:axId val="912009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9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24.xlsx]breakdown!PivotTable8</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breakdown!$U$1:$U$2</c:f>
              <c:strCache>
                <c:ptCount val="1"/>
                <c:pt idx="0">
                  <c:v>Anti-resorptive medicines</c:v>
                </c:pt>
              </c:strCache>
            </c:strRef>
          </c:tx>
          <c:spPr>
            <a:ln w="28575" cap="rnd">
              <a:solidFill>
                <a:schemeClr val="accent1"/>
              </a:solidFill>
              <a:round/>
            </a:ln>
            <a:effectLst/>
          </c:spPr>
          <c:marker>
            <c:symbol val="none"/>
          </c:marker>
          <c:cat>
            <c:strRef>
              <c:f>breakdown!$T$3:$T$9</c:f>
              <c:strCache>
                <c:ptCount val="6"/>
                <c:pt idx="0">
                  <c:v>2018</c:v>
                </c:pt>
                <c:pt idx="1">
                  <c:v>2019</c:v>
                </c:pt>
                <c:pt idx="2">
                  <c:v>2020</c:v>
                </c:pt>
                <c:pt idx="3">
                  <c:v>2021</c:v>
                </c:pt>
                <c:pt idx="4">
                  <c:v>2022</c:v>
                </c:pt>
                <c:pt idx="5">
                  <c:v>2023</c:v>
                </c:pt>
              </c:strCache>
            </c:strRef>
          </c:cat>
          <c:val>
            <c:numRef>
              <c:f>breakdown!$U$3:$U$9</c:f>
              <c:numCache>
                <c:formatCode>General</c:formatCode>
                <c:ptCount val="6"/>
                <c:pt idx="0">
                  <c:v>537647</c:v>
                </c:pt>
                <c:pt idx="1">
                  <c:v>581034</c:v>
                </c:pt>
                <c:pt idx="2">
                  <c:v>613349</c:v>
                </c:pt>
                <c:pt idx="3">
                  <c:v>657303</c:v>
                </c:pt>
                <c:pt idx="4">
                  <c:v>693990</c:v>
                </c:pt>
                <c:pt idx="5">
                  <c:v>691538</c:v>
                </c:pt>
              </c:numCache>
            </c:numRef>
          </c:val>
          <c:smooth val="0"/>
          <c:extLst>
            <c:ext xmlns:c16="http://schemas.microsoft.com/office/drawing/2014/chart" uri="{C3380CC4-5D6E-409C-BE32-E72D297353CC}">
              <c16:uniqueId val="{00000000-B477-4927-8CD5-B7E6C98B6CF5}"/>
            </c:ext>
          </c:extLst>
        </c:ser>
        <c:ser>
          <c:idx val="1"/>
          <c:order val="1"/>
          <c:tx>
            <c:strRef>
              <c:f>breakdown!$V$1:$V$2</c:f>
              <c:strCache>
                <c:ptCount val="1"/>
                <c:pt idx="0">
                  <c:v>Other osteoporosis medicines</c:v>
                </c:pt>
              </c:strCache>
            </c:strRef>
          </c:tx>
          <c:spPr>
            <a:ln w="28575" cap="rnd">
              <a:solidFill>
                <a:schemeClr val="accent2"/>
              </a:solidFill>
              <a:round/>
            </a:ln>
            <a:effectLst/>
          </c:spPr>
          <c:marker>
            <c:symbol val="none"/>
          </c:marker>
          <c:cat>
            <c:strRef>
              <c:f>breakdown!$T$3:$T$9</c:f>
              <c:strCache>
                <c:ptCount val="6"/>
                <c:pt idx="0">
                  <c:v>2018</c:v>
                </c:pt>
                <c:pt idx="1">
                  <c:v>2019</c:v>
                </c:pt>
                <c:pt idx="2">
                  <c:v>2020</c:v>
                </c:pt>
                <c:pt idx="3">
                  <c:v>2021</c:v>
                </c:pt>
                <c:pt idx="4">
                  <c:v>2022</c:v>
                </c:pt>
                <c:pt idx="5">
                  <c:v>2023</c:v>
                </c:pt>
              </c:strCache>
            </c:strRef>
          </c:cat>
          <c:val>
            <c:numRef>
              <c:f>breakdown!$V$3:$V$9</c:f>
              <c:numCache>
                <c:formatCode>General</c:formatCode>
                <c:ptCount val="6"/>
                <c:pt idx="0">
                  <c:v>34861</c:v>
                </c:pt>
                <c:pt idx="1">
                  <c:v>35512</c:v>
                </c:pt>
                <c:pt idx="2">
                  <c:v>36926</c:v>
                </c:pt>
                <c:pt idx="3">
                  <c:v>37958</c:v>
                </c:pt>
                <c:pt idx="4">
                  <c:v>38147</c:v>
                </c:pt>
                <c:pt idx="5">
                  <c:v>35616</c:v>
                </c:pt>
              </c:numCache>
            </c:numRef>
          </c:val>
          <c:smooth val="0"/>
          <c:extLst>
            <c:ext xmlns:c16="http://schemas.microsoft.com/office/drawing/2014/chart" uri="{C3380CC4-5D6E-409C-BE32-E72D297353CC}">
              <c16:uniqueId val="{00000001-B477-4927-8CD5-B7E6C98B6CF5}"/>
            </c:ext>
          </c:extLst>
        </c:ser>
        <c:dLbls>
          <c:showLegendKey val="0"/>
          <c:showVal val="0"/>
          <c:showCatName val="0"/>
          <c:showSerName val="0"/>
          <c:showPercent val="0"/>
          <c:showBubbleSize val="0"/>
        </c:dLbls>
        <c:smooth val="0"/>
        <c:axId val="1045430640"/>
        <c:axId val="1045212120"/>
      </c:lineChart>
      <c:catAx>
        <c:axId val="1045430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5212120"/>
        <c:crosses val="autoZero"/>
        <c:auto val="1"/>
        <c:lblAlgn val="ctr"/>
        <c:lblOffset val="100"/>
        <c:noMultiLvlLbl val="0"/>
      </c:catAx>
      <c:valAx>
        <c:axId val="1045212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543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24.xlsx]breakdown!PivotTable3</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breakdown!$U$25:$U$26</c:f>
              <c:strCache>
                <c:ptCount val="1"/>
                <c:pt idx="0">
                  <c:v>Bisphosphonates</c:v>
                </c:pt>
              </c:strCache>
            </c:strRef>
          </c:tx>
          <c:spPr>
            <a:ln w="28575" cap="rnd">
              <a:solidFill>
                <a:schemeClr val="accent1"/>
              </a:solidFill>
              <a:round/>
            </a:ln>
            <a:effectLst/>
          </c:spPr>
          <c:marker>
            <c:symbol val="none"/>
          </c:marker>
          <c:cat>
            <c:strRef>
              <c:f>breakdown!$T$27:$T$33</c:f>
              <c:strCache>
                <c:ptCount val="6"/>
                <c:pt idx="0">
                  <c:v>2018</c:v>
                </c:pt>
                <c:pt idx="1">
                  <c:v>2019</c:v>
                </c:pt>
                <c:pt idx="2">
                  <c:v>2020</c:v>
                </c:pt>
                <c:pt idx="3">
                  <c:v>2021</c:v>
                </c:pt>
                <c:pt idx="4">
                  <c:v>2022</c:v>
                </c:pt>
                <c:pt idx="5">
                  <c:v>2023</c:v>
                </c:pt>
              </c:strCache>
            </c:strRef>
          </c:cat>
          <c:val>
            <c:numRef>
              <c:f>breakdown!$U$27:$U$33</c:f>
              <c:numCache>
                <c:formatCode>General</c:formatCode>
                <c:ptCount val="6"/>
                <c:pt idx="0">
                  <c:v>156452</c:v>
                </c:pt>
                <c:pt idx="1">
                  <c:v>142504</c:v>
                </c:pt>
                <c:pt idx="2">
                  <c:v>133609</c:v>
                </c:pt>
                <c:pt idx="3">
                  <c:v>133766</c:v>
                </c:pt>
                <c:pt idx="4">
                  <c:v>133293</c:v>
                </c:pt>
                <c:pt idx="5">
                  <c:v>123957</c:v>
                </c:pt>
              </c:numCache>
            </c:numRef>
          </c:val>
          <c:smooth val="0"/>
          <c:extLst>
            <c:ext xmlns:c16="http://schemas.microsoft.com/office/drawing/2014/chart" uri="{C3380CC4-5D6E-409C-BE32-E72D297353CC}">
              <c16:uniqueId val="{00000000-5BD4-4A15-BA87-8C63E5D313B4}"/>
            </c:ext>
          </c:extLst>
        </c:ser>
        <c:ser>
          <c:idx val="1"/>
          <c:order val="1"/>
          <c:tx>
            <c:strRef>
              <c:f>breakdown!$V$25:$V$26</c:f>
              <c:strCache>
                <c:ptCount val="1"/>
                <c:pt idx="0">
                  <c:v>DENOSUMAB</c:v>
                </c:pt>
              </c:strCache>
            </c:strRef>
          </c:tx>
          <c:spPr>
            <a:ln w="28575" cap="rnd">
              <a:solidFill>
                <a:schemeClr val="accent2"/>
              </a:solidFill>
              <a:round/>
            </a:ln>
            <a:effectLst/>
          </c:spPr>
          <c:marker>
            <c:symbol val="none"/>
          </c:marker>
          <c:cat>
            <c:strRef>
              <c:f>breakdown!$T$27:$T$33</c:f>
              <c:strCache>
                <c:ptCount val="6"/>
                <c:pt idx="0">
                  <c:v>2018</c:v>
                </c:pt>
                <c:pt idx="1">
                  <c:v>2019</c:v>
                </c:pt>
                <c:pt idx="2">
                  <c:v>2020</c:v>
                </c:pt>
                <c:pt idx="3">
                  <c:v>2021</c:v>
                </c:pt>
                <c:pt idx="4">
                  <c:v>2022</c:v>
                </c:pt>
                <c:pt idx="5">
                  <c:v>2023</c:v>
                </c:pt>
              </c:strCache>
            </c:strRef>
          </c:cat>
          <c:val>
            <c:numRef>
              <c:f>breakdown!$V$27:$V$33</c:f>
              <c:numCache>
                <c:formatCode>General</c:formatCode>
                <c:ptCount val="6"/>
                <c:pt idx="0">
                  <c:v>391581</c:v>
                </c:pt>
                <c:pt idx="1">
                  <c:v>446889</c:v>
                </c:pt>
                <c:pt idx="2">
                  <c:v>485431</c:v>
                </c:pt>
                <c:pt idx="3">
                  <c:v>530347</c:v>
                </c:pt>
                <c:pt idx="4">
                  <c:v>566496</c:v>
                </c:pt>
                <c:pt idx="5">
                  <c:v>570933</c:v>
                </c:pt>
              </c:numCache>
            </c:numRef>
          </c:val>
          <c:smooth val="0"/>
          <c:extLst>
            <c:ext xmlns:c16="http://schemas.microsoft.com/office/drawing/2014/chart" uri="{C3380CC4-5D6E-409C-BE32-E72D297353CC}">
              <c16:uniqueId val="{00000001-5BD4-4A15-BA87-8C63E5D313B4}"/>
            </c:ext>
          </c:extLst>
        </c:ser>
        <c:ser>
          <c:idx val="2"/>
          <c:order val="2"/>
          <c:tx>
            <c:strRef>
              <c:f>breakdown!$W$25:$W$26</c:f>
              <c:strCache>
                <c:ptCount val="1"/>
                <c:pt idx="0">
                  <c:v>RALOXIFENE</c:v>
                </c:pt>
              </c:strCache>
            </c:strRef>
          </c:tx>
          <c:spPr>
            <a:ln w="28575" cap="rnd">
              <a:solidFill>
                <a:schemeClr val="accent3"/>
              </a:solidFill>
              <a:round/>
            </a:ln>
            <a:effectLst/>
          </c:spPr>
          <c:marker>
            <c:symbol val="none"/>
          </c:marker>
          <c:cat>
            <c:strRef>
              <c:f>breakdown!$T$27:$T$33</c:f>
              <c:strCache>
                <c:ptCount val="6"/>
                <c:pt idx="0">
                  <c:v>2018</c:v>
                </c:pt>
                <c:pt idx="1">
                  <c:v>2019</c:v>
                </c:pt>
                <c:pt idx="2">
                  <c:v>2020</c:v>
                </c:pt>
                <c:pt idx="3">
                  <c:v>2021</c:v>
                </c:pt>
                <c:pt idx="4">
                  <c:v>2022</c:v>
                </c:pt>
                <c:pt idx="5">
                  <c:v>2023</c:v>
                </c:pt>
              </c:strCache>
            </c:strRef>
          </c:cat>
          <c:val>
            <c:numRef>
              <c:f>breakdown!$W$27:$W$33</c:f>
              <c:numCache>
                <c:formatCode>General</c:formatCode>
                <c:ptCount val="6"/>
                <c:pt idx="0">
                  <c:v>7460</c:v>
                </c:pt>
                <c:pt idx="1">
                  <c:v>6514</c:v>
                </c:pt>
                <c:pt idx="2">
                  <c:v>5749</c:v>
                </c:pt>
                <c:pt idx="3">
                  <c:v>5170</c:v>
                </c:pt>
                <c:pt idx="4">
                  <c:v>4730</c:v>
                </c:pt>
                <c:pt idx="5">
                  <c:v>4247</c:v>
                </c:pt>
              </c:numCache>
            </c:numRef>
          </c:val>
          <c:smooth val="0"/>
          <c:extLst>
            <c:ext xmlns:c16="http://schemas.microsoft.com/office/drawing/2014/chart" uri="{C3380CC4-5D6E-409C-BE32-E72D297353CC}">
              <c16:uniqueId val="{00000002-5BD4-4A15-BA87-8C63E5D313B4}"/>
            </c:ext>
          </c:extLst>
        </c:ser>
        <c:dLbls>
          <c:showLegendKey val="0"/>
          <c:showVal val="0"/>
          <c:showCatName val="0"/>
          <c:showSerName val="0"/>
          <c:showPercent val="0"/>
          <c:showBubbleSize val="0"/>
        </c:dLbls>
        <c:smooth val="0"/>
        <c:axId val="1068647032"/>
        <c:axId val="1068647392"/>
      </c:lineChart>
      <c:catAx>
        <c:axId val="1068647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647392"/>
        <c:crosses val="autoZero"/>
        <c:auto val="1"/>
        <c:lblAlgn val="ctr"/>
        <c:lblOffset val="100"/>
        <c:noMultiLvlLbl val="0"/>
      </c:catAx>
      <c:valAx>
        <c:axId val="1068647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647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24.xlsx]breakdown!PivotTable4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breakdown!$U$50:$U$51</c:f>
              <c:strCache>
                <c:ptCount val="1"/>
                <c:pt idx="0">
                  <c:v>ALENDRONATE (incl. combination products)</c:v>
                </c:pt>
              </c:strCache>
            </c:strRef>
          </c:tx>
          <c:spPr>
            <a:ln w="28575" cap="rnd">
              <a:solidFill>
                <a:schemeClr val="accent1"/>
              </a:solidFill>
              <a:round/>
            </a:ln>
            <a:effectLst/>
          </c:spPr>
          <c:marker>
            <c:symbol val="none"/>
          </c:marker>
          <c:cat>
            <c:strRef>
              <c:f>breakdown!$T$52:$T$58</c:f>
              <c:strCache>
                <c:ptCount val="6"/>
                <c:pt idx="0">
                  <c:v>2018</c:v>
                </c:pt>
                <c:pt idx="1">
                  <c:v>2019</c:v>
                </c:pt>
                <c:pt idx="2">
                  <c:v>2020</c:v>
                </c:pt>
                <c:pt idx="3">
                  <c:v>2021</c:v>
                </c:pt>
                <c:pt idx="4">
                  <c:v>2022</c:v>
                </c:pt>
                <c:pt idx="5">
                  <c:v>2023</c:v>
                </c:pt>
              </c:strCache>
            </c:strRef>
          </c:cat>
          <c:val>
            <c:numRef>
              <c:f>breakdown!$U$52:$U$58</c:f>
              <c:numCache>
                <c:formatCode>General</c:formatCode>
                <c:ptCount val="6"/>
                <c:pt idx="0">
                  <c:v>65279</c:v>
                </c:pt>
                <c:pt idx="1">
                  <c:v>56805</c:v>
                </c:pt>
                <c:pt idx="2">
                  <c:v>49660</c:v>
                </c:pt>
                <c:pt idx="3">
                  <c:v>47236</c:v>
                </c:pt>
                <c:pt idx="4">
                  <c:v>43907</c:v>
                </c:pt>
                <c:pt idx="5">
                  <c:v>40989</c:v>
                </c:pt>
              </c:numCache>
            </c:numRef>
          </c:val>
          <c:smooth val="0"/>
          <c:extLst>
            <c:ext xmlns:c16="http://schemas.microsoft.com/office/drawing/2014/chart" uri="{C3380CC4-5D6E-409C-BE32-E72D297353CC}">
              <c16:uniqueId val="{00000000-3587-4436-ACCC-1C7A8B0BB066}"/>
            </c:ext>
          </c:extLst>
        </c:ser>
        <c:ser>
          <c:idx val="1"/>
          <c:order val="1"/>
          <c:tx>
            <c:strRef>
              <c:f>breakdown!$V$50:$V$51</c:f>
              <c:strCache>
                <c:ptCount val="1"/>
                <c:pt idx="0">
                  <c:v>RISEDRONATE (incl. combination products)</c:v>
                </c:pt>
              </c:strCache>
            </c:strRef>
          </c:tx>
          <c:spPr>
            <a:ln w="28575" cap="rnd">
              <a:solidFill>
                <a:schemeClr val="accent2"/>
              </a:solidFill>
              <a:round/>
            </a:ln>
            <a:effectLst/>
          </c:spPr>
          <c:marker>
            <c:symbol val="none"/>
          </c:marker>
          <c:cat>
            <c:strRef>
              <c:f>breakdown!$T$52:$T$58</c:f>
              <c:strCache>
                <c:ptCount val="6"/>
                <c:pt idx="0">
                  <c:v>2018</c:v>
                </c:pt>
                <c:pt idx="1">
                  <c:v>2019</c:v>
                </c:pt>
                <c:pt idx="2">
                  <c:v>2020</c:v>
                </c:pt>
                <c:pt idx="3">
                  <c:v>2021</c:v>
                </c:pt>
                <c:pt idx="4">
                  <c:v>2022</c:v>
                </c:pt>
                <c:pt idx="5">
                  <c:v>2023</c:v>
                </c:pt>
              </c:strCache>
            </c:strRef>
          </c:cat>
          <c:val>
            <c:numRef>
              <c:f>breakdown!$V$52:$V$58</c:f>
              <c:numCache>
                <c:formatCode>General</c:formatCode>
                <c:ptCount val="6"/>
                <c:pt idx="0">
                  <c:v>80230</c:v>
                </c:pt>
                <c:pt idx="1">
                  <c:v>73900</c:v>
                </c:pt>
                <c:pt idx="2">
                  <c:v>72310</c:v>
                </c:pt>
                <c:pt idx="3">
                  <c:v>74563</c:v>
                </c:pt>
                <c:pt idx="4">
                  <c:v>75495</c:v>
                </c:pt>
                <c:pt idx="5">
                  <c:v>72236</c:v>
                </c:pt>
              </c:numCache>
            </c:numRef>
          </c:val>
          <c:smooth val="0"/>
          <c:extLst>
            <c:ext xmlns:c16="http://schemas.microsoft.com/office/drawing/2014/chart" uri="{C3380CC4-5D6E-409C-BE32-E72D297353CC}">
              <c16:uniqueId val="{00000001-3587-4436-ACCC-1C7A8B0BB066}"/>
            </c:ext>
          </c:extLst>
        </c:ser>
        <c:ser>
          <c:idx val="2"/>
          <c:order val="2"/>
          <c:tx>
            <c:strRef>
              <c:f>breakdown!$W$50:$W$51</c:f>
              <c:strCache>
                <c:ptCount val="1"/>
                <c:pt idx="0">
                  <c:v>ZOLEDRONIC ACID</c:v>
                </c:pt>
              </c:strCache>
            </c:strRef>
          </c:tx>
          <c:spPr>
            <a:ln w="28575" cap="rnd">
              <a:solidFill>
                <a:schemeClr val="accent3"/>
              </a:solidFill>
              <a:round/>
            </a:ln>
            <a:effectLst/>
          </c:spPr>
          <c:marker>
            <c:symbol val="none"/>
          </c:marker>
          <c:cat>
            <c:strRef>
              <c:f>breakdown!$T$52:$T$58</c:f>
              <c:strCache>
                <c:ptCount val="6"/>
                <c:pt idx="0">
                  <c:v>2018</c:v>
                </c:pt>
                <c:pt idx="1">
                  <c:v>2019</c:v>
                </c:pt>
                <c:pt idx="2">
                  <c:v>2020</c:v>
                </c:pt>
                <c:pt idx="3">
                  <c:v>2021</c:v>
                </c:pt>
                <c:pt idx="4">
                  <c:v>2022</c:v>
                </c:pt>
                <c:pt idx="5">
                  <c:v>2023</c:v>
                </c:pt>
              </c:strCache>
            </c:strRef>
          </c:cat>
          <c:val>
            <c:numRef>
              <c:f>breakdown!$W$52:$W$58</c:f>
              <c:numCache>
                <c:formatCode>General</c:formatCode>
                <c:ptCount val="6"/>
                <c:pt idx="0">
                  <c:v>12794</c:v>
                </c:pt>
                <c:pt idx="1">
                  <c:v>13353</c:v>
                </c:pt>
                <c:pt idx="2">
                  <c:v>12860</c:v>
                </c:pt>
                <c:pt idx="3">
                  <c:v>13814</c:v>
                </c:pt>
                <c:pt idx="4">
                  <c:v>15344</c:v>
                </c:pt>
                <c:pt idx="5">
                  <c:v>11800</c:v>
                </c:pt>
              </c:numCache>
            </c:numRef>
          </c:val>
          <c:smooth val="0"/>
          <c:extLst>
            <c:ext xmlns:c16="http://schemas.microsoft.com/office/drawing/2014/chart" uri="{C3380CC4-5D6E-409C-BE32-E72D297353CC}">
              <c16:uniqueId val="{00000002-3587-4436-ACCC-1C7A8B0BB066}"/>
            </c:ext>
          </c:extLst>
        </c:ser>
        <c:dLbls>
          <c:showLegendKey val="0"/>
          <c:showVal val="0"/>
          <c:showCatName val="0"/>
          <c:showSerName val="0"/>
          <c:showPercent val="0"/>
          <c:showBubbleSize val="0"/>
        </c:dLbls>
        <c:smooth val="0"/>
        <c:axId val="1047625728"/>
        <c:axId val="1047629328"/>
      </c:lineChart>
      <c:catAx>
        <c:axId val="1047625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629328"/>
        <c:crosses val="autoZero"/>
        <c:auto val="1"/>
        <c:lblAlgn val="ctr"/>
        <c:lblOffset val="100"/>
        <c:noMultiLvlLbl val="0"/>
      </c:catAx>
      <c:valAx>
        <c:axId val="1047629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62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24.xlsx]breakdown!PivotTable5</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breakdown!$U$69:$U$70</c:f>
              <c:strCache>
                <c:ptCount val="1"/>
                <c:pt idx="0">
                  <c:v>CALCITRIOL</c:v>
                </c:pt>
              </c:strCache>
            </c:strRef>
          </c:tx>
          <c:spPr>
            <a:ln w="28575" cap="rnd">
              <a:solidFill>
                <a:schemeClr val="accent1"/>
              </a:solidFill>
              <a:round/>
            </a:ln>
            <a:effectLst/>
          </c:spPr>
          <c:marker>
            <c:symbol val="none"/>
          </c:marker>
          <c:cat>
            <c:strRef>
              <c:f>breakdown!$T$71:$T$77</c:f>
              <c:strCache>
                <c:ptCount val="6"/>
                <c:pt idx="0">
                  <c:v>2018</c:v>
                </c:pt>
                <c:pt idx="1">
                  <c:v>2019</c:v>
                </c:pt>
                <c:pt idx="2">
                  <c:v>2020</c:v>
                </c:pt>
                <c:pt idx="3">
                  <c:v>2021</c:v>
                </c:pt>
                <c:pt idx="4">
                  <c:v>2022</c:v>
                </c:pt>
                <c:pt idx="5">
                  <c:v>2023</c:v>
                </c:pt>
              </c:strCache>
            </c:strRef>
          </c:cat>
          <c:val>
            <c:numRef>
              <c:f>breakdown!$U$71:$U$77</c:f>
              <c:numCache>
                <c:formatCode>General</c:formatCode>
                <c:ptCount val="6"/>
                <c:pt idx="0">
                  <c:v>33287</c:v>
                </c:pt>
                <c:pt idx="1">
                  <c:v>33848</c:v>
                </c:pt>
                <c:pt idx="2">
                  <c:v>35386</c:v>
                </c:pt>
                <c:pt idx="3">
                  <c:v>36145</c:v>
                </c:pt>
                <c:pt idx="4">
                  <c:v>35887</c:v>
                </c:pt>
                <c:pt idx="5">
                  <c:v>33445</c:v>
                </c:pt>
              </c:numCache>
            </c:numRef>
          </c:val>
          <c:smooth val="0"/>
          <c:extLst>
            <c:ext xmlns:c16="http://schemas.microsoft.com/office/drawing/2014/chart" uri="{C3380CC4-5D6E-409C-BE32-E72D297353CC}">
              <c16:uniqueId val="{00000000-90F6-421D-8C84-42183902A675}"/>
            </c:ext>
          </c:extLst>
        </c:ser>
        <c:ser>
          <c:idx val="1"/>
          <c:order val="1"/>
          <c:tx>
            <c:strRef>
              <c:f>breakdown!$V$69:$V$70</c:f>
              <c:strCache>
                <c:ptCount val="1"/>
                <c:pt idx="0">
                  <c:v>ROMOSOZUMAB</c:v>
                </c:pt>
              </c:strCache>
            </c:strRef>
          </c:tx>
          <c:spPr>
            <a:ln w="28575" cap="rnd">
              <a:solidFill>
                <a:schemeClr val="accent2"/>
              </a:solidFill>
              <a:round/>
            </a:ln>
            <a:effectLst/>
          </c:spPr>
          <c:marker>
            <c:symbol val="none"/>
          </c:marker>
          <c:cat>
            <c:strRef>
              <c:f>breakdown!$T$71:$T$77</c:f>
              <c:strCache>
                <c:ptCount val="6"/>
                <c:pt idx="0">
                  <c:v>2018</c:v>
                </c:pt>
                <c:pt idx="1">
                  <c:v>2019</c:v>
                </c:pt>
                <c:pt idx="2">
                  <c:v>2020</c:v>
                </c:pt>
                <c:pt idx="3">
                  <c:v>2021</c:v>
                </c:pt>
                <c:pt idx="4">
                  <c:v>2022</c:v>
                </c:pt>
                <c:pt idx="5">
                  <c:v>2023</c:v>
                </c:pt>
              </c:strCache>
            </c:strRef>
          </c:cat>
          <c:val>
            <c:numRef>
              <c:f>breakdown!$V$71:$V$77</c:f>
              <c:numCache>
                <c:formatCode>General</c:formatCode>
                <c:ptCount val="6"/>
                <c:pt idx="3">
                  <c:v>514</c:v>
                </c:pt>
                <c:pt idx="4">
                  <c:v>1336</c:v>
                </c:pt>
                <c:pt idx="5">
                  <c:v>1430</c:v>
                </c:pt>
              </c:numCache>
            </c:numRef>
          </c:val>
          <c:smooth val="0"/>
          <c:extLst>
            <c:ext xmlns:c16="http://schemas.microsoft.com/office/drawing/2014/chart" uri="{C3380CC4-5D6E-409C-BE32-E72D297353CC}">
              <c16:uniqueId val="{00000001-90F6-421D-8C84-42183902A675}"/>
            </c:ext>
          </c:extLst>
        </c:ser>
        <c:ser>
          <c:idx val="2"/>
          <c:order val="2"/>
          <c:tx>
            <c:strRef>
              <c:f>breakdown!$W$69:$W$70</c:f>
              <c:strCache>
                <c:ptCount val="1"/>
                <c:pt idx="0">
                  <c:v>TERIPARATIDE</c:v>
                </c:pt>
              </c:strCache>
            </c:strRef>
          </c:tx>
          <c:spPr>
            <a:ln w="28575" cap="rnd">
              <a:solidFill>
                <a:schemeClr val="accent3"/>
              </a:solidFill>
              <a:round/>
            </a:ln>
            <a:effectLst/>
          </c:spPr>
          <c:marker>
            <c:symbol val="none"/>
          </c:marker>
          <c:cat>
            <c:strRef>
              <c:f>breakdown!$T$71:$T$77</c:f>
              <c:strCache>
                <c:ptCount val="6"/>
                <c:pt idx="0">
                  <c:v>2018</c:v>
                </c:pt>
                <c:pt idx="1">
                  <c:v>2019</c:v>
                </c:pt>
                <c:pt idx="2">
                  <c:v>2020</c:v>
                </c:pt>
                <c:pt idx="3">
                  <c:v>2021</c:v>
                </c:pt>
                <c:pt idx="4">
                  <c:v>2022</c:v>
                </c:pt>
                <c:pt idx="5">
                  <c:v>2023</c:v>
                </c:pt>
              </c:strCache>
            </c:strRef>
          </c:cat>
          <c:val>
            <c:numRef>
              <c:f>breakdown!$W$71:$W$77</c:f>
              <c:numCache>
                <c:formatCode>General</c:formatCode>
                <c:ptCount val="6"/>
                <c:pt idx="0">
                  <c:v>1608</c:v>
                </c:pt>
                <c:pt idx="1">
                  <c:v>1703</c:v>
                </c:pt>
                <c:pt idx="2">
                  <c:v>1578</c:v>
                </c:pt>
                <c:pt idx="3">
                  <c:v>1372</c:v>
                </c:pt>
                <c:pt idx="4">
                  <c:v>609</c:v>
                </c:pt>
                <c:pt idx="5">
                  <c:v>632</c:v>
                </c:pt>
              </c:numCache>
            </c:numRef>
          </c:val>
          <c:smooth val="0"/>
          <c:extLst>
            <c:ext xmlns:c16="http://schemas.microsoft.com/office/drawing/2014/chart" uri="{C3380CC4-5D6E-409C-BE32-E72D297353CC}">
              <c16:uniqueId val="{00000002-90F6-421D-8C84-42183902A675}"/>
            </c:ext>
          </c:extLst>
        </c:ser>
        <c:dLbls>
          <c:showLegendKey val="0"/>
          <c:showVal val="0"/>
          <c:showCatName val="0"/>
          <c:showSerName val="0"/>
          <c:showPercent val="0"/>
          <c:showBubbleSize val="0"/>
        </c:dLbls>
        <c:smooth val="0"/>
        <c:axId val="1068747472"/>
        <c:axId val="1068747832"/>
      </c:lineChart>
      <c:catAx>
        <c:axId val="1068747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747832"/>
        <c:crosses val="autoZero"/>
        <c:auto val="1"/>
        <c:lblAlgn val="ctr"/>
        <c:lblOffset val="100"/>
        <c:noMultiLvlLbl val="0"/>
      </c:catAx>
      <c:valAx>
        <c:axId val="1068747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874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24.xlsx]by drug!PivotTable1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'by drug'!$U$22:$U$23</c:f>
              <c:strCache>
                <c:ptCount val="1"/>
                <c:pt idx="0">
                  <c:v>ALENDRONATE (incl. combination products)</c:v>
                </c:pt>
              </c:strCache>
            </c:strRef>
          </c:tx>
          <c:spPr>
            <a:solidFill>
              <a:schemeClr val="accent1"/>
            </a:solidFill>
            <a:ln>
              <a:noFill/>
            </a:ln>
            <a:effectLst/>
          </c:spPr>
          <c:cat>
            <c:strRef>
              <c:f>'by drug'!$T$24:$T$30</c:f>
              <c:strCache>
                <c:ptCount val="6"/>
                <c:pt idx="0">
                  <c:v>2018</c:v>
                </c:pt>
                <c:pt idx="1">
                  <c:v>2019</c:v>
                </c:pt>
                <c:pt idx="2">
                  <c:v>2020</c:v>
                </c:pt>
                <c:pt idx="3">
                  <c:v>2021</c:v>
                </c:pt>
                <c:pt idx="4">
                  <c:v>2022</c:v>
                </c:pt>
                <c:pt idx="5">
                  <c:v>2023</c:v>
                </c:pt>
              </c:strCache>
            </c:strRef>
          </c:cat>
          <c:val>
            <c:numRef>
              <c:f>'by drug'!$U$24:$U$30</c:f>
              <c:numCache>
                <c:formatCode>General</c:formatCode>
                <c:ptCount val="6"/>
                <c:pt idx="0">
                  <c:v>567048</c:v>
                </c:pt>
                <c:pt idx="1">
                  <c:v>477922</c:v>
                </c:pt>
                <c:pt idx="2">
                  <c:v>442418</c:v>
                </c:pt>
                <c:pt idx="3">
                  <c:v>405634</c:v>
                </c:pt>
                <c:pt idx="4">
                  <c:v>379306</c:v>
                </c:pt>
                <c:pt idx="5">
                  <c:v>276627</c:v>
                </c:pt>
              </c:numCache>
            </c:numRef>
          </c:val>
          <c:extLst>
            <c:ext xmlns:c16="http://schemas.microsoft.com/office/drawing/2014/chart" uri="{C3380CC4-5D6E-409C-BE32-E72D297353CC}">
              <c16:uniqueId val="{00000000-6149-4374-BF09-E7C39FF6697A}"/>
            </c:ext>
          </c:extLst>
        </c:ser>
        <c:ser>
          <c:idx val="1"/>
          <c:order val="1"/>
          <c:tx>
            <c:strRef>
              <c:f>'by drug'!$V$22:$V$23</c:f>
              <c:strCache>
                <c:ptCount val="1"/>
                <c:pt idx="0">
                  <c:v>CALCITRIOL</c:v>
                </c:pt>
              </c:strCache>
            </c:strRef>
          </c:tx>
          <c:spPr>
            <a:solidFill>
              <a:schemeClr val="accent2"/>
            </a:solidFill>
            <a:ln>
              <a:noFill/>
            </a:ln>
            <a:effectLst/>
          </c:spPr>
          <c:cat>
            <c:strRef>
              <c:f>'by drug'!$T$24:$T$30</c:f>
              <c:strCache>
                <c:ptCount val="6"/>
                <c:pt idx="0">
                  <c:v>2018</c:v>
                </c:pt>
                <c:pt idx="1">
                  <c:v>2019</c:v>
                </c:pt>
                <c:pt idx="2">
                  <c:v>2020</c:v>
                </c:pt>
                <c:pt idx="3">
                  <c:v>2021</c:v>
                </c:pt>
                <c:pt idx="4">
                  <c:v>2022</c:v>
                </c:pt>
                <c:pt idx="5">
                  <c:v>2023</c:v>
                </c:pt>
              </c:strCache>
            </c:strRef>
          </c:cat>
          <c:val>
            <c:numRef>
              <c:f>'by drug'!$V$24:$V$30</c:f>
              <c:numCache>
                <c:formatCode>General</c:formatCode>
                <c:ptCount val="6"/>
                <c:pt idx="0">
                  <c:v>133088</c:v>
                </c:pt>
                <c:pt idx="1">
                  <c:v>134989</c:v>
                </c:pt>
                <c:pt idx="2">
                  <c:v>143968</c:v>
                </c:pt>
                <c:pt idx="3">
                  <c:v>144785</c:v>
                </c:pt>
                <c:pt idx="4">
                  <c:v>144239</c:v>
                </c:pt>
                <c:pt idx="5">
                  <c:v>105101</c:v>
                </c:pt>
              </c:numCache>
            </c:numRef>
          </c:val>
          <c:extLst>
            <c:ext xmlns:c16="http://schemas.microsoft.com/office/drawing/2014/chart" uri="{C3380CC4-5D6E-409C-BE32-E72D297353CC}">
              <c16:uniqueId val="{00000001-6149-4374-BF09-E7C39FF6697A}"/>
            </c:ext>
          </c:extLst>
        </c:ser>
        <c:ser>
          <c:idx val="2"/>
          <c:order val="2"/>
          <c:tx>
            <c:strRef>
              <c:f>'by drug'!$W$22:$W$23</c:f>
              <c:strCache>
                <c:ptCount val="1"/>
                <c:pt idx="0">
                  <c:v>DENOSUMAB</c:v>
                </c:pt>
              </c:strCache>
            </c:strRef>
          </c:tx>
          <c:spPr>
            <a:solidFill>
              <a:schemeClr val="accent3"/>
            </a:solidFill>
            <a:ln>
              <a:noFill/>
            </a:ln>
            <a:effectLst/>
          </c:spPr>
          <c:cat>
            <c:strRef>
              <c:f>'by drug'!$T$24:$T$30</c:f>
              <c:strCache>
                <c:ptCount val="6"/>
                <c:pt idx="0">
                  <c:v>2018</c:v>
                </c:pt>
                <c:pt idx="1">
                  <c:v>2019</c:v>
                </c:pt>
                <c:pt idx="2">
                  <c:v>2020</c:v>
                </c:pt>
                <c:pt idx="3">
                  <c:v>2021</c:v>
                </c:pt>
                <c:pt idx="4">
                  <c:v>2022</c:v>
                </c:pt>
                <c:pt idx="5">
                  <c:v>2023</c:v>
                </c:pt>
              </c:strCache>
            </c:strRef>
          </c:cat>
          <c:val>
            <c:numRef>
              <c:f>'by drug'!$W$24:$W$30</c:f>
              <c:numCache>
                <c:formatCode>General</c:formatCode>
                <c:ptCount val="6"/>
                <c:pt idx="0">
                  <c:v>669075</c:v>
                </c:pt>
                <c:pt idx="1">
                  <c:v>774355</c:v>
                </c:pt>
                <c:pt idx="2">
                  <c:v>858160</c:v>
                </c:pt>
                <c:pt idx="3">
                  <c:v>933781</c:v>
                </c:pt>
                <c:pt idx="4">
                  <c:v>998784</c:v>
                </c:pt>
                <c:pt idx="5">
                  <c:v>788249</c:v>
                </c:pt>
              </c:numCache>
            </c:numRef>
          </c:val>
          <c:extLst>
            <c:ext xmlns:c16="http://schemas.microsoft.com/office/drawing/2014/chart" uri="{C3380CC4-5D6E-409C-BE32-E72D297353CC}">
              <c16:uniqueId val="{00000002-6149-4374-BF09-E7C39FF6697A}"/>
            </c:ext>
          </c:extLst>
        </c:ser>
        <c:ser>
          <c:idx val="3"/>
          <c:order val="3"/>
          <c:tx>
            <c:strRef>
              <c:f>'by drug'!$X$22:$X$23</c:f>
              <c:strCache>
                <c:ptCount val="1"/>
                <c:pt idx="0">
                  <c:v>RALOXIFENE</c:v>
                </c:pt>
              </c:strCache>
            </c:strRef>
          </c:tx>
          <c:spPr>
            <a:solidFill>
              <a:schemeClr val="accent4"/>
            </a:solidFill>
            <a:ln>
              <a:noFill/>
            </a:ln>
            <a:effectLst/>
          </c:spPr>
          <c:cat>
            <c:strRef>
              <c:f>'by drug'!$T$24:$T$30</c:f>
              <c:strCache>
                <c:ptCount val="6"/>
                <c:pt idx="0">
                  <c:v>2018</c:v>
                </c:pt>
                <c:pt idx="1">
                  <c:v>2019</c:v>
                </c:pt>
                <c:pt idx="2">
                  <c:v>2020</c:v>
                </c:pt>
                <c:pt idx="3">
                  <c:v>2021</c:v>
                </c:pt>
                <c:pt idx="4">
                  <c:v>2022</c:v>
                </c:pt>
                <c:pt idx="5">
                  <c:v>2023</c:v>
                </c:pt>
              </c:strCache>
            </c:strRef>
          </c:cat>
          <c:val>
            <c:numRef>
              <c:f>'by drug'!$X$24:$X$30</c:f>
              <c:numCache>
                <c:formatCode>General</c:formatCode>
                <c:ptCount val="6"/>
                <c:pt idx="0">
                  <c:v>75592</c:v>
                </c:pt>
                <c:pt idx="1">
                  <c:v>65508</c:v>
                </c:pt>
                <c:pt idx="2">
                  <c:v>58557</c:v>
                </c:pt>
                <c:pt idx="3">
                  <c:v>52256</c:v>
                </c:pt>
                <c:pt idx="4">
                  <c:v>47499</c:v>
                </c:pt>
                <c:pt idx="5">
                  <c:v>32234</c:v>
                </c:pt>
              </c:numCache>
            </c:numRef>
          </c:val>
          <c:extLst>
            <c:ext xmlns:c16="http://schemas.microsoft.com/office/drawing/2014/chart" uri="{C3380CC4-5D6E-409C-BE32-E72D297353CC}">
              <c16:uniqueId val="{00000003-6149-4374-BF09-E7C39FF6697A}"/>
            </c:ext>
          </c:extLst>
        </c:ser>
        <c:ser>
          <c:idx val="4"/>
          <c:order val="4"/>
          <c:tx>
            <c:strRef>
              <c:f>'by drug'!$Y$22:$Y$23</c:f>
              <c:strCache>
                <c:ptCount val="1"/>
                <c:pt idx="0">
                  <c:v>RISEDRONATE (incl. combination products)</c:v>
                </c:pt>
              </c:strCache>
            </c:strRef>
          </c:tx>
          <c:spPr>
            <a:solidFill>
              <a:schemeClr val="accent5"/>
            </a:solidFill>
            <a:ln>
              <a:noFill/>
            </a:ln>
            <a:effectLst/>
          </c:spPr>
          <c:cat>
            <c:strRef>
              <c:f>'by drug'!$T$24:$T$30</c:f>
              <c:strCache>
                <c:ptCount val="6"/>
                <c:pt idx="0">
                  <c:v>2018</c:v>
                </c:pt>
                <c:pt idx="1">
                  <c:v>2019</c:v>
                </c:pt>
                <c:pt idx="2">
                  <c:v>2020</c:v>
                </c:pt>
                <c:pt idx="3">
                  <c:v>2021</c:v>
                </c:pt>
                <c:pt idx="4">
                  <c:v>2022</c:v>
                </c:pt>
                <c:pt idx="5">
                  <c:v>2023</c:v>
                </c:pt>
              </c:strCache>
            </c:strRef>
          </c:cat>
          <c:val>
            <c:numRef>
              <c:f>'by drug'!$Y$24:$Y$30</c:f>
              <c:numCache>
                <c:formatCode>General</c:formatCode>
                <c:ptCount val="6"/>
                <c:pt idx="0">
                  <c:v>671846</c:v>
                </c:pt>
                <c:pt idx="1">
                  <c:v>638257</c:v>
                </c:pt>
                <c:pt idx="2">
                  <c:v>640734</c:v>
                </c:pt>
                <c:pt idx="3">
                  <c:v>653746</c:v>
                </c:pt>
                <c:pt idx="4">
                  <c:v>660773</c:v>
                </c:pt>
                <c:pt idx="5">
                  <c:v>492889</c:v>
                </c:pt>
              </c:numCache>
            </c:numRef>
          </c:val>
          <c:extLst>
            <c:ext xmlns:c16="http://schemas.microsoft.com/office/drawing/2014/chart" uri="{C3380CC4-5D6E-409C-BE32-E72D297353CC}">
              <c16:uniqueId val="{00000004-6149-4374-BF09-E7C39FF6697A}"/>
            </c:ext>
          </c:extLst>
        </c:ser>
        <c:ser>
          <c:idx val="5"/>
          <c:order val="5"/>
          <c:tx>
            <c:strRef>
              <c:f>'by drug'!$Z$22:$Z$23</c:f>
              <c:strCache>
                <c:ptCount val="1"/>
                <c:pt idx="0">
                  <c:v>ROMOSOZUMAB</c:v>
                </c:pt>
              </c:strCache>
            </c:strRef>
          </c:tx>
          <c:spPr>
            <a:solidFill>
              <a:schemeClr val="accent6"/>
            </a:solidFill>
            <a:ln>
              <a:noFill/>
            </a:ln>
            <a:effectLst/>
          </c:spPr>
          <c:cat>
            <c:strRef>
              <c:f>'by drug'!$T$24:$T$30</c:f>
              <c:strCache>
                <c:ptCount val="6"/>
                <c:pt idx="0">
                  <c:v>2018</c:v>
                </c:pt>
                <c:pt idx="1">
                  <c:v>2019</c:v>
                </c:pt>
                <c:pt idx="2">
                  <c:v>2020</c:v>
                </c:pt>
                <c:pt idx="3">
                  <c:v>2021</c:v>
                </c:pt>
                <c:pt idx="4">
                  <c:v>2022</c:v>
                </c:pt>
                <c:pt idx="5">
                  <c:v>2023</c:v>
                </c:pt>
              </c:strCache>
            </c:strRef>
          </c:cat>
          <c:val>
            <c:numRef>
              <c:f>'by drug'!$Z$24:$Z$30</c:f>
              <c:numCache>
                <c:formatCode>General</c:formatCode>
                <c:ptCount val="6"/>
                <c:pt idx="3">
                  <c:v>2281</c:v>
                </c:pt>
                <c:pt idx="4">
                  <c:v>8199</c:v>
                </c:pt>
                <c:pt idx="5">
                  <c:v>6994</c:v>
                </c:pt>
              </c:numCache>
            </c:numRef>
          </c:val>
          <c:extLst>
            <c:ext xmlns:c16="http://schemas.microsoft.com/office/drawing/2014/chart" uri="{C3380CC4-5D6E-409C-BE32-E72D297353CC}">
              <c16:uniqueId val="{00000005-6149-4374-BF09-E7C39FF6697A}"/>
            </c:ext>
          </c:extLst>
        </c:ser>
        <c:ser>
          <c:idx val="6"/>
          <c:order val="6"/>
          <c:tx>
            <c:strRef>
              <c:f>'by drug'!$AA$22:$AA$23</c:f>
              <c:strCache>
                <c:ptCount val="1"/>
                <c:pt idx="0">
                  <c:v>TERIPARATIDE</c:v>
                </c:pt>
              </c:strCache>
            </c:strRef>
          </c:tx>
          <c:spPr>
            <a:solidFill>
              <a:schemeClr val="accent1">
                <a:lumMod val="60000"/>
              </a:schemeClr>
            </a:solidFill>
            <a:ln>
              <a:noFill/>
            </a:ln>
            <a:effectLst/>
          </c:spPr>
          <c:cat>
            <c:strRef>
              <c:f>'by drug'!$T$24:$T$30</c:f>
              <c:strCache>
                <c:ptCount val="6"/>
                <c:pt idx="0">
                  <c:v>2018</c:v>
                </c:pt>
                <c:pt idx="1">
                  <c:v>2019</c:v>
                </c:pt>
                <c:pt idx="2">
                  <c:v>2020</c:v>
                </c:pt>
                <c:pt idx="3">
                  <c:v>2021</c:v>
                </c:pt>
                <c:pt idx="4">
                  <c:v>2022</c:v>
                </c:pt>
                <c:pt idx="5">
                  <c:v>2023</c:v>
                </c:pt>
              </c:strCache>
            </c:strRef>
          </c:cat>
          <c:val>
            <c:numRef>
              <c:f>'by drug'!$AA$24:$AA$30</c:f>
              <c:numCache>
                <c:formatCode>General</c:formatCode>
                <c:ptCount val="6"/>
                <c:pt idx="0">
                  <c:v>11002</c:v>
                </c:pt>
                <c:pt idx="1">
                  <c:v>11157</c:v>
                </c:pt>
                <c:pt idx="2">
                  <c:v>10617</c:v>
                </c:pt>
                <c:pt idx="3">
                  <c:v>9425</c:v>
                </c:pt>
                <c:pt idx="4">
                  <c:v>5598</c:v>
                </c:pt>
                <c:pt idx="5">
                  <c:v>3953</c:v>
                </c:pt>
              </c:numCache>
            </c:numRef>
          </c:val>
          <c:extLst>
            <c:ext xmlns:c16="http://schemas.microsoft.com/office/drawing/2014/chart" uri="{C3380CC4-5D6E-409C-BE32-E72D297353CC}">
              <c16:uniqueId val="{00000006-6149-4374-BF09-E7C39FF6697A}"/>
            </c:ext>
          </c:extLst>
        </c:ser>
        <c:ser>
          <c:idx val="7"/>
          <c:order val="7"/>
          <c:tx>
            <c:strRef>
              <c:f>'by drug'!$AB$22:$AB$23</c:f>
              <c:strCache>
                <c:ptCount val="1"/>
                <c:pt idx="0">
                  <c:v>ZOLEDRONIC ACID</c:v>
                </c:pt>
              </c:strCache>
            </c:strRef>
          </c:tx>
          <c:spPr>
            <a:solidFill>
              <a:schemeClr val="accent2">
                <a:lumMod val="60000"/>
              </a:schemeClr>
            </a:solidFill>
            <a:ln>
              <a:noFill/>
            </a:ln>
            <a:effectLst/>
          </c:spPr>
          <c:cat>
            <c:strRef>
              <c:f>'by drug'!$T$24:$T$30</c:f>
              <c:strCache>
                <c:ptCount val="6"/>
                <c:pt idx="0">
                  <c:v>2018</c:v>
                </c:pt>
                <c:pt idx="1">
                  <c:v>2019</c:v>
                </c:pt>
                <c:pt idx="2">
                  <c:v>2020</c:v>
                </c:pt>
                <c:pt idx="3">
                  <c:v>2021</c:v>
                </c:pt>
                <c:pt idx="4">
                  <c:v>2022</c:v>
                </c:pt>
                <c:pt idx="5">
                  <c:v>2023</c:v>
                </c:pt>
              </c:strCache>
            </c:strRef>
          </c:cat>
          <c:val>
            <c:numRef>
              <c:f>'by drug'!$AB$24:$AB$30</c:f>
              <c:numCache>
                <c:formatCode>General</c:formatCode>
                <c:ptCount val="6"/>
                <c:pt idx="0">
                  <c:v>12972</c:v>
                </c:pt>
                <c:pt idx="1">
                  <c:v>13540</c:v>
                </c:pt>
                <c:pt idx="2">
                  <c:v>13025</c:v>
                </c:pt>
                <c:pt idx="3">
                  <c:v>14007</c:v>
                </c:pt>
                <c:pt idx="4">
                  <c:v>15567</c:v>
                </c:pt>
                <c:pt idx="5">
                  <c:v>11922</c:v>
                </c:pt>
              </c:numCache>
            </c:numRef>
          </c:val>
          <c:extLst>
            <c:ext xmlns:c16="http://schemas.microsoft.com/office/drawing/2014/chart" uri="{C3380CC4-5D6E-409C-BE32-E72D297353CC}">
              <c16:uniqueId val="{00000007-6149-4374-BF09-E7C39FF6697A}"/>
            </c:ext>
          </c:extLst>
        </c:ser>
        <c:dLbls>
          <c:showLegendKey val="0"/>
          <c:showVal val="0"/>
          <c:showCatName val="0"/>
          <c:showSerName val="0"/>
          <c:showPercent val="0"/>
          <c:showBubbleSize val="0"/>
        </c:dLbls>
        <c:axId val="830117168"/>
        <c:axId val="830115368"/>
      </c:areaChart>
      <c:catAx>
        <c:axId val="830117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15368"/>
        <c:crosses val="autoZero"/>
        <c:auto val="1"/>
        <c:lblAlgn val="ctr"/>
        <c:lblOffset val="100"/>
        <c:noMultiLvlLbl val="0"/>
      </c:catAx>
      <c:valAx>
        <c:axId val="830115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171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[Item 7.4 romosozumab Feb 24.xlsx]breakdown!PivotTable6</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breakdown!$U$99:$U$100</c:f>
              <c:strCache>
                <c:ptCount val="1"/>
                <c:pt idx="0">
                  <c:v>Injection</c:v>
                </c:pt>
              </c:strCache>
            </c:strRef>
          </c:tx>
          <c:spPr>
            <a:ln w="28575" cap="rnd">
              <a:solidFill>
                <a:schemeClr val="accent1"/>
              </a:solidFill>
              <a:round/>
            </a:ln>
            <a:effectLst/>
          </c:spPr>
          <c:marker>
            <c:symbol val="none"/>
          </c:marker>
          <c:cat>
            <c:strRef>
              <c:f>breakdown!$T$101:$T$107</c:f>
              <c:strCache>
                <c:ptCount val="6"/>
                <c:pt idx="0">
                  <c:v>2018</c:v>
                </c:pt>
                <c:pt idx="1">
                  <c:v>2019</c:v>
                </c:pt>
                <c:pt idx="2">
                  <c:v>2020</c:v>
                </c:pt>
                <c:pt idx="3">
                  <c:v>2021</c:v>
                </c:pt>
                <c:pt idx="4">
                  <c:v>2022</c:v>
                </c:pt>
                <c:pt idx="5">
                  <c:v>2023</c:v>
                </c:pt>
              </c:strCache>
            </c:strRef>
          </c:cat>
          <c:val>
            <c:numRef>
              <c:f>breakdown!$U$101:$U$107</c:f>
              <c:numCache>
                <c:formatCode>General</c:formatCode>
                <c:ptCount val="6"/>
                <c:pt idx="0">
                  <c:v>392598</c:v>
                </c:pt>
                <c:pt idx="1">
                  <c:v>447912</c:v>
                </c:pt>
                <c:pt idx="2">
                  <c:v>486377</c:v>
                </c:pt>
                <c:pt idx="3">
                  <c:v>531499</c:v>
                </c:pt>
                <c:pt idx="4">
                  <c:v>567878</c:v>
                </c:pt>
                <c:pt idx="5">
                  <c:v>572485</c:v>
                </c:pt>
              </c:numCache>
            </c:numRef>
          </c:val>
          <c:smooth val="0"/>
          <c:extLst>
            <c:ext xmlns:c16="http://schemas.microsoft.com/office/drawing/2014/chart" uri="{C3380CC4-5D6E-409C-BE32-E72D297353CC}">
              <c16:uniqueId val="{00000000-5C8C-40CE-8D8A-3183F052F990}"/>
            </c:ext>
          </c:extLst>
        </c:ser>
        <c:ser>
          <c:idx val="1"/>
          <c:order val="1"/>
          <c:tx>
            <c:strRef>
              <c:f>breakdown!$V$99:$V$100</c:f>
              <c:strCache>
                <c:ptCount val="1"/>
                <c:pt idx="0">
                  <c:v>IV infusion</c:v>
                </c:pt>
              </c:strCache>
            </c:strRef>
          </c:tx>
          <c:spPr>
            <a:ln w="28575" cap="rnd">
              <a:solidFill>
                <a:schemeClr val="accent2"/>
              </a:solidFill>
              <a:round/>
            </a:ln>
            <a:effectLst/>
          </c:spPr>
          <c:marker>
            <c:symbol val="none"/>
          </c:marker>
          <c:cat>
            <c:strRef>
              <c:f>breakdown!$T$101:$T$107</c:f>
              <c:strCache>
                <c:ptCount val="6"/>
                <c:pt idx="0">
                  <c:v>2018</c:v>
                </c:pt>
                <c:pt idx="1">
                  <c:v>2019</c:v>
                </c:pt>
                <c:pt idx="2">
                  <c:v>2020</c:v>
                </c:pt>
                <c:pt idx="3">
                  <c:v>2021</c:v>
                </c:pt>
                <c:pt idx="4">
                  <c:v>2022</c:v>
                </c:pt>
                <c:pt idx="5">
                  <c:v>2023</c:v>
                </c:pt>
              </c:strCache>
            </c:strRef>
          </c:cat>
          <c:val>
            <c:numRef>
              <c:f>breakdown!$V$101:$V$107</c:f>
              <c:numCache>
                <c:formatCode>General</c:formatCode>
                <c:ptCount val="6"/>
                <c:pt idx="0">
                  <c:v>12794</c:v>
                </c:pt>
                <c:pt idx="1">
                  <c:v>13353</c:v>
                </c:pt>
                <c:pt idx="2">
                  <c:v>12860</c:v>
                </c:pt>
                <c:pt idx="3">
                  <c:v>13814</c:v>
                </c:pt>
                <c:pt idx="4">
                  <c:v>15344</c:v>
                </c:pt>
                <c:pt idx="5">
                  <c:v>11800</c:v>
                </c:pt>
              </c:numCache>
            </c:numRef>
          </c:val>
          <c:smooth val="0"/>
          <c:extLst>
            <c:ext xmlns:c16="http://schemas.microsoft.com/office/drawing/2014/chart" uri="{C3380CC4-5D6E-409C-BE32-E72D297353CC}">
              <c16:uniqueId val="{00000001-5C8C-40CE-8D8A-3183F052F990}"/>
            </c:ext>
          </c:extLst>
        </c:ser>
        <c:ser>
          <c:idx val="2"/>
          <c:order val="2"/>
          <c:tx>
            <c:strRef>
              <c:f>breakdown!$W$99:$W$100</c:f>
              <c:strCache>
                <c:ptCount val="1"/>
                <c:pt idx="0">
                  <c:v>Oral</c:v>
                </c:pt>
              </c:strCache>
            </c:strRef>
          </c:tx>
          <c:spPr>
            <a:ln w="28575" cap="rnd">
              <a:solidFill>
                <a:schemeClr val="accent3"/>
              </a:solidFill>
              <a:round/>
            </a:ln>
            <a:effectLst/>
          </c:spPr>
          <c:marker>
            <c:symbol val="none"/>
          </c:marker>
          <c:cat>
            <c:strRef>
              <c:f>breakdown!$T$101:$T$107</c:f>
              <c:strCache>
                <c:ptCount val="6"/>
                <c:pt idx="0">
                  <c:v>2018</c:v>
                </c:pt>
                <c:pt idx="1">
                  <c:v>2019</c:v>
                </c:pt>
                <c:pt idx="2">
                  <c:v>2020</c:v>
                </c:pt>
                <c:pt idx="3">
                  <c:v>2021</c:v>
                </c:pt>
                <c:pt idx="4">
                  <c:v>2022</c:v>
                </c:pt>
                <c:pt idx="5">
                  <c:v>2023</c:v>
                </c:pt>
              </c:strCache>
            </c:strRef>
          </c:cat>
          <c:val>
            <c:numRef>
              <c:f>breakdown!$W$101:$W$107</c:f>
              <c:numCache>
                <c:formatCode>General</c:formatCode>
                <c:ptCount val="6"/>
                <c:pt idx="0">
                  <c:v>183425</c:v>
                </c:pt>
                <c:pt idx="1">
                  <c:v>168588</c:v>
                </c:pt>
                <c:pt idx="2">
                  <c:v>161062</c:v>
                </c:pt>
                <c:pt idx="3">
                  <c:v>160490</c:v>
                </c:pt>
                <c:pt idx="4">
                  <c:v>157947</c:v>
                </c:pt>
                <c:pt idx="5">
                  <c:v>149173</c:v>
                </c:pt>
              </c:numCache>
            </c:numRef>
          </c:val>
          <c:smooth val="0"/>
          <c:extLst>
            <c:ext xmlns:c16="http://schemas.microsoft.com/office/drawing/2014/chart" uri="{C3380CC4-5D6E-409C-BE32-E72D297353CC}">
              <c16:uniqueId val="{00000002-5C8C-40CE-8D8A-3183F052F990}"/>
            </c:ext>
          </c:extLst>
        </c:ser>
        <c:dLbls>
          <c:showLegendKey val="0"/>
          <c:showVal val="0"/>
          <c:showCatName val="0"/>
          <c:showSerName val="0"/>
          <c:showPercent val="0"/>
          <c:showBubbleSize val="0"/>
        </c:dLbls>
        <c:smooth val="0"/>
        <c:axId val="830131568"/>
        <c:axId val="830132648"/>
      </c:lineChart>
      <c:catAx>
        <c:axId val="830131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32648"/>
        <c:crosses val="autoZero"/>
        <c:auto val="1"/>
        <c:lblAlgn val="ctr"/>
        <c:lblOffset val="100"/>
        <c:noMultiLvlLbl val="0"/>
      </c:catAx>
      <c:valAx>
        <c:axId val="830132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13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7" ma:contentTypeDescription="Create a new document." ma:contentTypeScope="" ma:versionID="4b4ccd00d60b34dfd504305be79b870d">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fd8df0d0f438dd9c55e0f65836c38d64"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EFDC1-7F0D-4385-B8B8-DE0A93A1253B}">
  <ds:schemaRefs>
    <ds:schemaRef ds:uri="http://schemas.microsoft.com/office/2006/metadata/properties"/>
    <ds:schemaRef ds:uri="http://schemas.microsoft.com/office/infopath/2007/PartnerControls"/>
    <ds:schemaRef ds:uri="5e6c165d-1334-4e3d-ac4c-cda196070297"/>
    <ds:schemaRef ds:uri="7ea72d31-b391-468a-afa4-2af449538c2c"/>
  </ds:schemaRefs>
</ds:datastoreItem>
</file>

<file path=customXml/itemProps2.xml><?xml version="1.0" encoding="utf-8"?>
<ds:datastoreItem xmlns:ds="http://schemas.openxmlformats.org/officeDocument/2006/customXml" ds:itemID="{27A29BF7-7D52-4B06-9213-50D017E6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4F82B-27DE-4369-A0C3-FBA3FE91E513}">
  <ds:schemaRefs>
    <ds:schemaRef ds:uri="http://schemas.openxmlformats.org/officeDocument/2006/bibliography"/>
  </ds:schemaRefs>
</ds:datastoreItem>
</file>

<file path=customXml/itemProps4.xml><?xml version="1.0" encoding="utf-8"?>
<ds:datastoreItem xmlns:ds="http://schemas.openxmlformats.org/officeDocument/2006/customXml" ds:itemID="{A772939D-597F-491A-8675-BD3F21839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8386</Words>
  <Characters>47805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56079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2013-04-17T01:11:00Z</cp:lastPrinted>
  <dcterms:created xsi:type="dcterms:W3CDTF">2024-06-25T05:29:00Z</dcterms:created>
  <dcterms:modified xsi:type="dcterms:W3CDTF">2024-06-25T06:20:00Z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0x0101000A12E266AD69594FAC52E7A8B8B76707</vt:lpwstr>
  </property>
</Properties>
</file>