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3CD1" w14:textId="0DD76F23" w:rsidR="00D51625" w:rsidRDefault="00576A8E" w:rsidP="00F94E1B">
      <w:pPr>
        <w:pStyle w:val="COMexecsummheadings"/>
      </w:pPr>
      <w:r>
        <w:t>7</w:t>
      </w:r>
      <w:r w:rsidR="00433044" w:rsidRPr="0076762E">
        <w:t>.</w:t>
      </w:r>
      <w:r>
        <w:t>05</w:t>
      </w:r>
      <w:r w:rsidR="00163F66" w:rsidRPr="0076762E">
        <w:tab/>
      </w:r>
      <w:r w:rsidR="009845F9" w:rsidRPr="0076762E">
        <w:t>TIRZEPATIDE</w:t>
      </w:r>
      <w:r w:rsidR="00163F66" w:rsidRPr="0076762E">
        <w:t>,</w:t>
      </w:r>
      <w:r w:rsidR="00163F66" w:rsidRPr="0076762E">
        <w:br/>
      </w:r>
      <w:r w:rsidR="00617D5E" w:rsidRPr="00617D5E">
        <w:t>Solution for injection 2.5 mg in 0.5 mL vial</w:t>
      </w:r>
      <w:r w:rsidR="003A2DD6">
        <w:t>/</w:t>
      </w:r>
      <w:r w:rsidR="005A3D59" w:rsidRPr="005A3D59">
        <w:t>pre-filled pen</w:t>
      </w:r>
      <w:r w:rsidR="0015192D" w:rsidRPr="0076762E">
        <w:t xml:space="preserve">, </w:t>
      </w:r>
      <w:r w:rsidR="0015192D" w:rsidRPr="0076762E">
        <w:br/>
      </w:r>
      <w:r w:rsidR="00C57052" w:rsidRPr="00C57052">
        <w:t>Solution for injection 5 mg in 0.5 mL vial</w:t>
      </w:r>
      <w:r w:rsidR="00FF173E">
        <w:t>/</w:t>
      </w:r>
      <w:r w:rsidR="000720D8" w:rsidRPr="000720D8">
        <w:t>pre-filled pen</w:t>
      </w:r>
      <w:r w:rsidR="0015192D" w:rsidRPr="0076762E">
        <w:t>,</w:t>
      </w:r>
      <w:r w:rsidR="0015192D" w:rsidRPr="0076762E">
        <w:br/>
      </w:r>
      <w:r w:rsidR="00D40437" w:rsidRPr="00D40437">
        <w:t xml:space="preserve">Solution for injection 7.5 mg in 0.5 mL </w:t>
      </w:r>
      <w:r w:rsidR="00D40437">
        <w:t>vial</w:t>
      </w:r>
      <w:r w:rsidR="00FF173E">
        <w:t>/</w:t>
      </w:r>
      <w:r w:rsidR="008768E3">
        <w:t>p</w:t>
      </w:r>
      <w:r w:rsidR="00D40437" w:rsidRPr="00D40437">
        <w:t>re-filled pen</w:t>
      </w:r>
      <w:r w:rsidR="0015192D" w:rsidRPr="0076762E">
        <w:t>,</w:t>
      </w:r>
      <w:r w:rsidR="00D40437">
        <w:br/>
      </w:r>
      <w:r w:rsidR="00D40437" w:rsidRPr="00D40437">
        <w:t xml:space="preserve">Solution for injection </w:t>
      </w:r>
      <w:r w:rsidR="00A04B21">
        <w:t>10</w:t>
      </w:r>
      <w:r w:rsidR="00D40437" w:rsidRPr="00D40437">
        <w:t xml:space="preserve"> mg in 0.5 mL </w:t>
      </w:r>
      <w:r w:rsidR="00A04B21">
        <w:t>vial</w:t>
      </w:r>
      <w:r w:rsidR="00FF173E">
        <w:t>/</w:t>
      </w:r>
      <w:r w:rsidR="00A04B21" w:rsidRPr="00D40437">
        <w:t>pre-filled pen</w:t>
      </w:r>
      <w:r w:rsidR="00A04B21" w:rsidRPr="0076762E">
        <w:t>,</w:t>
      </w:r>
      <w:r w:rsidR="00A04B21">
        <w:br/>
      </w:r>
      <w:r w:rsidR="00E83390" w:rsidRPr="00E83390">
        <w:t>Solution for injection 12.5 mg in 0.5 mL vial</w:t>
      </w:r>
      <w:r w:rsidR="00FF173E">
        <w:t>/</w:t>
      </w:r>
      <w:r w:rsidR="00165C6C" w:rsidRPr="00165C6C">
        <w:t>pre-filled pen</w:t>
      </w:r>
      <w:r w:rsidR="00165C6C">
        <w:t>,</w:t>
      </w:r>
      <w:r w:rsidR="00165C6C">
        <w:br/>
      </w:r>
      <w:r w:rsidR="00685073" w:rsidRPr="00685073">
        <w:t>Solution for injection 15 mg in 0.5 mL vial</w:t>
      </w:r>
      <w:r w:rsidR="006012B6">
        <w:t>/</w:t>
      </w:r>
      <w:r w:rsidR="00A03B2C" w:rsidRPr="00A03B2C">
        <w:t>pre-filled pen</w:t>
      </w:r>
      <w:r w:rsidR="00F94E1B">
        <w:br w:type="textWrapping" w:clear="all"/>
      </w:r>
      <w:r w:rsidR="00E87320" w:rsidRPr="0076762E">
        <w:t>Mounjaro</w:t>
      </w:r>
      <w:r w:rsidR="00E87320" w:rsidRPr="00E87320">
        <w:t>®</w:t>
      </w:r>
    </w:p>
    <w:p w14:paraId="4F391CA8" w14:textId="224C605B" w:rsidR="00BF6C94" w:rsidRPr="0076762E" w:rsidRDefault="00D51625" w:rsidP="00087900">
      <w:pPr>
        <w:pStyle w:val="COMexecsummheadings"/>
        <w:spacing w:before="240"/>
      </w:pPr>
      <w:r>
        <w:tab/>
      </w:r>
      <w:r w:rsidR="007158AE" w:rsidRPr="007158AE">
        <w:t>Injection 4.17 milligrams per mL (2.5 mg per dose) in multi-dose pre-filled pen, 4 doses</w:t>
      </w:r>
      <w:r w:rsidR="007158AE">
        <w:t>,</w:t>
      </w:r>
      <w:r w:rsidR="007158AE">
        <w:br/>
      </w:r>
      <w:r w:rsidR="00837776" w:rsidRPr="00837776">
        <w:t>Injection 8.33 milligrams per mL (5 mg per dose) in multi-dose pre-filled pen, 4 doses</w:t>
      </w:r>
      <w:r w:rsidR="00837776">
        <w:t>,</w:t>
      </w:r>
      <w:r w:rsidR="00837776">
        <w:br/>
      </w:r>
      <w:r w:rsidR="00DA3067" w:rsidRPr="00DA3067">
        <w:t>Injection 12.5 milligrams per mL (7.5 mg per dose) in multi-dose pre-filled pen, 4 doses</w:t>
      </w:r>
      <w:r w:rsidR="00DA3067">
        <w:t>,</w:t>
      </w:r>
      <w:r w:rsidR="00DA3067">
        <w:br/>
      </w:r>
      <w:r w:rsidR="009C4B8D" w:rsidRPr="009C4B8D">
        <w:t>Injection 16.67 milligrams per mL (10 mg per dose) in multi-dose pre-filled pen, 4 doses</w:t>
      </w:r>
      <w:r w:rsidR="009C4B8D">
        <w:t>,</w:t>
      </w:r>
      <w:r w:rsidR="009C4B8D">
        <w:br/>
      </w:r>
      <w:r w:rsidR="00412F4F" w:rsidRPr="00412F4F">
        <w:t>Injection 20.83 milligrams per mL (12.5 mg per dose) in multi-dose pre-filled pen, 4 doses</w:t>
      </w:r>
      <w:r w:rsidR="00412F4F">
        <w:t>,</w:t>
      </w:r>
      <w:r w:rsidR="00412F4F">
        <w:br/>
      </w:r>
      <w:r w:rsidR="0037451B" w:rsidRPr="0037451B">
        <w:t>Injection 25 milligrams per mL (15 mg per dose) in multi-dose pre-filled pen, 4 doses</w:t>
      </w:r>
      <w:r w:rsidR="0037451B">
        <w:t>,</w:t>
      </w:r>
      <w:r w:rsidR="0015192D" w:rsidRPr="0076762E">
        <w:br/>
      </w:r>
      <w:r w:rsidR="0015192D" w:rsidRPr="0076762E">
        <w:lastRenderedPageBreak/>
        <w:t>Mounjaro</w:t>
      </w:r>
      <w:r w:rsidR="0015192D" w:rsidRPr="00D51625">
        <w:t>®</w:t>
      </w:r>
      <w:r w:rsidR="00986866">
        <w:t xml:space="preserve"> </w:t>
      </w:r>
      <w:proofErr w:type="spellStart"/>
      <w:r w:rsidR="00986866">
        <w:t>KwikPen</w:t>
      </w:r>
      <w:proofErr w:type="spellEnd"/>
      <w:r w:rsidR="00986866" w:rsidRPr="00D51625">
        <w:t>®</w:t>
      </w:r>
      <w:r w:rsidR="0015192D" w:rsidRPr="0076762E">
        <w:br/>
        <w:t>Eli Lilly Australia Pty Ltd.</w:t>
      </w:r>
    </w:p>
    <w:p w14:paraId="11C00795" w14:textId="3DFB6D23" w:rsidR="00B50DB8" w:rsidRPr="009E3488" w:rsidRDefault="00B50DB8" w:rsidP="004A6040">
      <w:pPr>
        <w:pStyle w:val="COMH1-numbered"/>
      </w:pPr>
      <w:bookmarkStart w:id="0" w:name="_Toc176618558"/>
      <w:r w:rsidRPr="009E3488">
        <w:t xml:space="preserve">Purpose of </w:t>
      </w:r>
      <w:r w:rsidR="00CD7193" w:rsidRPr="009E3488">
        <w:t>s</w:t>
      </w:r>
      <w:r w:rsidR="00BB3A45" w:rsidRPr="009E3488">
        <w:t>ubmission</w:t>
      </w:r>
      <w:bookmarkEnd w:id="0"/>
    </w:p>
    <w:p w14:paraId="19414AA1" w14:textId="37D2B2C6" w:rsidR="002C2775" w:rsidRDefault="00DD7A01" w:rsidP="00BE57DC">
      <w:pPr>
        <w:pStyle w:val="COMexecsummnumbered"/>
      </w:pPr>
      <w:r w:rsidRPr="00DD7A01">
        <w:t xml:space="preserve">The standard re-entry submission requested a General Schedule Authority Required (Written) listing </w:t>
      </w:r>
      <w:r w:rsidR="009F62B1">
        <w:t xml:space="preserve">as dual therapy in combination with metformin </w:t>
      </w:r>
      <w:r w:rsidRPr="00DD7A01">
        <w:t>for the treatment of adult patients with inadequately controlled type 2 diabetes mellitus</w:t>
      </w:r>
      <w:r w:rsidR="00A31118">
        <w:t xml:space="preserve"> (T2DM) who (i) have comorbid severe obesity or (ii) identify as Aboriginal and Torres Strait Islander</w:t>
      </w:r>
      <w:r w:rsidRPr="00DD7A01">
        <w:t>.</w:t>
      </w:r>
    </w:p>
    <w:p w14:paraId="54C77DB2" w14:textId="78E96E86" w:rsidR="00C95FDB" w:rsidRDefault="00DE3C02" w:rsidP="00BE57DC">
      <w:pPr>
        <w:pStyle w:val="COMexecsummnumbered"/>
      </w:pPr>
      <w:r w:rsidRPr="00DE3C02">
        <w:t xml:space="preserve">The resubmission claimed there is a high, unmet need for superior treatment options in </w:t>
      </w:r>
      <w:r w:rsidR="00224EF8" w:rsidRPr="00DE3C02">
        <w:t>high-risk</w:t>
      </w:r>
      <w:r w:rsidRPr="00DE3C02">
        <w:t xml:space="preserve"> </w:t>
      </w:r>
      <w:r w:rsidR="00C0355E">
        <w:t xml:space="preserve">groups of patients with </w:t>
      </w:r>
      <w:r w:rsidR="001071D8">
        <w:t>type 2 diabetes.</w:t>
      </w:r>
    </w:p>
    <w:p w14:paraId="4E9FBCB5" w14:textId="35916457" w:rsidR="00C2778B" w:rsidRPr="0076762E" w:rsidRDefault="005750C5" w:rsidP="00BE57DC">
      <w:pPr>
        <w:pStyle w:val="COMexecsummnumbered"/>
      </w:pPr>
      <w:r w:rsidRPr="0076762E">
        <w:t>Listing was requested on the basis of a cost-effectiveness analysis</w:t>
      </w:r>
      <w:r w:rsidR="00D706D9">
        <w:t xml:space="preserve"> versus semaglutide.</w:t>
      </w:r>
      <w:r w:rsidR="00A3456B" w:rsidRPr="00A3456B">
        <w:rPr>
          <w:color w:val="0066FF"/>
        </w:rPr>
        <w:t xml:space="preserve"> </w:t>
      </w:r>
    </w:p>
    <w:p w14:paraId="3718DE61" w14:textId="7D890667" w:rsidR="008B1757" w:rsidRDefault="00696EF9" w:rsidP="00B50F7F">
      <w:pPr>
        <w:pStyle w:val="COMtablefigcaption"/>
      </w:pPr>
      <w:bookmarkStart w:id="1" w:name="_Ref175745379"/>
      <w:r w:rsidRPr="0076762E">
        <w:t xml:space="preserve">Table </w:t>
      </w:r>
      <w:r w:rsidR="00EE035D">
        <w:fldChar w:fldCharType="begin" w:fldLock="1"/>
      </w:r>
      <w:r w:rsidR="00EE035D">
        <w:instrText xml:space="preserve"> SEQ Table \* ARABIC </w:instrText>
      </w:r>
      <w:r w:rsidR="00EE035D">
        <w:fldChar w:fldCharType="separate"/>
      </w:r>
      <w:r w:rsidR="00EE035D">
        <w:rPr>
          <w:noProof/>
        </w:rPr>
        <w:t>1</w:t>
      </w:r>
      <w:r w:rsidR="00EE035D">
        <w:rPr>
          <w:noProof/>
        </w:rPr>
        <w:fldChar w:fldCharType="end"/>
      </w:r>
      <w:bookmarkEnd w:id="1"/>
      <w:r w:rsidRPr="0076762E">
        <w:t>:</w:t>
      </w:r>
      <w:r w:rsidR="00BC591F" w:rsidRPr="0076762E">
        <w:t xml:space="preserve"> </w:t>
      </w:r>
      <w:r w:rsidR="008B1757" w:rsidRPr="0076762E">
        <w:t xml:space="preserve">Key components of the clinical issue addressed </w:t>
      </w:r>
      <w:r w:rsidR="002812CE" w:rsidRPr="0076762E">
        <w:t>in</w:t>
      </w:r>
      <w:r w:rsidR="008B1757" w:rsidRPr="0076762E">
        <w:t xml:space="preserve"> the </w:t>
      </w:r>
      <w:r w:rsidR="00D706D9">
        <w:t>re</w:t>
      </w:r>
      <w:r w:rsidR="008B1757" w:rsidRPr="0076762E">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555"/>
        <w:gridCol w:w="7601"/>
      </w:tblGrid>
      <w:tr w:rsidR="00D957DB" w:rsidRPr="0076762E" w14:paraId="1C5A1038" w14:textId="77777777" w:rsidTr="000843BA">
        <w:tc>
          <w:tcPr>
            <w:tcW w:w="1555" w:type="dxa"/>
            <w:vAlign w:val="center"/>
          </w:tcPr>
          <w:p w14:paraId="4B4BC5A6" w14:textId="77777777" w:rsidR="00D957DB" w:rsidRPr="0076762E" w:rsidRDefault="00D957DB" w:rsidP="00A1032E">
            <w:pPr>
              <w:pStyle w:val="COMTableheadingrow"/>
              <w:rPr>
                <w:lang w:val="en-AU"/>
              </w:rPr>
            </w:pPr>
            <w:r w:rsidRPr="0076762E">
              <w:rPr>
                <w:lang w:val="en-AU"/>
              </w:rPr>
              <w:t>Component</w:t>
            </w:r>
          </w:p>
        </w:tc>
        <w:tc>
          <w:tcPr>
            <w:tcW w:w="7601" w:type="dxa"/>
            <w:vAlign w:val="center"/>
          </w:tcPr>
          <w:p w14:paraId="34EA520A" w14:textId="77777777" w:rsidR="00D957DB" w:rsidRPr="0076762E" w:rsidRDefault="00D957DB" w:rsidP="00A1032E">
            <w:pPr>
              <w:pStyle w:val="COMTableheadingrow"/>
              <w:rPr>
                <w:lang w:val="en-AU"/>
              </w:rPr>
            </w:pPr>
            <w:r w:rsidRPr="0076762E">
              <w:rPr>
                <w:lang w:val="en-AU"/>
              </w:rPr>
              <w:t>Description</w:t>
            </w:r>
          </w:p>
        </w:tc>
      </w:tr>
      <w:tr w:rsidR="00D957DB" w:rsidRPr="0076762E" w14:paraId="75707D11" w14:textId="77777777" w:rsidTr="000843BA">
        <w:tc>
          <w:tcPr>
            <w:tcW w:w="1555" w:type="dxa"/>
            <w:vAlign w:val="center"/>
          </w:tcPr>
          <w:p w14:paraId="462CEBDE" w14:textId="77777777" w:rsidR="00D957DB" w:rsidRPr="0076762E" w:rsidRDefault="00D957DB" w:rsidP="00A1032E">
            <w:pPr>
              <w:pStyle w:val="COMTabletext"/>
            </w:pPr>
            <w:r w:rsidRPr="0076762E">
              <w:t>Population</w:t>
            </w:r>
          </w:p>
        </w:tc>
        <w:tc>
          <w:tcPr>
            <w:tcW w:w="7601" w:type="dxa"/>
            <w:vAlign w:val="center"/>
          </w:tcPr>
          <w:p w14:paraId="44616DFA" w14:textId="77777777" w:rsidR="00D957DB" w:rsidRPr="0076762E" w:rsidRDefault="00D957DB" w:rsidP="00A1032E">
            <w:pPr>
              <w:pStyle w:val="COMTabletext"/>
              <w:rPr>
                <w:vertAlign w:val="superscript"/>
              </w:rPr>
            </w:pPr>
            <w:r w:rsidRPr="0076762E">
              <w:rPr>
                <w:strike/>
              </w:rPr>
              <w:t>Patients with inadequately controlled type 2 diabetes, who meet specific prior therapy criteria</w:t>
            </w:r>
            <w:r w:rsidRPr="0076762E">
              <w:t xml:space="preserve"> </w:t>
            </w:r>
            <w:r w:rsidRPr="0076762E">
              <w:rPr>
                <w:vertAlign w:val="superscript"/>
              </w:rPr>
              <w:t>a</w:t>
            </w:r>
          </w:p>
          <w:p w14:paraId="68C4F0DA" w14:textId="77777777" w:rsidR="00D957DB" w:rsidRPr="0076762E" w:rsidRDefault="00D957DB" w:rsidP="00C41DE7">
            <w:pPr>
              <w:pStyle w:val="COMTabletext"/>
              <w:numPr>
                <w:ilvl w:val="0"/>
                <w:numId w:val="6"/>
              </w:numPr>
              <w:ind w:left="170" w:hanging="170"/>
            </w:pPr>
            <w:r w:rsidRPr="0076762E">
              <w:t xml:space="preserve">Patients with inadequately controlled type 2 diabetes </w:t>
            </w:r>
            <w:r w:rsidRPr="0076762E">
              <w:rPr>
                <w:u w:val="single"/>
              </w:rPr>
              <w:t>with BMI ≥35 kg/m</w:t>
            </w:r>
            <w:r w:rsidRPr="0076762E">
              <w:rPr>
                <w:u w:val="single"/>
                <w:vertAlign w:val="superscript"/>
              </w:rPr>
              <w:t>2</w:t>
            </w:r>
            <w:r w:rsidRPr="0076762E">
              <w:t xml:space="preserve">, who meet specific prior therapy criteria </w:t>
            </w:r>
            <w:r w:rsidRPr="0076762E">
              <w:rPr>
                <w:vertAlign w:val="superscript"/>
              </w:rPr>
              <w:t>b</w:t>
            </w:r>
          </w:p>
          <w:p w14:paraId="6658BDA6" w14:textId="77777777" w:rsidR="00D957DB" w:rsidRPr="0076762E" w:rsidRDefault="00D957DB" w:rsidP="00C41DE7">
            <w:pPr>
              <w:pStyle w:val="COMTabletext"/>
              <w:numPr>
                <w:ilvl w:val="0"/>
                <w:numId w:val="6"/>
              </w:numPr>
              <w:ind w:left="170" w:hanging="170"/>
            </w:pPr>
            <w:r w:rsidRPr="0076762E">
              <w:rPr>
                <w:u w:val="single"/>
              </w:rPr>
              <w:t>Aboriginal and Torres Strait Islander peoples with inadequately controlled type 2 diabetes, who meet specific prior therapy criteria</w:t>
            </w:r>
            <w:r w:rsidRPr="0076762E">
              <w:t xml:space="preserve"> </w:t>
            </w:r>
            <w:r w:rsidRPr="0076762E">
              <w:rPr>
                <w:vertAlign w:val="superscript"/>
              </w:rPr>
              <w:t>b</w:t>
            </w:r>
          </w:p>
        </w:tc>
      </w:tr>
      <w:tr w:rsidR="00D957DB" w:rsidRPr="0076762E" w14:paraId="5777798E" w14:textId="77777777" w:rsidTr="000843BA">
        <w:tc>
          <w:tcPr>
            <w:tcW w:w="1555" w:type="dxa"/>
            <w:vAlign w:val="center"/>
          </w:tcPr>
          <w:p w14:paraId="777AE75D" w14:textId="77777777" w:rsidR="00D957DB" w:rsidRPr="0076762E" w:rsidRDefault="00D957DB" w:rsidP="00A1032E">
            <w:pPr>
              <w:pStyle w:val="COMTabletext"/>
            </w:pPr>
            <w:r w:rsidRPr="0076762E">
              <w:t>Intervention</w:t>
            </w:r>
          </w:p>
        </w:tc>
        <w:tc>
          <w:tcPr>
            <w:tcW w:w="7601" w:type="dxa"/>
            <w:vAlign w:val="center"/>
          </w:tcPr>
          <w:p w14:paraId="410AD418" w14:textId="77777777" w:rsidR="00D957DB" w:rsidRPr="0076762E" w:rsidRDefault="00D957DB" w:rsidP="00A1032E">
            <w:pPr>
              <w:pStyle w:val="COMTabletext"/>
            </w:pPr>
            <w:r w:rsidRPr="0076762E">
              <w:t>Tirzepatide 5 mg, 10 mg or 15 mg subcutaneous injection once weekly</w:t>
            </w:r>
          </w:p>
        </w:tc>
      </w:tr>
      <w:tr w:rsidR="00D957DB" w:rsidRPr="0076762E" w14:paraId="4FEBCC81" w14:textId="77777777" w:rsidTr="000843BA">
        <w:tc>
          <w:tcPr>
            <w:tcW w:w="1555" w:type="dxa"/>
            <w:vAlign w:val="center"/>
          </w:tcPr>
          <w:p w14:paraId="1D7F1873" w14:textId="77777777" w:rsidR="00D957DB" w:rsidRPr="0076762E" w:rsidRDefault="00D957DB" w:rsidP="00A1032E">
            <w:pPr>
              <w:pStyle w:val="COMTabletext"/>
            </w:pPr>
            <w:r w:rsidRPr="0076762E">
              <w:t>Comparator</w:t>
            </w:r>
          </w:p>
        </w:tc>
        <w:tc>
          <w:tcPr>
            <w:tcW w:w="7601" w:type="dxa"/>
            <w:vAlign w:val="center"/>
          </w:tcPr>
          <w:p w14:paraId="2FD9C1C7" w14:textId="77777777" w:rsidR="00D957DB" w:rsidRPr="0076762E" w:rsidRDefault="00D957DB" w:rsidP="00A1032E">
            <w:pPr>
              <w:pStyle w:val="COMTabletext"/>
            </w:pPr>
            <w:r w:rsidRPr="0076762E">
              <w:t>Semaglutide 0.5 mg or 1.0 mg subcutaneous injection once weekly</w:t>
            </w:r>
          </w:p>
        </w:tc>
      </w:tr>
      <w:tr w:rsidR="00D957DB" w:rsidRPr="0076762E" w14:paraId="0E5AD264" w14:textId="77777777" w:rsidTr="000843BA">
        <w:tc>
          <w:tcPr>
            <w:tcW w:w="1555" w:type="dxa"/>
            <w:vAlign w:val="center"/>
          </w:tcPr>
          <w:p w14:paraId="24114935" w14:textId="77777777" w:rsidR="00D957DB" w:rsidRPr="0076762E" w:rsidRDefault="00D957DB" w:rsidP="00A1032E">
            <w:pPr>
              <w:pStyle w:val="COMTabletext"/>
            </w:pPr>
            <w:r w:rsidRPr="0076762E">
              <w:t>Outcomes</w:t>
            </w:r>
          </w:p>
        </w:tc>
        <w:tc>
          <w:tcPr>
            <w:tcW w:w="7601" w:type="dxa"/>
            <w:vAlign w:val="center"/>
          </w:tcPr>
          <w:p w14:paraId="46322FA6" w14:textId="2B071A4C" w:rsidR="00D957DB" w:rsidRPr="0076762E" w:rsidRDefault="00D957DB" w:rsidP="00A1032E">
            <w:pPr>
              <w:pStyle w:val="COMTabletext"/>
            </w:pPr>
            <w:r w:rsidRPr="0076762E">
              <w:t>Improved glycaemic control and body weight management leading to reduced macrovascular and microvascular complications, and associated morbidity and mortality associated with these complications</w:t>
            </w:r>
            <w:r w:rsidR="00A7515B" w:rsidRPr="0076762E">
              <w:rPr>
                <w:vertAlign w:val="superscript"/>
              </w:rPr>
              <w:t xml:space="preserve"> </w:t>
            </w:r>
            <w:r w:rsidR="00A7515B">
              <w:rPr>
                <w:vertAlign w:val="superscript"/>
              </w:rPr>
              <w:t>c</w:t>
            </w:r>
          </w:p>
        </w:tc>
      </w:tr>
      <w:tr w:rsidR="00D957DB" w:rsidRPr="0076762E" w14:paraId="601A90BC" w14:textId="77777777" w:rsidTr="000843BA">
        <w:tc>
          <w:tcPr>
            <w:tcW w:w="1555" w:type="dxa"/>
            <w:vAlign w:val="center"/>
          </w:tcPr>
          <w:p w14:paraId="4D460D0F" w14:textId="77777777" w:rsidR="00D957DB" w:rsidRPr="0076762E" w:rsidRDefault="00D957DB" w:rsidP="00A1032E">
            <w:pPr>
              <w:pStyle w:val="COMTabletext"/>
            </w:pPr>
            <w:r w:rsidRPr="0076762E">
              <w:t>Clinical claim</w:t>
            </w:r>
          </w:p>
        </w:tc>
        <w:tc>
          <w:tcPr>
            <w:tcW w:w="7601" w:type="dxa"/>
            <w:vAlign w:val="center"/>
          </w:tcPr>
          <w:p w14:paraId="136FE446" w14:textId="77777777" w:rsidR="00D957DB" w:rsidRPr="0076762E" w:rsidRDefault="00D957DB" w:rsidP="00A1032E">
            <w:pPr>
              <w:pStyle w:val="COMTabletext"/>
            </w:pPr>
            <w:r w:rsidRPr="0076762E">
              <w:t>Tirzepatide 5 mg once weekly is superior in terms of efficacy and non-inferior in terms of safety when compared with semaglutide 0.5 mg once weekly, when used in dual therapy with metformin.</w:t>
            </w:r>
          </w:p>
          <w:p w14:paraId="46951384" w14:textId="77777777" w:rsidR="00D957DB" w:rsidRPr="0076762E" w:rsidRDefault="00D957DB" w:rsidP="00A1032E">
            <w:pPr>
              <w:pStyle w:val="COMTabletext"/>
            </w:pPr>
            <w:r w:rsidRPr="0076762E">
              <w:t>Tirzepatide 10 mg or 15 mg once weekly is superior in terms of efficacy and non-inferior in terms of safety when compared with semaglutide 1.0 mg once weekly, when used in dual therapy with metformin.</w:t>
            </w:r>
          </w:p>
        </w:tc>
      </w:tr>
    </w:tbl>
    <w:p w14:paraId="762F57B5" w14:textId="77777777" w:rsidR="00D957DB" w:rsidRPr="0076762E" w:rsidRDefault="00D957DB" w:rsidP="00D957DB">
      <w:pPr>
        <w:pStyle w:val="COMTablefooter"/>
      </w:pPr>
      <w:r w:rsidRPr="0076762E">
        <w:t>Source: Table 1.2-1, p8 of the resubmission</w:t>
      </w:r>
    </w:p>
    <w:p w14:paraId="1144ABAD" w14:textId="77777777" w:rsidR="00D957DB" w:rsidRPr="0076762E" w:rsidRDefault="00D957DB" w:rsidP="00D957DB">
      <w:pPr>
        <w:pStyle w:val="COMTablefooter"/>
      </w:pPr>
      <w:r w:rsidRPr="0076762E">
        <w:t>Abbreviations: BMI, body mass index</w:t>
      </w:r>
    </w:p>
    <w:p w14:paraId="127AB523" w14:textId="77777777" w:rsidR="00D957DB" w:rsidRPr="0076762E" w:rsidRDefault="00D957DB" w:rsidP="00D957DB">
      <w:pPr>
        <w:pStyle w:val="COMTablefooter"/>
      </w:pPr>
      <w:r w:rsidRPr="0076762E">
        <w:t xml:space="preserve">Note: Key changes compared to the July 2023 submission are marked using </w:t>
      </w:r>
      <w:r w:rsidRPr="0076762E">
        <w:rPr>
          <w:u w:val="single"/>
        </w:rPr>
        <w:t>underline</w:t>
      </w:r>
      <w:r w:rsidRPr="0076762E">
        <w:t xml:space="preserve"> and </w:t>
      </w:r>
      <w:r w:rsidRPr="0076762E">
        <w:rPr>
          <w:strike/>
        </w:rPr>
        <w:t>strikethrough</w:t>
      </w:r>
    </w:p>
    <w:p w14:paraId="0883B66B" w14:textId="0C956FE7" w:rsidR="00D957DB" w:rsidRPr="0076762E" w:rsidRDefault="00D957DB" w:rsidP="00D957DB">
      <w:pPr>
        <w:pStyle w:val="COMTablefooter"/>
        <w:rPr>
          <w:vertAlign w:val="superscript"/>
        </w:rPr>
      </w:pPr>
      <w:proofErr w:type="spellStart"/>
      <w:r w:rsidRPr="0076762E">
        <w:rPr>
          <w:vertAlign w:val="superscript"/>
        </w:rPr>
        <w:t>a</w:t>
      </w:r>
      <w:proofErr w:type="spellEnd"/>
      <w:r w:rsidRPr="0076762E">
        <w:rPr>
          <w:vertAlign w:val="superscript"/>
        </w:rPr>
        <w:t xml:space="preserve"> </w:t>
      </w:r>
      <w:r w:rsidRPr="0076762E">
        <w:t>The target population was based on a draft restriction for GLP-1</w:t>
      </w:r>
      <w:r w:rsidR="0075526E">
        <w:t xml:space="preserve"> </w:t>
      </w:r>
      <w:r w:rsidRPr="0076762E">
        <w:t>RAs in the DUSC Report 2023. In March 2023, the PBAC recommended that the use of GLP-1 RAs should be restricted to patients who are contraindicated, intolerant or inadequately responsive to SGLT2 inhibitors. At the time, the PBAC noted that further consultation will be conducted on the wording of the restriction.</w:t>
      </w:r>
    </w:p>
    <w:p w14:paraId="3FF9CAE9" w14:textId="59F33787" w:rsidR="00D957DB" w:rsidRDefault="00D957DB" w:rsidP="00D957DB">
      <w:pPr>
        <w:pStyle w:val="COMTablefooter"/>
      </w:pPr>
      <w:r w:rsidRPr="0076762E">
        <w:rPr>
          <w:vertAlign w:val="superscript"/>
        </w:rPr>
        <w:t>b</w:t>
      </w:r>
      <w:r w:rsidRPr="0076762E">
        <w:t xml:space="preserve"> The condition must be inadequately responsive to at least one of: metformin, a sulfonylurea, insulin; and the patient must be contraindicated, intolerant or did not achieve a clinically meaningful glycaemic response with an SGLT2 inhibitor</w:t>
      </w:r>
      <w:r w:rsidR="00C56F94">
        <w:t>.</w:t>
      </w:r>
    </w:p>
    <w:p w14:paraId="430B8612" w14:textId="6833C215" w:rsidR="00C56F94" w:rsidRPr="00C56F94" w:rsidRDefault="00C56F94" w:rsidP="00C56F94">
      <w:pPr>
        <w:pStyle w:val="COMTablefooter"/>
      </w:pPr>
      <w:r>
        <w:rPr>
          <w:vertAlign w:val="superscript"/>
        </w:rPr>
        <w:t>c</w:t>
      </w:r>
      <w:r w:rsidRPr="00C56F94">
        <w:t xml:space="preserve"> </w:t>
      </w:r>
      <w:r>
        <w:t>Trial</w:t>
      </w:r>
      <w:r w:rsidR="00A7515B">
        <w:t xml:space="preserve"> outcomes included: </w:t>
      </w:r>
      <w:r w:rsidRPr="00C56F94">
        <w:t>HbA1c, weight, other biomarkers, quality of life and adverse events</w:t>
      </w:r>
      <w:r w:rsidR="00A7515B">
        <w:t>.</w:t>
      </w:r>
    </w:p>
    <w:p w14:paraId="6B4AB6C2" w14:textId="7F01D731" w:rsidR="005C25FF" w:rsidRPr="0076762E" w:rsidRDefault="005C25FF" w:rsidP="004A6040">
      <w:pPr>
        <w:pStyle w:val="COMH1-numbered"/>
      </w:pPr>
      <w:bookmarkStart w:id="2" w:name="_Toc176618559"/>
      <w:r w:rsidRPr="0076762E">
        <w:t>Background</w:t>
      </w:r>
      <w:bookmarkEnd w:id="2"/>
    </w:p>
    <w:p w14:paraId="2C521D6D" w14:textId="78CF03EE" w:rsidR="005C25FF" w:rsidRPr="0076762E" w:rsidRDefault="005C25FF" w:rsidP="003D5DE7">
      <w:pPr>
        <w:pStyle w:val="COMH2-non-numbered"/>
      </w:pPr>
      <w:bookmarkStart w:id="3" w:name="_Toc22897638"/>
      <w:bookmarkStart w:id="4" w:name="_Toc176618560"/>
      <w:r w:rsidRPr="0076762E">
        <w:t>Registration status</w:t>
      </w:r>
      <w:bookmarkEnd w:id="3"/>
      <w:bookmarkEnd w:id="4"/>
    </w:p>
    <w:p w14:paraId="794BB8BD" w14:textId="77777777" w:rsidR="00D9701E" w:rsidRDefault="00D9701E" w:rsidP="00BE57DC">
      <w:pPr>
        <w:pStyle w:val="COMexecsummnumbered"/>
      </w:pPr>
      <w:r>
        <w:t>The TGA approved tirzepatide (pre-filled pens) on 22 December 2022 for the treatment of adults with insufficiently controlled type 2 diabetes mellitus as an adjunct to diet and exercise:</w:t>
      </w:r>
    </w:p>
    <w:p w14:paraId="68FB26D0" w14:textId="77777777" w:rsidR="00D9701E" w:rsidRDefault="00D9701E" w:rsidP="00BE57DC">
      <w:pPr>
        <w:pStyle w:val="COMexecsummnumbered"/>
        <w:numPr>
          <w:ilvl w:val="0"/>
          <w:numId w:val="18"/>
        </w:numPr>
      </w:pPr>
      <w:r>
        <w:t>as monotherapy when metformin is not tolerated or contraindicated.</w:t>
      </w:r>
    </w:p>
    <w:p w14:paraId="060CF905" w14:textId="77777777" w:rsidR="00D9701E" w:rsidRDefault="00D9701E" w:rsidP="00BE57DC">
      <w:pPr>
        <w:pStyle w:val="COMexecsummnumbered"/>
        <w:numPr>
          <w:ilvl w:val="0"/>
          <w:numId w:val="18"/>
        </w:numPr>
      </w:pPr>
      <w:r>
        <w:lastRenderedPageBreak/>
        <w:t>in addition to other medicinal products for the treatment of type 2 diabetes.</w:t>
      </w:r>
    </w:p>
    <w:p w14:paraId="5374AD55" w14:textId="3F68D92B" w:rsidR="005C25FF" w:rsidRPr="00516AB7" w:rsidRDefault="00D9701E" w:rsidP="00BE57DC">
      <w:pPr>
        <w:pStyle w:val="COMexecsummnumbered"/>
      </w:pPr>
      <w:r w:rsidRPr="00D9701E">
        <w:t xml:space="preserve">TGA approval is currently in place for the three presentations that are being requested </w:t>
      </w:r>
      <w:r w:rsidRPr="00516AB7">
        <w:t>for listing on the PBS (single-use vial, single-use pre-filled pen and multi-dose pre-filled pen).</w:t>
      </w:r>
    </w:p>
    <w:p w14:paraId="6690A320" w14:textId="2A3306E7" w:rsidR="00D9701E" w:rsidRPr="0032185B" w:rsidRDefault="00516AB7" w:rsidP="00BE57DC">
      <w:pPr>
        <w:pStyle w:val="COMexecsummnumbered"/>
      </w:pPr>
      <w:r w:rsidRPr="0032185B">
        <w:t>In September 2024, t</w:t>
      </w:r>
      <w:r w:rsidR="00D9701E" w:rsidRPr="0032185B">
        <w:t xml:space="preserve">irzepatide </w:t>
      </w:r>
      <w:r w:rsidRPr="0032185B">
        <w:t>wa</w:t>
      </w:r>
      <w:r w:rsidR="00D9701E" w:rsidRPr="0032185B">
        <w:t xml:space="preserve">s </w:t>
      </w:r>
      <w:r w:rsidR="005B6511" w:rsidRPr="0032185B">
        <w:t>TGA approved</w:t>
      </w:r>
      <w:r w:rsidR="00D9701E" w:rsidRPr="0032185B">
        <w:t xml:space="preserve"> ‘as an adjunct to a reduced calorie diet and increased physical activity for chronic weight management’</w:t>
      </w:r>
      <w:r w:rsidR="005B6511" w:rsidRPr="0032185B">
        <w:t xml:space="preserve"> in adults with an initial body mass index (BMI):</w:t>
      </w:r>
    </w:p>
    <w:p w14:paraId="16C690E2" w14:textId="6E275E06" w:rsidR="005B6511" w:rsidRPr="0032185B" w:rsidRDefault="005B6511" w:rsidP="00BE57DC">
      <w:pPr>
        <w:pStyle w:val="COMexecsummnumbered"/>
        <w:numPr>
          <w:ilvl w:val="0"/>
          <w:numId w:val="18"/>
        </w:numPr>
      </w:pPr>
      <w:r w:rsidRPr="0032185B">
        <w:t>≥30 kg/m</w:t>
      </w:r>
      <w:r w:rsidRPr="0032185B">
        <w:rPr>
          <w:vertAlign w:val="superscript"/>
        </w:rPr>
        <w:t>2</w:t>
      </w:r>
      <w:r w:rsidRPr="0032185B">
        <w:t xml:space="preserve"> (obesity) or</w:t>
      </w:r>
    </w:p>
    <w:p w14:paraId="38B68220" w14:textId="029C8637" w:rsidR="005B6511" w:rsidRPr="0032185B" w:rsidRDefault="005B6511" w:rsidP="00BE57DC">
      <w:pPr>
        <w:pStyle w:val="COMexecsummnumbered"/>
        <w:numPr>
          <w:ilvl w:val="0"/>
          <w:numId w:val="18"/>
        </w:numPr>
      </w:pPr>
      <w:r w:rsidRPr="0032185B">
        <w:t>≥27 kg/m</w:t>
      </w:r>
      <w:r w:rsidRPr="0032185B">
        <w:rPr>
          <w:vertAlign w:val="superscript"/>
        </w:rPr>
        <w:t>2</w:t>
      </w:r>
      <w:r w:rsidRPr="0032185B">
        <w:t xml:space="preserve"> to &lt;30 kg/m</w:t>
      </w:r>
      <w:r w:rsidRPr="0032185B">
        <w:rPr>
          <w:vertAlign w:val="superscript"/>
        </w:rPr>
        <w:t>2</w:t>
      </w:r>
      <w:r w:rsidRPr="0032185B">
        <w:t xml:space="preserve"> (overweight) in the presence of at least one weight-related comorbid condition (e.g., hypertension, dyslipidaemia, obstructive sleep apnoea, cardiovascular disease, prediabetes or type 2 diabetes mellitus).</w:t>
      </w:r>
    </w:p>
    <w:p w14:paraId="3E2A6EAB" w14:textId="469C8C0C" w:rsidR="005C25FF" w:rsidRPr="0076762E" w:rsidRDefault="005C25FF" w:rsidP="003D5DE7">
      <w:pPr>
        <w:pStyle w:val="COMH2-non-numbered"/>
      </w:pPr>
      <w:bookmarkStart w:id="5" w:name="_Toc22897639"/>
      <w:bookmarkStart w:id="6" w:name="_Toc176618561"/>
      <w:r w:rsidRPr="0076762E">
        <w:t>Previous PBAC consideration</w:t>
      </w:r>
      <w:bookmarkEnd w:id="5"/>
      <w:bookmarkEnd w:id="6"/>
    </w:p>
    <w:p w14:paraId="3AC4C76E" w14:textId="2C469C52" w:rsidR="005C25FF" w:rsidRPr="0076762E" w:rsidRDefault="007371B9" w:rsidP="00BE57DC">
      <w:pPr>
        <w:pStyle w:val="COMexecsummnumbered"/>
      </w:pPr>
      <w:r w:rsidRPr="0076762E">
        <w:t xml:space="preserve">The sponsor presented a Category 2 submission to the </w:t>
      </w:r>
      <w:r w:rsidR="00A85529" w:rsidRPr="0076762E">
        <w:t xml:space="preserve">July 2023 PBAC meeting requesting a </w:t>
      </w:r>
      <w:r w:rsidR="008D443C" w:rsidRPr="0076762E">
        <w:t>General Schedule Authority Required (Telephone/Online) listing for the treatment of adult patients with inadequately controlled type 2 diabetes as dual therapy in combination with metformin.</w:t>
      </w:r>
    </w:p>
    <w:p w14:paraId="2AE3AAA7" w14:textId="3FF0BC71" w:rsidR="00AE4C44" w:rsidRPr="0076762E" w:rsidRDefault="00901405" w:rsidP="00BE57DC">
      <w:pPr>
        <w:pStyle w:val="COMexecsummnumbered"/>
      </w:pPr>
      <w:r w:rsidRPr="0076762E">
        <w:t xml:space="preserve">The PBAC did not recommend </w:t>
      </w:r>
      <w:r w:rsidR="00D05081" w:rsidRPr="0076762E">
        <w:t>tirzepatide for the requested listing</w:t>
      </w:r>
      <w:r w:rsidR="00AE4C44" w:rsidRPr="0076762E">
        <w:t xml:space="preserve">. </w:t>
      </w:r>
      <w:r w:rsidR="00BB0F5C">
        <w:t xml:space="preserve">The PBAC considered that the claim of superior </w:t>
      </w:r>
      <w:r w:rsidR="007869AB">
        <w:t xml:space="preserve">effectiveness was reasonable for tirzepatide 5 mg versus semaglutide </w:t>
      </w:r>
      <w:r w:rsidR="008768E3">
        <w:t>0.5</w:t>
      </w:r>
      <w:r w:rsidR="007869AB">
        <w:t xml:space="preserve"> mg. </w:t>
      </w:r>
      <w:r w:rsidR="00B85499" w:rsidRPr="0076762E">
        <w:t xml:space="preserve">The PBAC considered </w:t>
      </w:r>
      <w:r w:rsidR="00983085" w:rsidRPr="0076762E">
        <w:t xml:space="preserve">that tirzepatide 10 mg </w:t>
      </w:r>
      <w:r w:rsidR="001C4539" w:rsidRPr="0076762E">
        <w:t>and 15</w:t>
      </w:r>
      <w:r w:rsidR="004D39CD">
        <w:t> </w:t>
      </w:r>
      <w:r w:rsidR="001C4539" w:rsidRPr="0076762E">
        <w:t xml:space="preserve">mg were superior in terms of glycaemic benefits and short-term weight loss compared to semaglutide 1 mg, but </w:t>
      </w:r>
      <w:r w:rsidR="00B14863" w:rsidRPr="0076762E">
        <w:t>this claim was not supported for tirzepatide 5</w:t>
      </w:r>
      <w:r w:rsidR="00CD5770">
        <w:t> </w:t>
      </w:r>
      <w:r w:rsidR="00B14863" w:rsidRPr="0076762E">
        <w:t xml:space="preserve">mg versus semaglutide 1 mg. The PBAC considered the non-inferior safety claim </w:t>
      </w:r>
      <w:r w:rsidR="002D6512" w:rsidRPr="0076762E">
        <w:t>was inadequately supported for any of the comparisons</w:t>
      </w:r>
      <w:r w:rsidR="00AE4C44" w:rsidRPr="0076762E">
        <w:t xml:space="preserve"> (</w:t>
      </w:r>
      <w:r w:rsidR="00BC278B" w:rsidRPr="0076762E">
        <w:t>p</w:t>
      </w:r>
      <w:r w:rsidR="00AE4C44" w:rsidRPr="0076762E">
        <w:t>ara 7.1</w:t>
      </w:r>
      <w:r w:rsidR="00DC704C">
        <w:t xml:space="preserve"> and 7.10</w:t>
      </w:r>
      <w:r w:rsidR="00AE4C44" w:rsidRPr="0076762E">
        <w:t xml:space="preserve">, tirzepatide </w:t>
      </w:r>
      <w:r w:rsidR="00F747F6" w:rsidRPr="00F747F6">
        <w:t>Public Summary Document</w:t>
      </w:r>
      <w:r w:rsidR="00F747F6" w:rsidRPr="00F747F6" w:rsidDel="00AC69EE">
        <w:t xml:space="preserve"> </w:t>
      </w:r>
      <w:r w:rsidR="00F747F6">
        <w:t>(</w:t>
      </w:r>
      <w:r w:rsidR="00AE4C44" w:rsidRPr="0076762E">
        <w:t>PSD</w:t>
      </w:r>
      <w:r w:rsidR="00F747F6">
        <w:t>)</w:t>
      </w:r>
      <w:r w:rsidR="00AE4C44" w:rsidRPr="0076762E">
        <w:t xml:space="preserve">, </w:t>
      </w:r>
      <w:r w:rsidR="00BC278B" w:rsidRPr="0076762E">
        <w:t>July 2023 PBAC meeting)</w:t>
      </w:r>
      <w:r w:rsidR="002D6512" w:rsidRPr="0076762E">
        <w:t xml:space="preserve">. </w:t>
      </w:r>
    </w:p>
    <w:p w14:paraId="7696AAD9" w14:textId="3FAF67B4" w:rsidR="008D443C" w:rsidRPr="0076762E" w:rsidRDefault="00BC278B" w:rsidP="00BE57DC">
      <w:pPr>
        <w:pStyle w:val="COMexecsummnumbered"/>
      </w:pPr>
      <w:r w:rsidRPr="0076762E">
        <w:t xml:space="preserve">The PBAC considered the primary reason for the outcome was due to the economic evaluation provided. </w:t>
      </w:r>
      <w:r w:rsidR="002D6512" w:rsidRPr="0076762E">
        <w:t xml:space="preserve">The PBAC considered </w:t>
      </w:r>
      <w:r w:rsidR="007E0568" w:rsidRPr="0076762E">
        <w:t>that the incremental cost-effectiveness ratio (ICER) was high, inadequately justified, and uncertain. The PBAC advised that a revised economic model including a substa</w:t>
      </w:r>
      <w:r w:rsidR="005F2F32" w:rsidRPr="0076762E">
        <w:t xml:space="preserve">ntial price reduction would be required for the proposed listing to be considered cost-effective. </w:t>
      </w:r>
      <w:r w:rsidR="00AB52E9" w:rsidRPr="0076762E">
        <w:t>The PBAC also considered that the financial impact was extremely high at the requested price and uncertain (para 7.</w:t>
      </w:r>
      <w:r w:rsidR="00F75D13" w:rsidRPr="0076762E">
        <w:t>1</w:t>
      </w:r>
      <w:r w:rsidR="00AB52E9" w:rsidRPr="0076762E">
        <w:t xml:space="preserve"> and 7.</w:t>
      </w:r>
      <w:r w:rsidR="00F75D13" w:rsidRPr="0076762E">
        <w:t>2, tirzepatide PSD, July 2023 PBAC meeting).</w:t>
      </w:r>
    </w:p>
    <w:p w14:paraId="4E52022D" w14:textId="2867C8C9" w:rsidR="004C5D5B" w:rsidRPr="0076762E" w:rsidRDefault="00865B2B" w:rsidP="00BE57DC">
      <w:pPr>
        <w:pStyle w:val="COMexecsummnumbered"/>
      </w:pPr>
      <w:r w:rsidRPr="0076762E">
        <w:t>The PBAC noted comments from various stakeholders that highlighted</w:t>
      </w:r>
      <w:r w:rsidR="00D45AFF" w:rsidRPr="0076762E">
        <w:t xml:space="preserve"> the benefit</w:t>
      </w:r>
      <w:r w:rsidR="00920CD0" w:rsidRPr="0076762E">
        <w:t>s</w:t>
      </w:r>
      <w:r w:rsidR="00D45AFF" w:rsidRPr="0076762E">
        <w:t xml:space="preserve"> of tirzepatide treatment and the importance of having multiple therapeutic options </w:t>
      </w:r>
      <w:r w:rsidR="00AD2B8F" w:rsidRPr="0076762E">
        <w:t>given the supply shortages. The PBAC specifically was sympathetic to</w:t>
      </w:r>
      <w:r w:rsidR="00512943" w:rsidRPr="0076762E">
        <w:t xml:space="preserve"> the notion that glucagon-like peptide-1 (GLP-1) analogues and tirzepatide be listed on the PBS for Aboriginal and Torres Strait Islander peoples under a Streamlined Authority for those with type 2 diabetes or pre-diabetes with obesity with no</w:t>
      </w:r>
      <w:r w:rsidR="00CE44F0" w:rsidRPr="0076762E">
        <w:t xml:space="preserve"> further restrictions</w:t>
      </w:r>
      <w:r w:rsidR="000F213E" w:rsidRPr="0076762E">
        <w:t xml:space="preserve">. The PBAC </w:t>
      </w:r>
      <w:r w:rsidR="009F78AD" w:rsidRPr="0076762E">
        <w:t xml:space="preserve">stated that it would welcome a proposal to address the needs of this higher risk </w:t>
      </w:r>
      <w:r w:rsidR="009F78AD" w:rsidRPr="0076762E">
        <w:lastRenderedPageBreak/>
        <w:t xml:space="preserve">group of patients in a future resubmission (para 7.3, tirzepatide PSD, July 2023 PBAC meeting). </w:t>
      </w:r>
    </w:p>
    <w:p w14:paraId="42BCA94B" w14:textId="55788C11" w:rsidR="0027649D" w:rsidRDefault="001160BB" w:rsidP="00BE57DC">
      <w:pPr>
        <w:pStyle w:val="COMexecsummnumbered"/>
      </w:pPr>
      <w:r>
        <w:fldChar w:fldCharType="begin" w:fldLock="1"/>
      </w:r>
      <w:r>
        <w:instrText xml:space="preserve"> REF _Ref175748776 \h </w:instrText>
      </w:r>
      <w:r>
        <w:fldChar w:fldCharType="separate"/>
      </w:r>
      <w:r w:rsidR="00EE035D" w:rsidRPr="0076762E">
        <w:t xml:space="preserve">Table </w:t>
      </w:r>
      <w:r w:rsidR="00EE035D">
        <w:rPr>
          <w:noProof/>
        </w:rPr>
        <w:t>2</w:t>
      </w:r>
      <w:r>
        <w:fldChar w:fldCharType="end"/>
      </w:r>
      <w:r>
        <w:t xml:space="preserve"> </w:t>
      </w:r>
      <w:r w:rsidR="00A44AA6" w:rsidRPr="0076762E">
        <w:t xml:space="preserve">presents </w:t>
      </w:r>
      <w:r w:rsidR="0067769F">
        <w:t>a summary of</w:t>
      </w:r>
      <w:r w:rsidR="0067769F" w:rsidRPr="0076762E">
        <w:t xml:space="preserve"> </w:t>
      </w:r>
      <w:r w:rsidR="00A44AA6" w:rsidRPr="0076762E">
        <w:t xml:space="preserve">PBAC’s </w:t>
      </w:r>
      <w:r w:rsidR="00814A70">
        <w:t xml:space="preserve">previous </w:t>
      </w:r>
      <w:r w:rsidR="00A44AA6" w:rsidRPr="0076762E">
        <w:t xml:space="preserve">advice for a resubmission and how </w:t>
      </w:r>
      <w:r w:rsidR="00814A70" w:rsidRPr="0076762E">
        <w:t>th</w:t>
      </w:r>
      <w:r w:rsidR="00814A70">
        <w:t>is</w:t>
      </w:r>
      <w:r w:rsidR="00814A70" w:rsidRPr="0076762E">
        <w:t xml:space="preserve"> </w:t>
      </w:r>
      <w:r w:rsidR="00A44AA6" w:rsidRPr="0076762E">
        <w:t>resubmission addressed them</w:t>
      </w:r>
      <w:r w:rsidR="0027649D" w:rsidRPr="0076762E">
        <w:t>.</w:t>
      </w:r>
    </w:p>
    <w:p w14:paraId="3EA6A278" w14:textId="0F10DF11" w:rsidR="001160BB" w:rsidRPr="0076762E" w:rsidRDefault="001160BB" w:rsidP="001160BB">
      <w:pPr>
        <w:pStyle w:val="Caption"/>
      </w:pPr>
      <w:bookmarkStart w:id="7" w:name="_Ref175748776"/>
      <w:r w:rsidRPr="0076762E">
        <w:t xml:space="preserve">Table </w:t>
      </w:r>
      <w:r w:rsidR="00EE035D">
        <w:fldChar w:fldCharType="begin" w:fldLock="1"/>
      </w:r>
      <w:r w:rsidR="00EE035D">
        <w:instrText xml:space="preserve"> SEQ Table \* ARABIC </w:instrText>
      </w:r>
      <w:r w:rsidR="00EE035D">
        <w:fldChar w:fldCharType="separate"/>
      </w:r>
      <w:r w:rsidR="00EE035D">
        <w:rPr>
          <w:noProof/>
        </w:rPr>
        <w:t>2</w:t>
      </w:r>
      <w:r w:rsidR="00EE035D">
        <w:rPr>
          <w:noProof/>
        </w:rPr>
        <w:fldChar w:fldCharType="end"/>
      </w:r>
      <w:bookmarkEnd w:id="7"/>
      <w:r w:rsidRPr="0076762E">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4508"/>
        <w:gridCol w:w="4509"/>
      </w:tblGrid>
      <w:tr w:rsidR="001160BB" w:rsidRPr="0076762E" w14:paraId="1030818E" w14:textId="77777777">
        <w:trPr>
          <w:cantSplit/>
          <w:tblHeader/>
        </w:trPr>
        <w:tc>
          <w:tcPr>
            <w:tcW w:w="2500" w:type="pct"/>
            <w:vAlign w:val="center"/>
          </w:tcPr>
          <w:p w14:paraId="19B3A4CC" w14:textId="77777777" w:rsidR="001160BB" w:rsidRPr="0076762E" w:rsidRDefault="001160BB">
            <w:pPr>
              <w:pStyle w:val="COMTableheadingrow"/>
              <w:keepNext w:val="0"/>
              <w:widowControl w:val="0"/>
              <w:rPr>
                <w:lang w:val="en-AU"/>
              </w:rPr>
            </w:pPr>
            <w:r w:rsidRPr="0076762E">
              <w:rPr>
                <w:lang w:val="en-AU"/>
              </w:rPr>
              <w:t>Matter of concern (July 2023 PBAC meeting)</w:t>
            </w:r>
          </w:p>
        </w:tc>
        <w:tc>
          <w:tcPr>
            <w:tcW w:w="2500" w:type="pct"/>
            <w:vAlign w:val="center"/>
          </w:tcPr>
          <w:p w14:paraId="1BC5D95D" w14:textId="332BB7DE" w:rsidR="001160BB" w:rsidRPr="0076762E" w:rsidRDefault="001160BB">
            <w:pPr>
              <w:pStyle w:val="COMTableheadingrow"/>
              <w:keepNext w:val="0"/>
              <w:widowControl w:val="0"/>
              <w:rPr>
                <w:lang w:val="en-AU"/>
              </w:rPr>
            </w:pPr>
            <w:r w:rsidRPr="0076762E">
              <w:rPr>
                <w:lang w:val="en-AU"/>
              </w:rPr>
              <w:t>How the resubmission addresses it</w:t>
            </w:r>
            <w:r w:rsidR="00814A70">
              <w:rPr>
                <w:lang w:val="en-AU"/>
              </w:rPr>
              <w:t xml:space="preserve"> (November 2024 PBAC meeting)</w:t>
            </w:r>
          </w:p>
        </w:tc>
      </w:tr>
      <w:tr w:rsidR="001160BB" w:rsidRPr="0076762E" w14:paraId="47C4BAEC" w14:textId="77777777">
        <w:trPr>
          <w:cantSplit/>
        </w:trPr>
        <w:tc>
          <w:tcPr>
            <w:tcW w:w="5000" w:type="pct"/>
            <w:gridSpan w:val="2"/>
          </w:tcPr>
          <w:p w14:paraId="2FE6E3FA" w14:textId="77777777" w:rsidR="001160BB" w:rsidRPr="0076762E" w:rsidRDefault="001160BB">
            <w:pPr>
              <w:pStyle w:val="COMTableheadingrow"/>
              <w:keepNext w:val="0"/>
              <w:widowControl w:val="0"/>
              <w:rPr>
                <w:lang w:val="en-AU"/>
              </w:rPr>
            </w:pPr>
            <w:r w:rsidRPr="0076762E">
              <w:rPr>
                <w:lang w:val="en-AU"/>
              </w:rPr>
              <w:t>Context</w:t>
            </w:r>
          </w:p>
        </w:tc>
      </w:tr>
      <w:tr w:rsidR="001160BB" w:rsidRPr="0076762E" w14:paraId="1F2149F2" w14:textId="77777777">
        <w:trPr>
          <w:cantSplit/>
        </w:trPr>
        <w:tc>
          <w:tcPr>
            <w:tcW w:w="2500" w:type="pct"/>
          </w:tcPr>
          <w:p w14:paraId="6143C60D" w14:textId="77777777" w:rsidR="001160BB" w:rsidRDefault="001160BB">
            <w:pPr>
              <w:pStyle w:val="COMTabletext"/>
              <w:keepNext w:val="0"/>
              <w:widowControl w:val="0"/>
              <w:rPr>
                <w:snapToGrid w:val="0"/>
              </w:rPr>
            </w:pPr>
            <w:r w:rsidRPr="0076762E">
              <w:rPr>
                <w:snapToGrid w:val="0"/>
              </w:rPr>
              <w:t>One repeat would be most appropriate for titration doses of tirzepatide (2.5 mg, 7.5 mg and 12.5 mg) (para 7.5).</w:t>
            </w:r>
          </w:p>
          <w:p w14:paraId="0011C428" w14:textId="77777777" w:rsidR="001160BB" w:rsidRPr="00FF6942" w:rsidRDefault="001160BB"/>
        </w:tc>
        <w:tc>
          <w:tcPr>
            <w:tcW w:w="2500" w:type="pct"/>
          </w:tcPr>
          <w:p w14:paraId="449EE76E" w14:textId="2149EA58" w:rsidR="001160BB" w:rsidRPr="0076762E" w:rsidRDefault="001160BB">
            <w:pPr>
              <w:pStyle w:val="COMTabletext"/>
              <w:keepNext w:val="0"/>
              <w:widowControl w:val="0"/>
              <w:rPr>
                <w:snapToGrid w:val="0"/>
              </w:rPr>
            </w:pPr>
            <w:r w:rsidRPr="0076762E">
              <w:rPr>
                <w:snapToGrid w:val="0"/>
              </w:rPr>
              <w:t xml:space="preserve">The same number of repeats (5) is requested for all tirzepatide doses. The resubmission argued that treatment duration at titration doses should not be limited to 8 weeks and that patients who experience tolerability issues may undergo slower titration. </w:t>
            </w:r>
          </w:p>
        </w:tc>
      </w:tr>
      <w:tr w:rsidR="001160BB" w:rsidRPr="0076762E" w14:paraId="69D82871" w14:textId="77777777">
        <w:trPr>
          <w:cantSplit/>
        </w:trPr>
        <w:tc>
          <w:tcPr>
            <w:tcW w:w="2500" w:type="pct"/>
          </w:tcPr>
          <w:p w14:paraId="5B1E8801" w14:textId="77777777" w:rsidR="001160BB" w:rsidRPr="0076762E" w:rsidRDefault="001160BB">
            <w:pPr>
              <w:pStyle w:val="COMTabletext"/>
              <w:keepNext w:val="0"/>
              <w:widowControl w:val="0"/>
              <w:rPr>
                <w:snapToGrid w:val="0"/>
              </w:rPr>
            </w:pPr>
            <w:r w:rsidRPr="0076762E">
              <w:rPr>
                <w:snapToGrid w:val="0"/>
              </w:rPr>
              <w:t>Clinicians would likely want to use tirzepatide in combination with sulfonylurea or insulin given available clinical data within the type 2 diabetes trial program (para 7.5).</w:t>
            </w:r>
          </w:p>
        </w:tc>
        <w:tc>
          <w:tcPr>
            <w:tcW w:w="2500" w:type="pct"/>
          </w:tcPr>
          <w:p w14:paraId="3D5465F4" w14:textId="77777777" w:rsidR="001160BB" w:rsidRPr="0076762E" w:rsidRDefault="001160BB">
            <w:pPr>
              <w:pStyle w:val="COMTabletext"/>
              <w:keepNext w:val="0"/>
              <w:widowControl w:val="0"/>
              <w:rPr>
                <w:snapToGrid w:val="0"/>
              </w:rPr>
            </w:pPr>
            <w:r w:rsidRPr="0076762E">
              <w:rPr>
                <w:snapToGrid w:val="0"/>
              </w:rPr>
              <w:t xml:space="preserve">The requested listing of tirzepatide is for use as dual therapy in combination with metformin only. The resubmission claimed, based on expert opinion, that the aim when initiating tirzepatide is to reduce medication burden for patients by stopping sulfonylureas and down-titrating or ceasing insulin. </w:t>
            </w:r>
          </w:p>
        </w:tc>
      </w:tr>
      <w:tr w:rsidR="001160BB" w:rsidRPr="0076762E" w14:paraId="61D11014" w14:textId="77777777">
        <w:trPr>
          <w:cantSplit/>
        </w:trPr>
        <w:tc>
          <w:tcPr>
            <w:tcW w:w="2500" w:type="pct"/>
          </w:tcPr>
          <w:p w14:paraId="249458FC" w14:textId="77777777" w:rsidR="001160BB" w:rsidRPr="0076762E" w:rsidRDefault="001160BB">
            <w:pPr>
              <w:pStyle w:val="COMTabletext"/>
              <w:keepNext w:val="0"/>
              <w:widowControl w:val="0"/>
              <w:rPr>
                <w:snapToGrid w:val="0"/>
              </w:rPr>
            </w:pPr>
            <w:r w:rsidRPr="0076762E">
              <w:rPr>
                <w:snapToGrid w:val="0"/>
              </w:rPr>
              <w:t>There is high risk of use beyond the proposed restriction that limited tirzepatide use as dual therapy with metformin only (para 7.5).</w:t>
            </w:r>
          </w:p>
        </w:tc>
        <w:tc>
          <w:tcPr>
            <w:tcW w:w="2500" w:type="pct"/>
          </w:tcPr>
          <w:p w14:paraId="6A267E88" w14:textId="77777777" w:rsidR="001160BB" w:rsidRPr="0076762E" w:rsidRDefault="001160BB">
            <w:pPr>
              <w:pStyle w:val="COMTabletext"/>
              <w:keepNext w:val="0"/>
              <w:widowControl w:val="0"/>
              <w:rPr>
                <w:snapToGrid w:val="0"/>
              </w:rPr>
            </w:pPr>
            <w:r w:rsidRPr="0076762E">
              <w:rPr>
                <w:snapToGrid w:val="0"/>
              </w:rPr>
              <w:t xml:space="preserve">The revised listing </w:t>
            </w:r>
            <w:r>
              <w:rPr>
                <w:snapToGrid w:val="0"/>
              </w:rPr>
              <w:t>remains for use as dual therapy with metformin only in</w:t>
            </w:r>
            <w:r w:rsidRPr="0076762E">
              <w:rPr>
                <w:snapToGrid w:val="0"/>
              </w:rPr>
              <w:t xml:space="preserve"> a narrower population, with a higher authority level (Written Authority)</w:t>
            </w:r>
            <w:r>
              <w:rPr>
                <w:snapToGrid w:val="0"/>
              </w:rPr>
              <w:t>,</w:t>
            </w:r>
            <w:r w:rsidRPr="00A3737F">
              <w:rPr>
                <w:snapToGrid w:val="0"/>
              </w:rPr>
              <w:t xml:space="preserve"> </w:t>
            </w:r>
            <w:r w:rsidRPr="0076762E">
              <w:rPr>
                <w:snapToGrid w:val="0"/>
              </w:rPr>
              <w:t>treatment initiation limited to endocrinologists only, and new continuing treatment criteria based on glycaemic response.</w:t>
            </w:r>
          </w:p>
        </w:tc>
      </w:tr>
      <w:tr w:rsidR="001160BB" w:rsidRPr="0076762E" w14:paraId="6450F0B0" w14:textId="77777777">
        <w:trPr>
          <w:cantSplit/>
        </w:trPr>
        <w:tc>
          <w:tcPr>
            <w:tcW w:w="5000" w:type="pct"/>
            <w:gridSpan w:val="2"/>
            <w:vAlign w:val="center"/>
          </w:tcPr>
          <w:p w14:paraId="2C62C5F4" w14:textId="77777777" w:rsidR="001160BB" w:rsidRPr="0076762E" w:rsidRDefault="001160BB">
            <w:pPr>
              <w:pStyle w:val="COMTableheadingrow"/>
              <w:keepNext w:val="0"/>
              <w:widowControl w:val="0"/>
              <w:rPr>
                <w:lang w:val="en-AU"/>
              </w:rPr>
            </w:pPr>
            <w:r w:rsidRPr="0076762E">
              <w:rPr>
                <w:lang w:val="en-AU"/>
              </w:rPr>
              <w:t>Clinical evidence</w:t>
            </w:r>
          </w:p>
        </w:tc>
      </w:tr>
      <w:tr w:rsidR="001160BB" w:rsidRPr="0076762E" w14:paraId="3FAE1FCE" w14:textId="77777777">
        <w:trPr>
          <w:cantSplit/>
        </w:trPr>
        <w:tc>
          <w:tcPr>
            <w:tcW w:w="2500" w:type="pct"/>
          </w:tcPr>
          <w:p w14:paraId="102E81FB" w14:textId="77777777" w:rsidR="001160BB" w:rsidRPr="0076762E" w:rsidRDefault="001160BB">
            <w:pPr>
              <w:pStyle w:val="COMTabletext"/>
              <w:keepNext w:val="0"/>
              <w:widowControl w:val="0"/>
              <w:rPr>
                <w:snapToGrid w:val="0"/>
              </w:rPr>
            </w:pPr>
            <w:r w:rsidRPr="0076762E">
              <w:rPr>
                <w:snapToGrid w:val="0"/>
              </w:rPr>
              <w:t>The comparison of low dose tirzepatide (5 mg) versus high dose semaglutide (1 mg) was relevant given the proposed price for low dose tirzepatide was higher than proposed for high dose semaglutide (para 7.7). Increased adverse events associated with higher doses of tirzepatide (10 mg and 15 mg) may limit titration to these doses in practice (para 7.11).</w:t>
            </w:r>
          </w:p>
        </w:tc>
        <w:tc>
          <w:tcPr>
            <w:tcW w:w="2500" w:type="pct"/>
          </w:tcPr>
          <w:p w14:paraId="633D3F31" w14:textId="5F5CF2EA" w:rsidR="001160BB" w:rsidRPr="003674FD" w:rsidRDefault="001160BB">
            <w:pPr>
              <w:pStyle w:val="COMTabletext"/>
              <w:keepNext w:val="0"/>
              <w:widowControl w:val="0"/>
              <w:rPr>
                <w:i/>
                <w:iCs/>
                <w:snapToGrid w:val="0"/>
              </w:rPr>
            </w:pPr>
            <w:r w:rsidRPr="0076762E">
              <w:rPr>
                <w:snapToGrid w:val="0"/>
              </w:rPr>
              <w:t xml:space="preserve">The resubmission argued that the comparison of low dose tirzepatide versus high dose semaglutide is less relevant given the target population are of higher risk and are more likely to require titration to the higher doses of tirzepatide to achieve their treatment goals. Consequently, the low dose of tirzepatide was considered a temporary dose. The resubmission maintains that the most relevant comparisons for tirzepatide versus semaglutide are within each dose-escalation step and the proposed tiered pricing structure complements these dose comparisons. </w:t>
            </w:r>
            <w:r w:rsidR="003674FD" w:rsidRPr="0032185B">
              <w:rPr>
                <w:snapToGrid w:val="0"/>
              </w:rPr>
              <w:t>The ESC noted the price of tirzepatide 5 mg dose remains higher than semaglutide 1 mg.</w:t>
            </w:r>
          </w:p>
        </w:tc>
      </w:tr>
      <w:tr w:rsidR="001160BB" w:rsidRPr="0076762E" w14:paraId="334A7104" w14:textId="77777777">
        <w:trPr>
          <w:cantSplit/>
        </w:trPr>
        <w:tc>
          <w:tcPr>
            <w:tcW w:w="2500" w:type="pct"/>
          </w:tcPr>
          <w:p w14:paraId="1606F5FC" w14:textId="25A9404A" w:rsidR="001160BB" w:rsidRPr="0076762E" w:rsidRDefault="001160BB">
            <w:pPr>
              <w:pStyle w:val="COMTabletext"/>
              <w:keepNext w:val="0"/>
              <w:widowControl w:val="0"/>
              <w:rPr>
                <w:snapToGrid w:val="0"/>
              </w:rPr>
            </w:pPr>
            <w:r w:rsidRPr="0076762E">
              <w:rPr>
                <w:snapToGrid w:val="0"/>
              </w:rPr>
              <w:t>The long-term comparative efficacy of tirzepatide is unknown, with only short-term data from the key trial (40</w:t>
            </w:r>
            <w:r w:rsidR="008E302B">
              <w:rPr>
                <w:snapToGrid w:val="0"/>
              </w:rPr>
              <w:t> </w:t>
            </w:r>
            <w:r w:rsidRPr="0076762E">
              <w:rPr>
                <w:snapToGrid w:val="0"/>
              </w:rPr>
              <w:t xml:space="preserve">weeks). The clinical relevance of change in HbA1c may shift in the context of changing treatment algorithms based on patient-centred outcomes. Furthermore, there was a lack of data supporting reductions in downstream complications associated with short-term weight loss (para 7.10). </w:t>
            </w:r>
          </w:p>
        </w:tc>
        <w:tc>
          <w:tcPr>
            <w:tcW w:w="2500" w:type="pct"/>
          </w:tcPr>
          <w:p w14:paraId="2417775A" w14:textId="77777777" w:rsidR="001160BB" w:rsidRPr="0076762E" w:rsidRDefault="001160BB">
            <w:pPr>
              <w:pStyle w:val="COMTabletext"/>
              <w:keepNext w:val="0"/>
              <w:widowControl w:val="0"/>
              <w:rPr>
                <w:snapToGrid w:val="0"/>
              </w:rPr>
            </w:pPr>
            <w:r w:rsidRPr="0076762E">
              <w:rPr>
                <w:snapToGrid w:val="0"/>
              </w:rPr>
              <w:t>No long-term data w</w:t>
            </w:r>
            <w:r>
              <w:rPr>
                <w:snapToGrid w:val="0"/>
              </w:rPr>
              <w:t>ere</w:t>
            </w:r>
            <w:r w:rsidRPr="0076762E">
              <w:rPr>
                <w:snapToGrid w:val="0"/>
              </w:rPr>
              <w:t xml:space="preserve"> presented. </w:t>
            </w:r>
          </w:p>
        </w:tc>
      </w:tr>
      <w:tr w:rsidR="001160BB" w:rsidRPr="0076762E" w14:paraId="77AA71E4" w14:textId="77777777">
        <w:trPr>
          <w:cantSplit/>
        </w:trPr>
        <w:tc>
          <w:tcPr>
            <w:tcW w:w="5000" w:type="pct"/>
            <w:gridSpan w:val="2"/>
            <w:vAlign w:val="center"/>
          </w:tcPr>
          <w:p w14:paraId="49DE7E92" w14:textId="77777777" w:rsidR="001160BB" w:rsidRPr="0076762E" w:rsidRDefault="001160BB" w:rsidP="00E164C1">
            <w:pPr>
              <w:pStyle w:val="COMTableheadingrow"/>
              <w:widowControl w:val="0"/>
              <w:rPr>
                <w:snapToGrid w:val="0"/>
                <w:lang w:val="en-AU"/>
              </w:rPr>
            </w:pPr>
            <w:r w:rsidRPr="0076762E">
              <w:rPr>
                <w:snapToGrid w:val="0"/>
                <w:lang w:val="en-AU"/>
              </w:rPr>
              <w:lastRenderedPageBreak/>
              <w:t>Economic evaluation</w:t>
            </w:r>
          </w:p>
        </w:tc>
      </w:tr>
      <w:tr w:rsidR="001160BB" w:rsidRPr="0076762E" w14:paraId="0D7CDC6D" w14:textId="77777777">
        <w:trPr>
          <w:cantSplit/>
        </w:trPr>
        <w:tc>
          <w:tcPr>
            <w:tcW w:w="2500" w:type="pct"/>
          </w:tcPr>
          <w:p w14:paraId="60E02346" w14:textId="77777777" w:rsidR="001160BB" w:rsidRPr="0076762E" w:rsidRDefault="001160BB">
            <w:pPr>
              <w:pStyle w:val="COMTabletext"/>
              <w:keepNext w:val="0"/>
              <w:widowControl w:val="0"/>
              <w:rPr>
                <w:snapToGrid w:val="0"/>
              </w:rPr>
            </w:pPr>
            <w:r w:rsidRPr="0076762E">
              <w:rPr>
                <w:snapToGrid w:val="0"/>
              </w:rPr>
              <w:t>The PBAC considered the submission’s assumptions regarding modelled circumstances of use were unlikely to reflect Australian clinical practice (fixed dosing of GLP-1 RA/GIP and insulin therapies, perfect persistence, insulin intensification at HbA1c &gt; 7.5% and no concomitant use of GLP-1 RA and insulin therapies). The PBAC considered that in practice, the threshold for conversion to insulin would likely be at least 8.0% due to patients’ reluctance to commence insulin (para 7.13).</w:t>
            </w:r>
          </w:p>
        </w:tc>
        <w:tc>
          <w:tcPr>
            <w:tcW w:w="2500" w:type="pct"/>
          </w:tcPr>
          <w:p w14:paraId="11B6208E" w14:textId="77777777" w:rsidR="001160BB" w:rsidRPr="00741BD4" w:rsidRDefault="001160BB">
            <w:pPr>
              <w:pStyle w:val="COMTabletext"/>
              <w:keepNext w:val="0"/>
              <w:widowControl w:val="0"/>
              <w:rPr>
                <w:snapToGrid w:val="0"/>
              </w:rPr>
            </w:pPr>
            <w:r w:rsidRPr="00741BD4">
              <w:rPr>
                <w:snapToGrid w:val="0"/>
              </w:rPr>
              <w:t>The resubmission’s model maintains fixed dosing of GLP-1 RA/GIP and insulin therapies and perfect persistence.</w:t>
            </w:r>
          </w:p>
          <w:p w14:paraId="130B9F30" w14:textId="77777777" w:rsidR="001160BB" w:rsidRPr="00741BD4" w:rsidRDefault="001160BB">
            <w:pPr>
              <w:pStyle w:val="COMTabletext"/>
              <w:keepNext w:val="0"/>
              <w:widowControl w:val="0"/>
              <w:rPr>
                <w:snapToGrid w:val="0"/>
              </w:rPr>
            </w:pPr>
            <w:r w:rsidRPr="00741BD4">
              <w:rPr>
                <w:snapToGrid w:val="0"/>
              </w:rPr>
              <w:t xml:space="preserve">The insulin intensification threshold has been reduced to HbA1c &gt;7.0%, which the resubmission </w:t>
            </w:r>
            <w:r>
              <w:rPr>
                <w:snapToGrid w:val="0"/>
              </w:rPr>
              <w:t>claimed</w:t>
            </w:r>
            <w:r w:rsidRPr="00741BD4">
              <w:rPr>
                <w:snapToGrid w:val="0"/>
              </w:rPr>
              <w:t xml:space="preserve"> is consistent with the proposed restriction for continuing tirzepatide treatment</w:t>
            </w:r>
            <w:r>
              <w:rPr>
                <w:snapToGrid w:val="0"/>
              </w:rPr>
              <w:t>, PBS restrictions for use of medicines in combination with insulin, and clinical guidelines</w:t>
            </w:r>
            <w:r w:rsidRPr="00741BD4">
              <w:rPr>
                <w:snapToGrid w:val="0"/>
              </w:rPr>
              <w:t>.</w:t>
            </w:r>
          </w:p>
          <w:p w14:paraId="3FE69F5F" w14:textId="77777777" w:rsidR="001160BB" w:rsidRPr="0076762E" w:rsidRDefault="001160BB">
            <w:pPr>
              <w:pStyle w:val="COMTabletext"/>
              <w:keepNext w:val="0"/>
              <w:widowControl w:val="0"/>
              <w:rPr>
                <w:snapToGrid w:val="0"/>
              </w:rPr>
            </w:pPr>
            <w:r w:rsidRPr="00741BD4">
              <w:rPr>
                <w:snapToGrid w:val="0"/>
              </w:rPr>
              <w:t>The resubmission’s model maintains no concomitant use of GLP-1 RA and insulin therapies.</w:t>
            </w:r>
          </w:p>
        </w:tc>
      </w:tr>
      <w:tr w:rsidR="001160BB" w:rsidRPr="0076762E" w14:paraId="07D2A2AD" w14:textId="77777777">
        <w:trPr>
          <w:cantSplit/>
        </w:trPr>
        <w:tc>
          <w:tcPr>
            <w:tcW w:w="2500" w:type="pct"/>
          </w:tcPr>
          <w:p w14:paraId="0A20FE12" w14:textId="77777777" w:rsidR="001160BB" w:rsidRPr="0076762E" w:rsidRDefault="001160BB">
            <w:pPr>
              <w:pStyle w:val="COMTabletext"/>
              <w:keepNext w:val="0"/>
              <w:widowControl w:val="0"/>
              <w:rPr>
                <w:snapToGrid w:val="0"/>
              </w:rPr>
            </w:pPr>
            <w:r w:rsidRPr="0076762E">
              <w:rPr>
                <w:snapToGrid w:val="0"/>
              </w:rPr>
              <w:t>The approach used to apply weight-based utility/disutility values was considered unreliable (para 7.15)</w:t>
            </w:r>
          </w:p>
        </w:tc>
        <w:tc>
          <w:tcPr>
            <w:tcW w:w="2500" w:type="pct"/>
          </w:tcPr>
          <w:p w14:paraId="2EBF9C0E" w14:textId="1C1CEB22" w:rsidR="001160BB" w:rsidRPr="0076762E" w:rsidRDefault="001160BB">
            <w:pPr>
              <w:pStyle w:val="COMTabletext"/>
              <w:keepNext w:val="0"/>
              <w:widowControl w:val="0"/>
              <w:rPr>
                <w:snapToGrid w:val="0"/>
              </w:rPr>
            </w:pPr>
            <w:r w:rsidRPr="0056388A">
              <w:rPr>
                <w:snapToGrid w:val="0"/>
              </w:rPr>
              <w:t>The resubmission maintains the approach to weight-related utilities; claiming that the first year utility gain associated with weight loss and subsequent utility loss for patients with BMI &gt;25 kg/m</w:t>
            </w:r>
            <w:r w:rsidRPr="00B74AC6">
              <w:rPr>
                <w:snapToGrid w:val="0"/>
                <w:vertAlign w:val="superscript"/>
              </w:rPr>
              <w:t>2</w:t>
            </w:r>
            <w:r w:rsidRPr="0056388A">
              <w:rPr>
                <w:snapToGrid w:val="0"/>
              </w:rPr>
              <w:t xml:space="preserve"> are independent changes, and the baseline utility used in the model is unlikely to reflect the utility of patients with a BMI ≥35 kg/m</w:t>
            </w:r>
            <w:r w:rsidRPr="00E71116">
              <w:rPr>
                <w:snapToGrid w:val="0"/>
                <w:vertAlign w:val="superscript"/>
              </w:rPr>
              <w:t>2</w:t>
            </w:r>
            <w:r w:rsidRPr="0056388A">
              <w:rPr>
                <w:snapToGrid w:val="0"/>
              </w:rPr>
              <w:t>.</w:t>
            </w:r>
          </w:p>
        </w:tc>
      </w:tr>
      <w:tr w:rsidR="001160BB" w:rsidRPr="0076762E" w14:paraId="47B2285E" w14:textId="77777777">
        <w:trPr>
          <w:cantSplit/>
        </w:trPr>
        <w:tc>
          <w:tcPr>
            <w:tcW w:w="2500" w:type="pct"/>
          </w:tcPr>
          <w:p w14:paraId="36B7754E" w14:textId="77777777" w:rsidR="001160BB" w:rsidRPr="0076762E" w:rsidRDefault="001160BB">
            <w:pPr>
              <w:pStyle w:val="COMTabletext"/>
              <w:keepNext w:val="0"/>
              <w:widowControl w:val="0"/>
              <w:rPr>
                <w:snapToGrid w:val="0"/>
              </w:rPr>
            </w:pPr>
            <w:r>
              <w:rPr>
                <w:snapToGrid w:val="0"/>
              </w:rPr>
              <w:t xml:space="preserve">Constant eGFR treatment effects should be incorporated (para 7.16). </w:t>
            </w:r>
          </w:p>
        </w:tc>
        <w:tc>
          <w:tcPr>
            <w:tcW w:w="2500" w:type="pct"/>
          </w:tcPr>
          <w:p w14:paraId="371BFC7D" w14:textId="77777777" w:rsidR="001160BB" w:rsidRPr="0056388A" w:rsidRDefault="001160BB">
            <w:pPr>
              <w:pStyle w:val="COMTabletext"/>
              <w:keepNext w:val="0"/>
              <w:widowControl w:val="0"/>
              <w:rPr>
                <w:snapToGrid w:val="0"/>
              </w:rPr>
            </w:pPr>
            <w:r>
              <w:rPr>
                <w:snapToGrid w:val="0"/>
              </w:rPr>
              <w:t>Constant eGFR treatment effects have been included.</w:t>
            </w:r>
          </w:p>
        </w:tc>
      </w:tr>
      <w:tr w:rsidR="001160BB" w:rsidRPr="0076762E" w14:paraId="07B3A51E" w14:textId="77777777">
        <w:trPr>
          <w:cantSplit/>
        </w:trPr>
        <w:tc>
          <w:tcPr>
            <w:tcW w:w="2500" w:type="pct"/>
          </w:tcPr>
          <w:p w14:paraId="18C379A3" w14:textId="77777777" w:rsidR="001160BB" w:rsidRPr="0076762E" w:rsidRDefault="001160BB">
            <w:pPr>
              <w:pStyle w:val="COMTabletext"/>
              <w:keepNext w:val="0"/>
              <w:widowControl w:val="0"/>
              <w:rPr>
                <w:snapToGrid w:val="0"/>
              </w:rPr>
            </w:pPr>
            <w:r>
              <w:rPr>
                <w:snapToGrid w:val="0"/>
              </w:rPr>
              <w:t>UKPDS drift should be used for all biomarkers (para 7.16).</w:t>
            </w:r>
          </w:p>
        </w:tc>
        <w:tc>
          <w:tcPr>
            <w:tcW w:w="2500" w:type="pct"/>
          </w:tcPr>
          <w:p w14:paraId="1E1E33BD" w14:textId="77777777" w:rsidR="001160BB" w:rsidRPr="0056388A" w:rsidRDefault="001160BB">
            <w:pPr>
              <w:pStyle w:val="COMTabletext"/>
              <w:keepNext w:val="0"/>
              <w:widowControl w:val="0"/>
              <w:rPr>
                <w:snapToGrid w:val="0"/>
              </w:rPr>
            </w:pPr>
            <w:r>
              <w:rPr>
                <w:snapToGrid w:val="0"/>
              </w:rPr>
              <w:t>UKPDS drift has been included for some biomarkers only.</w:t>
            </w:r>
          </w:p>
        </w:tc>
      </w:tr>
      <w:tr w:rsidR="001160BB" w:rsidRPr="0076762E" w14:paraId="5A2F962B" w14:textId="77777777">
        <w:trPr>
          <w:cantSplit/>
        </w:trPr>
        <w:tc>
          <w:tcPr>
            <w:tcW w:w="2500" w:type="pct"/>
          </w:tcPr>
          <w:p w14:paraId="11D22001" w14:textId="77777777" w:rsidR="001160BB" w:rsidRPr="0076762E" w:rsidRDefault="001160BB">
            <w:pPr>
              <w:pStyle w:val="COMTabletext"/>
              <w:keepNext w:val="0"/>
              <w:widowControl w:val="0"/>
              <w:rPr>
                <w:snapToGrid w:val="0"/>
              </w:rPr>
            </w:pPr>
            <w:r>
              <w:rPr>
                <w:snapToGrid w:val="0"/>
              </w:rPr>
              <w:t>The h</w:t>
            </w:r>
            <w:r w:rsidRPr="00741BD4">
              <w:rPr>
                <w:snapToGrid w:val="0"/>
              </w:rPr>
              <w:t xml:space="preserve">ypoglycaemia disutility </w:t>
            </w:r>
            <w:r>
              <w:rPr>
                <w:snapToGrid w:val="0"/>
              </w:rPr>
              <w:t xml:space="preserve">should be reduced </w:t>
            </w:r>
            <w:r w:rsidRPr="00741BD4">
              <w:rPr>
                <w:snapToGrid w:val="0"/>
              </w:rPr>
              <w:t>to 0.003 per event</w:t>
            </w:r>
            <w:r>
              <w:rPr>
                <w:snapToGrid w:val="0"/>
              </w:rPr>
              <w:t xml:space="preserve"> (para 7.16).</w:t>
            </w:r>
          </w:p>
        </w:tc>
        <w:tc>
          <w:tcPr>
            <w:tcW w:w="2500" w:type="pct"/>
          </w:tcPr>
          <w:p w14:paraId="4522915E" w14:textId="77777777" w:rsidR="001160BB" w:rsidRPr="0056388A" w:rsidRDefault="001160BB">
            <w:pPr>
              <w:pStyle w:val="COMTabletext"/>
              <w:keepNext w:val="0"/>
              <w:widowControl w:val="0"/>
              <w:rPr>
                <w:snapToGrid w:val="0"/>
              </w:rPr>
            </w:pPr>
            <w:r>
              <w:rPr>
                <w:snapToGrid w:val="0"/>
              </w:rPr>
              <w:t>The hypoglycaemia disutility has been reduced to 0.003.</w:t>
            </w:r>
          </w:p>
        </w:tc>
      </w:tr>
      <w:tr w:rsidR="001160BB" w:rsidRPr="0076762E" w14:paraId="6027723D" w14:textId="77777777">
        <w:trPr>
          <w:cantSplit/>
        </w:trPr>
        <w:tc>
          <w:tcPr>
            <w:tcW w:w="2500" w:type="pct"/>
          </w:tcPr>
          <w:p w14:paraId="6EA0D359" w14:textId="6484B11D" w:rsidR="001160BB" w:rsidRPr="0076762E" w:rsidRDefault="001160BB">
            <w:pPr>
              <w:pStyle w:val="COMTabletext"/>
              <w:keepNext w:val="0"/>
              <w:widowControl w:val="0"/>
              <w:rPr>
                <w:snapToGrid w:val="0"/>
              </w:rPr>
            </w:pPr>
            <w:r>
              <w:rPr>
                <w:snapToGrid w:val="0"/>
              </w:rPr>
              <w:t xml:space="preserve">A substantial price reduction </w:t>
            </w:r>
            <w:r w:rsidRPr="0076762E">
              <w:rPr>
                <w:snapToGrid w:val="0"/>
              </w:rPr>
              <w:t>that results in an ICER in the order of $30,000 per QALY</w:t>
            </w:r>
            <w:r>
              <w:rPr>
                <w:snapToGrid w:val="0"/>
              </w:rPr>
              <w:t xml:space="preserve"> would</w:t>
            </w:r>
            <w:r w:rsidRPr="0076762E">
              <w:rPr>
                <w:snapToGrid w:val="0"/>
              </w:rPr>
              <w:t xml:space="preserve"> be required for the proposed listing to be considered cost-effective (para 7.16).</w:t>
            </w:r>
          </w:p>
        </w:tc>
        <w:tc>
          <w:tcPr>
            <w:tcW w:w="2500" w:type="pct"/>
          </w:tcPr>
          <w:p w14:paraId="2AD8F478" w14:textId="3B6CA860" w:rsidR="001160BB" w:rsidRPr="0056388A" w:rsidRDefault="001160BB">
            <w:pPr>
              <w:pStyle w:val="COMTabletext"/>
              <w:keepNext w:val="0"/>
              <w:widowControl w:val="0"/>
              <w:rPr>
                <w:snapToGrid w:val="0"/>
              </w:rPr>
            </w:pPr>
            <w:r w:rsidRPr="00AD7DB8">
              <w:rPr>
                <w:snapToGrid w:val="0"/>
              </w:rPr>
              <w:t>The resubmission argued that the proposed population is at greater risk of experiencing life-threatening diabetes-related complications, there is a high unmet need in this population for effective treatment options like tirzepatide, and it is appropriate to consider a higher ICER of $</w:t>
            </w:r>
            <w:r w:rsidR="00F111EB" w:rsidRPr="007C0A91">
              <w:rPr>
                <w:snapToGrid w:val="0"/>
                <w:color w:val="000000"/>
                <w:spacing w:val="51"/>
                <w:shd w:val="solid" w:color="000000" w:fill="000000"/>
                <w:fitText w:val="325" w:id="-761015552"/>
                <w14:textFill>
                  <w14:solidFill>
                    <w14:srgbClr w14:val="000000">
                      <w14:alpha w14:val="100000"/>
                    </w14:srgbClr>
                  </w14:solidFill>
                </w14:textFill>
              </w:rPr>
              <w:t>|||</w:t>
            </w:r>
            <w:r w:rsidR="00F111EB" w:rsidRPr="007C0A91">
              <w:rPr>
                <w:snapToGrid w:val="0"/>
                <w:color w:val="000000"/>
                <w:spacing w:val="2"/>
                <w:shd w:val="solid" w:color="000000" w:fill="000000"/>
                <w:fitText w:val="325" w:id="-761015552"/>
                <w14:textFill>
                  <w14:solidFill>
                    <w14:srgbClr w14:val="000000">
                      <w14:alpha w14:val="100000"/>
                    </w14:srgbClr>
                  </w14:solidFill>
                </w14:textFill>
              </w:rPr>
              <w:t>|</w:t>
            </w:r>
            <w:r w:rsidR="00516C40">
              <w:rPr>
                <w:snapToGrid w:val="0"/>
                <w:vertAlign w:val="superscript"/>
              </w:rPr>
              <w:t>1</w:t>
            </w:r>
            <w:r w:rsidRPr="00AD7DB8">
              <w:rPr>
                <w:snapToGrid w:val="0"/>
              </w:rPr>
              <w:t xml:space="preserve"> for tirzepatide 15 mg versus semaglutide 1.0 mg. The proposed tiered pricing of tirzepatide includes lower prices for tirzepatide 5 mg and 10 mg but a higher price for tirzepatide 15 mg compared to the flat pricing of tirzepatide in the July 2023 submission.</w:t>
            </w:r>
          </w:p>
        </w:tc>
      </w:tr>
      <w:tr w:rsidR="001160BB" w:rsidRPr="0076762E" w14:paraId="63E32285" w14:textId="77777777">
        <w:trPr>
          <w:cantSplit/>
        </w:trPr>
        <w:tc>
          <w:tcPr>
            <w:tcW w:w="5000" w:type="pct"/>
            <w:gridSpan w:val="2"/>
            <w:vAlign w:val="center"/>
          </w:tcPr>
          <w:p w14:paraId="64567569" w14:textId="77777777" w:rsidR="001160BB" w:rsidRPr="0076762E" w:rsidRDefault="001160BB">
            <w:pPr>
              <w:pStyle w:val="COMTableheadingrow"/>
              <w:keepNext w:val="0"/>
              <w:widowControl w:val="0"/>
              <w:rPr>
                <w:snapToGrid w:val="0"/>
                <w:lang w:val="en-AU"/>
              </w:rPr>
            </w:pPr>
            <w:r w:rsidRPr="0076762E">
              <w:rPr>
                <w:snapToGrid w:val="0"/>
                <w:lang w:val="en-AU"/>
              </w:rPr>
              <w:t>Utilisation and financial impact of listing</w:t>
            </w:r>
          </w:p>
        </w:tc>
      </w:tr>
      <w:tr w:rsidR="001160BB" w:rsidRPr="0076762E" w14:paraId="712DCDBF" w14:textId="77777777">
        <w:trPr>
          <w:cantSplit/>
        </w:trPr>
        <w:tc>
          <w:tcPr>
            <w:tcW w:w="2500" w:type="pct"/>
            <w:vAlign w:val="center"/>
          </w:tcPr>
          <w:p w14:paraId="1BB03F4E" w14:textId="77777777" w:rsidR="001160BB" w:rsidRPr="0076762E" w:rsidRDefault="001160BB">
            <w:pPr>
              <w:pStyle w:val="COMTabletext"/>
              <w:keepNext w:val="0"/>
              <w:widowControl w:val="0"/>
              <w:rPr>
                <w:snapToGrid w:val="0"/>
              </w:rPr>
            </w:pPr>
            <w:r w:rsidRPr="0076762E">
              <w:rPr>
                <w:snapToGrid w:val="0"/>
              </w:rPr>
              <w:t>The PBAC noted concerns regarding the use of historical growth trends of GLP-1 analogues to estimate the utilisation and financial implications of a tirzepatide listing given recent recommendations to narrow eligibility of such therapies (para 7.17).</w:t>
            </w:r>
          </w:p>
        </w:tc>
        <w:tc>
          <w:tcPr>
            <w:tcW w:w="2500" w:type="pct"/>
          </w:tcPr>
          <w:p w14:paraId="537957E5" w14:textId="5876C379" w:rsidR="001160BB" w:rsidRPr="00645BB9" w:rsidRDefault="001160BB">
            <w:pPr>
              <w:pStyle w:val="COMTabletext"/>
              <w:keepNext w:val="0"/>
              <w:widowControl w:val="0"/>
              <w:rPr>
                <w:i/>
                <w:iCs/>
                <w:snapToGrid w:val="0"/>
              </w:rPr>
            </w:pPr>
            <w:r w:rsidRPr="0019205E">
              <w:rPr>
                <w:snapToGrid w:val="0"/>
              </w:rPr>
              <w:t>Revised financial estimates were presented to account for the narrower target population, with substantial changes to methods and data inputs.</w:t>
            </w:r>
            <w:r w:rsidR="00645BB9">
              <w:rPr>
                <w:snapToGrid w:val="0"/>
              </w:rPr>
              <w:t xml:space="preserve"> </w:t>
            </w:r>
            <w:r w:rsidR="0032185B">
              <w:rPr>
                <w:snapToGrid w:val="0"/>
              </w:rPr>
              <w:t xml:space="preserve">The </w:t>
            </w:r>
            <w:r w:rsidR="008778F0" w:rsidRPr="0032185B">
              <w:rPr>
                <w:snapToGrid w:val="0"/>
              </w:rPr>
              <w:t>ESC noted that the</w:t>
            </w:r>
            <w:r w:rsidR="00645BB9" w:rsidRPr="0032185B">
              <w:rPr>
                <w:snapToGrid w:val="0"/>
              </w:rPr>
              <w:t xml:space="preserve"> estimated tirzepatide utilisation </w:t>
            </w:r>
            <w:r w:rsidR="009849A7" w:rsidRPr="0032185B">
              <w:rPr>
                <w:snapToGrid w:val="0"/>
              </w:rPr>
              <w:t>had more than doubled</w:t>
            </w:r>
            <w:r w:rsidR="00645BB9" w:rsidRPr="0032185B">
              <w:rPr>
                <w:snapToGrid w:val="0"/>
              </w:rPr>
              <w:t xml:space="preserve"> </w:t>
            </w:r>
            <w:r w:rsidR="003674FD" w:rsidRPr="0032185B">
              <w:rPr>
                <w:snapToGrid w:val="0"/>
              </w:rPr>
              <w:t>with</w:t>
            </w:r>
            <w:r w:rsidR="00645BB9" w:rsidRPr="0032185B">
              <w:rPr>
                <w:snapToGrid w:val="0"/>
              </w:rPr>
              <w:t xml:space="preserve"> the net cost to the PBS/RPBS over 6 years increas</w:t>
            </w:r>
            <w:r w:rsidR="003674FD" w:rsidRPr="0032185B">
              <w:rPr>
                <w:snapToGrid w:val="0"/>
              </w:rPr>
              <w:t>ing</w:t>
            </w:r>
            <w:r w:rsidR="00645BB9" w:rsidRPr="0032185B">
              <w:rPr>
                <w:snapToGrid w:val="0"/>
              </w:rPr>
              <w:t xml:space="preserve"> from $</w:t>
            </w:r>
            <w:r w:rsidR="00F111EB" w:rsidRPr="00F111EB">
              <w:rPr>
                <w:snapToGrid w:val="0"/>
                <w:color w:val="000000"/>
                <w:spacing w:val="53"/>
                <w:w w:val="96"/>
                <w:shd w:val="solid" w:color="000000" w:fill="000000"/>
                <w:fitText w:val="325" w:id="-761015551"/>
                <w14:textFill>
                  <w14:solidFill>
                    <w14:srgbClr w14:val="000000">
                      <w14:alpha w14:val="100000"/>
                    </w14:srgbClr>
                  </w14:solidFill>
                </w14:textFill>
              </w:rPr>
              <w:t>|||</w:t>
            </w:r>
            <w:r w:rsidR="00F111EB" w:rsidRPr="00F111EB">
              <w:rPr>
                <w:snapToGrid w:val="0"/>
                <w:color w:val="000000"/>
                <w:spacing w:val="3"/>
                <w:w w:val="96"/>
                <w:shd w:val="solid" w:color="000000" w:fill="000000"/>
                <w:fitText w:val="325" w:id="-761015551"/>
                <w14:textFill>
                  <w14:solidFill>
                    <w14:srgbClr w14:val="000000">
                      <w14:alpha w14:val="100000"/>
                    </w14:srgbClr>
                  </w14:solidFill>
                </w14:textFill>
              </w:rPr>
              <w:t>|</w:t>
            </w:r>
            <w:r w:rsidR="00A3456B" w:rsidRPr="00A3456B">
              <w:rPr>
                <w:snapToGrid w:val="0"/>
              </w:rPr>
              <w:t xml:space="preserve"> </w:t>
            </w:r>
            <w:r w:rsidR="00516C40" w:rsidRPr="008F5614">
              <w:rPr>
                <w:snapToGrid w:val="0"/>
                <w:vertAlign w:val="superscript"/>
              </w:rPr>
              <w:t>2</w:t>
            </w:r>
            <w:r w:rsidR="00FC0387" w:rsidRPr="0032185B">
              <w:rPr>
                <w:snapToGrid w:val="0"/>
              </w:rPr>
              <w:t xml:space="preserve"> to </w:t>
            </w:r>
            <w:r w:rsidR="003674FD" w:rsidRPr="0032185B">
              <w:rPr>
                <w:snapToGrid w:val="0"/>
              </w:rPr>
              <w:t>$</w:t>
            </w:r>
            <w:r w:rsidR="00F111EB" w:rsidRPr="00F111EB">
              <w:rPr>
                <w:snapToGrid w:val="0"/>
                <w:color w:val="000000"/>
                <w:spacing w:val="51"/>
                <w:shd w:val="solid" w:color="000000" w:fill="000000"/>
                <w:fitText w:val="325" w:id="-761015550"/>
                <w14:textFill>
                  <w14:solidFill>
                    <w14:srgbClr w14:val="000000">
                      <w14:alpha w14:val="100000"/>
                    </w14:srgbClr>
                  </w14:solidFill>
                </w14:textFill>
              </w:rPr>
              <w:t>|||</w:t>
            </w:r>
            <w:r w:rsidR="00F111EB" w:rsidRPr="00F111EB">
              <w:rPr>
                <w:snapToGrid w:val="0"/>
                <w:color w:val="000000"/>
                <w:spacing w:val="2"/>
                <w:shd w:val="solid" w:color="000000" w:fill="000000"/>
                <w:fitText w:val="325" w:id="-761015550"/>
                <w14:textFill>
                  <w14:solidFill>
                    <w14:srgbClr w14:val="000000">
                      <w14:alpha w14:val="100000"/>
                    </w14:srgbClr>
                  </w14:solidFill>
                </w14:textFill>
              </w:rPr>
              <w:t>|</w:t>
            </w:r>
            <w:r w:rsidR="00A3456B" w:rsidRPr="00A3456B">
              <w:rPr>
                <w:snapToGrid w:val="0"/>
              </w:rPr>
              <w:t xml:space="preserve"> </w:t>
            </w:r>
            <w:r w:rsidR="00516C40">
              <w:rPr>
                <w:snapToGrid w:val="0"/>
                <w:vertAlign w:val="superscript"/>
              </w:rPr>
              <w:t>2</w:t>
            </w:r>
            <w:r w:rsidR="008778F0" w:rsidRPr="0032185B">
              <w:rPr>
                <w:snapToGrid w:val="0"/>
              </w:rPr>
              <w:t xml:space="preserve"> in the resubmission. </w:t>
            </w:r>
          </w:p>
        </w:tc>
      </w:tr>
      <w:tr w:rsidR="001160BB" w:rsidRPr="0076762E" w14:paraId="3B177E83" w14:textId="77777777">
        <w:trPr>
          <w:cantSplit/>
        </w:trPr>
        <w:tc>
          <w:tcPr>
            <w:tcW w:w="2500" w:type="pct"/>
            <w:vAlign w:val="center"/>
          </w:tcPr>
          <w:p w14:paraId="053B0543" w14:textId="77777777" w:rsidR="001160BB" w:rsidRPr="0076762E" w:rsidRDefault="001160BB">
            <w:pPr>
              <w:pStyle w:val="COMTabletext"/>
              <w:keepNext w:val="0"/>
              <w:widowControl w:val="0"/>
              <w:rPr>
                <w:snapToGrid w:val="0"/>
              </w:rPr>
            </w:pPr>
            <w:r w:rsidRPr="0076762E">
              <w:rPr>
                <w:snapToGrid w:val="0"/>
              </w:rPr>
              <w:t>Additional sensitivity analyses may assist in understanding some of the uncertainty regarding future growth in GLP-1 analogue use (para 7.17).</w:t>
            </w:r>
          </w:p>
        </w:tc>
        <w:tc>
          <w:tcPr>
            <w:tcW w:w="2500" w:type="pct"/>
          </w:tcPr>
          <w:p w14:paraId="44458BF8" w14:textId="77777777" w:rsidR="001160BB" w:rsidRPr="0076762E" w:rsidRDefault="001160BB">
            <w:pPr>
              <w:pStyle w:val="COMTabletext"/>
              <w:keepNext w:val="0"/>
              <w:widowControl w:val="0"/>
              <w:rPr>
                <w:snapToGrid w:val="0"/>
              </w:rPr>
            </w:pPr>
            <w:r w:rsidRPr="0076762E">
              <w:rPr>
                <w:snapToGrid w:val="0"/>
              </w:rPr>
              <w:t xml:space="preserve">Sensitivity analyses were presented for key assumptions used in the budget impact analysis. </w:t>
            </w:r>
          </w:p>
        </w:tc>
      </w:tr>
      <w:tr w:rsidR="001160BB" w:rsidRPr="0076762E" w14:paraId="3854064E" w14:textId="77777777">
        <w:trPr>
          <w:cantSplit/>
        </w:trPr>
        <w:tc>
          <w:tcPr>
            <w:tcW w:w="2500" w:type="pct"/>
            <w:vAlign w:val="center"/>
          </w:tcPr>
          <w:p w14:paraId="0F5D4421" w14:textId="77777777" w:rsidR="001160BB" w:rsidRPr="0076762E" w:rsidRDefault="001160BB">
            <w:pPr>
              <w:pStyle w:val="COMTabletext"/>
              <w:keepNext w:val="0"/>
              <w:widowControl w:val="0"/>
              <w:rPr>
                <w:snapToGrid w:val="0"/>
              </w:rPr>
            </w:pPr>
            <w:r w:rsidRPr="0076762E">
              <w:rPr>
                <w:snapToGrid w:val="0"/>
              </w:rPr>
              <w:t>The financial impact was uncertain and extremely high at the requested price (para 7.17).</w:t>
            </w:r>
          </w:p>
        </w:tc>
        <w:tc>
          <w:tcPr>
            <w:tcW w:w="2500" w:type="pct"/>
          </w:tcPr>
          <w:p w14:paraId="080B65FB" w14:textId="77777777" w:rsidR="001160BB" w:rsidRPr="0076762E" w:rsidRDefault="001160BB">
            <w:pPr>
              <w:pStyle w:val="COMTabletext"/>
              <w:keepNext w:val="0"/>
              <w:widowControl w:val="0"/>
              <w:rPr>
                <w:snapToGrid w:val="0"/>
              </w:rPr>
            </w:pPr>
            <w:r w:rsidRPr="0076762E">
              <w:rPr>
                <w:snapToGrid w:val="0"/>
              </w:rPr>
              <w:t>A revised price structure was proposed based on the outcomes of the economic model.</w:t>
            </w:r>
          </w:p>
        </w:tc>
      </w:tr>
    </w:tbl>
    <w:p w14:paraId="0A82BA0D" w14:textId="77777777" w:rsidR="001160BB" w:rsidRPr="0076762E" w:rsidRDefault="001160BB" w:rsidP="001160BB">
      <w:pPr>
        <w:pStyle w:val="COMTablefooter"/>
      </w:pPr>
      <w:r w:rsidRPr="0076762E">
        <w:t>Source: Table 4-1, p260 of the resubmission; Tirzepatide Public Summary Document, July 2023 PBAC meeting</w:t>
      </w:r>
    </w:p>
    <w:p w14:paraId="542844C9" w14:textId="77777777" w:rsidR="001160BB" w:rsidRDefault="001160BB" w:rsidP="004C0F1E">
      <w:pPr>
        <w:pStyle w:val="COMTablefooter"/>
        <w:spacing w:after="0"/>
      </w:pPr>
      <w:r w:rsidRPr="0076762E">
        <w:t>Abbreviations: eGFR, estimated glomerular filtration rate; ESC, Economics Sub-Committee; GIP, glucose-dependent insulinotropic polypeptide; GLP-1, glucagon-like peptide-1; HbA1c, glycated haemoglobin; ICER, incremental cost-effectiveness ratio; PBAC, Pharmaceutical Benefits Advisory Committee; PBS, Pharmaceutical Benefits Scheme; QALY, quality adjusted life year; UKPDS, UK Prospective Diabetes Study</w:t>
      </w:r>
    </w:p>
    <w:p w14:paraId="1EC1FA5F" w14:textId="5DCD64A0" w:rsidR="001A1ECC" w:rsidRPr="004C0F1E" w:rsidRDefault="001A1ECC" w:rsidP="004C0F1E">
      <w:pPr>
        <w:pStyle w:val="TableFigureFooter"/>
        <w:rPr>
          <w:i/>
          <w:iCs/>
        </w:rPr>
      </w:pPr>
      <w:r w:rsidRPr="004C0F1E">
        <w:rPr>
          <w:i/>
          <w:iCs/>
        </w:rPr>
        <w:t>The redacted values correspond to the following ranges</w:t>
      </w:r>
    </w:p>
    <w:p w14:paraId="5472D7A0" w14:textId="4F7B699D" w:rsidR="004C0F1E" w:rsidRDefault="0009496A" w:rsidP="004C0F1E">
      <w:pPr>
        <w:pStyle w:val="TableFigureFooter"/>
        <w:rPr>
          <w:i/>
          <w:iCs/>
        </w:rPr>
      </w:pPr>
      <w:r w:rsidRPr="004C0F1E">
        <w:rPr>
          <w:i/>
          <w:iCs/>
        </w:rPr>
        <w:t xml:space="preserve">1 </w:t>
      </w:r>
      <w:r w:rsidR="002672DF" w:rsidRPr="002672DF">
        <w:rPr>
          <w:i/>
          <w:iCs/>
        </w:rPr>
        <w:t>$35,000 to &lt; $45,000</w:t>
      </w:r>
    </w:p>
    <w:p w14:paraId="3691E441" w14:textId="55B4069F" w:rsidR="0009496A" w:rsidRPr="0009496A" w:rsidRDefault="004C0F1E" w:rsidP="002672DF">
      <w:pPr>
        <w:pStyle w:val="TableFigureFooter"/>
      </w:pPr>
      <w:r>
        <w:rPr>
          <w:i/>
          <w:iCs/>
        </w:rPr>
        <w:t xml:space="preserve">2 </w:t>
      </w:r>
      <w:r w:rsidR="0009496A" w:rsidRPr="004C0F1E">
        <w:rPr>
          <w:i/>
          <w:iCs/>
        </w:rPr>
        <w:t>&gt; $1 billion</w:t>
      </w:r>
    </w:p>
    <w:p w14:paraId="1D5980B1" w14:textId="3F80229A" w:rsidR="00A57F1D" w:rsidRPr="00A3097D" w:rsidRDefault="00A57F1D" w:rsidP="00A3097D">
      <w:pPr>
        <w:spacing w:after="200" w:line="276" w:lineRule="auto"/>
        <w:ind w:left="709"/>
        <w:rPr>
          <w:rFonts w:asciiTheme="minorHAnsi" w:hAnsiTheme="minorHAnsi" w:cstheme="minorHAnsi"/>
          <w:i/>
        </w:rPr>
      </w:pPr>
      <w:r w:rsidRPr="006845B7">
        <w:rPr>
          <w:rFonts w:asciiTheme="minorHAnsi" w:hAnsiTheme="minorHAnsi" w:cstheme="minorHAnsi"/>
          <w:i/>
        </w:rPr>
        <w:t>For more detail on PBAC’s view, see section 7 PBAC outcome</w:t>
      </w:r>
    </w:p>
    <w:p w14:paraId="76E4EF3C" w14:textId="13040F70" w:rsidR="00B60939" w:rsidRDefault="00B50DB8" w:rsidP="004E18E9">
      <w:pPr>
        <w:pStyle w:val="COMH1-numbered"/>
      </w:pPr>
      <w:bookmarkStart w:id="8" w:name="_Toc176618562"/>
      <w:r w:rsidRPr="0076762E">
        <w:lastRenderedPageBreak/>
        <w:t>Requested listing</w:t>
      </w:r>
      <w:bookmarkEnd w:id="8"/>
    </w:p>
    <w:p w14:paraId="477E7078" w14:textId="6539E210" w:rsidR="00272582" w:rsidRPr="00D32321" w:rsidRDefault="00272582" w:rsidP="00272582">
      <w:pPr>
        <w:pStyle w:val="COMexecsummnumbered"/>
        <w:rPr>
          <w:rFonts w:cstheme="minorHAnsi"/>
          <w:iCs/>
        </w:rPr>
      </w:pPr>
      <w:r w:rsidRPr="00F91542">
        <w:rPr>
          <w:rFonts w:cstheme="minorHAnsi"/>
          <w:iCs/>
        </w:rPr>
        <w:t>Suggestions and additions proposed by the Secretariat are added in italics and suggested deletions are crossed out with strikethrough</w:t>
      </w:r>
      <w:r w:rsidR="009A280E">
        <w:rPr>
          <w:rFonts w:cstheme="minorHAnsi"/>
          <w:iCs/>
        </w:rPr>
        <w:t xml:space="preserve"> in the restriction proposed by the submission (Option 1)</w:t>
      </w:r>
      <w:r w:rsidRPr="00F91542">
        <w:rPr>
          <w:rFonts w:cstheme="minorHAnsi"/>
          <w:iCs/>
        </w:rPr>
        <w:t>.</w:t>
      </w:r>
      <w:r w:rsidR="009A280E">
        <w:rPr>
          <w:rFonts w:cstheme="minorHAnsi"/>
          <w:iCs/>
        </w:rPr>
        <w:t xml:space="preserve"> </w:t>
      </w:r>
      <w:r w:rsidR="00D32321">
        <w:rPr>
          <w:rFonts w:cstheme="minorHAnsi"/>
          <w:iCs/>
        </w:rPr>
        <w:t>T</w:t>
      </w:r>
      <w:r w:rsidR="009A280E">
        <w:rPr>
          <w:rFonts w:cstheme="minorHAnsi"/>
          <w:iCs/>
        </w:rPr>
        <w:t xml:space="preserve">he Secretariat </w:t>
      </w:r>
      <w:r w:rsidR="00D32321">
        <w:rPr>
          <w:rFonts w:cstheme="minorHAnsi"/>
          <w:iCs/>
        </w:rPr>
        <w:t xml:space="preserve">also </w:t>
      </w:r>
      <w:r w:rsidR="009A280E">
        <w:rPr>
          <w:rFonts w:cstheme="minorHAnsi"/>
          <w:iCs/>
        </w:rPr>
        <w:t xml:space="preserve">provided </w:t>
      </w:r>
      <w:r w:rsidR="00D32321">
        <w:rPr>
          <w:rFonts w:cstheme="minorHAnsi"/>
          <w:iCs/>
        </w:rPr>
        <w:t xml:space="preserve">additional restrictions </w:t>
      </w:r>
      <w:r w:rsidR="00D32321" w:rsidRPr="00D32321">
        <w:rPr>
          <w:rFonts w:cstheme="minorHAnsi"/>
          <w:iCs/>
        </w:rPr>
        <w:t>combining the 2 different patient populations: BMI ≥35 kg/m2 and ATSI</w:t>
      </w:r>
      <w:r w:rsidR="00D32321">
        <w:rPr>
          <w:rFonts w:cstheme="minorHAnsi"/>
          <w:iCs/>
        </w:rPr>
        <w:t xml:space="preserve"> (Option 2). </w:t>
      </w:r>
    </w:p>
    <w:p w14:paraId="079ABC13" w14:textId="3E248B4F" w:rsidR="009A280E" w:rsidRPr="009A280E" w:rsidRDefault="009A280E" w:rsidP="009A280E">
      <w:pPr>
        <w:keepNext/>
        <w:jc w:val="left"/>
        <w:rPr>
          <w:rFonts w:eastAsia="Calibri" w:cs="Calibri"/>
          <w:b/>
          <w:bCs/>
          <w:snapToGrid w:val="0"/>
          <w:lang w:eastAsia="en-US"/>
        </w:rPr>
      </w:pPr>
      <w:r w:rsidRPr="009A280E">
        <w:rPr>
          <w:rFonts w:eastAsia="Calibri" w:cs="Calibri"/>
          <w:b/>
          <w:bCs/>
          <w:snapToGrid w:val="0"/>
          <w:lang w:eastAsia="en-US"/>
        </w:rPr>
        <w:t>Option 1 as proposed by the submission (separate listings for the 2 different patient populations: BMI ≥35 kg/m2 and ATSI)</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0"/>
        <w:gridCol w:w="2266"/>
        <w:gridCol w:w="709"/>
        <w:gridCol w:w="1559"/>
        <w:gridCol w:w="709"/>
        <w:gridCol w:w="709"/>
        <w:gridCol w:w="708"/>
        <w:gridCol w:w="1085"/>
      </w:tblGrid>
      <w:tr w:rsidR="00710923" w:rsidRPr="008F4886" w14:paraId="5171110C" w14:textId="77777777" w:rsidTr="00B36CD5">
        <w:trPr>
          <w:cantSplit/>
          <w:trHeight w:val="20"/>
        </w:trPr>
        <w:tc>
          <w:tcPr>
            <w:tcW w:w="3544" w:type="dxa"/>
            <w:gridSpan w:val="3"/>
            <w:vAlign w:val="center"/>
          </w:tcPr>
          <w:p w14:paraId="6BF57F4A"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44211C57"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715467BE"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45490328" w14:textId="38AEE196" w:rsidR="00710923" w:rsidRPr="008F4886" w:rsidRDefault="00C07C0C"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1D0AEF4C"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9" w:type="dxa"/>
            <w:vAlign w:val="center"/>
          </w:tcPr>
          <w:p w14:paraId="478B0150"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8" w:type="dxa"/>
            <w:vAlign w:val="center"/>
          </w:tcPr>
          <w:p w14:paraId="3ABE3793"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2E66D041"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1085" w:type="dxa"/>
            <w:vAlign w:val="center"/>
          </w:tcPr>
          <w:p w14:paraId="39501CE3" w14:textId="77777777" w:rsidR="00710923" w:rsidRPr="008F4886" w:rsidRDefault="00710923" w:rsidP="003A2C45">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331C8A" w:rsidRPr="008F4886" w14:paraId="37247447" w14:textId="77777777" w:rsidTr="00B36CD5">
        <w:trPr>
          <w:cantSplit/>
          <w:trHeight w:val="20"/>
        </w:trPr>
        <w:tc>
          <w:tcPr>
            <w:tcW w:w="9023" w:type="dxa"/>
            <w:gridSpan w:val="9"/>
            <w:vAlign w:val="center"/>
          </w:tcPr>
          <w:p w14:paraId="79A7D85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710923" w:rsidRPr="008F4886" w14:paraId="30A34FDB" w14:textId="77777777" w:rsidTr="00B36CD5">
        <w:trPr>
          <w:cantSplit/>
          <w:trHeight w:val="20"/>
        </w:trPr>
        <w:tc>
          <w:tcPr>
            <w:tcW w:w="3544" w:type="dxa"/>
            <w:gridSpan w:val="3"/>
          </w:tcPr>
          <w:p w14:paraId="0C8D9173" w14:textId="2E8F3F33"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295F9FA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E9D4B67" w14:textId="246A201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549"/>
                <w14:textFill>
                  <w14:solidFill>
                    <w14:srgbClr w14:val="000000">
                      <w14:alpha w14:val="100000"/>
                    </w14:srgbClr>
                  </w14:solidFill>
                </w14:textFill>
              </w:rPr>
              <w:t>|||</w:t>
            </w:r>
            <w:r w:rsidR="00F111EB" w:rsidRPr="00F111EB">
              <w:rPr>
                <w:color w:val="000000"/>
                <w:spacing w:val="2"/>
                <w:shd w:val="solid" w:color="000000" w:fill="000000"/>
                <w:fitText w:val="325" w:id="-761015549"/>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E11B176" w14:textId="3B3BE082"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548"/>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548"/>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7D1B6A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35A47F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987BA4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i/>
                <w:iCs/>
                <w:kern w:val="2"/>
                <w:sz w:val="20"/>
                <w:szCs w:val="20"/>
                <w:lang w:eastAsia="en-US"/>
                <w14:ligatures w14:val="standardContextual"/>
              </w:rPr>
              <w:t xml:space="preserve"> 1</w:t>
            </w:r>
          </w:p>
        </w:tc>
        <w:tc>
          <w:tcPr>
            <w:tcW w:w="1085" w:type="dxa"/>
            <w:vMerge w:val="restart"/>
            <w:vAlign w:val="center"/>
          </w:tcPr>
          <w:p w14:paraId="67011C3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710923" w:rsidRPr="008F4886" w14:paraId="63F82E02" w14:textId="77777777" w:rsidTr="00B36CD5">
        <w:trPr>
          <w:cantSplit/>
          <w:trHeight w:val="20"/>
        </w:trPr>
        <w:tc>
          <w:tcPr>
            <w:tcW w:w="3544" w:type="dxa"/>
            <w:gridSpan w:val="3"/>
          </w:tcPr>
          <w:p w14:paraId="043B460D"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44D9A1D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D59F9C8" w14:textId="5A5DCBF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547"/>
                <w14:textFill>
                  <w14:solidFill>
                    <w14:srgbClr w14:val="000000">
                      <w14:alpha w14:val="100000"/>
                    </w14:srgbClr>
                  </w14:solidFill>
                </w14:textFill>
              </w:rPr>
              <w:t>|||</w:t>
            </w:r>
            <w:r w:rsidR="00F111EB" w:rsidRPr="00F111EB">
              <w:rPr>
                <w:color w:val="000000"/>
                <w:spacing w:val="2"/>
                <w:shd w:val="solid" w:color="000000" w:fill="000000"/>
                <w:fitText w:val="325" w:id="-76101554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70FB0AC1" w14:textId="167E340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54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54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9D88A7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345F1B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D55FF0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072650D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2ECB515" w14:textId="77777777" w:rsidTr="00B36CD5">
        <w:trPr>
          <w:cantSplit/>
          <w:trHeight w:val="20"/>
        </w:trPr>
        <w:tc>
          <w:tcPr>
            <w:tcW w:w="3544" w:type="dxa"/>
            <w:gridSpan w:val="3"/>
          </w:tcPr>
          <w:p w14:paraId="4309DDC4" w14:textId="11D8A1D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7C548A4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22D269C" w14:textId="00DA4CF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545"/>
                <w14:textFill>
                  <w14:solidFill>
                    <w14:srgbClr w14:val="000000">
                      <w14:alpha w14:val="100000"/>
                    </w14:srgbClr>
                  </w14:solidFill>
                </w14:textFill>
              </w:rPr>
              <w:t>|||</w:t>
            </w:r>
            <w:r w:rsidR="00F111EB" w:rsidRPr="00F111EB">
              <w:rPr>
                <w:color w:val="000000"/>
                <w:spacing w:val="2"/>
                <w:shd w:val="solid" w:color="000000" w:fill="000000"/>
                <w:fitText w:val="325" w:id="-761015545"/>
                <w14:textFill>
                  <w14:solidFill>
                    <w14:srgbClr w14:val="000000">
                      <w14:alpha w14:val="100000"/>
                    </w14:srgbClr>
                  </w14:solidFill>
                </w14:textFill>
              </w:rPr>
              <w:t>|</w:t>
            </w:r>
            <w:r w:rsidRPr="00C07C0C">
              <w:t xml:space="preserve"> published</w:t>
            </w:r>
          </w:p>
          <w:p w14:paraId="6C8D7647" w14:textId="6DBB8162" w:rsidR="00710923" w:rsidRPr="008F4886" w:rsidRDefault="00C07C0C" w:rsidP="003A2C45">
            <w:pPr>
              <w:pStyle w:val="COMTabletext"/>
              <w:rPr>
                <w:rFonts w:eastAsia="Calibri" w:cs="Times New Roman"/>
                <w:kern w:val="2"/>
                <w:szCs w:val="20"/>
                <w:lang w:eastAsia="en-US"/>
                <w14:ligatures w14:val="standardContextual"/>
              </w:rPr>
            </w:pPr>
            <w:r w:rsidRPr="00C07C0C">
              <w:t>$</w:t>
            </w:r>
            <w:r w:rsidR="00F111EB" w:rsidRPr="00F111EB">
              <w:rPr>
                <w:color w:val="000000"/>
                <w:spacing w:val="51"/>
                <w:shd w:val="solid" w:color="000000" w:fill="000000"/>
                <w:fitText w:val="325" w:id="-761015544"/>
                <w14:textFill>
                  <w14:solidFill>
                    <w14:srgbClr w14:val="000000">
                      <w14:alpha w14:val="100000"/>
                    </w14:srgbClr>
                  </w14:solidFill>
                </w14:textFill>
              </w:rPr>
              <w:t>|||</w:t>
            </w:r>
            <w:r w:rsidR="00F111EB" w:rsidRPr="00F111EB">
              <w:rPr>
                <w:color w:val="000000"/>
                <w:spacing w:val="2"/>
                <w:shd w:val="solid" w:color="000000" w:fill="000000"/>
                <w:fitText w:val="325" w:id="-761015544"/>
                <w14:textFill>
                  <w14:solidFill>
                    <w14:srgbClr w14:val="000000">
                      <w14:alpha w14:val="100000"/>
                    </w14:srgbClr>
                  </w14:solidFill>
                </w14:textFill>
              </w:rPr>
              <w:t>|</w:t>
            </w:r>
            <w:r w:rsidRPr="00C07C0C">
              <w:t xml:space="preserve"> effective</w:t>
            </w:r>
          </w:p>
        </w:tc>
        <w:tc>
          <w:tcPr>
            <w:tcW w:w="709" w:type="dxa"/>
            <w:vAlign w:val="center"/>
          </w:tcPr>
          <w:p w14:paraId="09FF65F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5F7D5C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FD00DDA" w14:textId="77777777" w:rsidR="00710923" w:rsidRPr="008F4886" w:rsidRDefault="00710923" w:rsidP="003A2C45">
            <w:pPr>
              <w:spacing w:line="259" w:lineRule="auto"/>
              <w:jc w:val="left"/>
              <w:rPr>
                <w:rFonts w:ascii="Arial Narrow" w:eastAsia="Calibri" w:hAnsi="Arial Narrow" w:cs="Times New Roman"/>
                <w:strike/>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5BB03BA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6C09F6C1" w14:textId="77777777" w:rsidTr="00B36CD5">
        <w:trPr>
          <w:cantSplit/>
          <w:trHeight w:val="20"/>
        </w:trPr>
        <w:tc>
          <w:tcPr>
            <w:tcW w:w="3544" w:type="dxa"/>
            <w:gridSpan w:val="3"/>
          </w:tcPr>
          <w:p w14:paraId="1DEBAA71"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mg/0.5 mL injection, 4 x 0.5 mL</w:t>
            </w:r>
            <w:r w:rsidRPr="009A280E">
              <w:rPr>
                <w:rFonts w:ascii="Times New Roman" w:eastAsia="Calibri" w:hAnsi="Times New Roman" w:cs="Times New Roman"/>
                <w:kern w:val="2"/>
                <w:lang w:eastAsia="en-US"/>
                <w14:ligatures w14:val="standardContextual"/>
              </w:rPr>
              <w:t xml:space="preserve"> </w:t>
            </w:r>
            <w:r w:rsidRPr="009A280E">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30C1477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EC781C4" w14:textId="179D788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96"/>
                <w14:textFill>
                  <w14:solidFill>
                    <w14:srgbClr w14:val="000000">
                      <w14:alpha w14:val="100000"/>
                    </w14:srgbClr>
                  </w14:solidFill>
                </w14:textFill>
              </w:rPr>
              <w:t>|||</w:t>
            </w:r>
            <w:r w:rsidR="00F111EB" w:rsidRPr="00F111EB">
              <w:rPr>
                <w:color w:val="000000"/>
                <w:spacing w:val="2"/>
                <w:shd w:val="solid" w:color="000000" w:fill="000000"/>
                <w:fitText w:val="325" w:id="-761015296"/>
                <w14:textFill>
                  <w14:solidFill>
                    <w14:srgbClr w14:val="000000">
                      <w14:alpha w14:val="100000"/>
                    </w14:srgbClr>
                  </w14:solidFill>
                </w14:textFill>
              </w:rPr>
              <w:t>|</w:t>
            </w:r>
            <w:r w:rsidRPr="00C07C0C">
              <w:t xml:space="preserve"> published</w:t>
            </w:r>
          </w:p>
          <w:p w14:paraId="74F67349" w14:textId="77D690BF"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9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9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DB1A73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1369A26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688420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1085" w:type="dxa"/>
            <w:vMerge/>
            <w:vAlign w:val="center"/>
          </w:tcPr>
          <w:p w14:paraId="445AD77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45244634" w14:textId="77777777" w:rsidTr="00B36CD5">
        <w:trPr>
          <w:cantSplit/>
          <w:trHeight w:val="20"/>
        </w:trPr>
        <w:tc>
          <w:tcPr>
            <w:tcW w:w="3544" w:type="dxa"/>
            <w:gridSpan w:val="3"/>
          </w:tcPr>
          <w:p w14:paraId="554C3F3A" w14:textId="52DE508D"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pen devices</w:t>
            </w:r>
          </w:p>
        </w:tc>
        <w:tc>
          <w:tcPr>
            <w:tcW w:w="709" w:type="dxa"/>
            <w:vAlign w:val="center"/>
          </w:tcPr>
          <w:p w14:paraId="0BACDAC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2283357" w14:textId="2C21D4D5"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94"/>
                <w14:textFill>
                  <w14:solidFill>
                    <w14:srgbClr w14:val="000000">
                      <w14:alpha w14:val="100000"/>
                    </w14:srgbClr>
                  </w14:solidFill>
                </w14:textFill>
              </w:rPr>
              <w:t>|||</w:t>
            </w:r>
            <w:r w:rsidR="00F111EB" w:rsidRPr="00F111EB">
              <w:rPr>
                <w:color w:val="000000"/>
                <w:spacing w:val="2"/>
                <w:szCs w:val="20"/>
                <w:shd w:val="solid" w:color="000000" w:fill="000000"/>
                <w:fitText w:val="325" w:id="-761015294"/>
                <w14:textFill>
                  <w14:solidFill>
                    <w14:srgbClr w14:val="000000">
                      <w14:alpha w14:val="100000"/>
                    </w14:srgbClr>
                  </w14:solidFill>
                </w14:textFill>
              </w:rPr>
              <w:t>|</w:t>
            </w:r>
            <w:r w:rsidRPr="0076762E">
              <w:rPr>
                <w:szCs w:val="20"/>
              </w:rPr>
              <w:t xml:space="preserve"> published</w:t>
            </w:r>
          </w:p>
          <w:p w14:paraId="69226A50" w14:textId="2C80D910"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8555B8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DA5031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E735F6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B20673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7D51139F" w14:textId="77777777" w:rsidTr="00B36CD5">
        <w:trPr>
          <w:cantSplit/>
          <w:trHeight w:val="20"/>
        </w:trPr>
        <w:tc>
          <w:tcPr>
            <w:tcW w:w="3544" w:type="dxa"/>
            <w:gridSpan w:val="3"/>
          </w:tcPr>
          <w:p w14:paraId="1BA60C97"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511D408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84FB310" w14:textId="73531B16"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92"/>
                <w14:textFill>
                  <w14:solidFill>
                    <w14:srgbClr w14:val="000000">
                      <w14:alpha w14:val="100000"/>
                    </w14:srgbClr>
                  </w14:solidFill>
                </w14:textFill>
              </w:rPr>
              <w:t>|||</w:t>
            </w:r>
            <w:r w:rsidR="00F111EB" w:rsidRPr="00F111EB">
              <w:rPr>
                <w:color w:val="000000"/>
                <w:spacing w:val="2"/>
                <w:szCs w:val="20"/>
                <w:shd w:val="solid" w:color="000000" w:fill="000000"/>
                <w:fitText w:val="325" w:id="-761015292"/>
                <w14:textFill>
                  <w14:solidFill>
                    <w14:srgbClr w14:val="000000">
                      <w14:alpha w14:val="100000"/>
                    </w14:srgbClr>
                  </w14:solidFill>
                </w14:textFill>
              </w:rPr>
              <w:t>|</w:t>
            </w:r>
            <w:r w:rsidRPr="0076762E">
              <w:rPr>
                <w:szCs w:val="20"/>
              </w:rPr>
              <w:t xml:space="preserve"> published</w:t>
            </w:r>
          </w:p>
          <w:p w14:paraId="4C3DAC36" w14:textId="64D6EFA1"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50465A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4BD00A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1CDDA4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713AF18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331C8A" w:rsidRPr="008F4886" w14:paraId="494BD293" w14:textId="77777777" w:rsidTr="00B36CD5">
        <w:trPr>
          <w:cantSplit/>
          <w:trHeight w:val="20"/>
        </w:trPr>
        <w:tc>
          <w:tcPr>
            <w:tcW w:w="7938" w:type="dxa"/>
            <w:gridSpan w:val="8"/>
          </w:tcPr>
          <w:p w14:paraId="2A6AA889" w14:textId="77777777" w:rsidR="00331C8A" w:rsidRPr="009A280E"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c>
          <w:tcPr>
            <w:tcW w:w="1085" w:type="dxa"/>
            <w:vMerge/>
            <w:vAlign w:val="center"/>
          </w:tcPr>
          <w:p w14:paraId="58D0474A" w14:textId="77777777" w:rsidR="00331C8A" w:rsidRPr="008F4886"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34836A5D" w14:textId="77777777" w:rsidTr="00B36CD5">
        <w:trPr>
          <w:cantSplit/>
          <w:trHeight w:val="20"/>
        </w:trPr>
        <w:tc>
          <w:tcPr>
            <w:tcW w:w="3544" w:type="dxa"/>
            <w:gridSpan w:val="3"/>
          </w:tcPr>
          <w:p w14:paraId="7CDA326E" w14:textId="04BBDEBD"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vials</w:t>
            </w:r>
          </w:p>
        </w:tc>
        <w:tc>
          <w:tcPr>
            <w:tcW w:w="709" w:type="dxa"/>
            <w:vAlign w:val="center"/>
          </w:tcPr>
          <w:p w14:paraId="4F64E04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46701F2" w14:textId="73A00449"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0"/>
                <w14:textFill>
                  <w14:solidFill>
                    <w14:srgbClr w14:val="000000">
                      <w14:alpha w14:val="100000"/>
                    </w14:srgbClr>
                  </w14:solidFill>
                </w14:textFill>
              </w:rPr>
              <w:t>|||</w:t>
            </w:r>
            <w:r w:rsidR="00F111EB" w:rsidRPr="00F111EB">
              <w:rPr>
                <w:color w:val="000000"/>
                <w:spacing w:val="2"/>
                <w:shd w:val="solid" w:color="000000" w:fill="000000"/>
                <w:fitText w:val="325" w:id="-76101529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9CDAEC7" w14:textId="218A4D5F"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8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8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2B6FC35"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0F6570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575258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7A2D3CD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425E3C5" w14:textId="77777777" w:rsidTr="00B36CD5">
        <w:trPr>
          <w:cantSplit/>
          <w:trHeight w:val="20"/>
        </w:trPr>
        <w:tc>
          <w:tcPr>
            <w:tcW w:w="3544" w:type="dxa"/>
            <w:gridSpan w:val="3"/>
          </w:tcPr>
          <w:p w14:paraId="3094482E"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mg/0.5 mL injection, 4 x 0.5 mL single-use vials</w:t>
            </w:r>
          </w:p>
        </w:tc>
        <w:tc>
          <w:tcPr>
            <w:tcW w:w="709" w:type="dxa"/>
            <w:vAlign w:val="center"/>
          </w:tcPr>
          <w:p w14:paraId="0E28BA5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57A41ED" w14:textId="2C688CA1"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88"/>
                <w14:textFill>
                  <w14:solidFill>
                    <w14:srgbClr w14:val="000000">
                      <w14:alpha w14:val="100000"/>
                    </w14:srgbClr>
                  </w14:solidFill>
                </w14:textFill>
              </w:rPr>
              <w:t>|||</w:t>
            </w:r>
            <w:r w:rsidR="00F111EB" w:rsidRPr="00F111EB">
              <w:rPr>
                <w:color w:val="000000"/>
                <w:spacing w:val="2"/>
                <w:shd w:val="solid" w:color="000000" w:fill="000000"/>
                <w:fitText w:val="325" w:id="-76101528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3A1D0BF" w14:textId="53BEBF4B"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8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8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1D2068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1514C65"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6ECB95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428F726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201D6750" w14:textId="77777777" w:rsidTr="00B36CD5">
        <w:trPr>
          <w:cantSplit/>
          <w:trHeight w:val="20"/>
        </w:trPr>
        <w:tc>
          <w:tcPr>
            <w:tcW w:w="3544" w:type="dxa"/>
            <w:gridSpan w:val="3"/>
          </w:tcPr>
          <w:p w14:paraId="0C9FAF12" w14:textId="323D6C0E"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 xml:space="preserve">mL single-use vials </w:t>
            </w:r>
          </w:p>
        </w:tc>
        <w:tc>
          <w:tcPr>
            <w:tcW w:w="709" w:type="dxa"/>
            <w:vAlign w:val="center"/>
          </w:tcPr>
          <w:p w14:paraId="1156C06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309D05C" w14:textId="6202CF24"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6"/>
                <w14:textFill>
                  <w14:solidFill>
                    <w14:srgbClr w14:val="000000">
                      <w14:alpha w14:val="100000"/>
                    </w14:srgbClr>
                  </w14:solidFill>
                </w14:textFill>
              </w:rPr>
              <w:t>|||</w:t>
            </w:r>
            <w:r w:rsidR="00F111EB" w:rsidRPr="00F111EB">
              <w:rPr>
                <w:color w:val="000000"/>
                <w:spacing w:val="2"/>
                <w:shd w:val="solid" w:color="000000" w:fill="000000"/>
                <w:fitText w:val="325" w:id="-761015286"/>
                <w14:textFill>
                  <w14:solidFill>
                    <w14:srgbClr w14:val="000000">
                      <w14:alpha w14:val="100000"/>
                    </w14:srgbClr>
                  </w14:solidFill>
                </w14:textFill>
              </w:rPr>
              <w:t>|</w:t>
            </w:r>
            <w:r w:rsidRPr="00C07C0C">
              <w:t xml:space="preserve"> published</w:t>
            </w:r>
          </w:p>
          <w:p w14:paraId="650C0959" w14:textId="0D73C75A" w:rsidR="00710923" w:rsidRPr="00C07C0C" w:rsidRDefault="00C07C0C" w:rsidP="003A2C45">
            <w:pPr>
              <w:spacing w:line="259" w:lineRule="auto"/>
              <w:jc w:val="left"/>
              <w:rPr>
                <w:rFonts w:ascii="Arial Narrow" w:eastAsiaTheme="majorEastAsia" w:hAnsi="Arial Narrow" w:cstheme="majorBidi"/>
                <w:bCs/>
                <w:sz w:val="20"/>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9CF83EF"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905312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73C84E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7C29D68"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FEF1A37" w14:textId="77777777" w:rsidTr="00B36CD5">
        <w:trPr>
          <w:cantSplit/>
          <w:trHeight w:val="20"/>
        </w:trPr>
        <w:tc>
          <w:tcPr>
            <w:tcW w:w="3544" w:type="dxa"/>
            <w:gridSpan w:val="3"/>
          </w:tcPr>
          <w:p w14:paraId="23113B4F"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mg/0.5 mL injection, 4 x 0.5 mL single-use vials</w:t>
            </w:r>
          </w:p>
        </w:tc>
        <w:tc>
          <w:tcPr>
            <w:tcW w:w="709" w:type="dxa"/>
            <w:vAlign w:val="center"/>
          </w:tcPr>
          <w:p w14:paraId="7077288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8DE6726" w14:textId="50BC8EF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4"/>
                <w14:textFill>
                  <w14:solidFill>
                    <w14:srgbClr w14:val="000000">
                      <w14:alpha w14:val="100000"/>
                    </w14:srgbClr>
                  </w14:solidFill>
                </w14:textFill>
              </w:rPr>
              <w:t>|||</w:t>
            </w:r>
            <w:r w:rsidR="00F111EB" w:rsidRPr="00F111EB">
              <w:rPr>
                <w:color w:val="000000"/>
                <w:spacing w:val="2"/>
                <w:shd w:val="solid" w:color="000000" w:fill="000000"/>
                <w:fitText w:val="325" w:id="-761015284"/>
                <w14:textFill>
                  <w14:solidFill>
                    <w14:srgbClr w14:val="000000">
                      <w14:alpha w14:val="100000"/>
                    </w14:srgbClr>
                  </w14:solidFill>
                </w14:textFill>
              </w:rPr>
              <w:t>|</w:t>
            </w:r>
            <w:r w:rsidRPr="00C07C0C">
              <w:t xml:space="preserve"> published</w:t>
            </w:r>
          </w:p>
          <w:p w14:paraId="671D17F8" w14:textId="061CE1FE" w:rsidR="00710923" w:rsidRPr="00C07C0C" w:rsidRDefault="00C07C0C" w:rsidP="003A2C45">
            <w:pPr>
              <w:spacing w:line="259" w:lineRule="auto"/>
              <w:jc w:val="left"/>
              <w:rPr>
                <w:rFonts w:ascii="Arial Narrow" w:eastAsiaTheme="majorEastAsia" w:hAnsi="Arial Narrow" w:cstheme="majorBidi"/>
                <w:bCs/>
                <w:sz w:val="20"/>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22D6FDD"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4296B4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440504D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0F969C19"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6FEEA298" w14:textId="77777777" w:rsidTr="00B36CD5">
        <w:trPr>
          <w:cantSplit/>
          <w:trHeight w:val="20"/>
        </w:trPr>
        <w:tc>
          <w:tcPr>
            <w:tcW w:w="3544" w:type="dxa"/>
            <w:gridSpan w:val="3"/>
          </w:tcPr>
          <w:p w14:paraId="32CD6D20" w14:textId="5BA104FE"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mg/0.5 mL injection, 4 x 0.5</w:t>
            </w:r>
            <w:r w:rsidR="00D36444">
              <w:rPr>
                <w:rFonts w:ascii="Arial Narrow" w:eastAsia="Calibri" w:hAnsi="Arial Narrow" w:cs="Times New Roman"/>
                <w:kern w:val="2"/>
                <w:sz w:val="20"/>
                <w:szCs w:val="20"/>
                <w:lang w:eastAsia="en-US"/>
                <w14:ligatures w14:val="standardContextual"/>
              </w:rPr>
              <w:t> </w:t>
            </w:r>
            <w:r w:rsidRPr="009A280E">
              <w:rPr>
                <w:rFonts w:ascii="Arial Narrow" w:eastAsia="Calibri" w:hAnsi="Arial Narrow" w:cs="Times New Roman"/>
                <w:kern w:val="2"/>
                <w:sz w:val="20"/>
                <w:szCs w:val="20"/>
                <w:lang w:eastAsia="en-US"/>
                <w14:ligatures w14:val="standardContextual"/>
              </w:rPr>
              <w:t>mL single-use vials</w:t>
            </w:r>
          </w:p>
        </w:tc>
        <w:tc>
          <w:tcPr>
            <w:tcW w:w="709" w:type="dxa"/>
            <w:vAlign w:val="center"/>
          </w:tcPr>
          <w:p w14:paraId="1C235F46"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C5CBFF5" w14:textId="6698A0B5"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2"/>
                <w14:textFill>
                  <w14:solidFill>
                    <w14:srgbClr w14:val="000000">
                      <w14:alpha w14:val="100000"/>
                    </w14:srgbClr>
                  </w14:solidFill>
                </w14:textFill>
              </w:rPr>
              <w:t>|||</w:t>
            </w:r>
            <w:r w:rsidR="00F111EB" w:rsidRPr="00F111EB">
              <w:rPr>
                <w:color w:val="000000"/>
                <w:spacing w:val="2"/>
                <w:szCs w:val="20"/>
                <w:shd w:val="solid" w:color="000000" w:fill="000000"/>
                <w:fitText w:val="325" w:id="-761015282"/>
                <w14:textFill>
                  <w14:solidFill>
                    <w14:srgbClr w14:val="000000">
                      <w14:alpha w14:val="100000"/>
                    </w14:srgbClr>
                  </w14:solidFill>
                </w14:textFill>
              </w:rPr>
              <w:t>|</w:t>
            </w:r>
            <w:r w:rsidRPr="0076762E">
              <w:rPr>
                <w:szCs w:val="20"/>
              </w:rPr>
              <w:t xml:space="preserve"> published</w:t>
            </w:r>
          </w:p>
          <w:p w14:paraId="0DE0207F" w14:textId="2F2C8063"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A4B60A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C6FF0A"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5331AD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0498AB4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04459D1A" w14:textId="77777777" w:rsidTr="00B36CD5">
        <w:trPr>
          <w:cantSplit/>
          <w:trHeight w:val="20"/>
        </w:trPr>
        <w:tc>
          <w:tcPr>
            <w:tcW w:w="3544" w:type="dxa"/>
            <w:gridSpan w:val="3"/>
          </w:tcPr>
          <w:p w14:paraId="30E09416"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15 mg/0.5 mL injection, 4 x 0.5 mL single-use vials</w:t>
            </w:r>
          </w:p>
        </w:tc>
        <w:tc>
          <w:tcPr>
            <w:tcW w:w="709" w:type="dxa"/>
            <w:vAlign w:val="center"/>
          </w:tcPr>
          <w:p w14:paraId="744053A4"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E7052B3" w14:textId="2666FA66"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0"/>
                <w14:textFill>
                  <w14:solidFill>
                    <w14:srgbClr w14:val="000000">
                      <w14:alpha w14:val="100000"/>
                    </w14:srgbClr>
                  </w14:solidFill>
                </w14:textFill>
              </w:rPr>
              <w:t>|||</w:t>
            </w:r>
            <w:r w:rsidR="00F111EB" w:rsidRPr="00F111EB">
              <w:rPr>
                <w:color w:val="000000"/>
                <w:spacing w:val="2"/>
                <w:szCs w:val="20"/>
                <w:shd w:val="solid" w:color="000000" w:fill="000000"/>
                <w:fitText w:val="325" w:id="-761015280"/>
                <w14:textFill>
                  <w14:solidFill>
                    <w14:srgbClr w14:val="000000">
                      <w14:alpha w14:val="100000"/>
                    </w14:srgbClr>
                  </w14:solidFill>
                </w14:textFill>
              </w:rPr>
              <w:t>|</w:t>
            </w:r>
            <w:r w:rsidRPr="0076762E">
              <w:rPr>
                <w:szCs w:val="20"/>
              </w:rPr>
              <w:t xml:space="preserve"> published</w:t>
            </w:r>
          </w:p>
          <w:p w14:paraId="329DD501" w14:textId="6DBA85F2"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9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9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C014600"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E7688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3A11C77"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66CDE7E1"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331C8A" w:rsidRPr="008F4886" w14:paraId="6A384290" w14:textId="77777777" w:rsidTr="00B36CD5">
        <w:trPr>
          <w:cantSplit/>
          <w:trHeight w:val="20"/>
        </w:trPr>
        <w:tc>
          <w:tcPr>
            <w:tcW w:w="7938" w:type="dxa"/>
            <w:gridSpan w:val="8"/>
          </w:tcPr>
          <w:p w14:paraId="7DA8934E" w14:textId="77777777" w:rsidR="00331C8A" w:rsidRPr="009A280E"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c>
          <w:tcPr>
            <w:tcW w:w="1085" w:type="dxa"/>
            <w:vMerge/>
            <w:vAlign w:val="center"/>
          </w:tcPr>
          <w:p w14:paraId="472825A0" w14:textId="77777777" w:rsidR="00331C8A" w:rsidRPr="008F4886" w:rsidRDefault="00331C8A" w:rsidP="003A2C45">
            <w:pPr>
              <w:spacing w:line="259" w:lineRule="auto"/>
              <w:jc w:val="left"/>
              <w:rPr>
                <w:rFonts w:ascii="Arial Narrow" w:eastAsia="Calibri" w:hAnsi="Arial Narrow" w:cs="Times New Roman"/>
                <w:kern w:val="2"/>
                <w:sz w:val="20"/>
                <w:szCs w:val="20"/>
                <w:lang w:eastAsia="en-US"/>
                <w14:ligatures w14:val="standardContextual"/>
              </w:rPr>
            </w:pPr>
          </w:p>
        </w:tc>
      </w:tr>
      <w:tr w:rsidR="00710923" w:rsidRPr="008F4886" w14:paraId="16607122" w14:textId="77777777" w:rsidTr="00B36CD5">
        <w:trPr>
          <w:cantSplit/>
          <w:trHeight w:val="20"/>
        </w:trPr>
        <w:tc>
          <w:tcPr>
            <w:tcW w:w="3544" w:type="dxa"/>
            <w:gridSpan w:val="3"/>
          </w:tcPr>
          <w:p w14:paraId="0B5E8D8B" w14:textId="77777777" w:rsidR="00710923" w:rsidRPr="009A280E" w:rsidRDefault="00710923" w:rsidP="003A2C45">
            <w:pPr>
              <w:spacing w:line="259" w:lineRule="auto"/>
              <w:jc w:val="left"/>
              <w:rPr>
                <w:rFonts w:ascii="Arial Narrow" w:eastAsia="Calibri" w:hAnsi="Arial Narrow"/>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419B7AE3"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57C9287" w14:textId="0225BF48"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5"/>
                <w14:textFill>
                  <w14:solidFill>
                    <w14:srgbClr w14:val="000000">
                      <w14:alpha w14:val="100000"/>
                    </w14:srgbClr>
                  </w14:solidFill>
                </w14:textFill>
              </w:rPr>
              <w:t>|||</w:t>
            </w:r>
            <w:r w:rsidR="00F111EB" w:rsidRPr="00F111EB">
              <w:rPr>
                <w:color w:val="000000"/>
                <w:spacing w:val="2"/>
                <w:shd w:val="solid" w:color="000000" w:fill="000000"/>
                <w:fitText w:val="325" w:id="-76101529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568D14E" w14:textId="08C71C7A"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9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9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13285EF"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A49118A"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032D4A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09156F6D"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64F6675B" w14:textId="77777777" w:rsidTr="00B36CD5">
        <w:trPr>
          <w:cantSplit/>
          <w:trHeight w:val="20"/>
        </w:trPr>
        <w:tc>
          <w:tcPr>
            <w:tcW w:w="3544" w:type="dxa"/>
            <w:gridSpan w:val="3"/>
          </w:tcPr>
          <w:p w14:paraId="0CE0D23D"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5 mg/0.6 mL injection, 2.4 mL</w:t>
            </w:r>
            <w:r w:rsidRPr="009A280E">
              <w:rPr>
                <w:rFonts w:eastAsia="Calibri" w:cs="Calibri"/>
                <w:sz w:val="22"/>
                <w:szCs w:val="22"/>
                <w:lang w:eastAsia="en-US"/>
              </w:rPr>
              <w:t xml:space="preserve"> </w:t>
            </w:r>
            <w:r w:rsidRPr="009A280E">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07B602D4"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1BB4D2E" w14:textId="1BB8F1CB" w:rsidR="00C07C0C" w:rsidRPr="00C07C0C" w:rsidRDefault="00C07C0C" w:rsidP="003A2C45">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5" w:id="-761015293"/>
                <w14:textFill>
                  <w14:solidFill>
                    <w14:srgbClr w14:val="000000">
                      <w14:alpha w14:val="100000"/>
                    </w14:srgbClr>
                  </w14:solidFill>
                </w14:textFill>
              </w:rPr>
              <w:t>|||</w:t>
            </w:r>
            <w:r w:rsidR="00F111EB" w:rsidRPr="00F111EB">
              <w:rPr>
                <w:color w:val="000000"/>
                <w:spacing w:val="2"/>
                <w:shd w:val="solid" w:color="000000" w:fill="000000"/>
                <w:fitText w:val="325" w:id="-76101529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7EE1A12" w14:textId="7A74878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5" w:id="-76101529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2"/>
                <w:sz w:val="20"/>
                <w:szCs w:val="20"/>
                <w:shd w:val="solid" w:color="000000" w:fill="000000"/>
                <w:fitText w:val="325" w:id="-76101529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46AE8F2"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47785E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858974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39B16181"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606F0209" w14:textId="77777777" w:rsidTr="00B36CD5">
        <w:trPr>
          <w:cantSplit/>
          <w:trHeight w:val="20"/>
        </w:trPr>
        <w:tc>
          <w:tcPr>
            <w:tcW w:w="3544" w:type="dxa"/>
            <w:gridSpan w:val="3"/>
          </w:tcPr>
          <w:p w14:paraId="5BE7F190"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7.5 mg/0.6 mL injection, 2.4 mL</w:t>
            </w:r>
            <w:r w:rsidRPr="009A280E">
              <w:rPr>
                <w:rFonts w:ascii="Times New Roman" w:eastAsia="Calibri" w:hAnsi="Times New Roman" w:cs="Times New Roman"/>
                <w:kern w:val="2"/>
                <w:lang w:eastAsia="en-US"/>
                <w14:ligatures w14:val="standardContextual"/>
              </w:rPr>
              <w:t xml:space="preserve"> </w:t>
            </w:r>
            <w:r w:rsidRPr="009A280E">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F14030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766DB02" w14:textId="225839BA"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91"/>
                <w14:textFill>
                  <w14:solidFill>
                    <w14:srgbClr w14:val="000000">
                      <w14:alpha w14:val="100000"/>
                    </w14:srgbClr>
                  </w14:solidFill>
                </w14:textFill>
              </w:rPr>
              <w:t>|||</w:t>
            </w:r>
            <w:r w:rsidR="00F111EB" w:rsidRPr="00F111EB">
              <w:rPr>
                <w:color w:val="000000"/>
                <w:spacing w:val="2"/>
                <w:shd w:val="solid" w:color="000000" w:fill="000000"/>
                <w:fitText w:val="325" w:id="-761015291"/>
                <w14:textFill>
                  <w14:solidFill>
                    <w14:srgbClr w14:val="000000">
                      <w14:alpha w14:val="100000"/>
                    </w14:srgbClr>
                  </w14:solidFill>
                </w14:textFill>
              </w:rPr>
              <w:t>|</w:t>
            </w:r>
            <w:r w:rsidRPr="00C07C0C">
              <w:t xml:space="preserve"> published</w:t>
            </w:r>
          </w:p>
          <w:p w14:paraId="6C2B038B" w14:textId="3504316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9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9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933CA5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2E6DD6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DC871D0"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1DC317A6"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4576150D" w14:textId="77777777" w:rsidTr="00B36CD5">
        <w:trPr>
          <w:cantSplit/>
          <w:trHeight w:val="20"/>
        </w:trPr>
        <w:tc>
          <w:tcPr>
            <w:tcW w:w="3544" w:type="dxa"/>
            <w:gridSpan w:val="3"/>
          </w:tcPr>
          <w:p w14:paraId="1DADFF18" w14:textId="77777777" w:rsidR="00710923" w:rsidRPr="009A280E" w:rsidRDefault="00710923" w:rsidP="003A2C45">
            <w:pPr>
              <w:spacing w:line="259" w:lineRule="auto"/>
              <w:jc w:val="left"/>
              <w:rPr>
                <w:rFonts w:ascii="Arial Narrow" w:eastAsia="Calibri" w:hAnsi="Arial Narrow"/>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2525323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2F93BA6" w14:textId="0EB3B772" w:rsidR="00C07C0C" w:rsidRPr="00C07C0C" w:rsidRDefault="00C07C0C" w:rsidP="003A2C45">
            <w:pPr>
              <w:pStyle w:val="COMTabletext"/>
              <w:jc w:val="center"/>
            </w:pPr>
            <w:r w:rsidRPr="00C07C0C">
              <w:t>$</w:t>
            </w:r>
            <w:r w:rsidR="00F111EB" w:rsidRPr="00F111EB">
              <w:rPr>
                <w:color w:val="000000"/>
                <w:spacing w:val="51"/>
                <w:shd w:val="solid" w:color="000000" w:fill="000000"/>
                <w:fitText w:val="325" w:id="-761015289"/>
                <w14:textFill>
                  <w14:solidFill>
                    <w14:srgbClr w14:val="000000">
                      <w14:alpha w14:val="100000"/>
                    </w14:srgbClr>
                  </w14:solidFill>
                </w14:textFill>
              </w:rPr>
              <w:t>|||</w:t>
            </w:r>
            <w:r w:rsidR="00F111EB" w:rsidRPr="00F111EB">
              <w:rPr>
                <w:color w:val="000000"/>
                <w:spacing w:val="2"/>
                <w:shd w:val="solid" w:color="000000" w:fill="000000"/>
                <w:fitText w:val="325" w:id="-761015289"/>
                <w14:textFill>
                  <w14:solidFill>
                    <w14:srgbClr w14:val="000000">
                      <w14:alpha w14:val="100000"/>
                    </w14:srgbClr>
                  </w14:solidFill>
                </w14:textFill>
              </w:rPr>
              <w:t>|</w:t>
            </w:r>
            <w:r w:rsidRPr="00C07C0C">
              <w:t xml:space="preserve"> published</w:t>
            </w:r>
          </w:p>
          <w:p w14:paraId="371FFDCE" w14:textId="6ACC01A3"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5" w:id="-76101528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hd w:val="solid" w:color="000000" w:fill="000000"/>
                <w:fitText w:val="325" w:id="-76101528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158A99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16FEDD0"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E030F1D"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3667C179"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25A8606C" w14:textId="77777777" w:rsidTr="00B36CD5">
        <w:trPr>
          <w:cantSplit/>
          <w:trHeight w:val="20"/>
        </w:trPr>
        <w:tc>
          <w:tcPr>
            <w:tcW w:w="3544" w:type="dxa"/>
            <w:gridSpan w:val="3"/>
          </w:tcPr>
          <w:p w14:paraId="5E12623F"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3F0C66AE"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2D8EF56" w14:textId="1C2B7D3E"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7"/>
                <w14:textFill>
                  <w14:solidFill>
                    <w14:srgbClr w14:val="000000">
                      <w14:alpha w14:val="100000"/>
                    </w14:srgbClr>
                  </w14:solidFill>
                </w14:textFill>
              </w:rPr>
              <w:t>|||</w:t>
            </w:r>
            <w:r w:rsidR="00F111EB" w:rsidRPr="00F111EB">
              <w:rPr>
                <w:color w:val="000000"/>
                <w:spacing w:val="2"/>
                <w:szCs w:val="20"/>
                <w:shd w:val="solid" w:color="000000" w:fill="000000"/>
                <w:fitText w:val="325" w:id="-761015287"/>
                <w14:textFill>
                  <w14:solidFill>
                    <w14:srgbClr w14:val="000000">
                      <w14:alpha w14:val="100000"/>
                    </w14:srgbClr>
                  </w14:solidFill>
                </w14:textFill>
              </w:rPr>
              <w:t>|</w:t>
            </w:r>
            <w:r w:rsidRPr="0076762E">
              <w:rPr>
                <w:szCs w:val="20"/>
              </w:rPr>
              <w:t xml:space="preserve"> published</w:t>
            </w:r>
          </w:p>
          <w:p w14:paraId="024FF284" w14:textId="64D85E7A"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5" w:id="-76101528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2"/>
                <w:sz w:val="20"/>
                <w:szCs w:val="20"/>
                <w:shd w:val="solid" w:color="000000" w:fill="000000"/>
                <w:fitText w:val="325" w:id="-76101528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0176D7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DCE90CC"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895BF8B"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1085" w:type="dxa"/>
            <w:vMerge/>
            <w:vAlign w:val="center"/>
          </w:tcPr>
          <w:p w14:paraId="53E224BE"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710923" w:rsidRPr="008F4886" w14:paraId="04BAB927" w14:textId="77777777" w:rsidTr="00B36CD5">
        <w:trPr>
          <w:cantSplit/>
          <w:trHeight w:val="20"/>
        </w:trPr>
        <w:tc>
          <w:tcPr>
            <w:tcW w:w="3544" w:type="dxa"/>
            <w:gridSpan w:val="3"/>
          </w:tcPr>
          <w:p w14:paraId="4787C914" w14:textId="77777777" w:rsidR="00710923" w:rsidRPr="009A280E"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9A280E">
              <w:rPr>
                <w:rFonts w:ascii="Arial Narrow" w:eastAsia="Calibri" w:hAnsi="Arial Narrow" w:cs="Calibri"/>
                <w:kern w:val="2"/>
                <w:sz w:val="20"/>
                <w:szCs w:val="20"/>
                <w:lang w:eastAsia="en-US"/>
                <w14:ligatures w14:val="standardContextual"/>
              </w:rPr>
              <w:lastRenderedPageBreak/>
              <w:t>tirzepatide 15 mg/0.6 mL injection, 2.4 mL multi-dose pen device</w:t>
            </w:r>
          </w:p>
        </w:tc>
        <w:tc>
          <w:tcPr>
            <w:tcW w:w="709" w:type="dxa"/>
            <w:vAlign w:val="center"/>
          </w:tcPr>
          <w:p w14:paraId="7BC058E2" w14:textId="77777777" w:rsidR="00710923" w:rsidRPr="008F4886" w:rsidRDefault="00710923" w:rsidP="003A2C45">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A21B41B" w14:textId="214D09EB" w:rsidR="00C07C0C" w:rsidRPr="0076762E" w:rsidRDefault="00C07C0C" w:rsidP="003A2C45">
            <w:pPr>
              <w:pStyle w:val="COMTabletext"/>
              <w:jc w:val="center"/>
              <w:rPr>
                <w:szCs w:val="20"/>
              </w:rPr>
            </w:pPr>
            <w:r w:rsidRPr="0076762E">
              <w:rPr>
                <w:szCs w:val="20"/>
              </w:rPr>
              <w:t>$</w:t>
            </w:r>
            <w:r w:rsidR="00F111EB" w:rsidRPr="00F111EB">
              <w:rPr>
                <w:color w:val="000000"/>
                <w:spacing w:val="51"/>
                <w:szCs w:val="20"/>
                <w:shd w:val="solid" w:color="000000" w:fill="000000"/>
                <w:fitText w:val="325" w:id="-761015285"/>
                <w14:textFill>
                  <w14:solidFill>
                    <w14:srgbClr w14:val="000000">
                      <w14:alpha w14:val="100000"/>
                    </w14:srgbClr>
                  </w14:solidFill>
                </w14:textFill>
              </w:rPr>
              <w:t>|||</w:t>
            </w:r>
            <w:r w:rsidR="00F111EB" w:rsidRPr="00F111EB">
              <w:rPr>
                <w:color w:val="000000"/>
                <w:spacing w:val="2"/>
                <w:szCs w:val="20"/>
                <w:shd w:val="solid" w:color="000000" w:fill="000000"/>
                <w:fitText w:val="325" w:id="-761015285"/>
                <w14:textFill>
                  <w14:solidFill>
                    <w14:srgbClr w14:val="000000">
                      <w14:alpha w14:val="100000"/>
                    </w14:srgbClr>
                  </w14:solidFill>
                </w14:textFill>
              </w:rPr>
              <w:t>|</w:t>
            </w:r>
            <w:r w:rsidRPr="0076762E">
              <w:rPr>
                <w:szCs w:val="20"/>
              </w:rPr>
              <w:t xml:space="preserve"> published</w:t>
            </w:r>
          </w:p>
          <w:p w14:paraId="3F39E6CC" w14:textId="498A92AD" w:rsidR="00710923" w:rsidRPr="008F4886" w:rsidRDefault="00C07C0C" w:rsidP="003A2C45">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7C0A91">
              <w:rPr>
                <w:rFonts w:ascii="Arial Narrow" w:eastAsiaTheme="majorEastAsia" w:hAnsi="Arial Narrow" w:cstheme="majorBidi"/>
                <w:bCs/>
                <w:color w:val="000000"/>
                <w:spacing w:val="51"/>
                <w:sz w:val="20"/>
                <w:szCs w:val="20"/>
                <w:shd w:val="solid" w:color="000000" w:fill="000000"/>
                <w:fitText w:val="325" w:id="-761015284"/>
                <w14:textFill>
                  <w14:solidFill>
                    <w14:srgbClr w14:val="000000">
                      <w14:alpha w14:val="100000"/>
                    </w14:srgbClr>
                  </w14:solidFill>
                </w14:textFill>
              </w:rPr>
              <w:t>|||</w:t>
            </w:r>
            <w:r w:rsidR="00F111EB" w:rsidRPr="007C0A91">
              <w:rPr>
                <w:rFonts w:ascii="Arial Narrow" w:eastAsiaTheme="majorEastAsia" w:hAnsi="Arial Narrow" w:cstheme="majorBidi"/>
                <w:bCs/>
                <w:color w:val="000000"/>
                <w:spacing w:val="2"/>
                <w:sz w:val="20"/>
                <w:szCs w:val="20"/>
                <w:shd w:val="solid" w:color="000000" w:fill="000000"/>
                <w:fitText w:val="325" w:id="-76101528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B57F47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4ADA63"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AA901A7"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1085" w:type="dxa"/>
            <w:vMerge/>
            <w:vAlign w:val="center"/>
          </w:tcPr>
          <w:p w14:paraId="60B1168B" w14:textId="77777777" w:rsidR="00710923" w:rsidRPr="008F4886" w:rsidRDefault="00710923"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331C8A" w:rsidRPr="008F4886" w14:paraId="48D415B3" w14:textId="77777777" w:rsidTr="00B36CD5">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tcPr>
          <w:p w14:paraId="0A5DBAC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r>
      <w:tr w:rsidR="00331C8A" w:rsidRPr="008F4886" w14:paraId="4B417702" w14:textId="77777777" w:rsidTr="00B36CD5">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vAlign w:val="center"/>
          </w:tcPr>
          <w:p w14:paraId="0B515BF5" w14:textId="77777777" w:rsidR="00331C8A" w:rsidRPr="008F4886" w:rsidRDefault="00331C8A" w:rsidP="003A2C45">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331C8A" w:rsidRPr="008F4886" w14:paraId="6CE75C4F"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val="restart"/>
            <w:tcBorders>
              <w:top w:val="single" w:sz="4" w:space="0" w:color="auto"/>
              <w:left w:val="single" w:sz="4" w:space="0" w:color="auto"/>
              <w:right w:val="single" w:sz="4" w:space="0" w:color="auto"/>
            </w:tcBorders>
          </w:tcPr>
          <w:p w14:paraId="297F59A0" w14:textId="6143DC86" w:rsidR="00331C8A" w:rsidRPr="008F4886" w:rsidRDefault="00331C8A" w:rsidP="003A2C45">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59E170F"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331C8A" w:rsidRPr="008F4886" w14:paraId="7B2BCFE7"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right w:val="single" w:sz="4" w:space="0" w:color="auto"/>
            </w:tcBorders>
          </w:tcPr>
          <w:p w14:paraId="02CD35F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59B201E" w14:textId="77777777" w:rsidR="00331C8A" w:rsidRPr="008F4886" w:rsidRDefault="00331C8A" w:rsidP="003A2C45">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331C8A" w:rsidRPr="008F4886" w14:paraId="311DFD38" w14:textId="77777777" w:rsidTr="00B36CD5">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bottom w:val="single" w:sz="4" w:space="0" w:color="auto"/>
              <w:right w:val="single" w:sz="4" w:space="0" w:color="auto"/>
            </w:tcBorders>
          </w:tcPr>
          <w:p w14:paraId="5AD3B9D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78C6C28" w14:textId="77777777" w:rsidR="00331C8A" w:rsidRPr="008F4886" w:rsidRDefault="00331C8A" w:rsidP="003A2C45">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331C8A" w:rsidRPr="008F4886" w14:paraId="7751343C" w14:textId="77777777" w:rsidTr="00B36CD5">
        <w:tblPrEx>
          <w:tblCellMar>
            <w:top w:w="15" w:type="dxa"/>
            <w:bottom w:w="15" w:type="dxa"/>
          </w:tblCellMar>
          <w:tblLook w:val="04A0" w:firstRow="1" w:lastRow="0" w:firstColumn="1" w:lastColumn="0" w:noHBand="0" w:noVBand="1"/>
        </w:tblPrEx>
        <w:trPr>
          <w:trHeight w:val="20"/>
        </w:trPr>
        <w:tc>
          <w:tcPr>
            <w:tcW w:w="568" w:type="dxa"/>
            <w:vMerge w:val="restart"/>
            <w:tcBorders>
              <w:left w:val="single" w:sz="4" w:space="0" w:color="auto"/>
              <w:right w:val="single" w:sz="4" w:space="0" w:color="auto"/>
            </w:tcBorders>
          </w:tcPr>
          <w:p w14:paraId="66881A25" w14:textId="207C39EA"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0E5FDE41" w14:textId="6F46FA35"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EDE0ACE"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331C8A" w:rsidRPr="008F4886" w14:paraId="4F51D208" w14:textId="77777777" w:rsidTr="00B36CD5">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014DD2DE"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219F45DF" w14:textId="1AA273A1"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64850D4"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331C8A" w:rsidRPr="008F4886" w14:paraId="7D2BA089" w14:textId="77777777" w:rsidTr="00B36CD5">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bottom w:val="single" w:sz="4" w:space="0" w:color="auto"/>
              <w:right w:val="single" w:sz="4" w:space="0" w:color="auto"/>
            </w:tcBorders>
          </w:tcPr>
          <w:p w14:paraId="10F36CA1" w14:textId="77777777"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10" w:type="dxa"/>
            <w:tcBorders>
              <w:left w:val="single" w:sz="4" w:space="0" w:color="auto"/>
              <w:bottom w:val="single" w:sz="4" w:space="0" w:color="auto"/>
              <w:right w:val="single" w:sz="4" w:space="0" w:color="auto"/>
            </w:tcBorders>
          </w:tcPr>
          <w:p w14:paraId="659B094B" w14:textId="653AA84D" w:rsidR="00331C8A" w:rsidRPr="008F4886" w:rsidRDefault="00331C8A" w:rsidP="003A2C45">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7C073EB" w14:textId="77777777" w:rsidR="00331C8A" w:rsidRPr="008F4886" w:rsidRDefault="00331C8A" w:rsidP="003A2C45">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331C8A" w:rsidRPr="008F4886" w14:paraId="32FABDDF"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DBAA162" w14:textId="21B84F1C"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4BCDD896"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strike/>
                <w:kern w:val="2"/>
                <w:sz w:val="20"/>
                <w:szCs w:val="20"/>
                <w14:ligatures w14:val="standardContextual"/>
              </w:rPr>
              <w:t>and comorbid severe obesity</w:t>
            </w:r>
          </w:p>
        </w:tc>
      </w:tr>
      <w:tr w:rsidR="00331C8A" w:rsidRPr="008F4886" w14:paraId="2E3C2A2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52E382"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EEEE7B6"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kern w:val="2"/>
                <w:sz w:val="20"/>
                <w:szCs w:val="20"/>
                <w14:ligatures w14:val="standardContextual"/>
              </w:rPr>
              <w:t xml:space="preserve">Initial treatment </w:t>
            </w:r>
            <w:r w:rsidRPr="008F4886">
              <w:rPr>
                <w:rFonts w:ascii="Arial Narrow" w:eastAsia="Calibri" w:hAnsi="Arial Narrow" w:cs="Times New Roman"/>
                <w:i/>
                <w:iCs/>
                <w:kern w:val="2"/>
                <w:sz w:val="20"/>
                <w:szCs w:val="20"/>
                <w14:ligatures w14:val="standardContextual"/>
              </w:rPr>
              <w:t>in patients with comorbid severe obesity</w:t>
            </w:r>
          </w:p>
        </w:tc>
      </w:tr>
      <w:tr w:rsidR="00331C8A" w:rsidRPr="008F4886" w14:paraId="742098A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528F4F3"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F49FAA0" w14:textId="77777777" w:rsidR="00331C8A" w:rsidRPr="008F4886" w:rsidRDefault="00331C8A" w:rsidP="003A2C45">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 xml:space="preserve">Clinical criteria: </w:t>
            </w:r>
          </w:p>
        </w:tc>
      </w:tr>
      <w:tr w:rsidR="00331C8A" w:rsidRPr="008F4886" w14:paraId="2FFEAD5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18C1D6D"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7519646" w14:textId="77777777" w:rsidR="00331C8A" w:rsidRPr="008F4886" w:rsidRDefault="00331C8A" w:rsidP="003A2C45">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have a confirmed diagnosis of type 2 diabetes</w:t>
            </w:r>
          </w:p>
        </w:tc>
      </w:tr>
      <w:tr w:rsidR="00331C8A" w:rsidRPr="008F4886" w14:paraId="02C151E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4C6EAB"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73E7954" w14:textId="77777777" w:rsidR="00331C8A" w:rsidRPr="008F4886" w:rsidRDefault="00331C8A" w:rsidP="003A2C45">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331C8A" w:rsidRPr="008F4886" w14:paraId="6FA2F0A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D6EC75B" w14:textId="36BFA370"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DE2C4C1" w14:textId="77777777" w:rsidR="00331C8A" w:rsidRPr="008F4886" w:rsidRDefault="00331C8A" w:rsidP="003A2C45">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32CDA3F7"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8F76759" w14:textId="70EDD75A"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644A729"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 xml:space="preserve">Patient must have a Body Mass Index greater </w:t>
            </w:r>
            <w:r w:rsidRPr="008F4886">
              <w:rPr>
                <w:rFonts w:ascii="Arial Narrow" w:eastAsia="Calibri" w:hAnsi="Arial Narrow" w:cs="Times New Roman"/>
                <w:i/>
                <w:iCs/>
                <w:kern w:val="2"/>
                <w:sz w:val="20"/>
                <w:szCs w:val="20"/>
                <w:lang w:val="en-US"/>
                <w14:ligatures w14:val="standardContextual"/>
              </w:rPr>
              <w:t>(BMI)</w:t>
            </w:r>
            <w:r w:rsidRPr="008F4886">
              <w:rPr>
                <w:rFonts w:ascii="Arial Narrow" w:eastAsia="Calibri" w:hAnsi="Arial Narrow" w:cs="Times New Roman"/>
                <w:kern w:val="2"/>
                <w:sz w:val="20"/>
                <w:szCs w:val="20"/>
                <w:lang w:val="en-US"/>
                <w14:ligatures w14:val="standardContextual"/>
              </w:rPr>
              <w:t xml:space="preserve"> than or equal to 35 kg/m</w:t>
            </w:r>
            <w:r w:rsidRPr="008F4886">
              <w:rPr>
                <w:rFonts w:ascii="Arial Narrow" w:eastAsia="Calibri" w:hAnsi="Arial Narrow" w:cs="Times New Roman"/>
                <w:kern w:val="2"/>
                <w:sz w:val="20"/>
                <w:szCs w:val="20"/>
                <w:vertAlign w:val="superscript"/>
                <w:lang w:val="en-US"/>
                <w14:ligatures w14:val="standardContextual"/>
              </w:rPr>
              <w:t>2</w:t>
            </w:r>
          </w:p>
        </w:tc>
      </w:tr>
      <w:tr w:rsidR="00331C8A" w:rsidRPr="008F4886" w14:paraId="38CC4CA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6180CEE"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3B4C3E7" w14:textId="77777777" w:rsidR="00331C8A" w:rsidRPr="008F4886" w:rsidRDefault="00331C8A" w:rsidP="003A2C45">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353F8FB6"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0A5BDC6" w14:textId="6F6B8576"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16E0841" w14:textId="77777777" w:rsidR="00331C8A" w:rsidRPr="008F4886" w:rsidRDefault="00331C8A" w:rsidP="003A2C45">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444954DE"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791ABF" w14:textId="1D1434FF"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B040539"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treatment must be used in combination </w:t>
            </w:r>
            <w:r w:rsidRPr="008F4886">
              <w:rPr>
                <w:rFonts w:ascii="Arial Narrow" w:eastAsia="Calibri" w:hAnsi="Arial Narrow" w:cs="Times New Roman"/>
                <w:i/>
                <w:iCs/>
                <w:kern w:val="2"/>
                <w:sz w:val="20"/>
                <w:szCs w:val="20"/>
                <w14:ligatures w14:val="standardContextual"/>
              </w:rPr>
              <w:t>with at least one of: metformin, a sulfonylurea, insulin</w:t>
            </w:r>
          </w:p>
        </w:tc>
      </w:tr>
      <w:tr w:rsidR="00331C8A" w:rsidRPr="008F4886" w14:paraId="726F9C17"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499779"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E44DA18"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2C1BA35A"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EC4023C" w14:textId="700E31F8"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0969696"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34EA8C3D"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B5689A4" w14:textId="0C8D99CA"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1EB24AC" w14:textId="77777777" w:rsidR="00331C8A" w:rsidRPr="008F4886" w:rsidRDefault="00331C8A" w:rsidP="003A2C45">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The condition must be inadequately responsive to at least one of: (i) metformin, (ii) a sulfonylurea, or (iii) insulin</w:t>
            </w:r>
          </w:p>
        </w:tc>
      </w:tr>
      <w:tr w:rsidR="00331C8A" w:rsidRPr="008F4886" w14:paraId="5F03750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512CB05"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D03348A"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331C8A" w:rsidRPr="008F4886" w14:paraId="16E5C80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2ADD17C" w14:textId="1F4CFD27"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014A3527" w14:textId="77777777" w:rsidR="00331C8A" w:rsidRPr="008F4886" w:rsidRDefault="00331C8A" w:rsidP="003A2C45">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331C8A" w:rsidRPr="008F4886" w14:paraId="6DC7F266"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366FA3" w14:textId="11D4B9D0"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B6571B5" w14:textId="77777777" w:rsidR="00331C8A" w:rsidRPr="008F4886" w:rsidRDefault="00331C8A" w:rsidP="003A2C45">
            <w:pPr>
              <w:jc w:val="left"/>
              <w:rPr>
                <w:rFonts w:ascii="Arial Narrow" w:hAnsi="Arial Narrow" w:cs="Calibri"/>
                <w:color w:val="333333"/>
                <w:kern w:val="2"/>
                <w:sz w:val="20"/>
                <w:szCs w:val="20"/>
                <w:lang w:val="en-US"/>
                <w14:ligatures w14:val="standardContextual"/>
              </w:rPr>
            </w:pPr>
            <w:r w:rsidRPr="008F4886">
              <w:rPr>
                <w:rFonts w:ascii="Arial Narrow" w:hAnsi="Arial Narrow" w:cs="Calibri"/>
                <w:color w:val="333333"/>
                <w:kern w:val="2"/>
                <w:sz w:val="20"/>
                <w:szCs w:val="20"/>
                <w:lang w:val="en-US"/>
                <w14:ligatures w14:val="standardContextual"/>
              </w:rPr>
              <w:t xml:space="preserve">Patient must not have achieved a clinically meaningful </w:t>
            </w:r>
            <w:proofErr w:type="spellStart"/>
            <w:r w:rsidRPr="008F4886">
              <w:rPr>
                <w:rFonts w:ascii="Arial Narrow" w:hAnsi="Arial Narrow" w:cs="Calibri"/>
                <w:color w:val="333333"/>
                <w:kern w:val="2"/>
                <w:sz w:val="20"/>
                <w:szCs w:val="20"/>
                <w:lang w:val="en-US"/>
                <w14:ligatures w14:val="standardContextual"/>
              </w:rPr>
              <w:t>glycaemic</w:t>
            </w:r>
            <w:proofErr w:type="spellEnd"/>
            <w:r w:rsidRPr="008F4886">
              <w:rPr>
                <w:rFonts w:ascii="Arial Narrow" w:hAnsi="Arial Narrow" w:cs="Calibri"/>
                <w:color w:val="333333"/>
                <w:kern w:val="2"/>
                <w:sz w:val="20"/>
                <w:szCs w:val="20"/>
                <w:lang w:val="en-US"/>
                <w14:ligatures w14:val="standardContextual"/>
              </w:rPr>
              <w:t xml:space="preserve"> response with an SGLT2 inhibitor; OR</w:t>
            </w:r>
          </w:p>
        </w:tc>
      </w:tr>
      <w:tr w:rsidR="00331C8A" w:rsidRPr="008F4886" w14:paraId="16B1FDBB"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AAB19BF" w14:textId="70A8D104" w:rsidR="00331C8A" w:rsidRPr="008F4886" w:rsidRDefault="00331C8A" w:rsidP="003A2C45">
            <w:pPr>
              <w:jc w:val="center"/>
              <w:rPr>
                <w:rFonts w:ascii="Arial Narrow" w:eastAsia="Calibri" w:hAnsi="Arial Narrow" w:cs="Times New Roman"/>
                <w:kern w:val="2"/>
                <w:sz w:val="20"/>
                <w:szCs w:val="20"/>
                <w14:ligatures w14:val="standardContextual"/>
              </w:rPr>
            </w:pPr>
          </w:p>
        </w:tc>
        <w:tc>
          <w:tcPr>
            <w:tcW w:w="7745" w:type="dxa"/>
            <w:gridSpan w:val="7"/>
            <w:vAlign w:val="center"/>
          </w:tcPr>
          <w:p w14:paraId="010778CD" w14:textId="77777777" w:rsidR="00331C8A" w:rsidRPr="008F4886" w:rsidRDefault="00331C8A" w:rsidP="003A2C45">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a contraindication/intolerance requiring treatment discontinuation of an SGLT2 inhibitor</w:t>
            </w:r>
          </w:p>
        </w:tc>
      </w:tr>
      <w:tr w:rsidR="00331C8A" w:rsidRPr="008F4886" w14:paraId="700162A0"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55FBDAF"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4FCC43F" w14:textId="77777777" w:rsidR="00331C8A" w:rsidRPr="008F4886" w:rsidRDefault="00331C8A" w:rsidP="003A2C45">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331C8A" w:rsidRPr="008F4886" w14:paraId="07BD6912"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03187BE"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73141FE" w14:textId="77777777" w:rsidR="00331C8A" w:rsidRPr="008F4886" w:rsidRDefault="00331C8A" w:rsidP="003A2C45">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Clinical criteria:</w:t>
            </w:r>
          </w:p>
        </w:tc>
      </w:tr>
      <w:tr w:rsidR="00331C8A" w:rsidRPr="008F4886" w14:paraId="43D383A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749772" w14:textId="7777777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BE2B8AB" w14:textId="77777777" w:rsidR="00331C8A" w:rsidRPr="008F4886" w:rsidRDefault="00331C8A" w:rsidP="003A2C45">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not receive more than 24 weeks of treatment under this restriction</w:t>
            </w:r>
          </w:p>
        </w:tc>
      </w:tr>
      <w:tr w:rsidR="00331C8A" w:rsidRPr="008F4886" w14:paraId="44849DE3"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46D8A70" w14:textId="17678B4E"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964A117"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331C8A" w:rsidRPr="008F4886" w14:paraId="23DD2461"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EA9DF96" w14:textId="7A57E4C2"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5F35A54"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Must be treated by an endocrinologist</w:t>
            </w:r>
          </w:p>
        </w:tc>
      </w:tr>
      <w:tr w:rsidR="00331C8A" w:rsidRPr="008F4886" w14:paraId="3A6374DA"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5C96B3C" w14:textId="18EFD3E0"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B23E05F"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331C8A" w:rsidRPr="008F4886" w14:paraId="30CC974E"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486AEF5" w14:textId="0A721FDB"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DF2A5BA"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331C8A" w:rsidRPr="008F4886" w14:paraId="46D5B3F2"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3D550CC" w14:textId="573CC27D"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9896433"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b/>
                <w:kern w:val="2"/>
                <w:sz w:val="20"/>
                <w:szCs w:val="20"/>
                <w14:ligatures w14:val="standardContextual"/>
              </w:rPr>
              <w:t>Population criteria:</w:t>
            </w:r>
          </w:p>
        </w:tc>
      </w:tr>
      <w:tr w:rsidR="00331C8A" w:rsidRPr="008F4886" w14:paraId="5526951D"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F652654" w14:textId="069F60D7"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67C2F12"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kern w:val="2"/>
                <w:sz w:val="20"/>
                <w:szCs w:val="20"/>
                <w14:ligatures w14:val="standardContextual"/>
              </w:rPr>
              <w:t xml:space="preserve">Patient must be </w:t>
            </w:r>
            <w:r w:rsidRPr="008F4886">
              <w:rPr>
                <w:rFonts w:ascii="Arial Narrow" w:hAnsi="Arial Narrow" w:cs="Calibri"/>
                <w:i/>
                <w:iCs/>
                <w:kern w:val="2"/>
                <w:sz w:val="20"/>
                <w:szCs w:val="20"/>
                <w14:ligatures w14:val="standardContextual"/>
              </w:rPr>
              <w:t>at least 18 years of age</w:t>
            </w:r>
            <w:r w:rsidRPr="008F4886">
              <w:rPr>
                <w:rFonts w:ascii="Arial Narrow" w:hAnsi="Arial Narrow" w:cs="Calibri"/>
                <w:kern w:val="2"/>
                <w:sz w:val="20"/>
                <w:szCs w:val="20"/>
                <w14:ligatures w14:val="standardContextual"/>
              </w:rPr>
              <w:t xml:space="preserve"> </w:t>
            </w:r>
            <w:r w:rsidRPr="008F4886">
              <w:rPr>
                <w:rFonts w:ascii="Arial Narrow" w:hAnsi="Arial Narrow" w:cs="Calibri"/>
                <w:strike/>
                <w:kern w:val="2"/>
                <w:sz w:val="20"/>
                <w:szCs w:val="20"/>
                <w14:ligatures w14:val="standardContextual"/>
              </w:rPr>
              <w:t>18 years of age or older.</w:t>
            </w:r>
          </w:p>
        </w:tc>
      </w:tr>
      <w:tr w:rsidR="00331C8A" w:rsidRPr="008F4886" w14:paraId="57893269"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4334FA1" w14:textId="67015BD4"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F82A202" w14:textId="77777777" w:rsidR="00331C8A" w:rsidRPr="008F4886" w:rsidRDefault="00331C8A" w:rsidP="003A2C45">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518E34B7" w14:textId="77777777" w:rsidR="00331C8A" w:rsidRPr="008F4886" w:rsidRDefault="00331C8A" w:rsidP="003A2C45">
            <w:pPr>
              <w:spacing w:line="259" w:lineRule="auto"/>
              <w:jc w:val="left"/>
              <w:rPr>
                <w:rFonts w:ascii="Arial Narrow" w:hAnsi="Arial Narrow" w:cs="Calibri"/>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331C8A" w:rsidRPr="008F4886" w14:paraId="5D148BDC"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2B2F51A" w14:textId="77777777" w:rsidR="00331C8A" w:rsidRPr="008F4886" w:rsidRDefault="00331C8A" w:rsidP="003A2C45">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3671B57F" w14:textId="77777777" w:rsidR="00331C8A" w:rsidRPr="008F4886" w:rsidRDefault="00331C8A" w:rsidP="003A2C45">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Administrative Advice:</w:t>
            </w:r>
          </w:p>
          <w:p w14:paraId="434C94D0"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6BF5DAEF"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The authority application must be made in writing and must include:</w:t>
            </w:r>
          </w:p>
          <w:p w14:paraId="51DCE7D4" w14:textId="77777777" w:rsidR="00331C8A" w:rsidRPr="008F4886" w:rsidRDefault="00331C8A" w:rsidP="003A2C45">
            <w:pPr>
              <w:numPr>
                <w:ilvl w:val="0"/>
                <w:numId w:val="10"/>
              </w:num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completed authority prescription form</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details of the proposed prescription(s);</w:t>
            </w:r>
            <w:r w:rsidRPr="008F4886">
              <w:rPr>
                <w:rFonts w:ascii="Arial Narrow" w:eastAsia="Calibri" w:hAnsi="Arial Narrow" w:cs="Times New Roman"/>
                <w:kern w:val="2"/>
                <w:sz w:val="20"/>
                <w:szCs w:val="20"/>
                <w14:ligatures w14:val="standardContextual"/>
              </w:rPr>
              <w:t xml:space="preserve"> and</w:t>
            </w:r>
          </w:p>
          <w:p w14:paraId="22B6842A"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strike/>
                <w:kern w:val="2"/>
                <w:sz w:val="20"/>
                <w:szCs w:val="20"/>
                <w14:ligatures w14:val="standardContextual"/>
              </w:rPr>
              <w:t>a completed Type 2 Diabetes Mellitus PBS Authority Application - Supporting Information Form which includes the following:</w:t>
            </w:r>
            <w:r w:rsidRPr="008F4886">
              <w:rPr>
                <w:rFonts w:ascii="Arial Narrow" w:eastAsia="Calibri" w:hAnsi="Arial Narrow" w:cs="Times New Roman"/>
                <w:i/>
                <w:iCs/>
                <w:kern w:val="2"/>
                <w:sz w:val="20"/>
                <w:szCs w:val="20"/>
                <w14:ligatures w14:val="standardContextual"/>
              </w:rPr>
              <w:t xml:space="preserve"> a completed authority application form relevant to the indication and treatment phase (the latest version is located on the website specified in the Administrative Advice). </w:t>
            </w:r>
          </w:p>
          <w:p w14:paraId="4EF8F20F"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copy of</w:t>
            </w:r>
            <w:r w:rsidRPr="008F4886">
              <w:rPr>
                <w:rFonts w:ascii="Arial Narrow" w:eastAsia="Calibri" w:hAnsi="Arial Narrow" w:cs="Times New Roman"/>
                <w:kern w:val="2"/>
                <w:sz w:val="20"/>
                <w:szCs w:val="20"/>
                <w14:ligatures w14:val="standardContextual"/>
              </w:rPr>
              <w:t xml:space="preserve"> 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 xml:space="preserve">no greater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w:t>
            </w:r>
            <w:proofErr w:type="spellStart"/>
            <w:r w:rsidRPr="008F4886">
              <w:rPr>
                <w:rFonts w:ascii="Arial Narrow" w:eastAsia="Calibri" w:hAnsi="Arial Narrow" w:cs="Times New Roman"/>
                <w:kern w:val="2"/>
                <w:sz w:val="20"/>
                <w:szCs w:val="20"/>
                <w14:ligatures w14:val="standardContextual"/>
              </w:rPr>
              <w:t>PoCT</w:t>
            </w:r>
            <w:proofErr w:type="spellEnd"/>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a photograph</w:t>
            </w:r>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strike/>
                <w:kern w:val="2"/>
                <w:sz w:val="20"/>
                <w:szCs w:val="20"/>
                <w14:ligatures w14:val="standardContextual"/>
              </w:rPr>
              <w:t>alongside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strike/>
                <w:kern w:val="2"/>
                <w:sz w:val="20"/>
                <w:szCs w:val="20"/>
                <w14:ligatures w14:val="standardContextual"/>
              </w:rPr>
              <w:t>patient’s full name and Medicare ID number</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3F6B0922"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SGLT2 inhibitor therapy (i.e. confirmation of either (i) inadequate responsiveness; (ii) intolerance, or (iii) contraindication)</w:t>
            </w:r>
          </w:p>
          <w:p w14:paraId="084A3579"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metformin, sulfonylurea, or insulin therapy</w:t>
            </w:r>
          </w:p>
          <w:p w14:paraId="21F20773" w14:textId="77777777" w:rsidR="00331C8A" w:rsidRPr="008F4886" w:rsidRDefault="00331C8A" w:rsidP="003A2C45">
            <w:pPr>
              <w:numPr>
                <w:ilvl w:val="0"/>
                <w:numId w:val="10"/>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measurement of body weight, height, and BMI at the time of application (no more than 1 month old)</w:t>
            </w:r>
          </w:p>
        </w:tc>
      </w:tr>
      <w:tr w:rsidR="00331C8A" w:rsidRPr="008F4886" w14:paraId="2F925114"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84662E4" w14:textId="30B5F394"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F4CBB37" w14:textId="77777777" w:rsidR="00331C8A" w:rsidRPr="008F4886" w:rsidRDefault="00331C8A" w:rsidP="003A2C45">
            <w:pPr>
              <w:spacing w:line="259" w:lineRule="auto"/>
              <w:jc w:val="left"/>
              <w:rPr>
                <w:rFonts w:ascii="Arial Narrow" w:eastAsia="Calibri" w:hAnsi="Arial Narrow" w:cs="Times New Roman"/>
                <w:b/>
                <w:bCs/>
                <w:strike/>
                <w:color w:val="FF0000"/>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Prescribing Instructions:</w:t>
            </w:r>
            <w:r w:rsidRPr="008F4886">
              <w:rPr>
                <w:rFonts w:ascii="Arial Narrow" w:eastAsia="Calibri" w:hAnsi="Arial Narrow" w:cs="Times New Roman"/>
                <w:b/>
                <w:bCs/>
                <w:strike/>
                <w:color w:val="FF0000"/>
                <w:kern w:val="2"/>
                <w:sz w:val="20"/>
                <w:szCs w:val="20"/>
                <w14:ligatures w14:val="standardContextual"/>
              </w:rPr>
              <w:t xml:space="preserve"> </w:t>
            </w:r>
          </w:p>
          <w:p w14:paraId="7DB70684"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181F87A"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Definition:</w:t>
            </w:r>
          </w:p>
          <w:p w14:paraId="22264A59"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31FEECB5"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Blood glucose monitoring is an alternative to HbA1c measurement where at least one of the following circumstances applies:</w:t>
            </w:r>
          </w:p>
          <w:p w14:paraId="1BCBB452"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A clinical condition with reduced red blood cell survival (inclusive of haemolytic anaemias, haemoglobinopathies),</w:t>
            </w:r>
          </w:p>
          <w:p w14:paraId="70D17C16"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 Red cell transfusion within the previous 3 months.</w:t>
            </w:r>
          </w:p>
        </w:tc>
      </w:tr>
      <w:tr w:rsidR="00331C8A" w:rsidRPr="008F4886" w14:paraId="0067251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B3D3420" w14:textId="5613FFAA" w:rsidR="00331C8A" w:rsidRPr="008F4886" w:rsidRDefault="00331C8A" w:rsidP="003A2C45">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6056A86" w14:textId="77777777"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68D44150"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31DA8177"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26A57F2F" w14:textId="77777777" w:rsidR="00331C8A" w:rsidRPr="008F4886" w:rsidRDefault="00331C8A" w:rsidP="003A2C45">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2A57ABD0" w14:textId="3243E08A" w:rsidR="00331C8A" w:rsidRPr="008F4886" w:rsidRDefault="00331C8A" w:rsidP="003A2C45">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331C8A" w:rsidRPr="008F4886" w14:paraId="1A5D3955" w14:textId="77777777" w:rsidTr="00B36CD5">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00633EE" w14:textId="79D78449" w:rsidR="00331C8A" w:rsidRPr="008F4886" w:rsidRDefault="00331C8A" w:rsidP="003A2C45">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902E5C3" w14:textId="77777777" w:rsidR="00331C8A" w:rsidRPr="008F4886" w:rsidRDefault="00331C8A" w:rsidP="003A2C45">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5F3549CD" w14:textId="77777777" w:rsidR="00331C8A" w:rsidRPr="008F4886" w:rsidRDefault="00331C8A" w:rsidP="003A2C45">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056D2F06" w14:textId="77777777" w:rsidR="00331C8A" w:rsidRPr="008F4886" w:rsidRDefault="00331C8A" w:rsidP="005C5454">
      <w:pPr>
        <w:spacing w:line="259" w:lineRule="auto"/>
        <w:jc w:val="left"/>
        <w:rPr>
          <w:rFonts w:ascii="Times New Roman" w:eastAsia="Calibri" w:hAnsi="Times New Roman" w:cs="Times New Roman"/>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2266"/>
        <w:gridCol w:w="851"/>
        <w:gridCol w:w="1559"/>
        <w:gridCol w:w="709"/>
        <w:gridCol w:w="708"/>
        <w:gridCol w:w="709"/>
        <w:gridCol w:w="943"/>
      </w:tblGrid>
      <w:tr w:rsidR="00C07C0C" w:rsidRPr="008F4886" w14:paraId="1682A371" w14:textId="77777777" w:rsidTr="00427F21">
        <w:trPr>
          <w:cantSplit/>
          <w:trHeight w:val="20"/>
        </w:trPr>
        <w:tc>
          <w:tcPr>
            <w:tcW w:w="3544" w:type="dxa"/>
            <w:gridSpan w:val="3"/>
            <w:vAlign w:val="center"/>
          </w:tcPr>
          <w:p w14:paraId="48B1B50C"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647B6C37"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851" w:type="dxa"/>
            <w:vAlign w:val="center"/>
          </w:tcPr>
          <w:p w14:paraId="00C47179"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6DF37888" w14:textId="6E19CF1A"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3063F198"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0538152F"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5391720E"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0DD175F4"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3" w:type="dxa"/>
            <w:vAlign w:val="center"/>
          </w:tcPr>
          <w:p w14:paraId="37A6D693" w14:textId="77777777" w:rsidR="00C07C0C" w:rsidRPr="008F4886" w:rsidRDefault="00C07C0C" w:rsidP="00427F21">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169D846F" w14:textId="77777777" w:rsidTr="00427F21">
        <w:trPr>
          <w:cantSplit/>
          <w:trHeight w:val="20"/>
        </w:trPr>
        <w:tc>
          <w:tcPr>
            <w:tcW w:w="9023" w:type="dxa"/>
            <w:gridSpan w:val="9"/>
            <w:vAlign w:val="center"/>
          </w:tcPr>
          <w:p w14:paraId="2CC4D7F4"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14F80A77" w14:textId="77777777" w:rsidTr="00427F21">
        <w:trPr>
          <w:cantSplit/>
          <w:trHeight w:val="20"/>
        </w:trPr>
        <w:tc>
          <w:tcPr>
            <w:tcW w:w="3544" w:type="dxa"/>
            <w:gridSpan w:val="3"/>
          </w:tcPr>
          <w:p w14:paraId="33EE532B" w14:textId="5C67791E"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547B6EF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4EC076D" w14:textId="33B36999"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283"/>
                <w14:textFill>
                  <w14:solidFill>
                    <w14:srgbClr w14:val="000000">
                      <w14:alpha w14:val="100000"/>
                    </w14:srgbClr>
                  </w14:solidFill>
                </w14:textFill>
              </w:rPr>
              <w:t>|||</w:t>
            </w:r>
            <w:r w:rsidR="00F111EB" w:rsidRPr="00F111EB">
              <w:rPr>
                <w:color w:val="000000"/>
                <w:spacing w:val="3"/>
                <w:shd w:val="solid" w:color="000000" w:fill="000000"/>
                <w:fitText w:val="326" w:id="-7610152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8F95EFA" w14:textId="257CBCD3"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2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2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1BD8C2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FB6FDF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A39334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i/>
                <w:iCs/>
                <w:kern w:val="2"/>
                <w:sz w:val="20"/>
                <w:szCs w:val="20"/>
                <w:lang w:eastAsia="en-US"/>
                <w14:ligatures w14:val="standardContextual"/>
              </w:rPr>
              <w:t xml:space="preserve"> 1</w:t>
            </w:r>
          </w:p>
        </w:tc>
        <w:tc>
          <w:tcPr>
            <w:tcW w:w="943" w:type="dxa"/>
            <w:vMerge w:val="restart"/>
            <w:vAlign w:val="center"/>
          </w:tcPr>
          <w:p w14:paraId="7F705EF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3B196B9D" w14:textId="77777777" w:rsidTr="00427F21">
        <w:trPr>
          <w:cantSplit/>
          <w:trHeight w:val="20"/>
        </w:trPr>
        <w:tc>
          <w:tcPr>
            <w:tcW w:w="3544" w:type="dxa"/>
            <w:gridSpan w:val="3"/>
          </w:tcPr>
          <w:p w14:paraId="0AB63DE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851" w:type="dxa"/>
            <w:vAlign w:val="center"/>
          </w:tcPr>
          <w:p w14:paraId="0462F9F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7274A86" w14:textId="7E087182"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281"/>
                <w14:textFill>
                  <w14:solidFill>
                    <w14:srgbClr w14:val="000000">
                      <w14:alpha w14:val="100000"/>
                    </w14:srgbClr>
                  </w14:solidFill>
                </w14:textFill>
              </w:rPr>
              <w:t>|||</w:t>
            </w:r>
            <w:r w:rsidR="00F111EB" w:rsidRPr="00F111EB">
              <w:rPr>
                <w:color w:val="000000"/>
                <w:spacing w:val="3"/>
                <w:shd w:val="solid" w:color="000000" w:fill="000000"/>
                <w:fitText w:val="326" w:id="-76101528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C711252" w14:textId="6EE1DC4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28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28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8D899F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898AD0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4335DE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71A7529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7382FA6" w14:textId="77777777" w:rsidTr="00427F21">
        <w:trPr>
          <w:cantSplit/>
          <w:trHeight w:val="20"/>
        </w:trPr>
        <w:tc>
          <w:tcPr>
            <w:tcW w:w="3544" w:type="dxa"/>
            <w:gridSpan w:val="3"/>
          </w:tcPr>
          <w:p w14:paraId="59423562" w14:textId="2738A8BD"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6C46696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3E2A847" w14:textId="51E40594"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296"/>
                <w14:textFill>
                  <w14:solidFill>
                    <w14:srgbClr w14:val="000000">
                      <w14:alpha w14:val="100000"/>
                    </w14:srgbClr>
                  </w14:solidFill>
                </w14:textFill>
              </w:rPr>
              <w:t>|||</w:t>
            </w:r>
            <w:r w:rsidR="00F111EB" w:rsidRPr="00F111EB">
              <w:rPr>
                <w:color w:val="000000"/>
                <w:spacing w:val="3"/>
                <w:shd w:val="solid" w:color="000000" w:fill="000000"/>
                <w:fitText w:val="326" w:id="-761015296"/>
                <w14:textFill>
                  <w14:solidFill>
                    <w14:srgbClr w14:val="000000">
                      <w14:alpha w14:val="100000"/>
                    </w14:srgbClr>
                  </w14:solidFill>
                </w14:textFill>
              </w:rPr>
              <w:t>|</w:t>
            </w:r>
            <w:r w:rsidRPr="00C07C0C">
              <w:t xml:space="preserve"> published</w:t>
            </w:r>
          </w:p>
          <w:p w14:paraId="5C06D827" w14:textId="2EE2A408"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29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29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D9F2B0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E439E9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327CCE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58ED007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09B37EF" w14:textId="77777777" w:rsidTr="00427F21">
        <w:trPr>
          <w:cantSplit/>
          <w:trHeight w:val="20"/>
        </w:trPr>
        <w:tc>
          <w:tcPr>
            <w:tcW w:w="3544" w:type="dxa"/>
            <w:gridSpan w:val="3"/>
          </w:tcPr>
          <w:p w14:paraId="6188B94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851" w:type="dxa"/>
            <w:vAlign w:val="center"/>
          </w:tcPr>
          <w:p w14:paraId="4135772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E07DDAE" w14:textId="09F7D0D1"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Pr="00C07C0C">
              <w:t xml:space="preserve"> published</w:t>
            </w:r>
          </w:p>
          <w:p w14:paraId="55391862" w14:textId="703B071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A6952E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59E1F9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E2EBC2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3" w:type="dxa"/>
            <w:vMerge/>
            <w:vAlign w:val="center"/>
          </w:tcPr>
          <w:p w14:paraId="01F3CA0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F6DD6DE" w14:textId="77777777" w:rsidTr="00427F21">
        <w:trPr>
          <w:cantSplit/>
          <w:trHeight w:val="20"/>
        </w:trPr>
        <w:tc>
          <w:tcPr>
            <w:tcW w:w="3544" w:type="dxa"/>
            <w:gridSpan w:val="3"/>
          </w:tcPr>
          <w:p w14:paraId="5DBD6BD2" w14:textId="0398E91D"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12.5 mg/0.5 mL injection, 4 x 0.5</w:t>
            </w:r>
            <w:r w:rsidR="00D36444">
              <w:rPr>
                <w:rFonts w:ascii="Arial Narrow" w:eastAsia="Calibri" w:hAnsi="Arial Narrow" w:cs="Times New Roman"/>
                <w:kern w:val="2"/>
                <w:sz w:val="20"/>
                <w:szCs w:val="20"/>
                <w:lang w:eastAsia="en-US"/>
                <w14:ligatures w14:val="standardContextual"/>
              </w:rPr>
              <w:t> </w:t>
            </w:r>
            <w:r w:rsidRPr="008F4886">
              <w:rPr>
                <w:rFonts w:ascii="Arial Narrow" w:eastAsia="Calibri" w:hAnsi="Arial Narrow" w:cs="Times New Roman"/>
                <w:kern w:val="2"/>
                <w:sz w:val="20"/>
                <w:szCs w:val="20"/>
                <w:lang w:eastAsia="en-US"/>
                <w14:ligatures w14:val="standardContextual"/>
              </w:rPr>
              <w:t>mL single-use pen devices</w:t>
            </w:r>
          </w:p>
        </w:tc>
        <w:tc>
          <w:tcPr>
            <w:tcW w:w="851" w:type="dxa"/>
            <w:vAlign w:val="center"/>
          </w:tcPr>
          <w:p w14:paraId="15E986C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9612DEE" w14:textId="26A68656"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8"/>
                <w14:textFill>
                  <w14:solidFill>
                    <w14:srgbClr w14:val="000000">
                      <w14:alpha w14:val="100000"/>
                    </w14:srgbClr>
                  </w14:solidFill>
                </w14:textFill>
              </w:rPr>
              <w:t>|||</w:t>
            </w:r>
            <w:r w:rsidR="00F111EB" w:rsidRPr="00F111EB">
              <w:rPr>
                <w:color w:val="000000"/>
                <w:spacing w:val="3"/>
                <w:szCs w:val="20"/>
                <w:shd w:val="solid" w:color="000000" w:fill="000000"/>
                <w:fitText w:val="326" w:id="-761015038"/>
                <w14:textFill>
                  <w14:solidFill>
                    <w14:srgbClr w14:val="000000">
                      <w14:alpha w14:val="100000"/>
                    </w14:srgbClr>
                  </w14:solidFill>
                </w14:textFill>
              </w:rPr>
              <w:t>|</w:t>
            </w:r>
            <w:r w:rsidRPr="0076762E">
              <w:rPr>
                <w:szCs w:val="20"/>
              </w:rPr>
              <w:t xml:space="preserve"> published</w:t>
            </w:r>
          </w:p>
          <w:p w14:paraId="46DE3744" w14:textId="26E7133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5FB0C9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B1EAB0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29367B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6BFF625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AFB9B4A" w14:textId="77777777" w:rsidTr="00427F21">
        <w:trPr>
          <w:cantSplit/>
          <w:trHeight w:val="20"/>
        </w:trPr>
        <w:tc>
          <w:tcPr>
            <w:tcW w:w="3544" w:type="dxa"/>
            <w:gridSpan w:val="3"/>
          </w:tcPr>
          <w:p w14:paraId="73D8D2E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851" w:type="dxa"/>
            <w:vAlign w:val="center"/>
          </w:tcPr>
          <w:p w14:paraId="48974C9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305A8E5" w14:textId="02CC0245"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6"/>
                <w14:textFill>
                  <w14:solidFill>
                    <w14:srgbClr w14:val="000000">
                      <w14:alpha w14:val="100000"/>
                    </w14:srgbClr>
                  </w14:solidFill>
                </w14:textFill>
              </w:rPr>
              <w:t>|||</w:t>
            </w:r>
            <w:r w:rsidR="00F111EB" w:rsidRPr="00F111EB">
              <w:rPr>
                <w:color w:val="000000"/>
                <w:spacing w:val="3"/>
                <w:szCs w:val="20"/>
                <w:shd w:val="solid" w:color="000000" w:fill="000000"/>
                <w:fitText w:val="326" w:id="-761015036"/>
                <w14:textFill>
                  <w14:solidFill>
                    <w14:srgbClr w14:val="000000">
                      <w14:alpha w14:val="100000"/>
                    </w14:srgbClr>
                  </w14:solidFill>
                </w14:textFill>
              </w:rPr>
              <w:t>|</w:t>
            </w:r>
            <w:r w:rsidRPr="0076762E">
              <w:rPr>
                <w:szCs w:val="20"/>
              </w:rPr>
              <w:t xml:space="preserve"> published</w:t>
            </w:r>
          </w:p>
          <w:p w14:paraId="601F89A2" w14:textId="1107094C"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4F0022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68FD7D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757C04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4C790D2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CE52A13" w14:textId="77777777" w:rsidTr="00427F21">
        <w:trPr>
          <w:cantSplit/>
          <w:trHeight w:val="20"/>
        </w:trPr>
        <w:tc>
          <w:tcPr>
            <w:tcW w:w="8080" w:type="dxa"/>
            <w:gridSpan w:val="8"/>
          </w:tcPr>
          <w:p w14:paraId="0181503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943" w:type="dxa"/>
            <w:vMerge/>
            <w:vAlign w:val="center"/>
          </w:tcPr>
          <w:p w14:paraId="58EED16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0DDA3B" w14:textId="77777777" w:rsidTr="00427F21">
        <w:trPr>
          <w:cantSplit/>
          <w:trHeight w:val="20"/>
        </w:trPr>
        <w:tc>
          <w:tcPr>
            <w:tcW w:w="3544" w:type="dxa"/>
            <w:gridSpan w:val="3"/>
          </w:tcPr>
          <w:p w14:paraId="5E8BFA4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851" w:type="dxa"/>
            <w:vAlign w:val="center"/>
          </w:tcPr>
          <w:p w14:paraId="42A754B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2980572" w14:textId="38EF4EAA"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4"/>
                <w14:textFill>
                  <w14:solidFill>
                    <w14:srgbClr w14:val="000000">
                      <w14:alpha w14:val="100000"/>
                    </w14:srgbClr>
                  </w14:solidFill>
                </w14:textFill>
              </w:rPr>
              <w:t>|||</w:t>
            </w:r>
            <w:r w:rsidR="00F111EB" w:rsidRPr="00F111EB">
              <w:rPr>
                <w:color w:val="000000"/>
                <w:spacing w:val="3"/>
                <w:shd w:val="solid" w:color="000000" w:fill="000000"/>
                <w:fitText w:val="326" w:id="-761015034"/>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B0DA520" w14:textId="4E22E4D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3"/>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3"/>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58497F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AC6A25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14DD11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315C67F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37B11A2" w14:textId="77777777" w:rsidTr="00427F21">
        <w:trPr>
          <w:cantSplit/>
          <w:trHeight w:val="20"/>
        </w:trPr>
        <w:tc>
          <w:tcPr>
            <w:tcW w:w="3544" w:type="dxa"/>
            <w:gridSpan w:val="3"/>
          </w:tcPr>
          <w:p w14:paraId="4B79DF4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851" w:type="dxa"/>
            <w:vAlign w:val="center"/>
          </w:tcPr>
          <w:p w14:paraId="03C27C2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EB548E9" w14:textId="0CBFEEC9"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2"/>
                <w14:textFill>
                  <w14:solidFill>
                    <w14:srgbClr w14:val="000000">
                      <w14:alpha w14:val="100000"/>
                    </w14:srgbClr>
                  </w14:solidFill>
                </w14:textFill>
              </w:rPr>
              <w:t>|||</w:t>
            </w:r>
            <w:r w:rsidR="00F111EB" w:rsidRPr="00F111EB">
              <w:rPr>
                <w:color w:val="000000"/>
                <w:spacing w:val="3"/>
                <w:shd w:val="solid" w:color="000000" w:fill="000000"/>
                <w:fitText w:val="326" w:id="-761015032"/>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1D786CF5" w14:textId="0D39D0C5"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2FF8C0A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502C13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5BB6E4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0282EAE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94F77CE" w14:textId="77777777" w:rsidTr="00427F21">
        <w:trPr>
          <w:cantSplit/>
          <w:trHeight w:val="20"/>
        </w:trPr>
        <w:tc>
          <w:tcPr>
            <w:tcW w:w="3544" w:type="dxa"/>
            <w:gridSpan w:val="3"/>
          </w:tcPr>
          <w:p w14:paraId="53607302"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851" w:type="dxa"/>
            <w:vAlign w:val="center"/>
          </w:tcPr>
          <w:p w14:paraId="2AFB873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009C80" w14:textId="4FEB923D"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0"/>
                <w14:textFill>
                  <w14:solidFill>
                    <w14:srgbClr w14:val="000000">
                      <w14:alpha w14:val="100000"/>
                    </w14:srgbClr>
                  </w14:solidFill>
                </w14:textFill>
              </w:rPr>
              <w:t>|||</w:t>
            </w:r>
            <w:r w:rsidR="00F111EB" w:rsidRPr="00F111EB">
              <w:rPr>
                <w:color w:val="000000"/>
                <w:spacing w:val="3"/>
                <w:shd w:val="solid" w:color="000000" w:fill="000000"/>
                <w:fitText w:val="326" w:id="-761015030"/>
                <w14:textFill>
                  <w14:solidFill>
                    <w14:srgbClr w14:val="000000">
                      <w14:alpha w14:val="100000"/>
                    </w14:srgbClr>
                  </w14:solidFill>
                </w14:textFill>
              </w:rPr>
              <w:t>|</w:t>
            </w:r>
            <w:r w:rsidRPr="00C07C0C">
              <w:t xml:space="preserve"> published</w:t>
            </w:r>
          </w:p>
          <w:p w14:paraId="3628E792" w14:textId="2B5D4BB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A48AFB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189097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13D173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4FB04B8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2CF795B" w14:textId="77777777" w:rsidTr="00427F21">
        <w:trPr>
          <w:cantSplit/>
          <w:trHeight w:val="20"/>
        </w:trPr>
        <w:tc>
          <w:tcPr>
            <w:tcW w:w="3544" w:type="dxa"/>
            <w:gridSpan w:val="3"/>
          </w:tcPr>
          <w:p w14:paraId="38B3DEE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851" w:type="dxa"/>
            <w:vAlign w:val="center"/>
          </w:tcPr>
          <w:p w14:paraId="5FFDD7B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873D44" w14:textId="46E90E76"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28"/>
                <w14:textFill>
                  <w14:solidFill>
                    <w14:srgbClr w14:val="000000">
                      <w14:alpha w14:val="100000"/>
                    </w14:srgbClr>
                  </w14:solidFill>
                </w14:textFill>
              </w:rPr>
              <w:t>|||</w:t>
            </w:r>
            <w:r w:rsidR="00F111EB" w:rsidRPr="00F111EB">
              <w:rPr>
                <w:color w:val="000000"/>
                <w:spacing w:val="3"/>
                <w:shd w:val="solid" w:color="000000" w:fill="000000"/>
                <w:fitText w:val="326" w:id="-761015028"/>
                <w14:textFill>
                  <w14:solidFill>
                    <w14:srgbClr w14:val="000000">
                      <w14:alpha w14:val="100000"/>
                    </w14:srgbClr>
                  </w14:solidFill>
                </w14:textFill>
              </w:rPr>
              <w:t>|</w:t>
            </w:r>
            <w:r w:rsidRPr="00C07C0C">
              <w:t xml:space="preserve"> published</w:t>
            </w:r>
          </w:p>
          <w:p w14:paraId="677BC957" w14:textId="62884EF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2E804F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A145DCF"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A5FD0BA"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38D7331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3BE07B5" w14:textId="77777777" w:rsidTr="00427F21">
        <w:trPr>
          <w:cantSplit/>
          <w:trHeight w:val="20"/>
        </w:trPr>
        <w:tc>
          <w:tcPr>
            <w:tcW w:w="3544" w:type="dxa"/>
            <w:gridSpan w:val="3"/>
          </w:tcPr>
          <w:p w14:paraId="5C6F71E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851" w:type="dxa"/>
            <w:vAlign w:val="center"/>
          </w:tcPr>
          <w:p w14:paraId="63B42564"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21C73C9" w14:textId="59149C28"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6"/>
                <w14:textFill>
                  <w14:solidFill>
                    <w14:srgbClr w14:val="000000">
                      <w14:alpha w14:val="100000"/>
                    </w14:srgbClr>
                  </w14:solidFill>
                </w14:textFill>
              </w:rPr>
              <w:t>|||</w:t>
            </w:r>
            <w:r w:rsidR="00F111EB" w:rsidRPr="00F111EB">
              <w:rPr>
                <w:color w:val="000000"/>
                <w:spacing w:val="3"/>
                <w:szCs w:val="20"/>
                <w:shd w:val="solid" w:color="000000" w:fill="000000"/>
                <w:fitText w:val="326" w:id="-761015026"/>
                <w14:textFill>
                  <w14:solidFill>
                    <w14:srgbClr w14:val="000000">
                      <w14:alpha w14:val="100000"/>
                    </w14:srgbClr>
                  </w14:solidFill>
                </w14:textFill>
              </w:rPr>
              <w:t>|</w:t>
            </w:r>
            <w:r w:rsidRPr="0076762E">
              <w:rPr>
                <w:szCs w:val="20"/>
              </w:rPr>
              <w:t xml:space="preserve"> published</w:t>
            </w:r>
          </w:p>
          <w:p w14:paraId="3A71563A" w14:textId="7AD338E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905C87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DE8251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DE3D57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18814EF0"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97C3032" w14:textId="77777777" w:rsidTr="00427F21">
        <w:trPr>
          <w:cantSplit/>
          <w:trHeight w:val="20"/>
        </w:trPr>
        <w:tc>
          <w:tcPr>
            <w:tcW w:w="3544" w:type="dxa"/>
            <w:gridSpan w:val="3"/>
          </w:tcPr>
          <w:p w14:paraId="1C3A7F4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851" w:type="dxa"/>
            <w:vAlign w:val="center"/>
          </w:tcPr>
          <w:p w14:paraId="35E5707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C5F2010" w14:textId="1D0854D7"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4"/>
                <w14:textFill>
                  <w14:solidFill>
                    <w14:srgbClr w14:val="000000">
                      <w14:alpha w14:val="100000"/>
                    </w14:srgbClr>
                  </w14:solidFill>
                </w14:textFill>
              </w:rPr>
              <w:t>|||</w:t>
            </w:r>
            <w:r w:rsidR="00F111EB" w:rsidRPr="00F111EB">
              <w:rPr>
                <w:color w:val="000000"/>
                <w:spacing w:val="3"/>
                <w:szCs w:val="20"/>
                <w:shd w:val="solid" w:color="000000" w:fill="000000"/>
                <w:fitText w:val="326" w:id="-761015024"/>
                <w14:textFill>
                  <w14:solidFill>
                    <w14:srgbClr w14:val="000000">
                      <w14:alpha w14:val="100000"/>
                    </w14:srgbClr>
                  </w14:solidFill>
                </w14:textFill>
              </w:rPr>
              <w:t>|</w:t>
            </w:r>
            <w:r w:rsidRPr="0076762E">
              <w:rPr>
                <w:szCs w:val="20"/>
              </w:rPr>
              <w:t xml:space="preserve"> published</w:t>
            </w:r>
          </w:p>
          <w:p w14:paraId="0B317614" w14:textId="1F90BECE"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4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4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038B81FC"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A06542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FD7FB9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1BDBC75E"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349ED58" w14:textId="77777777" w:rsidTr="00427F21">
        <w:trPr>
          <w:cantSplit/>
          <w:trHeight w:val="20"/>
        </w:trPr>
        <w:tc>
          <w:tcPr>
            <w:tcW w:w="8080" w:type="dxa"/>
            <w:gridSpan w:val="8"/>
          </w:tcPr>
          <w:p w14:paraId="0C51E03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943" w:type="dxa"/>
            <w:vMerge/>
            <w:vAlign w:val="center"/>
          </w:tcPr>
          <w:p w14:paraId="3C131643"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0EB92DF" w14:textId="77777777" w:rsidTr="00427F21">
        <w:trPr>
          <w:cantSplit/>
          <w:trHeight w:val="20"/>
        </w:trPr>
        <w:tc>
          <w:tcPr>
            <w:tcW w:w="3544" w:type="dxa"/>
            <w:gridSpan w:val="3"/>
          </w:tcPr>
          <w:p w14:paraId="06231D1E"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851" w:type="dxa"/>
            <w:vAlign w:val="center"/>
          </w:tcPr>
          <w:p w14:paraId="72982AAD"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D3D20A5" w14:textId="58C4FCAA"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9"/>
                <w14:textFill>
                  <w14:solidFill>
                    <w14:srgbClr w14:val="000000">
                      <w14:alpha w14:val="100000"/>
                    </w14:srgbClr>
                  </w14:solidFill>
                </w14:textFill>
              </w:rPr>
              <w:t>|||</w:t>
            </w:r>
            <w:r w:rsidR="00F111EB" w:rsidRPr="00F111EB">
              <w:rPr>
                <w:color w:val="000000"/>
                <w:spacing w:val="3"/>
                <w:shd w:val="solid" w:color="000000" w:fill="000000"/>
                <w:fitText w:val="326" w:id="-761015039"/>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C20BAB4" w14:textId="6A421A9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8"/>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8"/>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EA744B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203D23B"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7A512A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12C955C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601FB66" w14:textId="77777777" w:rsidTr="00427F21">
        <w:trPr>
          <w:cantSplit/>
          <w:trHeight w:val="20"/>
        </w:trPr>
        <w:tc>
          <w:tcPr>
            <w:tcW w:w="3544" w:type="dxa"/>
            <w:gridSpan w:val="3"/>
          </w:tcPr>
          <w:p w14:paraId="786E52F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851" w:type="dxa"/>
            <w:vAlign w:val="center"/>
          </w:tcPr>
          <w:p w14:paraId="5519D575"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937D15" w14:textId="4ACB6326" w:rsidR="00C07C0C" w:rsidRPr="00C07C0C" w:rsidRDefault="00C07C0C" w:rsidP="00427F21">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7"/>
                <w14:textFill>
                  <w14:solidFill>
                    <w14:srgbClr w14:val="000000">
                      <w14:alpha w14:val="100000"/>
                    </w14:srgbClr>
                  </w14:solidFill>
                </w14:textFill>
              </w:rPr>
              <w:t>|||</w:t>
            </w:r>
            <w:r w:rsidR="00F111EB" w:rsidRPr="00F111EB">
              <w:rPr>
                <w:color w:val="000000"/>
                <w:spacing w:val="3"/>
                <w:shd w:val="solid" w:color="000000" w:fill="000000"/>
                <w:fitText w:val="326" w:id="-76101503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B71EBC1" w14:textId="079F8F5C"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C6E281A"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90530E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73113D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60D3BCE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BD6DE05" w14:textId="77777777" w:rsidTr="00427F21">
        <w:trPr>
          <w:cantSplit/>
          <w:trHeight w:val="20"/>
        </w:trPr>
        <w:tc>
          <w:tcPr>
            <w:tcW w:w="3544" w:type="dxa"/>
            <w:gridSpan w:val="3"/>
          </w:tcPr>
          <w:p w14:paraId="051654F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851" w:type="dxa"/>
            <w:vAlign w:val="center"/>
          </w:tcPr>
          <w:p w14:paraId="2354780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2B2FE7F" w14:textId="1B957840"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5"/>
                <w14:textFill>
                  <w14:solidFill>
                    <w14:srgbClr w14:val="000000">
                      <w14:alpha w14:val="100000"/>
                    </w14:srgbClr>
                  </w14:solidFill>
                </w14:textFill>
              </w:rPr>
              <w:t>|||</w:t>
            </w:r>
            <w:r w:rsidR="00F111EB" w:rsidRPr="00F111EB">
              <w:rPr>
                <w:color w:val="000000"/>
                <w:spacing w:val="3"/>
                <w:shd w:val="solid" w:color="000000" w:fill="000000"/>
                <w:fitText w:val="326" w:id="-761015035"/>
                <w14:textFill>
                  <w14:solidFill>
                    <w14:srgbClr w14:val="000000">
                      <w14:alpha w14:val="100000"/>
                    </w14:srgbClr>
                  </w14:solidFill>
                </w14:textFill>
              </w:rPr>
              <w:t>|</w:t>
            </w:r>
            <w:r w:rsidRPr="00C07C0C">
              <w:t xml:space="preserve"> published</w:t>
            </w:r>
          </w:p>
          <w:p w14:paraId="44C66A90" w14:textId="4449234B"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4"/>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AF2E03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28F9563"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962CBC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5E30A92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793BC254" w14:textId="77777777" w:rsidTr="00427F21">
        <w:trPr>
          <w:cantSplit/>
          <w:trHeight w:val="20"/>
        </w:trPr>
        <w:tc>
          <w:tcPr>
            <w:tcW w:w="3544" w:type="dxa"/>
            <w:gridSpan w:val="3"/>
          </w:tcPr>
          <w:p w14:paraId="4D1021E9"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851" w:type="dxa"/>
            <w:vAlign w:val="center"/>
          </w:tcPr>
          <w:p w14:paraId="29FDA30B"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96FDA25" w14:textId="2BF1BBB8" w:rsidR="00C07C0C" w:rsidRPr="00C07C0C" w:rsidRDefault="00C07C0C" w:rsidP="00427F21">
            <w:pPr>
              <w:pStyle w:val="COMTabletext"/>
              <w:jc w:val="center"/>
            </w:pPr>
            <w:r w:rsidRPr="00C07C0C">
              <w:t>$</w:t>
            </w:r>
            <w:r w:rsidR="00F111EB" w:rsidRPr="00F111EB">
              <w:rPr>
                <w:color w:val="000000"/>
                <w:spacing w:val="51"/>
                <w:shd w:val="solid" w:color="000000" w:fill="000000"/>
                <w:fitText w:val="326" w:id="-761015033"/>
                <w14:textFill>
                  <w14:solidFill>
                    <w14:srgbClr w14:val="000000">
                      <w14:alpha w14:val="100000"/>
                    </w14:srgbClr>
                  </w14:solidFill>
                </w14:textFill>
              </w:rPr>
              <w:t>|||</w:t>
            </w:r>
            <w:r w:rsidR="00F111EB" w:rsidRPr="00F111EB">
              <w:rPr>
                <w:color w:val="000000"/>
                <w:spacing w:val="3"/>
                <w:shd w:val="solid" w:color="000000" w:fill="000000"/>
                <w:fitText w:val="326" w:id="-761015033"/>
                <w14:textFill>
                  <w14:solidFill>
                    <w14:srgbClr w14:val="000000">
                      <w14:alpha w14:val="100000"/>
                    </w14:srgbClr>
                  </w14:solidFill>
                </w14:textFill>
              </w:rPr>
              <w:t>|</w:t>
            </w:r>
            <w:r w:rsidRPr="00C07C0C">
              <w:t xml:space="preserve"> published</w:t>
            </w:r>
          </w:p>
          <w:p w14:paraId="7EF1B50B" w14:textId="119791D9"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2"/>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9BB5931"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359596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5C6E15D"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49C081AE"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FC9734C" w14:textId="77777777" w:rsidTr="00427F21">
        <w:trPr>
          <w:cantSplit/>
          <w:trHeight w:val="20"/>
        </w:trPr>
        <w:tc>
          <w:tcPr>
            <w:tcW w:w="3544" w:type="dxa"/>
            <w:gridSpan w:val="3"/>
          </w:tcPr>
          <w:p w14:paraId="049B13B8"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851" w:type="dxa"/>
            <w:vAlign w:val="center"/>
          </w:tcPr>
          <w:p w14:paraId="04135AD9"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9E2A45" w14:textId="7E844168"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1"/>
                <w14:textFill>
                  <w14:solidFill>
                    <w14:srgbClr w14:val="000000">
                      <w14:alpha w14:val="100000"/>
                    </w14:srgbClr>
                  </w14:solidFill>
                </w14:textFill>
              </w:rPr>
              <w:t>|||</w:t>
            </w:r>
            <w:r w:rsidR="00F111EB" w:rsidRPr="00F111EB">
              <w:rPr>
                <w:color w:val="000000"/>
                <w:spacing w:val="3"/>
                <w:szCs w:val="20"/>
                <w:shd w:val="solid" w:color="000000" w:fill="000000"/>
                <w:fitText w:val="326" w:id="-761015031"/>
                <w14:textFill>
                  <w14:solidFill>
                    <w14:srgbClr w14:val="000000">
                      <w14:alpha w14:val="100000"/>
                    </w14:srgbClr>
                  </w14:solidFill>
                </w14:textFill>
              </w:rPr>
              <w:t>|</w:t>
            </w:r>
            <w:r w:rsidRPr="0076762E">
              <w:rPr>
                <w:szCs w:val="20"/>
              </w:rPr>
              <w:t xml:space="preserve"> published</w:t>
            </w:r>
          </w:p>
          <w:p w14:paraId="4C502F6B" w14:textId="640A55A8"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B37F0D7"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C1F4131"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614F3E2" w14:textId="77777777" w:rsidR="00C07C0C" w:rsidRPr="008F4886" w:rsidRDefault="00C07C0C" w:rsidP="00427F21">
            <w:pPr>
              <w:spacing w:line="259" w:lineRule="auto"/>
              <w:jc w:val="left"/>
              <w:rPr>
                <w:rFonts w:ascii="Arial Narrow" w:eastAsia="Calibri" w:hAnsi="Arial Narrow" w:cs="Times New Roman"/>
                <w:strike/>
                <w:kern w:val="2"/>
                <w:sz w:val="20"/>
                <w:szCs w:val="20"/>
                <w:lang w:eastAsia="en-US"/>
                <w14:ligatures w14:val="standardContextual"/>
              </w:rPr>
            </w:pPr>
            <w:r w:rsidRPr="008F4886">
              <w:rPr>
                <w:rFonts w:ascii="Arial Narrow" w:eastAsia="Calibri" w:hAnsi="Arial Narrow" w:cs="Times New Roman"/>
                <w:strike/>
                <w:kern w:val="2"/>
                <w:sz w:val="20"/>
                <w:szCs w:val="20"/>
                <w:lang w:eastAsia="en-US"/>
                <w14:ligatures w14:val="standardContextual"/>
              </w:rPr>
              <w:t>5</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i/>
                <w:iCs/>
                <w:kern w:val="2"/>
                <w:sz w:val="20"/>
                <w:szCs w:val="20"/>
                <w:lang w:eastAsia="en-US"/>
                <w14:ligatures w14:val="standardContextual"/>
              </w:rPr>
              <w:t>1</w:t>
            </w:r>
          </w:p>
        </w:tc>
        <w:tc>
          <w:tcPr>
            <w:tcW w:w="943" w:type="dxa"/>
            <w:vMerge/>
            <w:vAlign w:val="center"/>
          </w:tcPr>
          <w:p w14:paraId="6CDCDAF9"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D4C5640" w14:textId="77777777" w:rsidTr="00427F21">
        <w:trPr>
          <w:cantSplit/>
          <w:trHeight w:val="20"/>
        </w:trPr>
        <w:tc>
          <w:tcPr>
            <w:tcW w:w="3544" w:type="dxa"/>
            <w:gridSpan w:val="3"/>
          </w:tcPr>
          <w:p w14:paraId="1E5919BB"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851" w:type="dxa"/>
            <w:vAlign w:val="center"/>
          </w:tcPr>
          <w:p w14:paraId="7A235556" w14:textId="7777777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4EF88CE" w14:textId="10347AAE" w:rsidR="00C07C0C" w:rsidRPr="0076762E" w:rsidRDefault="00C07C0C" w:rsidP="00427F21">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9"/>
                <w14:textFill>
                  <w14:solidFill>
                    <w14:srgbClr w14:val="000000">
                      <w14:alpha w14:val="100000"/>
                    </w14:srgbClr>
                  </w14:solidFill>
                </w14:textFill>
              </w:rPr>
              <w:t>|||</w:t>
            </w:r>
            <w:r w:rsidR="00F111EB" w:rsidRPr="00F111EB">
              <w:rPr>
                <w:color w:val="000000"/>
                <w:spacing w:val="3"/>
                <w:szCs w:val="20"/>
                <w:shd w:val="solid" w:color="000000" w:fill="000000"/>
                <w:fitText w:val="326" w:id="-761015029"/>
                <w14:textFill>
                  <w14:solidFill>
                    <w14:srgbClr w14:val="000000">
                      <w14:alpha w14:val="100000"/>
                    </w14:srgbClr>
                  </w14:solidFill>
                </w14:textFill>
              </w:rPr>
              <w:t>|</w:t>
            </w:r>
            <w:r w:rsidRPr="0076762E">
              <w:rPr>
                <w:szCs w:val="20"/>
              </w:rPr>
              <w:t xml:space="preserve"> published</w:t>
            </w:r>
          </w:p>
          <w:p w14:paraId="5B3CDCCB" w14:textId="7A684FC4"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48EF4AFC"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F1C8D53"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5667296"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3" w:type="dxa"/>
            <w:vMerge/>
            <w:vAlign w:val="center"/>
          </w:tcPr>
          <w:p w14:paraId="66469844"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AE13441" w14:textId="77777777" w:rsidTr="00427F21">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tcPr>
          <w:p w14:paraId="34959E28"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879D14D" w14:textId="77777777" w:rsidTr="00427F21">
        <w:tblPrEx>
          <w:tblCellMar>
            <w:top w:w="15" w:type="dxa"/>
            <w:bottom w:w="15" w:type="dxa"/>
          </w:tblCellMar>
          <w:tblLook w:val="04A0" w:firstRow="1" w:lastRow="0" w:firstColumn="1" w:lastColumn="0" w:noHBand="0" w:noVBand="1"/>
        </w:tblPrEx>
        <w:trPr>
          <w:trHeight w:val="20"/>
        </w:trPr>
        <w:tc>
          <w:tcPr>
            <w:tcW w:w="9023" w:type="dxa"/>
            <w:gridSpan w:val="9"/>
            <w:tcBorders>
              <w:top w:val="single" w:sz="4" w:space="0" w:color="auto"/>
              <w:left w:val="single" w:sz="4" w:space="0" w:color="auto"/>
              <w:right w:val="single" w:sz="4" w:space="0" w:color="auto"/>
            </w:tcBorders>
            <w:vAlign w:val="center"/>
          </w:tcPr>
          <w:p w14:paraId="5C9E85A4" w14:textId="77777777" w:rsidR="00C07C0C" w:rsidRPr="008F4886" w:rsidRDefault="00C07C0C" w:rsidP="00427F21">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12A17ECA"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val="restart"/>
            <w:tcBorders>
              <w:top w:val="single" w:sz="4" w:space="0" w:color="auto"/>
              <w:left w:val="single" w:sz="4" w:space="0" w:color="auto"/>
              <w:right w:val="single" w:sz="4" w:space="0" w:color="auto"/>
            </w:tcBorders>
          </w:tcPr>
          <w:p w14:paraId="045F3FF5" w14:textId="05E3F439"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5254A55"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0471B79F"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right w:val="single" w:sz="4" w:space="0" w:color="auto"/>
            </w:tcBorders>
          </w:tcPr>
          <w:p w14:paraId="5889D20A"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A4BAE7D" w14:textId="77777777"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78D61EB9" w14:textId="77777777" w:rsidTr="00427F21">
        <w:tblPrEx>
          <w:tblCellMar>
            <w:top w:w="15" w:type="dxa"/>
            <w:bottom w:w="15" w:type="dxa"/>
          </w:tblCellMar>
          <w:tblLook w:val="04A0" w:firstRow="1" w:lastRow="0" w:firstColumn="1" w:lastColumn="0" w:noHBand="0" w:noVBand="1"/>
        </w:tblPrEx>
        <w:trPr>
          <w:trHeight w:val="20"/>
        </w:trPr>
        <w:tc>
          <w:tcPr>
            <w:tcW w:w="1278" w:type="dxa"/>
            <w:gridSpan w:val="2"/>
            <w:vMerge/>
            <w:tcBorders>
              <w:left w:val="single" w:sz="4" w:space="0" w:color="auto"/>
              <w:bottom w:val="single" w:sz="4" w:space="0" w:color="auto"/>
              <w:right w:val="single" w:sz="4" w:space="0" w:color="auto"/>
            </w:tcBorders>
          </w:tcPr>
          <w:p w14:paraId="199E09CF"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EEB02C5" w14:textId="77777777" w:rsidR="00C07C0C" w:rsidRPr="008F4886" w:rsidRDefault="00C07C0C" w:rsidP="00427F21">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C07C0C" w:rsidRPr="008F4886" w14:paraId="513A09B1" w14:textId="77777777" w:rsidTr="00427F21">
        <w:tblPrEx>
          <w:tblCellMar>
            <w:top w:w="15" w:type="dxa"/>
            <w:bottom w:w="15" w:type="dxa"/>
          </w:tblCellMar>
          <w:tblLook w:val="04A0" w:firstRow="1" w:lastRow="0" w:firstColumn="1" w:lastColumn="0" w:noHBand="0" w:noVBand="1"/>
        </w:tblPrEx>
        <w:trPr>
          <w:trHeight w:val="20"/>
        </w:trPr>
        <w:tc>
          <w:tcPr>
            <w:tcW w:w="427" w:type="dxa"/>
            <w:vMerge w:val="restart"/>
            <w:tcBorders>
              <w:left w:val="single" w:sz="4" w:space="0" w:color="auto"/>
              <w:right w:val="single" w:sz="4" w:space="0" w:color="auto"/>
            </w:tcBorders>
          </w:tcPr>
          <w:p w14:paraId="49659345" w14:textId="600D9127" w:rsidR="00C07C0C" w:rsidRPr="008F4886" w:rsidRDefault="00C07C0C" w:rsidP="00427F21">
            <w:pPr>
              <w:spacing w:line="259" w:lineRule="auto"/>
              <w:jc w:val="left"/>
              <w:rPr>
                <w:rFonts w:ascii="Arial Narrow" w:eastAsia="Calibri" w:hAnsi="Arial Narrow" w:cs="Times New Roman"/>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58CFA5D7" w14:textId="6034ED96"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11A18E6" w14:textId="77777777" w:rsidR="00C07C0C" w:rsidRPr="008F4886" w:rsidRDefault="00C07C0C" w:rsidP="00427F21">
            <w:pPr>
              <w:spacing w:line="259" w:lineRule="auto"/>
              <w:jc w:val="left"/>
              <w:rPr>
                <w:rFonts w:ascii="Arial Narrow" w:eastAsia="Calibri" w:hAnsi="Arial Narrow" w:cs="Times New Roman"/>
                <w:b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3C20FAA2" w14:textId="77777777" w:rsidTr="00427F21">
        <w:tblPrEx>
          <w:tblCellMar>
            <w:top w:w="15" w:type="dxa"/>
            <w:bottom w:w="15" w:type="dxa"/>
          </w:tblCellMar>
          <w:tblLook w:val="04A0" w:firstRow="1" w:lastRow="0" w:firstColumn="1" w:lastColumn="0" w:noHBand="0" w:noVBand="1"/>
        </w:tblPrEx>
        <w:trPr>
          <w:trHeight w:val="20"/>
        </w:trPr>
        <w:tc>
          <w:tcPr>
            <w:tcW w:w="427" w:type="dxa"/>
            <w:vMerge/>
            <w:tcBorders>
              <w:left w:val="single" w:sz="4" w:space="0" w:color="auto"/>
              <w:right w:val="single" w:sz="4" w:space="0" w:color="auto"/>
            </w:tcBorders>
          </w:tcPr>
          <w:p w14:paraId="3A92B8D9"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29CA25BD" w14:textId="25D562E5"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B169362" w14:textId="77777777" w:rsidR="00C07C0C" w:rsidRPr="008F4886" w:rsidRDefault="00C07C0C" w:rsidP="00427F21">
            <w:pPr>
              <w:spacing w:line="256"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5C087C22" w14:textId="77777777" w:rsidTr="00427F21">
        <w:tblPrEx>
          <w:tblCellMar>
            <w:top w:w="15" w:type="dxa"/>
            <w:bottom w:w="15" w:type="dxa"/>
          </w:tblCellMar>
          <w:tblLook w:val="04A0" w:firstRow="1" w:lastRow="0" w:firstColumn="1" w:lastColumn="0" w:noHBand="0" w:noVBand="1"/>
        </w:tblPrEx>
        <w:trPr>
          <w:trHeight w:val="20"/>
        </w:trPr>
        <w:tc>
          <w:tcPr>
            <w:tcW w:w="427" w:type="dxa"/>
            <w:vMerge/>
            <w:tcBorders>
              <w:left w:val="single" w:sz="4" w:space="0" w:color="auto"/>
              <w:bottom w:val="single" w:sz="4" w:space="0" w:color="auto"/>
              <w:right w:val="single" w:sz="4" w:space="0" w:color="auto"/>
            </w:tcBorders>
          </w:tcPr>
          <w:p w14:paraId="583BDF22" w14:textId="77777777"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851" w:type="dxa"/>
            <w:tcBorders>
              <w:left w:val="single" w:sz="4" w:space="0" w:color="auto"/>
              <w:bottom w:val="single" w:sz="4" w:space="0" w:color="auto"/>
              <w:right w:val="single" w:sz="4" w:space="0" w:color="auto"/>
            </w:tcBorders>
          </w:tcPr>
          <w:p w14:paraId="0BEC03BB" w14:textId="3BF2EAB0" w:rsidR="00C07C0C" w:rsidRPr="008F4886" w:rsidRDefault="00C07C0C" w:rsidP="00427F21">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857D161" w14:textId="77777777" w:rsidR="00C07C0C" w:rsidRPr="008F4886" w:rsidRDefault="00C07C0C" w:rsidP="00427F21">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12F10D1C"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8F14F8" w14:textId="71223FAC"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8244829"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strike/>
                <w:kern w:val="2"/>
                <w:sz w:val="20"/>
                <w:szCs w:val="20"/>
                <w14:ligatures w14:val="standardContextual"/>
              </w:rPr>
              <w:t>in an Aboriginal and Torres Strait Islander Adult</w:t>
            </w:r>
          </w:p>
        </w:tc>
      </w:tr>
      <w:tr w:rsidR="00C07C0C" w:rsidRPr="008F4886" w14:paraId="7026B7EC"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490B833"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EF74BDF"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kern w:val="2"/>
                <w:sz w:val="20"/>
                <w:szCs w:val="20"/>
                <w14:ligatures w14:val="standardContextual"/>
              </w:rPr>
              <w:t xml:space="preserve">Initial treatment </w:t>
            </w:r>
            <w:r w:rsidRPr="008F4886">
              <w:rPr>
                <w:rFonts w:ascii="Arial Narrow" w:eastAsia="Calibri" w:hAnsi="Arial Narrow" w:cs="Times New Roman"/>
                <w:i/>
                <w:iCs/>
                <w:kern w:val="2"/>
                <w:sz w:val="20"/>
                <w:szCs w:val="20"/>
                <w14:ligatures w14:val="standardContextual"/>
              </w:rPr>
              <w:t>in an Aboriginal or Torres Strait Islander patients</w:t>
            </w:r>
          </w:p>
        </w:tc>
      </w:tr>
      <w:tr w:rsidR="00C07C0C" w:rsidRPr="008F4886" w14:paraId="535B8F6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86ADA23"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63F3EDD" w14:textId="77777777" w:rsidR="00C07C0C" w:rsidRPr="008F4886" w:rsidRDefault="00C07C0C" w:rsidP="00427F21">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 xml:space="preserve">Clinical criteria: </w:t>
            </w:r>
          </w:p>
        </w:tc>
      </w:tr>
      <w:tr w:rsidR="00C07C0C" w:rsidRPr="008F4886" w14:paraId="5FBC1110"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A9A656B"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031C0BF" w14:textId="77777777" w:rsidR="00C07C0C" w:rsidRPr="008F4886" w:rsidRDefault="00C07C0C" w:rsidP="00427F21">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have a confirmed diagnosis of type 2 diabetes</w:t>
            </w:r>
          </w:p>
        </w:tc>
      </w:tr>
      <w:tr w:rsidR="00C07C0C" w:rsidRPr="008F4886" w14:paraId="3C95BD0D"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CE77D0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7B59804"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C07C0C" w:rsidRPr="008F4886" w14:paraId="33636C1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7826F44" w14:textId="49F18C3D"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1F371D9"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816765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837B662" w14:textId="4139725F"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C5C8E43" w14:textId="77777777" w:rsidR="00C07C0C" w:rsidRPr="008F4886" w:rsidRDefault="00C07C0C" w:rsidP="00427F21">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strike/>
                <w:kern w:val="2"/>
                <w:sz w:val="20"/>
                <w:szCs w:val="20"/>
                <w:lang w:val="en-US"/>
                <w14:ligatures w14:val="standardContextual"/>
              </w:rPr>
              <w:t>Patient must be an Aboriginal and Torres Strait Islander person</w:t>
            </w:r>
          </w:p>
          <w:p w14:paraId="65CA972D"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63B0240E"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0C684A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ADCCCF8" w14:textId="77777777" w:rsidR="00C07C0C" w:rsidRPr="008F4886" w:rsidRDefault="00C07C0C" w:rsidP="00427F21">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050817C5"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76409D8" w14:textId="378865F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3DA9EBA" w14:textId="77777777" w:rsidR="00C07C0C" w:rsidRPr="008F4886" w:rsidRDefault="00C07C0C" w:rsidP="00427F21">
            <w:pPr>
              <w:spacing w:line="259" w:lineRule="auto"/>
              <w:jc w:val="left"/>
              <w:rPr>
                <w:rFonts w:ascii="Arial Narrow" w:eastAsia="Calibri" w:hAnsi="Arial Narrow" w:cs="Times New Roman"/>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4702EBF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2849E02" w14:textId="77A189D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4AE8A77"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The treatment must be used in combination with at least one of: metformin, a sulfonylurea, insulin</w:t>
            </w:r>
          </w:p>
        </w:tc>
      </w:tr>
      <w:tr w:rsidR="00C07C0C" w:rsidRPr="008F4886" w14:paraId="366BD9B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62362C8"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26917CC2"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756B8A73"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8D41DC" w14:textId="491CC9CF"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60248E14"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1B25B903"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9AB6147" w14:textId="0192662B"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EBFB23D" w14:textId="77777777" w:rsidR="00C07C0C" w:rsidRPr="008F4886" w:rsidRDefault="00C07C0C" w:rsidP="00427F21">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The condition must be inadequately responsive to at least one of: (i) metformin, (ii) a sulfonylurea, or (iii) insulin</w:t>
            </w:r>
          </w:p>
        </w:tc>
      </w:tr>
      <w:tr w:rsidR="00C07C0C" w:rsidRPr="008F4886" w14:paraId="0A61756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1375C78"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3E319CC"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6733591E"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7E20FDD" w14:textId="365E8CB1"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16877F82" w14:textId="77777777" w:rsidR="00C07C0C" w:rsidRPr="008F4886" w:rsidRDefault="00C07C0C" w:rsidP="00427F21">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7FE17830"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7EECB43" w14:textId="30AB4437"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EF88A60" w14:textId="77777777" w:rsidR="00C07C0C" w:rsidRPr="008F4886" w:rsidRDefault="00C07C0C" w:rsidP="00427F21">
            <w:pPr>
              <w:jc w:val="left"/>
              <w:rPr>
                <w:rFonts w:ascii="Arial Narrow" w:hAnsi="Arial Narrow" w:cs="Calibri"/>
                <w:color w:val="333333"/>
                <w:kern w:val="2"/>
                <w:sz w:val="20"/>
                <w:szCs w:val="20"/>
                <w:lang w:val="en-US"/>
                <w14:ligatures w14:val="standardContextual"/>
              </w:rPr>
            </w:pPr>
            <w:r w:rsidRPr="008F4886">
              <w:rPr>
                <w:rFonts w:ascii="Arial Narrow" w:hAnsi="Arial Narrow" w:cs="Calibri"/>
                <w:color w:val="333333"/>
                <w:kern w:val="2"/>
                <w:sz w:val="20"/>
                <w:szCs w:val="20"/>
                <w:lang w:val="en-US"/>
                <w14:ligatures w14:val="standardContextual"/>
              </w:rPr>
              <w:t xml:space="preserve">Patient must not have achieved a clinically meaningful </w:t>
            </w:r>
            <w:proofErr w:type="spellStart"/>
            <w:r w:rsidRPr="008F4886">
              <w:rPr>
                <w:rFonts w:ascii="Arial Narrow" w:hAnsi="Arial Narrow" w:cs="Calibri"/>
                <w:color w:val="333333"/>
                <w:kern w:val="2"/>
                <w:sz w:val="20"/>
                <w:szCs w:val="20"/>
                <w:lang w:val="en-US"/>
                <w14:ligatures w14:val="standardContextual"/>
              </w:rPr>
              <w:t>glycaemic</w:t>
            </w:r>
            <w:proofErr w:type="spellEnd"/>
            <w:r w:rsidRPr="008F4886">
              <w:rPr>
                <w:rFonts w:ascii="Arial Narrow" w:hAnsi="Arial Narrow" w:cs="Calibri"/>
                <w:color w:val="333333"/>
                <w:kern w:val="2"/>
                <w:sz w:val="20"/>
                <w:szCs w:val="20"/>
                <w:lang w:val="en-US"/>
                <w14:ligatures w14:val="standardContextual"/>
              </w:rPr>
              <w:t xml:space="preserve"> response with an SGLT2 inhibitor; OR</w:t>
            </w:r>
          </w:p>
        </w:tc>
      </w:tr>
      <w:tr w:rsidR="00C07C0C" w:rsidRPr="008F4886" w14:paraId="6DC851DB"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7CCB82F" w14:textId="752FC026" w:rsidR="00C07C0C" w:rsidRPr="008F4886" w:rsidRDefault="00C07C0C" w:rsidP="00427F21">
            <w:pPr>
              <w:jc w:val="center"/>
              <w:rPr>
                <w:rFonts w:ascii="Arial Narrow" w:eastAsia="Calibri" w:hAnsi="Arial Narrow" w:cs="Times New Roman"/>
                <w:kern w:val="2"/>
                <w:sz w:val="20"/>
                <w:szCs w:val="20"/>
                <w14:ligatures w14:val="standardContextual"/>
              </w:rPr>
            </w:pPr>
          </w:p>
        </w:tc>
        <w:tc>
          <w:tcPr>
            <w:tcW w:w="7745" w:type="dxa"/>
            <w:gridSpan w:val="7"/>
            <w:vAlign w:val="center"/>
          </w:tcPr>
          <w:p w14:paraId="53C2A888" w14:textId="77777777" w:rsidR="00C07C0C" w:rsidRPr="008F4886" w:rsidRDefault="00C07C0C" w:rsidP="00427F21">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a contraindication/intolerance requiring treatment discontinuation of an SGLT2 inhibitor</w:t>
            </w:r>
          </w:p>
        </w:tc>
      </w:tr>
      <w:tr w:rsidR="00C07C0C" w:rsidRPr="008F4886" w14:paraId="53B0BB3D"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8F92057"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85A8518" w14:textId="77777777" w:rsidR="00C07C0C" w:rsidRPr="008F4886" w:rsidRDefault="00C07C0C" w:rsidP="00427F21">
            <w:pPr>
              <w:spacing w:line="259" w:lineRule="auto"/>
              <w:jc w:val="left"/>
              <w:rPr>
                <w:rFonts w:ascii="Arial Narrow" w:eastAsia="Calibri" w:hAnsi="Arial Narrow" w:cs="Times New Roman"/>
                <w:b/>
                <w:bCs/>
                <w:i/>
                <w:i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AND</w:t>
            </w:r>
          </w:p>
        </w:tc>
      </w:tr>
      <w:tr w:rsidR="00C07C0C" w:rsidRPr="008F4886" w14:paraId="062EFEE4"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3E0C04FA"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E27C149" w14:textId="77777777" w:rsidR="00C07C0C" w:rsidRPr="008F4886" w:rsidRDefault="00C07C0C" w:rsidP="00427F21">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Clinical criteria:</w:t>
            </w:r>
          </w:p>
        </w:tc>
      </w:tr>
      <w:tr w:rsidR="00C07C0C" w:rsidRPr="008F4886" w14:paraId="148C69F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53F51D8F"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D7BE1A5" w14:textId="77777777" w:rsidR="00C07C0C" w:rsidRPr="008F4886" w:rsidRDefault="00C07C0C" w:rsidP="00427F21">
            <w:pPr>
              <w:spacing w:line="259" w:lineRule="auto"/>
              <w:jc w:val="left"/>
              <w:rPr>
                <w:rFonts w:ascii="Arial Narrow" w:eastAsia="Calibri" w:hAnsi="Arial Narrow" w:cs="Times New Roman"/>
                <w:strike/>
                <w:kern w:val="2"/>
                <w:sz w:val="20"/>
                <w:szCs w:val="20"/>
                <w14:ligatures w14:val="standardContextual"/>
              </w:rPr>
            </w:pPr>
            <w:r w:rsidRPr="008F4886">
              <w:rPr>
                <w:rFonts w:ascii="Arial Narrow" w:eastAsia="Calibri" w:hAnsi="Arial Narrow" w:cs="Times New Roman"/>
                <w:strike/>
                <w:kern w:val="2"/>
                <w:sz w:val="20"/>
                <w:szCs w:val="20"/>
                <w:lang w:val="en-US"/>
                <w14:ligatures w14:val="standardContextual"/>
              </w:rPr>
              <w:t>Patient must not receive more than 24 weeks of treatment under this restriction</w:t>
            </w:r>
          </w:p>
        </w:tc>
      </w:tr>
      <w:tr w:rsidR="00C07C0C" w:rsidRPr="008F4886" w14:paraId="134EBD8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9C9AEF3" w14:textId="0EF71EA6"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79497D09"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48FA4C79"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EC9B63D" w14:textId="08EA14A1"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B6125F7"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Must be treated by an endocrinologist</w:t>
            </w:r>
          </w:p>
        </w:tc>
      </w:tr>
      <w:tr w:rsidR="00C07C0C" w:rsidRPr="008F4886" w14:paraId="0E700EC7"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5548C55" w14:textId="4CBD726E"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987291"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5FB05054"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BF3A38F" w14:textId="164E8986"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4CD698CA"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5951A50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0A068348" w14:textId="094D27C2"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6E70FB0"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b/>
                <w:kern w:val="2"/>
                <w:sz w:val="20"/>
                <w:szCs w:val="20"/>
                <w14:ligatures w14:val="standardContextual"/>
              </w:rPr>
              <w:t>Population criteria:</w:t>
            </w:r>
          </w:p>
        </w:tc>
      </w:tr>
      <w:tr w:rsidR="00C07C0C" w:rsidRPr="008F4886" w14:paraId="4C11CE9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2C360D49" w14:textId="3F72964A"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0A88562"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hAnsi="Arial Narrow" w:cs="Calibri"/>
                <w:kern w:val="2"/>
                <w:sz w:val="20"/>
                <w:szCs w:val="20"/>
                <w14:ligatures w14:val="standardContextual"/>
              </w:rPr>
              <w:t xml:space="preserve">Patient must be </w:t>
            </w:r>
            <w:r w:rsidRPr="008F4886">
              <w:rPr>
                <w:rFonts w:ascii="Arial Narrow" w:hAnsi="Arial Narrow" w:cs="Calibri"/>
                <w:i/>
                <w:iCs/>
                <w:kern w:val="2"/>
                <w:sz w:val="20"/>
                <w:szCs w:val="20"/>
                <w14:ligatures w14:val="standardContextual"/>
              </w:rPr>
              <w:t>at least 18 years of age</w:t>
            </w:r>
            <w:r w:rsidRPr="008F4886">
              <w:rPr>
                <w:rFonts w:ascii="Arial Narrow" w:hAnsi="Arial Narrow" w:cs="Calibri"/>
                <w:kern w:val="2"/>
                <w:sz w:val="20"/>
                <w:szCs w:val="20"/>
                <w14:ligatures w14:val="standardContextual"/>
              </w:rPr>
              <w:t xml:space="preserve"> </w:t>
            </w:r>
            <w:r w:rsidRPr="008F4886">
              <w:rPr>
                <w:rFonts w:ascii="Arial Narrow" w:hAnsi="Arial Narrow" w:cs="Calibri"/>
                <w:strike/>
                <w:kern w:val="2"/>
                <w:sz w:val="20"/>
                <w:szCs w:val="20"/>
                <w14:ligatures w14:val="standardContextual"/>
              </w:rPr>
              <w:t>18 years of age or older.</w:t>
            </w:r>
          </w:p>
        </w:tc>
      </w:tr>
      <w:tr w:rsidR="00C07C0C" w:rsidRPr="008F4886" w14:paraId="71262FA6"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22FC728" w14:textId="29FC6F8C"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DF821DF" w14:textId="77777777" w:rsidR="00C07C0C" w:rsidRPr="008F4886" w:rsidRDefault="00C07C0C" w:rsidP="00427F21">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133847C6" w14:textId="77777777" w:rsidR="00C07C0C" w:rsidRPr="008F4886" w:rsidRDefault="00C07C0C" w:rsidP="00427F21">
            <w:pPr>
              <w:spacing w:line="259" w:lineRule="auto"/>
              <w:jc w:val="left"/>
              <w:rPr>
                <w:rFonts w:ascii="Arial Narrow" w:hAnsi="Arial Narrow" w:cs="Calibri"/>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C07C0C" w:rsidRPr="008F4886" w14:paraId="2A27A998"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17A33DD4" w14:textId="77777777"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C87A96E" w14:textId="77777777" w:rsidR="00C07C0C" w:rsidRPr="008F4886" w:rsidRDefault="00C07C0C" w:rsidP="00427F21">
            <w:pPr>
              <w:spacing w:line="259" w:lineRule="auto"/>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Administrative Advice:</w:t>
            </w:r>
          </w:p>
          <w:p w14:paraId="2B7BE2BD"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4AB63737"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The authority application must be made in writing and must include:</w:t>
            </w:r>
          </w:p>
          <w:p w14:paraId="4B71088E" w14:textId="77777777" w:rsidR="00C07C0C" w:rsidRPr="008F4886" w:rsidRDefault="00C07C0C" w:rsidP="00427F21">
            <w:pPr>
              <w:numPr>
                <w:ilvl w:val="0"/>
                <w:numId w:val="11"/>
              </w:num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completed authority prescription form</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details of the proposed prescription(s);</w:t>
            </w:r>
            <w:r w:rsidRPr="008F4886">
              <w:rPr>
                <w:rFonts w:ascii="Arial Narrow" w:eastAsia="Calibri" w:hAnsi="Arial Narrow" w:cs="Times New Roman"/>
                <w:kern w:val="2"/>
                <w:sz w:val="20"/>
                <w:szCs w:val="20"/>
                <w14:ligatures w14:val="standardContextual"/>
              </w:rPr>
              <w:t xml:space="preserve"> and</w:t>
            </w:r>
          </w:p>
          <w:p w14:paraId="4A6205AE"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strike/>
                <w:kern w:val="2"/>
                <w:sz w:val="20"/>
                <w:szCs w:val="20"/>
                <w14:ligatures w14:val="standardContextual"/>
              </w:rPr>
              <w:t>a completed Type 2 Diabetes Mellitus PBS Authority Application - Supporting Information Form which includes the following:</w:t>
            </w:r>
            <w:r w:rsidRPr="008F4886">
              <w:rPr>
                <w:rFonts w:ascii="Arial Narrow" w:eastAsia="Calibri" w:hAnsi="Arial Narrow" w:cs="Times New Roman"/>
                <w:i/>
                <w:iCs/>
                <w:kern w:val="2"/>
                <w:sz w:val="20"/>
                <w:szCs w:val="20"/>
                <w14:ligatures w14:val="standardContextual"/>
              </w:rPr>
              <w:t xml:space="preserve"> a completed authority application form relevant to the indication and treatment phase (the latest version is located on the website specified in the Administrative Advice). </w:t>
            </w:r>
          </w:p>
          <w:p w14:paraId="2D80B2BD"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strike/>
                <w:kern w:val="2"/>
                <w:sz w:val="20"/>
                <w:szCs w:val="20"/>
                <w14:ligatures w14:val="standardContextual"/>
              </w:rPr>
              <w:t>a copy of</w:t>
            </w:r>
            <w:r w:rsidRPr="008F4886">
              <w:rPr>
                <w:rFonts w:ascii="Arial Narrow" w:eastAsia="Calibri" w:hAnsi="Arial Narrow" w:cs="Times New Roman"/>
                <w:kern w:val="2"/>
                <w:sz w:val="20"/>
                <w:szCs w:val="20"/>
                <w14:ligatures w14:val="standardContextual"/>
              </w:rPr>
              <w:t xml:space="preserve"> 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 xml:space="preserve">no greater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w:t>
            </w:r>
            <w:proofErr w:type="spellStart"/>
            <w:r w:rsidRPr="008F4886">
              <w:rPr>
                <w:rFonts w:ascii="Arial Narrow" w:eastAsia="Calibri" w:hAnsi="Arial Narrow" w:cs="Times New Roman"/>
                <w:kern w:val="2"/>
                <w:sz w:val="20"/>
                <w:szCs w:val="20"/>
                <w14:ligatures w14:val="standardContextual"/>
              </w:rPr>
              <w:t>PoCT</w:t>
            </w:r>
            <w:proofErr w:type="spellEnd"/>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strike/>
                <w:kern w:val="2"/>
                <w:sz w:val="20"/>
                <w:szCs w:val="20"/>
                <w14:ligatures w14:val="standardContextual"/>
              </w:rPr>
              <w:t>a photograph</w:t>
            </w:r>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strike/>
                <w:kern w:val="2"/>
                <w:sz w:val="20"/>
                <w:szCs w:val="20"/>
                <w14:ligatures w14:val="standardContextual"/>
              </w:rPr>
              <w:t>alongside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strike/>
                <w:kern w:val="2"/>
                <w:sz w:val="20"/>
                <w:szCs w:val="20"/>
                <w14:ligatures w14:val="standardContextual"/>
              </w:rPr>
              <w:t>patient’s full name and Medicare ID number</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3D55BDEC"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SGLT2 inhibitor therapy (i.e. confirmation of either (i) inadequate responsiveness; (ii) intolerance, or (iii) contraindication)</w:t>
            </w:r>
          </w:p>
          <w:p w14:paraId="1D63E898"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details of prior metformin, sulfonylurea, or insulin therapy</w:t>
            </w:r>
          </w:p>
          <w:p w14:paraId="1CDECB3D" w14:textId="77777777" w:rsidR="00C07C0C" w:rsidRPr="008F4886" w:rsidRDefault="00C07C0C" w:rsidP="00427F21">
            <w:pPr>
              <w:numPr>
                <w:ilvl w:val="0"/>
                <w:numId w:val="11"/>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Confirmation of Aboriginal and Torres Strait Islander people identity as documented by a CTG code on Medicare card</w:t>
            </w:r>
          </w:p>
        </w:tc>
      </w:tr>
      <w:tr w:rsidR="00C07C0C" w:rsidRPr="008F4886" w14:paraId="76AA0EBF"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4EA1FC2B" w14:textId="39500964"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3753D031" w14:textId="77777777" w:rsidR="00C07C0C" w:rsidRPr="008F4886" w:rsidRDefault="00C07C0C" w:rsidP="00427F21">
            <w:pPr>
              <w:spacing w:line="259" w:lineRule="auto"/>
              <w:jc w:val="left"/>
              <w:rPr>
                <w:rFonts w:ascii="Arial Narrow" w:eastAsia="Calibri" w:hAnsi="Arial Narrow" w:cs="Times New Roman"/>
                <w:b/>
                <w:bCs/>
                <w:strike/>
                <w:color w:val="FF0000"/>
                <w:kern w:val="2"/>
                <w:sz w:val="20"/>
                <w:szCs w:val="20"/>
                <w14:ligatures w14:val="standardContextual"/>
              </w:rPr>
            </w:pPr>
            <w:r w:rsidRPr="008F4886">
              <w:rPr>
                <w:rFonts w:ascii="Arial Narrow" w:eastAsia="Calibri" w:hAnsi="Arial Narrow" w:cs="Times New Roman"/>
                <w:b/>
                <w:bCs/>
                <w:strike/>
                <w:kern w:val="2"/>
                <w:sz w:val="20"/>
                <w:szCs w:val="20"/>
                <w14:ligatures w14:val="standardContextual"/>
              </w:rPr>
              <w:t>Prescribing Instructions:</w:t>
            </w:r>
            <w:r w:rsidRPr="008F4886">
              <w:rPr>
                <w:rFonts w:ascii="Arial Narrow" w:eastAsia="Calibri" w:hAnsi="Arial Narrow" w:cs="Times New Roman"/>
                <w:b/>
                <w:bCs/>
                <w:strike/>
                <w:color w:val="FF0000"/>
                <w:kern w:val="2"/>
                <w:sz w:val="20"/>
                <w:szCs w:val="20"/>
                <w14:ligatures w14:val="standardContextual"/>
              </w:rPr>
              <w:t xml:space="preserve"> </w:t>
            </w:r>
          </w:p>
          <w:p w14:paraId="2566C816"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316B720"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Definition:</w:t>
            </w:r>
          </w:p>
          <w:p w14:paraId="497C3D3C"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3E461551"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Blood glucose monitoring is an alternative to HbA1c measurement where at least one of the following circumstances applies:</w:t>
            </w:r>
          </w:p>
          <w:p w14:paraId="21AC9B32"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(a) A clinical condition with reduced red blood cell survival (inclusive of haemolytic anaemias, haemoglobinopathies),</w:t>
            </w:r>
          </w:p>
          <w:p w14:paraId="75CA8DAD"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(b) Red cell transfusion within the previous 3 months.</w:t>
            </w:r>
          </w:p>
        </w:tc>
      </w:tr>
      <w:tr w:rsidR="00C07C0C" w:rsidRPr="008F4886" w14:paraId="174C828A"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75049A9D" w14:textId="3FFB6422" w:rsidR="00C07C0C" w:rsidRPr="008F4886" w:rsidRDefault="00C07C0C" w:rsidP="00427F21">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4CAC6229" w14:textId="77777777"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C3E92BE"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57904050"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54002D3B" w14:textId="77777777" w:rsidR="00C07C0C" w:rsidRPr="008F4886" w:rsidRDefault="00C07C0C" w:rsidP="00427F21">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521F56A9" w14:textId="628D4ABA" w:rsidR="00C07C0C" w:rsidRPr="008F4886" w:rsidRDefault="00C07C0C" w:rsidP="00427F21">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17C2A271" w14:textId="77777777" w:rsidTr="00427F21">
        <w:tblPrEx>
          <w:tblCellMar>
            <w:top w:w="15" w:type="dxa"/>
            <w:bottom w:w="15" w:type="dxa"/>
          </w:tblCellMar>
          <w:tblLook w:val="04A0" w:firstRow="1" w:lastRow="0" w:firstColumn="1" w:lastColumn="0" w:noHBand="0" w:noVBand="1"/>
        </w:tblPrEx>
        <w:trPr>
          <w:cantSplit/>
          <w:trHeight w:val="20"/>
        </w:trPr>
        <w:tc>
          <w:tcPr>
            <w:tcW w:w="1278" w:type="dxa"/>
            <w:gridSpan w:val="2"/>
            <w:vAlign w:val="center"/>
          </w:tcPr>
          <w:p w14:paraId="6D38A63F" w14:textId="1BD459B8" w:rsidR="00C07C0C" w:rsidRPr="008F4886" w:rsidRDefault="00C07C0C" w:rsidP="00427F21">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14EAEFB" w14:textId="77777777" w:rsidR="00C07C0C" w:rsidRPr="008F4886" w:rsidRDefault="00C07C0C" w:rsidP="00427F21">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329BA2D5" w14:textId="77777777" w:rsidR="00C07C0C" w:rsidRPr="008F4886" w:rsidRDefault="00C07C0C" w:rsidP="00427F21">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3D406F2A" w14:textId="77777777" w:rsidR="00331C8A" w:rsidRDefault="00331C8A" w:rsidP="005C5454">
      <w:pPr>
        <w:pStyle w:val="COMexecsummnumbered"/>
        <w:numPr>
          <w:ilvl w:val="0"/>
          <w:numId w:val="0"/>
        </w:numPr>
        <w:spacing w:before="0" w:after="0"/>
      </w:pPr>
    </w:p>
    <w:p w14:paraId="119C735C" w14:textId="78A27EE3" w:rsidR="009A280E" w:rsidRPr="00D32321" w:rsidRDefault="009A280E" w:rsidP="00D32321">
      <w:pPr>
        <w:keepNext/>
        <w:jc w:val="left"/>
        <w:rPr>
          <w:rFonts w:ascii="Arial Narrow" w:hAnsi="Arial Narrow" w:cs="Times New Roman"/>
          <w:b/>
          <w:bCs/>
          <w:kern w:val="2"/>
          <w:lang w:eastAsia="en-US"/>
          <w14:ligatures w14:val="standardContextual"/>
        </w:rPr>
      </w:pPr>
      <w:r w:rsidRPr="008F4886">
        <w:rPr>
          <w:rFonts w:eastAsia="Calibri" w:cs="Calibri"/>
          <w:b/>
          <w:bCs/>
          <w:snapToGrid w:val="0"/>
          <w:lang w:eastAsia="en-US"/>
        </w:rPr>
        <w:t xml:space="preserve">Option 2 as suggested by the secretariat (combining the 2 different patient populations: </w:t>
      </w:r>
      <w:r w:rsidRPr="008F4886">
        <w:rPr>
          <w:rFonts w:ascii="Arial Narrow" w:hAnsi="Arial Narrow" w:cs="Times New Roman"/>
          <w:b/>
          <w:bCs/>
          <w:kern w:val="2"/>
          <w:lang w:eastAsia="en-US"/>
          <w14:ligatures w14:val="standardContextual"/>
        </w:rPr>
        <w:t>BMI ≥35 kg/m</w:t>
      </w:r>
      <w:r w:rsidRPr="008F4886">
        <w:rPr>
          <w:rFonts w:ascii="Arial Narrow" w:hAnsi="Arial Narrow" w:cs="Times New Roman"/>
          <w:b/>
          <w:bCs/>
          <w:kern w:val="2"/>
          <w:vertAlign w:val="superscript"/>
          <w:lang w:eastAsia="en-US"/>
          <w14:ligatures w14:val="standardContextual"/>
        </w:rPr>
        <w:t xml:space="preserve">2 </w:t>
      </w:r>
      <w:r w:rsidRPr="008F4886">
        <w:rPr>
          <w:rFonts w:ascii="Arial Narrow" w:hAnsi="Arial Narrow" w:cs="Times New Roman"/>
          <w:b/>
          <w:bCs/>
          <w:kern w:val="2"/>
          <w:lang w:eastAsia="en-US"/>
          <w14:ligatures w14:val="standardContextual"/>
        </w:rPr>
        <w:t>and ATSI)</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639"/>
        <w:gridCol w:w="2409"/>
        <w:gridCol w:w="709"/>
        <w:gridCol w:w="1559"/>
        <w:gridCol w:w="709"/>
        <w:gridCol w:w="708"/>
        <w:gridCol w:w="709"/>
        <w:gridCol w:w="942"/>
      </w:tblGrid>
      <w:tr w:rsidR="00C07C0C" w:rsidRPr="008F4886" w14:paraId="1ECEF78E" w14:textId="77777777" w:rsidTr="00BB6410">
        <w:trPr>
          <w:cantSplit/>
          <w:trHeight w:val="20"/>
        </w:trPr>
        <w:tc>
          <w:tcPr>
            <w:tcW w:w="3686" w:type="dxa"/>
            <w:gridSpan w:val="3"/>
            <w:vAlign w:val="center"/>
          </w:tcPr>
          <w:p w14:paraId="3A0255E2"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06A58131"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177B82B6"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1659F039" w14:textId="166136A4"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13616FC2"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1C093008"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2784727B"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1F28AEC7"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76C5D6D1" w14:textId="77777777" w:rsidR="00C07C0C" w:rsidRPr="008F4886" w:rsidRDefault="00C07C0C" w:rsidP="00BB6410">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48BAC784" w14:textId="77777777" w:rsidTr="00BB6410">
        <w:trPr>
          <w:cantSplit/>
          <w:trHeight w:val="20"/>
        </w:trPr>
        <w:tc>
          <w:tcPr>
            <w:tcW w:w="9022" w:type="dxa"/>
            <w:gridSpan w:val="9"/>
            <w:vAlign w:val="center"/>
          </w:tcPr>
          <w:p w14:paraId="04FBBE28"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74B6B6A6" w14:textId="77777777" w:rsidTr="00BB6410">
        <w:trPr>
          <w:cantSplit/>
          <w:trHeight w:val="20"/>
        </w:trPr>
        <w:tc>
          <w:tcPr>
            <w:tcW w:w="3686" w:type="dxa"/>
            <w:gridSpan w:val="3"/>
          </w:tcPr>
          <w:p w14:paraId="4084FBA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165C2BF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19CD440" w14:textId="2EE7C319" w:rsidR="00C07C0C" w:rsidRPr="00C07C0C" w:rsidRDefault="000E079A" w:rsidP="00BB6410">
            <w:pPr>
              <w:pStyle w:val="COMTabletext"/>
              <w:jc w:val="center"/>
              <w:rPr>
                <w:rFonts w:eastAsia="Calibri" w:cs="Times New Roman"/>
                <w:bCs w:val="0"/>
                <w:kern w:val="2"/>
                <w:szCs w:val="20"/>
                <w:lang w:eastAsia="en-US"/>
                <w14:ligatures w14:val="standardContextual"/>
              </w:rPr>
            </w:pPr>
            <w:r>
              <w:t>$</w:t>
            </w:r>
            <w:r w:rsidR="00F111EB" w:rsidRPr="00F111EB">
              <w:rPr>
                <w:color w:val="000000"/>
                <w:spacing w:val="51"/>
                <w:shd w:val="solid" w:color="000000" w:fill="000000"/>
                <w:fitText w:val="326" w:id="-761015027"/>
                <w14:textFill>
                  <w14:solidFill>
                    <w14:srgbClr w14:val="000000">
                      <w14:alpha w14:val="100000"/>
                    </w14:srgbClr>
                  </w14:solidFill>
                </w14:textFill>
              </w:rPr>
              <w:t>|||</w:t>
            </w:r>
            <w:r w:rsidR="00F111EB" w:rsidRPr="00F111EB">
              <w:rPr>
                <w:color w:val="000000"/>
                <w:spacing w:val="3"/>
                <w:shd w:val="solid" w:color="000000" w:fill="000000"/>
                <w:fitText w:val="326" w:id="-761015027"/>
                <w14:textFill>
                  <w14:solidFill>
                    <w14:srgbClr w14:val="000000">
                      <w14:alpha w14:val="100000"/>
                    </w14:srgbClr>
                  </w14:solidFill>
                </w14:textFill>
              </w:rPr>
              <w:t>|</w:t>
            </w:r>
            <w:r w:rsidR="00C07C0C" w:rsidRPr="0076762E">
              <w:t xml:space="preserve"> </w:t>
            </w:r>
            <w:r w:rsidR="00C07C0C" w:rsidRPr="00C07C0C">
              <w:rPr>
                <w:rFonts w:eastAsia="Calibri" w:cs="Times New Roman"/>
                <w:bCs w:val="0"/>
                <w:kern w:val="2"/>
                <w:szCs w:val="20"/>
                <w:lang w:eastAsia="en-US"/>
                <w14:ligatures w14:val="standardContextual"/>
              </w:rPr>
              <w:t>published</w:t>
            </w:r>
          </w:p>
          <w:p w14:paraId="48B61FD0" w14:textId="628EBFD8"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DEF3D9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E1B7BB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F65E07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3262006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06B2475E" w14:textId="77777777" w:rsidTr="00BB6410">
        <w:trPr>
          <w:cantSplit/>
          <w:trHeight w:val="20"/>
        </w:trPr>
        <w:tc>
          <w:tcPr>
            <w:tcW w:w="3686" w:type="dxa"/>
            <w:gridSpan w:val="3"/>
          </w:tcPr>
          <w:p w14:paraId="2089FDD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07D81290"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F5EC821" w14:textId="62306A9F"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25"/>
                <w14:textFill>
                  <w14:solidFill>
                    <w14:srgbClr w14:val="000000">
                      <w14:alpha w14:val="100000"/>
                    </w14:srgbClr>
                  </w14:solidFill>
                </w14:textFill>
              </w:rPr>
              <w:t>|||</w:t>
            </w:r>
            <w:r w:rsidR="00F111EB" w:rsidRPr="00F111EB">
              <w:rPr>
                <w:color w:val="000000"/>
                <w:spacing w:val="3"/>
                <w:shd w:val="solid" w:color="000000" w:fill="000000"/>
                <w:fitText w:val="326" w:id="-76101502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68DBB436" w14:textId="0787C669"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F9D61A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3B8C61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29472E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54095FEF"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CE239E7" w14:textId="77777777" w:rsidTr="00BB6410">
        <w:trPr>
          <w:cantSplit/>
          <w:trHeight w:val="20"/>
        </w:trPr>
        <w:tc>
          <w:tcPr>
            <w:tcW w:w="3686" w:type="dxa"/>
            <w:gridSpan w:val="3"/>
          </w:tcPr>
          <w:p w14:paraId="0068981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5D0E459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85463D" w14:textId="019E0789" w:rsidR="00C07C0C" w:rsidRPr="00C07C0C" w:rsidRDefault="000E079A" w:rsidP="00BB6410">
            <w:pPr>
              <w:pStyle w:val="COMTabletext"/>
              <w:jc w:val="center"/>
            </w:pPr>
            <w:r>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00C07C0C" w:rsidRPr="00C07C0C">
              <w:t xml:space="preserve"> published</w:t>
            </w:r>
          </w:p>
          <w:p w14:paraId="479EC9D9" w14:textId="52A859F1"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9"/>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1B2657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3EB9A7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0909F7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7427DD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71B25D1" w14:textId="77777777" w:rsidTr="00BB6410">
        <w:trPr>
          <w:cantSplit/>
          <w:trHeight w:val="20"/>
        </w:trPr>
        <w:tc>
          <w:tcPr>
            <w:tcW w:w="3686" w:type="dxa"/>
            <w:gridSpan w:val="3"/>
          </w:tcPr>
          <w:p w14:paraId="0DD457D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6AD9E8C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B0510B7" w14:textId="1CE696D7"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8"/>
                <w14:textFill>
                  <w14:solidFill>
                    <w14:srgbClr w14:val="000000">
                      <w14:alpha w14:val="100000"/>
                    </w14:srgbClr>
                  </w14:solidFill>
                </w14:textFill>
              </w:rPr>
              <w:t>|||</w:t>
            </w:r>
            <w:r w:rsidR="00F111EB" w:rsidRPr="00F111EB">
              <w:rPr>
                <w:color w:val="000000"/>
                <w:spacing w:val="3"/>
                <w:shd w:val="solid" w:color="000000" w:fill="000000"/>
                <w:fitText w:val="326" w:id="-761015038"/>
                <w14:textFill>
                  <w14:solidFill>
                    <w14:srgbClr w14:val="000000">
                      <w14:alpha w14:val="100000"/>
                    </w14:srgbClr>
                  </w14:solidFill>
                </w14:textFill>
              </w:rPr>
              <w:t>|</w:t>
            </w:r>
            <w:r w:rsidRPr="00C07C0C">
              <w:t xml:space="preserve"> published</w:t>
            </w:r>
          </w:p>
          <w:p w14:paraId="263AB5F0" w14:textId="17D120BE"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562821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F24A3C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BAB44A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2" w:type="dxa"/>
            <w:vMerge/>
            <w:vAlign w:val="center"/>
          </w:tcPr>
          <w:p w14:paraId="5475D28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651738" w14:textId="77777777" w:rsidTr="00BB6410">
        <w:trPr>
          <w:cantSplit/>
          <w:trHeight w:val="20"/>
        </w:trPr>
        <w:tc>
          <w:tcPr>
            <w:tcW w:w="3686" w:type="dxa"/>
            <w:gridSpan w:val="3"/>
          </w:tcPr>
          <w:p w14:paraId="77869E6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1060AFB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A817E0A" w14:textId="1995130D"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6"/>
                <w14:textFill>
                  <w14:solidFill>
                    <w14:srgbClr w14:val="000000">
                      <w14:alpha w14:val="100000"/>
                    </w14:srgbClr>
                  </w14:solidFill>
                </w14:textFill>
              </w:rPr>
              <w:t>|||</w:t>
            </w:r>
            <w:r w:rsidR="00F111EB" w:rsidRPr="00F111EB">
              <w:rPr>
                <w:color w:val="000000"/>
                <w:spacing w:val="3"/>
                <w:szCs w:val="20"/>
                <w:shd w:val="solid" w:color="000000" w:fill="000000"/>
                <w:fitText w:val="326" w:id="-761015036"/>
                <w14:textFill>
                  <w14:solidFill>
                    <w14:srgbClr w14:val="000000">
                      <w14:alpha w14:val="100000"/>
                    </w14:srgbClr>
                  </w14:solidFill>
                </w14:textFill>
              </w:rPr>
              <w:t>|</w:t>
            </w:r>
            <w:r w:rsidRPr="0076762E">
              <w:rPr>
                <w:szCs w:val="20"/>
              </w:rPr>
              <w:t xml:space="preserve"> published</w:t>
            </w:r>
          </w:p>
          <w:p w14:paraId="02781A09" w14:textId="604F7F7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48B705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4624FE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A9FBFD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D8F3E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8CD6B93" w14:textId="77777777" w:rsidTr="00BB6410">
        <w:trPr>
          <w:cantSplit/>
          <w:trHeight w:val="20"/>
        </w:trPr>
        <w:tc>
          <w:tcPr>
            <w:tcW w:w="3686" w:type="dxa"/>
            <w:gridSpan w:val="3"/>
          </w:tcPr>
          <w:p w14:paraId="6038903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1D2D974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570CE6D" w14:textId="41BB7567"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4"/>
                <w14:textFill>
                  <w14:solidFill>
                    <w14:srgbClr w14:val="000000">
                      <w14:alpha w14:val="100000"/>
                    </w14:srgbClr>
                  </w14:solidFill>
                </w14:textFill>
              </w:rPr>
              <w:t>|||</w:t>
            </w:r>
            <w:r w:rsidR="00F111EB" w:rsidRPr="00F111EB">
              <w:rPr>
                <w:color w:val="000000"/>
                <w:spacing w:val="3"/>
                <w:szCs w:val="20"/>
                <w:shd w:val="solid" w:color="000000" w:fill="000000"/>
                <w:fitText w:val="326" w:id="-761015034"/>
                <w14:textFill>
                  <w14:solidFill>
                    <w14:srgbClr w14:val="000000">
                      <w14:alpha w14:val="100000"/>
                    </w14:srgbClr>
                  </w14:solidFill>
                </w14:textFill>
              </w:rPr>
              <w:t>|</w:t>
            </w:r>
            <w:r w:rsidRPr="0076762E">
              <w:rPr>
                <w:szCs w:val="20"/>
              </w:rPr>
              <w:t xml:space="preserve"> published</w:t>
            </w:r>
          </w:p>
          <w:p w14:paraId="75008143" w14:textId="1DE9812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F6BE2E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8EC594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E2932A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D8956A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3533FEE" w14:textId="77777777" w:rsidTr="00BB6410">
        <w:trPr>
          <w:cantSplit/>
          <w:trHeight w:val="20"/>
        </w:trPr>
        <w:tc>
          <w:tcPr>
            <w:tcW w:w="8080" w:type="dxa"/>
            <w:gridSpan w:val="8"/>
          </w:tcPr>
          <w:p w14:paraId="2BA4E7B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705AB80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05BD15C" w14:textId="77777777" w:rsidTr="00BB6410">
        <w:trPr>
          <w:cantSplit/>
          <w:trHeight w:val="20"/>
        </w:trPr>
        <w:tc>
          <w:tcPr>
            <w:tcW w:w="3686" w:type="dxa"/>
            <w:gridSpan w:val="3"/>
          </w:tcPr>
          <w:p w14:paraId="0BC887A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4253ED3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B19F82F" w14:textId="674C7932"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2"/>
                <w14:textFill>
                  <w14:solidFill>
                    <w14:srgbClr w14:val="000000">
                      <w14:alpha w14:val="100000"/>
                    </w14:srgbClr>
                  </w14:solidFill>
                </w14:textFill>
              </w:rPr>
              <w:t>|||</w:t>
            </w:r>
            <w:r w:rsidR="00F111EB" w:rsidRPr="00F111EB">
              <w:rPr>
                <w:color w:val="000000"/>
                <w:spacing w:val="3"/>
                <w:shd w:val="solid" w:color="000000" w:fill="000000"/>
                <w:fitText w:val="326" w:id="-761015032"/>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7098EC7" w14:textId="60526FB1"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1"/>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4B7321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309BF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80C0EF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1A70AF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287342B" w14:textId="77777777" w:rsidTr="00BB6410">
        <w:trPr>
          <w:cantSplit/>
          <w:trHeight w:val="20"/>
        </w:trPr>
        <w:tc>
          <w:tcPr>
            <w:tcW w:w="3686" w:type="dxa"/>
            <w:gridSpan w:val="3"/>
          </w:tcPr>
          <w:p w14:paraId="3D7BA26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709" w:type="dxa"/>
            <w:vAlign w:val="center"/>
          </w:tcPr>
          <w:p w14:paraId="5F43FFD3"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FCBF98A" w14:textId="3F7165AC"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0"/>
                <w14:textFill>
                  <w14:solidFill>
                    <w14:srgbClr w14:val="000000">
                      <w14:alpha w14:val="100000"/>
                    </w14:srgbClr>
                  </w14:solidFill>
                </w14:textFill>
              </w:rPr>
              <w:t>|||</w:t>
            </w:r>
            <w:r w:rsidR="00F111EB" w:rsidRPr="00F111EB">
              <w:rPr>
                <w:color w:val="000000"/>
                <w:spacing w:val="3"/>
                <w:shd w:val="solid" w:color="000000" w:fill="000000"/>
                <w:fitText w:val="326" w:id="-76101503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B11CCB7" w14:textId="7CEAA44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4E7620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BA835F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F2BA1B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7E6F66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0A679AE" w14:textId="77777777" w:rsidTr="00BB6410">
        <w:trPr>
          <w:cantSplit/>
          <w:trHeight w:val="20"/>
        </w:trPr>
        <w:tc>
          <w:tcPr>
            <w:tcW w:w="3686" w:type="dxa"/>
            <w:gridSpan w:val="3"/>
          </w:tcPr>
          <w:p w14:paraId="57E9274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39ED3C0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D3A70CD" w14:textId="7174B04C"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28"/>
                <w14:textFill>
                  <w14:solidFill>
                    <w14:srgbClr w14:val="000000">
                      <w14:alpha w14:val="100000"/>
                    </w14:srgbClr>
                  </w14:solidFill>
                </w14:textFill>
              </w:rPr>
              <w:t>|||</w:t>
            </w:r>
            <w:r w:rsidR="00F111EB" w:rsidRPr="00F111EB">
              <w:rPr>
                <w:color w:val="000000"/>
                <w:spacing w:val="3"/>
                <w:shd w:val="solid" w:color="000000" w:fill="000000"/>
                <w:fitText w:val="326" w:id="-761015028"/>
                <w14:textFill>
                  <w14:solidFill>
                    <w14:srgbClr w14:val="000000">
                      <w14:alpha w14:val="100000"/>
                    </w14:srgbClr>
                  </w14:solidFill>
                </w14:textFill>
              </w:rPr>
              <w:t>|</w:t>
            </w:r>
            <w:r w:rsidRPr="00C07C0C">
              <w:t xml:space="preserve"> published</w:t>
            </w:r>
          </w:p>
          <w:p w14:paraId="269541A3" w14:textId="5F47470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703D87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799332C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F10D4D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63C1109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61D0E0A" w14:textId="77777777" w:rsidTr="00BB6410">
        <w:trPr>
          <w:cantSplit/>
          <w:trHeight w:val="20"/>
        </w:trPr>
        <w:tc>
          <w:tcPr>
            <w:tcW w:w="3686" w:type="dxa"/>
            <w:gridSpan w:val="3"/>
          </w:tcPr>
          <w:p w14:paraId="0D96AF4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6533D51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86FF124" w14:textId="5E8D0D9A"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26"/>
                <w14:textFill>
                  <w14:solidFill>
                    <w14:srgbClr w14:val="000000">
                      <w14:alpha w14:val="100000"/>
                    </w14:srgbClr>
                  </w14:solidFill>
                </w14:textFill>
              </w:rPr>
              <w:t>|||</w:t>
            </w:r>
            <w:r w:rsidR="00F111EB" w:rsidRPr="00F111EB">
              <w:rPr>
                <w:color w:val="000000"/>
                <w:spacing w:val="3"/>
                <w:shd w:val="solid" w:color="000000" w:fill="000000"/>
                <w:fitText w:val="326" w:id="-761015026"/>
                <w14:textFill>
                  <w14:solidFill>
                    <w14:srgbClr w14:val="000000">
                      <w14:alpha w14:val="100000"/>
                    </w14:srgbClr>
                  </w14:solidFill>
                </w14:textFill>
              </w:rPr>
              <w:t>|</w:t>
            </w:r>
            <w:r w:rsidRPr="00C07C0C">
              <w:t xml:space="preserve"> published</w:t>
            </w:r>
          </w:p>
          <w:p w14:paraId="68CDF614" w14:textId="18A26C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2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2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0663BB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D0DA091"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ED5A04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6472E08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68030D8" w14:textId="77777777" w:rsidTr="00BB6410">
        <w:trPr>
          <w:cantSplit/>
          <w:trHeight w:val="20"/>
        </w:trPr>
        <w:tc>
          <w:tcPr>
            <w:tcW w:w="3686" w:type="dxa"/>
            <w:gridSpan w:val="3"/>
          </w:tcPr>
          <w:p w14:paraId="43B04B6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12.5 mg/0.5 mL injection, 0.5 mL single-use vial</w:t>
            </w:r>
          </w:p>
        </w:tc>
        <w:tc>
          <w:tcPr>
            <w:tcW w:w="709" w:type="dxa"/>
            <w:vAlign w:val="center"/>
          </w:tcPr>
          <w:p w14:paraId="30E577F6"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BCD1BAD" w14:textId="42D69998"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4"/>
                <w14:textFill>
                  <w14:solidFill>
                    <w14:srgbClr w14:val="000000">
                      <w14:alpha w14:val="100000"/>
                    </w14:srgbClr>
                  </w14:solidFill>
                </w14:textFill>
              </w:rPr>
              <w:t>|||</w:t>
            </w:r>
            <w:r w:rsidR="00F111EB" w:rsidRPr="00F111EB">
              <w:rPr>
                <w:color w:val="000000"/>
                <w:spacing w:val="3"/>
                <w:szCs w:val="20"/>
                <w:shd w:val="solid" w:color="000000" w:fill="000000"/>
                <w:fitText w:val="326" w:id="-761015024"/>
                <w14:textFill>
                  <w14:solidFill>
                    <w14:srgbClr w14:val="000000">
                      <w14:alpha w14:val="100000"/>
                    </w14:srgbClr>
                  </w14:solidFill>
                </w14:textFill>
              </w:rPr>
              <w:t>|</w:t>
            </w:r>
            <w:r w:rsidRPr="0076762E">
              <w:rPr>
                <w:szCs w:val="20"/>
              </w:rPr>
              <w:t xml:space="preserve"> published</w:t>
            </w:r>
          </w:p>
          <w:p w14:paraId="5D4AA4D5" w14:textId="77FB7F8B"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4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40"/>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3A2727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A0E3F6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FA456F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EAA4E08"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8DCEAC1" w14:textId="77777777" w:rsidTr="00BB6410">
        <w:trPr>
          <w:cantSplit/>
          <w:trHeight w:val="20"/>
        </w:trPr>
        <w:tc>
          <w:tcPr>
            <w:tcW w:w="3686" w:type="dxa"/>
            <w:gridSpan w:val="3"/>
          </w:tcPr>
          <w:p w14:paraId="6EDEA130"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0E159E94"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AE0290F" w14:textId="610F9D6A"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39"/>
                <w14:textFill>
                  <w14:solidFill>
                    <w14:srgbClr w14:val="000000">
                      <w14:alpha w14:val="100000"/>
                    </w14:srgbClr>
                  </w14:solidFill>
                </w14:textFill>
              </w:rPr>
              <w:t>|||</w:t>
            </w:r>
            <w:r w:rsidR="00F111EB" w:rsidRPr="00F111EB">
              <w:rPr>
                <w:color w:val="000000"/>
                <w:spacing w:val="3"/>
                <w:szCs w:val="20"/>
                <w:shd w:val="solid" w:color="000000" w:fill="000000"/>
                <w:fitText w:val="326" w:id="-761015039"/>
                <w14:textFill>
                  <w14:solidFill>
                    <w14:srgbClr w14:val="000000">
                      <w14:alpha w14:val="100000"/>
                    </w14:srgbClr>
                  </w14:solidFill>
                </w14:textFill>
              </w:rPr>
              <w:t>|</w:t>
            </w:r>
            <w:r w:rsidRPr="0076762E">
              <w:rPr>
                <w:szCs w:val="20"/>
              </w:rPr>
              <w:t xml:space="preserve"> published</w:t>
            </w:r>
          </w:p>
          <w:p w14:paraId="6DDA9CA8" w14:textId="2045BE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3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3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6B8BA5C"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7D259D4"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BCCDDF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D6C8FFF"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2643A25" w14:textId="77777777" w:rsidTr="00BB6410">
        <w:trPr>
          <w:cantSplit/>
          <w:trHeight w:val="20"/>
        </w:trPr>
        <w:tc>
          <w:tcPr>
            <w:tcW w:w="8080" w:type="dxa"/>
            <w:gridSpan w:val="8"/>
          </w:tcPr>
          <w:p w14:paraId="6E269BAB"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5A2ED9BE"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2E576C5" w14:textId="77777777" w:rsidTr="00BB6410">
        <w:trPr>
          <w:cantSplit/>
          <w:trHeight w:val="20"/>
        </w:trPr>
        <w:tc>
          <w:tcPr>
            <w:tcW w:w="3686" w:type="dxa"/>
            <w:gridSpan w:val="3"/>
          </w:tcPr>
          <w:p w14:paraId="6A177B66"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41E0C26D"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B36AB37" w14:textId="0B31C49A"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7"/>
                <w14:textFill>
                  <w14:solidFill>
                    <w14:srgbClr w14:val="000000">
                      <w14:alpha w14:val="100000"/>
                    </w14:srgbClr>
                  </w14:solidFill>
                </w14:textFill>
              </w:rPr>
              <w:t>|||</w:t>
            </w:r>
            <w:r w:rsidR="00F111EB" w:rsidRPr="00F111EB">
              <w:rPr>
                <w:color w:val="000000"/>
                <w:spacing w:val="3"/>
                <w:shd w:val="solid" w:color="000000" w:fill="000000"/>
                <w:fitText w:val="326" w:id="-761015037"/>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1E5EFB8" w14:textId="17EACD2A"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6"/>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D2A1C6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3900B2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808EDC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996A28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B5CB837" w14:textId="77777777" w:rsidTr="00BB6410">
        <w:trPr>
          <w:cantSplit/>
          <w:trHeight w:val="20"/>
        </w:trPr>
        <w:tc>
          <w:tcPr>
            <w:tcW w:w="3686" w:type="dxa"/>
            <w:gridSpan w:val="3"/>
          </w:tcPr>
          <w:p w14:paraId="180A551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647BE6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FB34742" w14:textId="0242EF61" w:rsidR="00C07C0C" w:rsidRPr="00C07C0C" w:rsidRDefault="00C07C0C" w:rsidP="00BB6410">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35"/>
                <w14:textFill>
                  <w14:solidFill>
                    <w14:srgbClr w14:val="000000">
                      <w14:alpha w14:val="100000"/>
                    </w14:srgbClr>
                  </w14:solidFill>
                </w14:textFill>
              </w:rPr>
              <w:t>|||</w:t>
            </w:r>
            <w:r w:rsidR="00F111EB" w:rsidRPr="00F111EB">
              <w:rPr>
                <w:color w:val="000000"/>
                <w:spacing w:val="3"/>
                <w:shd w:val="solid" w:color="000000" w:fill="000000"/>
                <w:fitText w:val="326" w:id="-76101503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F6EE796" w14:textId="1F16E5CA"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CB740F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D44AEB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EEF213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26D9C4B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547A4DFC" w14:textId="77777777" w:rsidTr="00BB6410">
        <w:trPr>
          <w:cantSplit/>
          <w:trHeight w:val="20"/>
        </w:trPr>
        <w:tc>
          <w:tcPr>
            <w:tcW w:w="3686" w:type="dxa"/>
            <w:gridSpan w:val="3"/>
          </w:tcPr>
          <w:p w14:paraId="7F13C2A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4BE89369"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9AAA9FB" w14:textId="46BDD704"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3"/>
                <w14:textFill>
                  <w14:solidFill>
                    <w14:srgbClr w14:val="000000">
                      <w14:alpha w14:val="100000"/>
                    </w14:srgbClr>
                  </w14:solidFill>
                </w14:textFill>
              </w:rPr>
              <w:t>|||</w:t>
            </w:r>
            <w:r w:rsidR="00F111EB" w:rsidRPr="00F111EB">
              <w:rPr>
                <w:color w:val="000000"/>
                <w:spacing w:val="3"/>
                <w:shd w:val="solid" w:color="000000" w:fill="000000"/>
                <w:fitText w:val="326" w:id="-761015033"/>
                <w14:textFill>
                  <w14:solidFill>
                    <w14:srgbClr w14:val="000000">
                      <w14:alpha w14:val="100000"/>
                    </w14:srgbClr>
                  </w14:solidFill>
                </w14:textFill>
              </w:rPr>
              <w:t>|</w:t>
            </w:r>
            <w:r w:rsidRPr="00C07C0C">
              <w:t xml:space="preserve"> published</w:t>
            </w:r>
          </w:p>
          <w:p w14:paraId="341ECAF2" w14:textId="39544A7C"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2"/>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C5C76C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244F04E"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9C3B587"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417EA09"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6904DE10" w14:textId="77777777" w:rsidTr="00BB6410">
        <w:trPr>
          <w:cantSplit/>
          <w:trHeight w:val="20"/>
        </w:trPr>
        <w:tc>
          <w:tcPr>
            <w:tcW w:w="3686" w:type="dxa"/>
            <w:gridSpan w:val="3"/>
          </w:tcPr>
          <w:p w14:paraId="730E99FB"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3D00FD2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A431C27" w14:textId="5AF0144F" w:rsidR="00C07C0C" w:rsidRPr="00C07C0C" w:rsidRDefault="00C07C0C" w:rsidP="00BB6410">
            <w:pPr>
              <w:pStyle w:val="COMTabletext"/>
              <w:jc w:val="center"/>
            </w:pPr>
            <w:r w:rsidRPr="00C07C0C">
              <w:t>$</w:t>
            </w:r>
            <w:r w:rsidR="00F111EB" w:rsidRPr="00F111EB">
              <w:rPr>
                <w:color w:val="000000"/>
                <w:spacing w:val="51"/>
                <w:shd w:val="solid" w:color="000000" w:fill="000000"/>
                <w:fitText w:val="326" w:id="-761015031"/>
                <w14:textFill>
                  <w14:solidFill>
                    <w14:srgbClr w14:val="000000">
                      <w14:alpha w14:val="100000"/>
                    </w14:srgbClr>
                  </w14:solidFill>
                </w14:textFill>
              </w:rPr>
              <w:t>|||</w:t>
            </w:r>
            <w:r w:rsidR="00F111EB" w:rsidRPr="00F111EB">
              <w:rPr>
                <w:color w:val="000000"/>
                <w:spacing w:val="3"/>
                <w:shd w:val="solid" w:color="000000" w:fill="000000"/>
                <w:fitText w:val="326" w:id="-761015031"/>
                <w14:textFill>
                  <w14:solidFill>
                    <w14:srgbClr w14:val="000000">
                      <w14:alpha w14:val="100000"/>
                    </w14:srgbClr>
                  </w14:solidFill>
                </w14:textFill>
              </w:rPr>
              <w:t>|</w:t>
            </w:r>
            <w:r w:rsidRPr="00C07C0C">
              <w:t xml:space="preserve"> published</w:t>
            </w:r>
          </w:p>
          <w:p w14:paraId="12361F6F" w14:textId="2EFC3BA6"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160928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0E14D02"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4E54200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C5D0E93"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EB2843E" w14:textId="77777777" w:rsidTr="00BB6410">
        <w:trPr>
          <w:cantSplit/>
          <w:trHeight w:val="20"/>
        </w:trPr>
        <w:tc>
          <w:tcPr>
            <w:tcW w:w="3686" w:type="dxa"/>
            <w:gridSpan w:val="3"/>
          </w:tcPr>
          <w:p w14:paraId="7AC802A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6EA0F43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80BA28B" w14:textId="51D0A470"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9"/>
                <w14:textFill>
                  <w14:solidFill>
                    <w14:srgbClr w14:val="000000">
                      <w14:alpha w14:val="100000"/>
                    </w14:srgbClr>
                  </w14:solidFill>
                </w14:textFill>
              </w:rPr>
              <w:t>|||</w:t>
            </w:r>
            <w:r w:rsidR="00F111EB" w:rsidRPr="00F111EB">
              <w:rPr>
                <w:color w:val="000000"/>
                <w:spacing w:val="3"/>
                <w:szCs w:val="20"/>
                <w:shd w:val="solid" w:color="000000" w:fill="000000"/>
                <w:fitText w:val="326" w:id="-761015029"/>
                <w14:textFill>
                  <w14:solidFill>
                    <w14:srgbClr w14:val="000000">
                      <w14:alpha w14:val="100000"/>
                    </w14:srgbClr>
                  </w14:solidFill>
                </w14:textFill>
              </w:rPr>
              <w:t>|</w:t>
            </w:r>
            <w:r w:rsidRPr="0076762E">
              <w:rPr>
                <w:szCs w:val="20"/>
              </w:rPr>
              <w:t xml:space="preserve"> published</w:t>
            </w:r>
          </w:p>
          <w:p w14:paraId="661A774A" w14:textId="38A2C172"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8"/>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05F3BC2"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0844E35"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6EB8FABA"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977A99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6A7A783" w14:textId="77777777" w:rsidTr="00BB6410">
        <w:trPr>
          <w:cantSplit/>
          <w:trHeight w:val="20"/>
        </w:trPr>
        <w:tc>
          <w:tcPr>
            <w:tcW w:w="3686" w:type="dxa"/>
            <w:gridSpan w:val="3"/>
          </w:tcPr>
          <w:p w14:paraId="7187E55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2F5EB217" w14:textId="77777777"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CE31189" w14:textId="137F826A" w:rsidR="00C07C0C" w:rsidRPr="0076762E" w:rsidRDefault="00C07C0C" w:rsidP="00BB6410">
            <w:pPr>
              <w:pStyle w:val="COMTabletext"/>
              <w:jc w:val="center"/>
              <w:rPr>
                <w:szCs w:val="20"/>
              </w:rPr>
            </w:pPr>
            <w:r w:rsidRPr="0076762E">
              <w:rPr>
                <w:szCs w:val="20"/>
              </w:rPr>
              <w:t>$</w:t>
            </w:r>
            <w:r w:rsidR="00F111EB" w:rsidRPr="00F111EB">
              <w:rPr>
                <w:color w:val="000000"/>
                <w:spacing w:val="51"/>
                <w:szCs w:val="20"/>
                <w:shd w:val="solid" w:color="000000" w:fill="000000"/>
                <w:fitText w:val="326" w:id="-761015027"/>
                <w14:textFill>
                  <w14:solidFill>
                    <w14:srgbClr w14:val="000000">
                      <w14:alpha w14:val="100000"/>
                    </w14:srgbClr>
                  </w14:solidFill>
                </w14:textFill>
              </w:rPr>
              <w:t>|||</w:t>
            </w:r>
            <w:r w:rsidR="00F111EB" w:rsidRPr="00F111EB">
              <w:rPr>
                <w:color w:val="000000"/>
                <w:spacing w:val="3"/>
                <w:szCs w:val="20"/>
                <w:shd w:val="solid" w:color="000000" w:fill="000000"/>
                <w:fitText w:val="326" w:id="-761015027"/>
                <w14:textFill>
                  <w14:solidFill>
                    <w14:srgbClr w14:val="000000">
                      <w14:alpha w14:val="100000"/>
                    </w14:srgbClr>
                  </w14:solidFill>
                </w14:textFill>
              </w:rPr>
              <w:t>|</w:t>
            </w:r>
            <w:r w:rsidRPr="0076762E">
              <w:rPr>
                <w:szCs w:val="20"/>
              </w:rPr>
              <w:t xml:space="preserve"> published</w:t>
            </w:r>
          </w:p>
          <w:p w14:paraId="0575F188" w14:textId="415239D5" w:rsidR="00C07C0C" w:rsidRPr="008F4886" w:rsidRDefault="00C07C0C" w:rsidP="00BB6410">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502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502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8BFA76E"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B86E335"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0C71D3A"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1B9240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07B19C0" w14:textId="77777777" w:rsidTr="00BB6410">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58D2224F"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E03AD08" w14:textId="77777777" w:rsidTr="00BB6410">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5D97A78D" w14:textId="77777777" w:rsidR="00C07C0C" w:rsidRPr="008F4886" w:rsidRDefault="00C07C0C" w:rsidP="00BB6410">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Restriction Summary</w:t>
            </w:r>
            <w:r w:rsidRPr="008F4886">
              <w:rPr>
                <w:rFonts w:ascii="Arial Narrow" w:eastAsia="Calibri" w:hAnsi="Arial Narrow" w:cs="Times New Roman"/>
                <w:i/>
                <w:iCs/>
                <w:kern w:val="2"/>
                <w:sz w:val="20"/>
                <w:szCs w:val="20"/>
                <w:lang w:eastAsia="en-US"/>
                <w14:ligatures w14:val="standardContextual"/>
              </w:rPr>
              <w:t xml:space="preserve"> </w:t>
            </w:r>
            <w:r w:rsidRPr="008F4886">
              <w:rPr>
                <w:rFonts w:ascii="Arial Narrow" w:eastAsia="Calibri" w:hAnsi="Arial Narrow" w:cs="Times New Roman"/>
                <w:b/>
                <w:bCs/>
                <w:i/>
                <w:iCs/>
                <w:kern w:val="2"/>
                <w:sz w:val="20"/>
                <w:szCs w:val="20"/>
                <w:lang w:eastAsia="en-US"/>
                <w14:ligatures w14:val="standardContextual"/>
              </w:rPr>
              <w:t>[new 1] / Treatment of Concept: [new 2]</w:t>
            </w:r>
            <w:r w:rsidRPr="008F4886">
              <w:rPr>
                <w:rFonts w:ascii="Arial Narrow" w:eastAsia="Calibri" w:hAnsi="Arial Narrow" w:cs="Times New Roman"/>
                <w:i/>
                <w:iCs/>
                <w:kern w:val="2"/>
                <w:sz w:val="20"/>
                <w:szCs w:val="20"/>
                <w:lang w:eastAsia="en-US"/>
                <w14:ligatures w14:val="standardContextual"/>
              </w:rPr>
              <w:t xml:space="preserve"> </w:t>
            </w:r>
          </w:p>
        </w:tc>
      </w:tr>
      <w:tr w:rsidR="00C07C0C" w:rsidRPr="008F4886" w14:paraId="17E51CC6"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0E11D976" w14:textId="0AD38CF1"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DD0374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Category / Program: </w:t>
            </w:r>
            <w:r w:rsidRPr="008F4886">
              <w:rPr>
                <w:rFonts w:ascii="Arial Narrow" w:eastAsia="Calibri" w:hAnsi="Arial Narrow" w:cs="Times New Roman"/>
                <w:i/>
                <w:iCs/>
                <w:kern w:val="2"/>
                <w:sz w:val="20"/>
                <w:szCs w:val="20"/>
                <w:lang w:eastAsia="en-US"/>
                <w14:ligatures w14:val="standardContextual"/>
              </w:rPr>
              <w:t>GENERAL – General Schedule (Code GE)</w:t>
            </w:r>
            <w:r w:rsidRPr="008F4886">
              <w:rPr>
                <w:rFonts w:ascii="Arial Narrow" w:eastAsia="Calibri" w:hAnsi="Arial Narrow" w:cs="Times New Roman"/>
                <w:i/>
                <w:iCs/>
                <w:color w:val="FF0000"/>
                <w:kern w:val="2"/>
                <w:sz w:val="20"/>
                <w:szCs w:val="20"/>
                <w:lang w:eastAsia="en-US"/>
                <w14:ligatures w14:val="standardContextual"/>
              </w:rPr>
              <w:t xml:space="preserve"> </w:t>
            </w:r>
          </w:p>
        </w:tc>
      </w:tr>
      <w:tr w:rsidR="00C07C0C" w:rsidRPr="008F4886" w14:paraId="4DF50E2C"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4B8D8F14"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0B6C01F"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i/>
                <w:iCs/>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i/>
                <w:iCs/>
                <w:kern w:val="2"/>
                <w:sz w:val="20"/>
                <w:szCs w:val="20"/>
                <w:lang w:eastAsia="en-US"/>
                <w14:ligatures w14:val="standardContextual"/>
              </w:rPr>
              <w:t xml:space="preserve">Medical Practitioners </w:t>
            </w:r>
          </w:p>
        </w:tc>
      </w:tr>
      <w:tr w:rsidR="00C07C0C" w:rsidRPr="008F4886" w14:paraId="460932B4" w14:textId="77777777" w:rsidTr="00BB6410">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4D2D8E91"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7C32FAF" w14:textId="77777777" w:rsidR="00C07C0C" w:rsidRPr="008F4886" w:rsidRDefault="00C07C0C" w:rsidP="00BB6410">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i/>
                <w:iCs/>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i/>
                <w:iCs/>
                <w:kern w:val="2"/>
                <w:sz w:val="20"/>
                <w:szCs w:val="20"/>
                <w:lang w:eastAsia="en-US"/>
                <w14:ligatures w14:val="standardContextual"/>
              </w:rPr>
              <w:t xml:space="preserve">Authority Required in Writing (only via mail/postal service or electronic upload to Hobart (HPOS); </w:t>
            </w:r>
          </w:p>
        </w:tc>
      </w:tr>
      <w:tr w:rsidR="00C07C0C" w:rsidRPr="008F4886" w14:paraId="2D8B49C1" w14:textId="77777777" w:rsidTr="00BB6410">
        <w:tblPrEx>
          <w:tblCellMar>
            <w:top w:w="15" w:type="dxa"/>
            <w:bottom w:w="15" w:type="dxa"/>
          </w:tblCellMar>
          <w:tblLook w:val="04A0" w:firstRow="1" w:lastRow="0" w:firstColumn="1" w:lastColumn="0" w:noHBand="0" w:noVBand="1"/>
        </w:tblPrEx>
        <w:trPr>
          <w:trHeight w:val="20"/>
        </w:trPr>
        <w:tc>
          <w:tcPr>
            <w:tcW w:w="638" w:type="dxa"/>
            <w:vMerge w:val="restart"/>
            <w:tcBorders>
              <w:left w:val="single" w:sz="4" w:space="0" w:color="auto"/>
              <w:right w:val="single" w:sz="4" w:space="0" w:color="auto"/>
            </w:tcBorders>
          </w:tcPr>
          <w:p w14:paraId="69EAECF8" w14:textId="185721FE"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7491CE2B" w14:textId="4A2091E2"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89F2CED"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7E9293EE" w14:textId="77777777" w:rsidTr="00BB6410">
        <w:tblPrEx>
          <w:tblCellMar>
            <w:top w:w="15" w:type="dxa"/>
            <w:bottom w:w="15" w:type="dxa"/>
          </w:tblCellMar>
          <w:tblLook w:val="04A0" w:firstRow="1" w:lastRow="0" w:firstColumn="1" w:lastColumn="0" w:noHBand="0" w:noVBand="1"/>
        </w:tblPrEx>
        <w:trPr>
          <w:trHeight w:val="20"/>
        </w:trPr>
        <w:tc>
          <w:tcPr>
            <w:tcW w:w="638" w:type="dxa"/>
            <w:vMerge/>
            <w:tcBorders>
              <w:left w:val="single" w:sz="4" w:space="0" w:color="auto"/>
              <w:right w:val="single" w:sz="4" w:space="0" w:color="auto"/>
            </w:tcBorders>
          </w:tcPr>
          <w:p w14:paraId="539939CB"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384B01EE" w14:textId="1A082F26"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095D17E"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492BC3F6" w14:textId="77777777" w:rsidTr="00BB6410">
        <w:tblPrEx>
          <w:tblCellMar>
            <w:top w:w="15" w:type="dxa"/>
            <w:bottom w:w="15" w:type="dxa"/>
          </w:tblCellMar>
          <w:tblLook w:val="04A0" w:firstRow="1" w:lastRow="0" w:firstColumn="1" w:lastColumn="0" w:noHBand="0" w:noVBand="1"/>
        </w:tblPrEx>
        <w:trPr>
          <w:trHeight w:val="20"/>
        </w:trPr>
        <w:tc>
          <w:tcPr>
            <w:tcW w:w="638" w:type="dxa"/>
            <w:vMerge/>
            <w:tcBorders>
              <w:left w:val="single" w:sz="4" w:space="0" w:color="auto"/>
              <w:bottom w:val="single" w:sz="4" w:space="0" w:color="auto"/>
              <w:right w:val="single" w:sz="4" w:space="0" w:color="auto"/>
            </w:tcBorders>
          </w:tcPr>
          <w:p w14:paraId="58420466" w14:textId="77777777"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639" w:type="dxa"/>
            <w:tcBorders>
              <w:left w:val="single" w:sz="4" w:space="0" w:color="auto"/>
              <w:bottom w:val="single" w:sz="4" w:space="0" w:color="auto"/>
              <w:right w:val="single" w:sz="4" w:space="0" w:color="auto"/>
            </w:tcBorders>
          </w:tcPr>
          <w:p w14:paraId="77AFAF78" w14:textId="4705907B" w:rsidR="00C07C0C" w:rsidRPr="008F4886" w:rsidRDefault="00C07C0C" w:rsidP="00BB6410">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9EB7672" w14:textId="77777777" w:rsidR="00C07C0C" w:rsidRPr="008F4886" w:rsidRDefault="00C07C0C" w:rsidP="00BB6410">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1BFF2CB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F099853" w14:textId="3B84AA0E"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1E256778"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Indication:</w:t>
            </w:r>
            <w:r w:rsidRPr="008F4886">
              <w:rPr>
                <w:rFonts w:ascii="Arial Narrow" w:eastAsia="Calibri" w:hAnsi="Arial Narrow" w:cs="Times New Roman"/>
                <w:i/>
                <w:iCs/>
                <w:kern w:val="2"/>
                <w:sz w:val="20"/>
                <w:szCs w:val="20"/>
                <w14:ligatures w14:val="standardContextual"/>
              </w:rPr>
              <w:t xml:space="preserve"> Diabetes mellitus type 2</w:t>
            </w:r>
            <w:r w:rsidRPr="008F4886">
              <w:rPr>
                <w:rFonts w:ascii="Times New Roman" w:eastAsia="Calibri" w:hAnsi="Times New Roman" w:cs="Times New Roman"/>
                <w:i/>
                <w:iCs/>
                <w:kern w:val="2"/>
                <w:lang w:eastAsia="en-US"/>
                <w14:ligatures w14:val="standardContextual"/>
              </w:rPr>
              <w:t xml:space="preserve"> </w:t>
            </w:r>
          </w:p>
        </w:tc>
      </w:tr>
      <w:tr w:rsidR="00C07C0C" w:rsidRPr="008F4886" w14:paraId="3896D071"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763B603"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74A4DC8"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 xml:space="preserve">Initial treatment </w:t>
            </w:r>
          </w:p>
        </w:tc>
      </w:tr>
      <w:tr w:rsidR="00C07C0C" w:rsidRPr="008F4886" w14:paraId="47741A77"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CC75047" w14:textId="6B7CC016"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55F635F" w14:textId="77777777" w:rsidR="00C07C0C" w:rsidRPr="008F4886" w:rsidRDefault="00C07C0C" w:rsidP="00BB6410">
            <w:pPr>
              <w:spacing w:line="259" w:lineRule="auto"/>
              <w:jc w:val="left"/>
              <w:rPr>
                <w:rFonts w:ascii="Arial Narrow" w:eastAsia="Calibri" w:hAnsi="Arial Narrow" w:cs="Times New Roman"/>
                <w:i/>
                <w:iCs/>
                <w:strike/>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6038A1D7"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2810BC" w14:textId="2BE20680"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816DD68"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a Body Mass Index greater (BMI) than or equal to 35 kg/m</w:t>
            </w:r>
            <w:r w:rsidRPr="008F4886">
              <w:rPr>
                <w:rFonts w:ascii="Arial Narrow" w:eastAsia="Calibri" w:hAnsi="Arial Narrow" w:cs="Times New Roman"/>
                <w:i/>
                <w:iCs/>
                <w:kern w:val="2"/>
                <w:sz w:val="20"/>
                <w:szCs w:val="20"/>
                <w:vertAlign w:val="superscript"/>
                <w:lang w:val="en-US"/>
                <w14:ligatures w14:val="standardContextual"/>
              </w:rPr>
              <w:t xml:space="preserve">2 </w:t>
            </w:r>
            <w:r w:rsidRPr="008F4886">
              <w:rPr>
                <w:rFonts w:ascii="Arial Narrow" w:eastAsia="Calibri" w:hAnsi="Arial Narrow" w:cs="Times New Roman"/>
                <w:i/>
                <w:iCs/>
                <w:kern w:val="2"/>
                <w:sz w:val="20"/>
                <w:szCs w:val="20"/>
                <w14:ligatures w14:val="standardContextual"/>
              </w:rPr>
              <w:t>; OR</w:t>
            </w:r>
          </w:p>
        </w:tc>
      </w:tr>
      <w:tr w:rsidR="00C07C0C" w:rsidRPr="008F4886" w14:paraId="3BF2D124"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7A5A4BF" w14:textId="192035BE"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8AE25F4"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20A16119"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D4E2133"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95C9A89"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DE2222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A16C210" w14:textId="03BA7A5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061FD2AE" w14:textId="77777777" w:rsidR="00C07C0C" w:rsidRPr="008F4886" w:rsidRDefault="00C07C0C" w:rsidP="00BB6410">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3A260E48"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44C37A" w14:textId="23F3230F"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40BF795"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treatment must be used in combination with at least one of: metformin, a sulfonylurea, insulin</w:t>
            </w:r>
          </w:p>
        </w:tc>
      </w:tr>
      <w:tr w:rsidR="00C07C0C" w:rsidRPr="008F4886" w14:paraId="25C88D6C"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0FEC35C"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28998D25"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3E061562"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9E63EEE" w14:textId="1AE3679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3108EA02"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4B301A8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A6F3575" w14:textId="45472EC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7628FB6" w14:textId="77777777" w:rsidR="00C07C0C" w:rsidRPr="008F4886" w:rsidRDefault="00C07C0C" w:rsidP="00BB6410">
            <w:pPr>
              <w:spacing w:line="259" w:lineRule="auto"/>
              <w:jc w:val="left"/>
              <w:rPr>
                <w:rFonts w:ascii="Arial Narrow" w:eastAsia="Calibri" w:hAnsi="Arial Narrow" w:cs="Times New Roman"/>
                <w:i/>
                <w:iCs/>
                <w:color w:val="FF0000"/>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The condition must be inadequately responsive to at least one of: (i) metformin, (ii) a sulfonylurea, or (iii) insulin</w:t>
            </w:r>
          </w:p>
        </w:tc>
      </w:tr>
      <w:tr w:rsidR="00C07C0C" w:rsidRPr="008F4886" w14:paraId="45F7A6D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76659E"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4C251732"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3764C1C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8C953FC" w14:textId="7B550E56"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6EA7D35E" w14:textId="77777777" w:rsidR="00C07C0C" w:rsidRPr="008F4886" w:rsidRDefault="00C07C0C" w:rsidP="00BB6410">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07648E1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F6A8FE3" w14:textId="0B973AEF"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261ED1D5" w14:textId="77777777" w:rsidR="00C07C0C" w:rsidRPr="008F4886" w:rsidRDefault="00C07C0C" w:rsidP="00BB6410">
            <w:pPr>
              <w:jc w:val="left"/>
              <w:rPr>
                <w:rFonts w:ascii="Arial Narrow" w:hAnsi="Arial Narrow" w:cs="Calibri"/>
                <w:i/>
                <w:iCs/>
                <w:color w:val="333333"/>
                <w:kern w:val="2"/>
                <w:sz w:val="20"/>
                <w:szCs w:val="20"/>
                <w:lang w:val="en-US"/>
                <w14:ligatures w14:val="standardContextual"/>
              </w:rPr>
            </w:pPr>
            <w:r w:rsidRPr="008F4886">
              <w:rPr>
                <w:rFonts w:ascii="Arial Narrow" w:hAnsi="Arial Narrow" w:cs="Calibri"/>
                <w:i/>
                <w:iCs/>
                <w:color w:val="333333"/>
                <w:kern w:val="2"/>
                <w:sz w:val="20"/>
                <w:szCs w:val="20"/>
                <w:lang w:val="en-US"/>
                <w14:ligatures w14:val="standardContextual"/>
              </w:rPr>
              <w:t xml:space="preserve">Patient must not have achieved a clinically meaningful </w:t>
            </w:r>
            <w:proofErr w:type="spellStart"/>
            <w:r w:rsidRPr="008F4886">
              <w:rPr>
                <w:rFonts w:ascii="Arial Narrow" w:hAnsi="Arial Narrow" w:cs="Calibri"/>
                <w:i/>
                <w:iCs/>
                <w:color w:val="333333"/>
                <w:kern w:val="2"/>
                <w:sz w:val="20"/>
                <w:szCs w:val="20"/>
                <w:lang w:val="en-US"/>
                <w14:ligatures w14:val="standardContextual"/>
              </w:rPr>
              <w:t>glycaemic</w:t>
            </w:r>
            <w:proofErr w:type="spellEnd"/>
            <w:r w:rsidRPr="008F4886">
              <w:rPr>
                <w:rFonts w:ascii="Arial Narrow" w:hAnsi="Arial Narrow" w:cs="Calibri"/>
                <w:i/>
                <w:iCs/>
                <w:color w:val="333333"/>
                <w:kern w:val="2"/>
                <w:sz w:val="20"/>
                <w:szCs w:val="20"/>
                <w:lang w:val="en-US"/>
                <w14:ligatures w14:val="standardContextual"/>
              </w:rPr>
              <w:t xml:space="preserve"> response with an SGLT2 inhibitor; OR</w:t>
            </w:r>
          </w:p>
        </w:tc>
      </w:tr>
      <w:tr w:rsidR="00C07C0C" w:rsidRPr="008F4886" w14:paraId="74D974F5"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AC5E5A" w14:textId="1BF6A86C" w:rsidR="00C07C0C" w:rsidRPr="008F4886" w:rsidRDefault="00C07C0C" w:rsidP="00BB6410">
            <w:pPr>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AAC738A" w14:textId="77777777" w:rsidR="00C07C0C" w:rsidRPr="008F4886" w:rsidRDefault="00C07C0C" w:rsidP="00BB6410">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have a contraindication/intolerance requiring treatment discontinuation of an SGLT2 inhibitor</w:t>
            </w:r>
          </w:p>
        </w:tc>
      </w:tr>
      <w:tr w:rsidR="00C07C0C" w:rsidRPr="008F4886" w14:paraId="2F7F0523"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568D68F" w14:textId="45978351"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1FC1A05"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614C743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6F4E8F5" w14:textId="41337398"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6C99BF4A"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1134C81C"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D1439D3" w14:textId="06B5AD3A"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BFB428C"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0CFE8B42"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ED8615" w14:textId="01A987C5"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33D980A"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79C99A21"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C310B5E" w14:textId="66C87985"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08DC4F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hAnsi="Arial Narrow" w:cs="Calibri"/>
                <w:b/>
                <w:i/>
                <w:iCs/>
                <w:color w:val="333333"/>
                <w:kern w:val="2"/>
                <w:sz w:val="20"/>
                <w:szCs w:val="20"/>
                <w14:ligatures w14:val="standardContextual"/>
              </w:rPr>
              <w:t>Population criteria:</w:t>
            </w:r>
          </w:p>
        </w:tc>
      </w:tr>
      <w:tr w:rsidR="00C07C0C" w:rsidRPr="008F4886" w14:paraId="5F04403E"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62AEDDB" w14:textId="3BEA2C66"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77F3CCC9"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hAnsi="Arial Narrow" w:cs="Calibri"/>
                <w:i/>
                <w:iCs/>
                <w:color w:val="333333"/>
                <w:kern w:val="2"/>
                <w:sz w:val="20"/>
                <w:szCs w:val="20"/>
                <w14:ligatures w14:val="standardContextual"/>
              </w:rPr>
              <w:t xml:space="preserve">Patient must be at least 18 years of age </w:t>
            </w:r>
          </w:p>
        </w:tc>
      </w:tr>
      <w:tr w:rsidR="00C07C0C" w:rsidRPr="008F4886" w14:paraId="04ED955D"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2162DD" w14:textId="1207F7F3"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8DA980B" w14:textId="77777777" w:rsidR="00C07C0C" w:rsidRPr="008F4886" w:rsidRDefault="00C07C0C" w:rsidP="00BB6410">
            <w:pPr>
              <w:spacing w:line="256"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Prescribing Instructions:</w:t>
            </w:r>
            <w:r w:rsidRPr="008F4886">
              <w:rPr>
                <w:rFonts w:ascii="Arial Narrow" w:eastAsia="Calibri" w:hAnsi="Arial Narrow" w:cs="Times New Roman"/>
                <w:i/>
                <w:iCs/>
                <w:kern w:val="2"/>
                <w:sz w:val="20"/>
                <w:szCs w:val="20"/>
                <w:lang w:eastAsia="en-US"/>
                <w14:ligatures w14:val="standardContextual"/>
              </w:rPr>
              <w:t xml:space="preserve"> </w:t>
            </w:r>
          </w:p>
          <w:p w14:paraId="3507BD15" w14:textId="77777777" w:rsidR="00C07C0C" w:rsidRPr="008F4886" w:rsidRDefault="00C07C0C" w:rsidP="00BB6410">
            <w:pPr>
              <w:spacing w:line="259" w:lineRule="auto"/>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lang w:eastAsia="en-US"/>
                <w14:ligatures w14:val="standardContextual"/>
              </w:rPr>
              <w:t>Where there is a current, approved PBS prescription with valid repeat prescriptions specified (i.e., where the dose is changing), mark the prescription that is intended for no further supply as 'Cancelled'.</w:t>
            </w:r>
          </w:p>
        </w:tc>
      </w:tr>
      <w:tr w:rsidR="00C07C0C" w:rsidRPr="008F4886" w14:paraId="75EC52A8"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53623D" w14:textId="77777777"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5EC9993"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50CC66F5"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4C969494" w14:textId="77777777" w:rsidR="00C07C0C" w:rsidRPr="008F4886" w:rsidRDefault="00C07C0C" w:rsidP="00BB6410">
            <w:pPr>
              <w:numPr>
                <w:ilvl w:val="0"/>
                <w:numId w:val="12"/>
              </w:num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47CEC7DC"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2D61172"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w:t>
            </w:r>
            <w:r w:rsidRPr="008F4886">
              <w:rPr>
                <w:rFonts w:ascii="Arial Narrow" w:eastAsia="Calibri" w:hAnsi="Arial Narrow" w:cs="Times New Roman"/>
                <w:i/>
                <w:iCs/>
                <w:kern w:val="2"/>
                <w:sz w:val="20"/>
                <w:szCs w:val="20"/>
                <w14:ligatures w14:val="standardContextual"/>
              </w:rPr>
              <w:t>no more</w:t>
            </w:r>
            <w:r w:rsidRPr="008F4886">
              <w:rPr>
                <w:rFonts w:ascii="Arial Narrow" w:eastAsia="Calibri" w:hAnsi="Arial Narrow" w:cs="Times New Roman"/>
                <w:kern w:val="2"/>
                <w:sz w:val="20"/>
                <w:szCs w:val="20"/>
                <w14:ligatures w14:val="standardContextual"/>
              </w:rPr>
              <w:t xml:space="preserve"> than 4 months old (or if using portable HbA1c point of care testing (</w:t>
            </w:r>
            <w:proofErr w:type="spellStart"/>
            <w:r w:rsidRPr="008F4886">
              <w:rPr>
                <w:rFonts w:ascii="Arial Narrow" w:eastAsia="Calibri" w:hAnsi="Arial Narrow" w:cs="Times New Roman"/>
                <w:kern w:val="2"/>
                <w:sz w:val="20"/>
                <w:szCs w:val="20"/>
                <w14:ligatures w14:val="standardContextual"/>
              </w:rPr>
              <w:t>PoCT</w:t>
            </w:r>
            <w:proofErr w:type="spellEnd"/>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i/>
                <w:iCs/>
                <w:kern w:val="2"/>
                <w:sz w:val="20"/>
                <w:szCs w:val="20"/>
                <w14:ligatures w14:val="standardContextual"/>
              </w:rPr>
              <w:t>must be provided</w:t>
            </w:r>
            <w:r w:rsidRPr="008F4886">
              <w:rPr>
                <w:rFonts w:ascii="Arial Narrow" w:eastAsia="Calibri" w:hAnsi="Arial Narrow" w:cs="Times New Roman"/>
                <w:kern w:val="2"/>
                <w:sz w:val="20"/>
                <w:szCs w:val="20"/>
                <w14:ligatures w14:val="standardContextual"/>
              </w:rPr>
              <w:t>)</w:t>
            </w:r>
          </w:p>
          <w:p w14:paraId="49682A0A"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SGLT2 inhibitor therapy (i.e. confirmation of either (i) inadequate responsiveness; (ii) intolerance, or (iii) contraindication)</w:t>
            </w:r>
          </w:p>
          <w:p w14:paraId="3C21A37D"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metformin, sulfonylurea, or insulin therapy</w:t>
            </w:r>
          </w:p>
          <w:p w14:paraId="7189D4CA" w14:textId="77777777" w:rsidR="00C07C0C" w:rsidRPr="008F4886" w:rsidRDefault="00C07C0C" w:rsidP="00BB6410">
            <w:pPr>
              <w:numPr>
                <w:ilvl w:val="0"/>
                <w:numId w:val="12"/>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patients with </w:t>
            </w:r>
            <w:r w:rsidRPr="008F4886">
              <w:rPr>
                <w:rFonts w:ascii="Arial Narrow" w:eastAsia="Calibri" w:hAnsi="Arial Narrow" w:cs="Times New Roman"/>
                <w:i/>
                <w:iCs/>
                <w:kern w:val="2"/>
                <w:sz w:val="20"/>
                <w:szCs w:val="20"/>
                <w:lang w:val="en-US"/>
                <w14:ligatures w14:val="standardContextual"/>
              </w:rPr>
              <w:t>BMI greater than or equal to 35 kg/m</w:t>
            </w:r>
            <w:r w:rsidRPr="008F4886">
              <w:rPr>
                <w:rFonts w:ascii="Arial Narrow" w:eastAsia="Calibri" w:hAnsi="Arial Narrow" w:cs="Times New Roman"/>
                <w:i/>
                <w:iCs/>
                <w:kern w:val="2"/>
                <w:sz w:val="20"/>
                <w:szCs w:val="20"/>
                <w:vertAlign w:val="superscript"/>
                <w:lang w:val="en-US"/>
                <w14:ligatures w14:val="standardContextual"/>
              </w:rPr>
              <w:t>2</w:t>
            </w:r>
            <w:r w:rsidRPr="008F4886">
              <w:rPr>
                <w:rFonts w:ascii="Arial Narrow" w:eastAsia="Calibri" w:hAnsi="Arial Narrow" w:cs="Times New Roman"/>
                <w:i/>
                <w:iCs/>
                <w:kern w:val="2"/>
                <w:sz w:val="20"/>
                <w:szCs w:val="20"/>
                <w14:ligatures w14:val="standardContextual"/>
              </w:rPr>
              <w:t xml:space="preserve">, a measurement of body weight, height, and BMI at the time of application (no more than 1 month old) must be provided. </w:t>
            </w:r>
          </w:p>
          <w:p w14:paraId="4FB5362E" w14:textId="77777777" w:rsidR="00C07C0C" w:rsidRPr="008F4886" w:rsidRDefault="00C07C0C" w:rsidP="00BB6410">
            <w:pPr>
              <w:spacing w:line="259" w:lineRule="auto"/>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Aboriginal or Torres Strait Islander patients, confirmation of Aboriginal and Torres Strait Islander people identity as documented by a CTG code on Medicare card must be provided. </w:t>
            </w:r>
          </w:p>
        </w:tc>
      </w:tr>
      <w:tr w:rsidR="00C07C0C" w:rsidRPr="008F4886" w14:paraId="3115527B"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2BEFF8" w14:textId="7A9083D0"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hideMark/>
          </w:tcPr>
          <w:p w14:paraId="5EA1B729"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7CFC975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Definition:</w:t>
            </w:r>
          </w:p>
          <w:p w14:paraId="01465FE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03D95060"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Blood glucose monitoring is an alternative to HbA1c measurement where at least one of the following circumstances applies:</w:t>
            </w:r>
          </w:p>
          <w:p w14:paraId="42ED1C3D"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A clinical condition with reduced red blood cell survival (inclusive of haemolytic anaemias, haemoglobinopathies),</w:t>
            </w:r>
          </w:p>
          <w:p w14:paraId="1D611953"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 Red cell transfusion within the previous 3 months.</w:t>
            </w:r>
          </w:p>
        </w:tc>
      </w:tr>
      <w:tr w:rsidR="00C07C0C" w:rsidRPr="008F4886" w14:paraId="2EC78C16"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A09FD8C" w14:textId="7589F7EA"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0C509491"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A6034B4"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27D28F72"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53D5C8C7"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4B845541"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03C0BC15" w14:textId="77777777" w:rsidTr="00BB641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855E9EE" w14:textId="3264818D" w:rsidR="00C07C0C" w:rsidRPr="008F4886" w:rsidRDefault="00C07C0C" w:rsidP="00BB6410">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2FC234E" w14:textId="77777777" w:rsidR="00C07C0C" w:rsidRPr="008F4886" w:rsidRDefault="00C07C0C" w:rsidP="00BB6410">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2DE34AFE" w14:textId="77777777" w:rsidR="00C07C0C" w:rsidRPr="008F4886" w:rsidRDefault="00C07C0C" w:rsidP="00BB6410">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13FC21E3" w14:textId="77777777" w:rsidR="009A280E" w:rsidRPr="008F4886" w:rsidRDefault="009A280E" w:rsidP="00BB6410">
      <w:pPr>
        <w:spacing w:line="259" w:lineRule="auto"/>
        <w:jc w:val="left"/>
        <w:rPr>
          <w:rFonts w:ascii="Times New Roman" w:eastAsia="Calibri" w:hAnsi="Times New Roman" w:cs="Times New Roman"/>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409"/>
        <w:gridCol w:w="709"/>
        <w:gridCol w:w="1559"/>
        <w:gridCol w:w="709"/>
        <w:gridCol w:w="708"/>
        <w:gridCol w:w="709"/>
        <w:gridCol w:w="942"/>
      </w:tblGrid>
      <w:tr w:rsidR="00C07C0C" w:rsidRPr="008F4886" w14:paraId="728CBA8E" w14:textId="77777777" w:rsidTr="00296C07">
        <w:trPr>
          <w:cantSplit/>
          <w:trHeight w:val="20"/>
        </w:trPr>
        <w:tc>
          <w:tcPr>
            <w:tcW w:w="3686" w:type="dxa"/>
            <w:gridSpan w:val="3"/>
            <w:vAlign w:val="center"/>
          </w:tcPr>
          <w:p w14:paraId="4AACB40B"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5E83D4C6"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472D0EC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0286946A" w14:textId="65E2D08B"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7FF849D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7336E606"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1C23683F"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1562FA4D"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11292568"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262D2C69" w14:textId="77777777" w:rsidTr="00296C07">
        <w:trPr>
          <w:cantSplit/>
          <w:trHeight w:val="20"/>
        </w:trPr>
        <w:tc>
          <w:tcPr>
            <w:tcW w:w="9022" w:type="dxa"/>
            <w:gridSpan w:val="9"/>
            <w:vAlign w:val="center"/>
          </w:tcPr>
          <w:p w14:paraId="1BDDC722"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355102A7" w14:textId="77777777" w:rsidTr="00296C07">
        <w:trPr>
          <w:cantSplit/>
          <w:trHeight w:val="20"/>
        </w:trPr>
        <w:tc>
          <w:tcPr>
            <w:tcW w:w="3686" w:type="dxa"/>
            <w:gridSpan w:val="3"/>
          </w:tcPr>
          <w:p w14:paraId="2E0D6F7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2DAB1F7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AC1D46E" w14:textId="799D5E39"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25"/>
                <w14:textFill>
                  <w14:solidFill>
                    <w14:srgbClr w14:val="000000">
                      <w14:alpha w14:val="100000"/>
                    </w14:srgbClr>
                  </w14:solidFill>
                </w14:textFill>
              </w:rPr>
              <w:t>|||</w:t>
            </w:r>
            <w:r w:rsidR="00F111EB" w:rsidRPr="00F111EB">
              <w:rPr>
                <w:color w:val="000000"/>
                <w:spacing w:val="3"/>
                <w:shd w:val="solid" w:color="000000" w:fill="000000"/>
                <w:fitText w:val="326" w:id="-761015025"/>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54791DD6" w14:textId="0B2ACDBB"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2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57A882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8C5880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D010C5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4C42AF6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224C426F" w14:textId="77777777" w:rsidTr="00296C07">
        <w:trPr>
          <w:cantSplit/>
          <w:trHeight w:val="20"/>
        </w:trPr>
        <w:tc>
          <w:tcPr>
            <w:tcW w:w="3686" w:type="dxa"/>
            <w:gridSpan w:val="3"/>
          </w:tcPr>
          <w:p w14:paraId="7FDF858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5 mg/0.5 mL injection, 4 x 0.5 mL single-use pen devices</w:t>
            </w:r>
          </w:p>
        </w:tc>
        <w:tc>
          <w:tcPr>
            <w:tcW w:w="709" w:type="dxa"/>
            <w:vAlign w:val="center"/>
          </w:tcPr>
          <w:p w14:paraId="25E01F3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3760991" w14:textId="4F9F4468"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5040"/>
                <w14:textFill>
                  <w14:solidFill>
                    <w14:srgbClr w14:val="000000">
                      <w14:alpha w14:val="100000"/>
                    </w14:srgbClr>
                  </w14:solidFill>
                </w14:textFill>
              </w:rPr>
              <w:t>|||</w:t>
            </w:r>
            <w:r w:rsidR="00F111EB" w:rsidRPr="00F111EB">
              <w:rPr>
                <w:color w:val="000000"/>
                <w:spacing w:val="3"/>
                <w:shd w:val="solid" w:color="000000" w:fill="000000"/>
                <w:fitText w:val="326" w:id="-76101504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D12631C" w14:textId="5293E898"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503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503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057105B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BF4D71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AED054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1F0E9F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517BB34" w14:textId="77777777" w:rsidTr="00296C07">
        <w:trPr>
          <w:cantSplit/>
          <w:trHeight w:val="20"/>
        </w:trPr>
        <w:tc>
          <w:tcPr>
            <w:tcW w:w="3686" w:type="dxa"/>
            <w:gridSpan w:val="3"/>
          </w:tcPr>
          <w:p w14:paraId="629D5B6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7A4CFFA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C2E043E" w14:textId="53B7A468"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5038"/>
                <w14:textFill>
                  <w14:solidFill>
                    <w14:srgbClr w14:val="000000">
                      <w14:alpha w14:val="100000"/>
                    </w14:srgbClr>
                  </w14:solidFill>
                </w14:textFill>
              </w:rPr>
              <w:t>|||</w:t>
            </w:r>
            <w:r w:rsidR="00F111EB" w:rsidRPr="00F111EB">
              <w:rPr>
                <w:color w:val="000000"/>
                <w:spacing w:val="3"/>
                <w:shd w:val="solid" w:color="000000" w:fill="000000"/>
                <w:fitText w:val="326" w:id="-761015038"/>
                <w14:textFill>
                  <w14:solidFill>
                    <w14:srgbClr w14:val="000000">
                      <w14:alpha w14:val="100000"/>
                    </w14:srgbClr>
                  </w14:solidFill>
                </w14:textFill>
              </w:rPr>
              <w:t>|</w:t>
            </w:r>
            <w:r w:rsidRPr="00C07C0C">
              <w:t xml:space="preserve"> published</w:t>
            </w:r>
          </w:p>
          <w:p w14:paraId="49C8C919" w14:textId="212B5F2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7"/>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7"/>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6D7AAE2"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AC3820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9605642"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FD9E44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A5081A9" w14:textId="77777777" w:rsidTr="00296C07">
        <w:trPr>
          <w:cantSplit/>
          <w:trHeight w:val="20"/>
        </w:trPr>
        <w:tc>
          <w:tcPr>
            <w:tcW w:w="3686" w:type="dxa"/>
            <w:gridSpan w:val="3"/>
          </w:tcPr>
          <w:p w14:paraId="2A75AF4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37671E6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BD8CFE7" w14:textId="5AAF0FCF"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5036"/>
                <w14:textFill>
                  <w14:solidFill>
                    <w14:srgbClr w14:val="000000">
                      <w14:alpha w14:val="100000"/>
                    </w14:srgbClr>
                  </w14:solidFill>
                </w14:textFill>
              </w:rPr>
              <w:t>|||</w:t>
            </w:r>
            <w:r w:rsidR="00F111EB" w:rsidRPr="00F111EB">
              <w:rPr>
                <w:color w:val="000000"/>
                <w:spacing w:val="3"/>
                <w:shd w:val="solid" w:color="000000" w:fill="000000"/>
                <w:fitText w:val="326" w:id="-761015036"/>
                <w14:textFill>
                  <w14:solidFill>
                    <w14:srgbClr w14:val="000000">
                      <w14:alpha w14:val="100000"/>
                    </w14:srgbClr>
                  </w14:solidFill>
                </w14:textFill>
              </w:rPr>
              <w:t>|</w:t>
            </w:r>
            <w:r w:rsidRPr="00C07C0C">
              <w:t xml:space="preserve"> published</w:t>
            </w:r>
          </w:p>
          <w:p w14:paraId="7FD30F16" w14:textId="46E10DFA"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503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503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EF6B15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8FDEAE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029CF1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EFAE5D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BFED78C" w14:textId="77777777" w:rsidTr="00296C07">
        <w:trPr>
          <w:cantSplit/>
          <w:trHeight w:val="20"/>
        </w:trPr>
        <w:tc>
          <w:tcPr>
            <w:tcW w:w="3686" w:type="dxa"/>
            <w:gridSpan w:val="3"/>
          </w:tcPr>
          <w:p w14:paraId="5D8B11B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3EADC74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35967A3" w14:textId="590D791A"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4"/>
                <w14:textFill>
                  <w14:solidFill>
                    <w14:srgbClr w14:val="000000">
                      <w14:alpha w14:val="100000"/>
                    </w14:srgbClr>
                  </w14:solidFill>
                </w14:textFill>
              </w:rPr>
              <w:t>|||</w:t>
            </w:r>
            <w:r w:rsidR="00F111EB" w:rsidRPr="00F111EB">
              <w:rPr>
                <w:color w:val="000000"/>
                <w:spacing w:val="3"/>
                <w:szCs w:val="20"/>
                <w:shd w:val="solid" w:color="000000" w:fill="000000"/>
                <w:fitText w:val="326" w:id="-761014784"/>
                <w14:textFill>
                  <w14:solidFill>
                    <w14:srgbClr w14:val="000000">
                      <w14:alpha w14:val="100000"/>
                    </w14:srgbClr>
                  </w14:solidFill>
                </w14:textFill>
              </w:rPr>
              <w:t>|</w:t>
            </w:r>
            <w:r w:rsidRPr="0076762E">
              <w:rPr>
                <w:szCs w:val="20"/>
              </w:rPr>
              <w:t xml:space="preserve"> published</w:t>
            </w:r>
          </w:p>
          <w:p w14:paraId="3B33E489" w14:textId="13EC2EC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3"/>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50D33F0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326A30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C49EE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B52A13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1CBA41D" w14:textId="77777777" w:rsidTr="00296C07">
        <w:trPr>
          <w:cantSplit/>
          <w:trHeight w:val="20"/>
        </w:trPr>
        <w:tc>
          <w:tcPr>
            <w:tcW w:w="3686" w:type="dxa"/>
            <w:gridSpan w:val="3"/>
          </w:tcPr>
          <w:p w14:paraId="7AA014A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1F72F57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8F9706F" w14:textId="085CF696"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2"/>
                <w14:textFill>
                  <w14:solidFill>
                    <w14:srgbClr w14:val="000000">
                      <w14:alpha w14:val="100000"/>
                    </w14:srgbClr>
                  </w14:solidFill>
                </w14:textFill>
              </w:rPr>
              <w:t>|||</w:t>
            </w:r>
            <w:r w:rsidR="00F111EB" w:rsidRPr="00F111EB">
              <w:rPr>
                <w:color w:val="000000"/>
                <w:spacing w:val="3"/>
                <w:szCs w:val="20"/>
                <w:shd w:val="solid" w:color="000000" w:fill="000000"/>
                <w:fitText w:val="326" w:id="-761014782"/>
                <w14:textFill>
                  <w14:solidFill>
                    <w14:srgbClr w14:val="000000">
                      <w14:alpha w14:val="100000"/>
                    </w14:srgbClr>
                  </w14:solidFill>
                </w14:textFill>
              </w:rPr>
              <w:t>|</w:t>
            </w:r>
            <w:r w:rsidRPr="0076762E">
              <w:rPr>
                <w:szCs w:val="20"/>
              </w:rPr>
              <w:t xml:space="preserve"> published</w:t>
            </w:r>
          </w:p>
          <w:p w14:paraId="6A4497F0" w14:textId="5F4F04EA"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485D3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D1315E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03D2FA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26597AE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272F1BF" w14:textId="77777777" w:rsidTr="00296C07">
        <w:trPr>
          <w:cantSplit/>
          <w:trHeight w:val="20"/>
        </w:trPr>
        <w:tc>
          <w:tcPr>
            <w:tcW w:w="8080" w:type="dxa"/>
            <w:gridSpan w:val="8"/>
          </w:tcPr>
          <w:p w14:paraId="0C63C3F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6A6226A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45A257" w14:textId="77777777" w:rsidTr="00296C07">
        <w:trPr>
          <w:cantSplit/>
          <w:trHeight w:val="20"/>
        </w:trPr>
        <w:tc>
          <w:tcPr>
            <w:tcW w:w="3686" w:type="dxa"/>
            <w:gridSpan w:val="3"/>
          </w:tcPr>
          <w:p w14:paraId="1EB114F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1599184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7826219" w14:textId="66C7F6DB"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0"/>
                <w14:textFill>
                  <w14:solidFill>
                    <w14:srgbClr w14:val="000000">
                      <w14:alpha w14:val="100000"/>
                    </w14:srgbClr>
                  </w14:solidFill>
                </w14:textFill>
              </w:rPr>
              <w:t>|||</w:t>
            </w:r>
            <w:r w:rsidR="00F111EB" w:rsidRPr="00F111EB">
              <w:rPr>
                <w:color w:val="000000"/>
                <w:spacing w:val="3"/>
                <w:shd w:val="solid" w:color="000000" w:fill="000000"/>
                <w:fitText w:val="326" w:id="-761014780"/>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A7EF745" w14:textId="26940F3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9"/>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9"/>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43E0BEE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00762A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66175B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3EECD4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5B0FFCA9" w14:textId="77777777" w:rsidTr="00296C07">
        <w:trPr>
          <w:cantSplit/>
          <w:trHeight w:val="20"/>
        </w:trPr>
        <w:tc>
          <w:tcPr>
            <w:tcW w:w="3686" w:type="dxa"/>
            <w:gridSpan w:val="3"/>
          </w:tcPr>
          <w:p w14:paraId="2971A82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0.5 mL single-use vial</w:t>
            </w:r>
          </w:p>
        </w:tc>
        <w:tc>
          <w:tcPr>
            <w:tcW w:w="709" w:type="dxa"/>
            <w:vAlign w:val="center"/>
          </w:tcPr>
          <w:p w14:paraId="068669E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B04EA7A" w14:textId="68EDDECE" w:rsidR="00C07C0C" w:rsidRPr="00C07C0C" w:rsidRDefault="00F111EB" w:rsidP="00296C07">
            <w:pPr>
              <w:pStyle w:val="COMTabletext"/>
              <w:jc w:val="center"/>
              <w:rPr>
                <w:rFonts w:eastAsia="Calibri" w:cs="Times New Roman"/>
                <w:bCs w:val="0"/>
                <w:kern w:val="2"/>
                <w:szCs w:val="20"/>
                <w:lang w:eastAsia="en-US"/>
                <w14:ligatures w14:val="standardContextual"/>
              </w:rPr>
            </w:pPr>
            <w:r w:rsidRPr="00F111EB">
              <w:rPr>
                <w:color w:val="000000"/>
                <w:spacing w:val="51"/>
                <w:shd w:val="solid" w:color="000000" w:fill="000000"/>
                <w:fitText w:val="325" w:id="-761014778"/>
                <w14:textFill>
                  <w14:solidFill>
                    <w14:srgbClr w14:val="000000">
                      <w14:alpha w14:val="100000"/>
                    </w14:srgbClr>
                  </w14:solidFill>
                </w14:textFill>
              </w:rPr>
              <w:t>|||</w:t>
            </w:r>
            <w:r w:rsidRPr="00F111EB">
              <w:rPr>
                <w:color w:val="000000"/>
                <w:spacing w:val="2"/>
                <w:shd w:val="solid" w:color="000000" w:fill="000000"/>
                <w:fitText w:val="325" w:id="-761014778"/>
                <w14:textFill>
                  <w14:solidFill>
                    <w14:srgbClr w14:val="000000">
                      <w14:alpha w14:val="100000"/>
                    </w14:srgbClr>
                  </w14:solidFill>
                </w14:textFill>
              </w:rPr>
              <w:t>|</w:t>
            </w:r>
            <w:r w:rsidR="00C07C0C" w:rsidRPr="0076762E">
              <w:t xml:space="preserve"> </w:t>
            </w:r>
            <w:r w:rsidR="00C07C0C" w:rsidRPr="00C07C0C">
              <w:rPr>
                <w:rFonts w:eastAsia="Calibri" w:cs="Times New Roman"/>
                <w:bCs w:val="0"/>
                <w:kern w:val="2"/>
                <w:szCs w:val="20"/>
                <w:lang w:eastAsia="en-US"/>
                <w14:ligatures w14:val="standardContextual"/>
              </w:rPr>
              <w:t>published</w:t>
            </w:r>
          </w:p>
          <w:p w14:paraId="084D34D1" w14:textId="7035AFB5"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4EFFC7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5B4053D"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639E9F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26D1D61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3774CAC" w14:textId="77777777" w:rsidTr="00296C07">
        <w:trPr>
          <w:cantSplit/>
          <w:trHeight w:val="20"/>
        </w:trPr>
        <w:tc>
          <w:tcPr>
            <w:tcW w:w="3686" w:type="dxa"/>
            <w:gridSpan w:val="3"/>
          </w:tcPr>
          <w:p w14:paraId="0F5CCF5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38AA585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758F80E" w14:textId="2EB562FC"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6"/>
                <w14:textFill>
                  <w14:solidFill>
                    <w14:srgbClr w14:val="000000">
                      <w14:alpha w14:val="100000"/>
                    </w14:srgbClr>
                  </w14:solidFill>
                </w14:textFill>
              </w:rPr>
              <w:t>|||</w:t>
            </w:r>
            <w:r w:rsidR="00F111EB" w:rsidRPr="00F111EB">
              <w:rPr>
                <w:color w:val="000000"/>
                <w:spacing w:val="3"/>
                <w:shd w:val="solid" w:color="000000" w:fill="000000"/>
                <w:fitText w:val="326" w:id="-761014776"/>
                <w14:textFill>
                  <w14:solidFill>
                    <w14:srgbClr w14:val="000000">
                      <w14:alpha w14:val="100000"/>
                    </w14:srgbClr>
                  </w14:solidFill>
                </w14:textFill>
              </w:rPr>
              <w:t>|</w:t>
            </w:r>
            <w:r w:rsidRPr="00C07C0C">
              <w:t xml:space="preserve"> published</w:t>
            </w:r>
          </w:p>
          <w:p w14:paraId="768AFE51" w14:textId="38F19452"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5"/>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4D4B4EB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D18259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0266DA8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EDA9AF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B5C7883" w14:textId="77777777" w:rsidTr="00296C07">
        <w:trPr>
          <w:cantSplit/>
          <w:trHeight w:val="20"/>
        </w:trPr>
        <w:tc>
          <w:tcPr>
            <w:tcW w:w="3686" w:type="dxa"/>
            <w:gridSpan w:val="3"/>
          </w:tcPr>
          <w:p w14:paraId="72C53EA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176C907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F58477E" w14:textId="0863C979"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4"/>
                <w14:textFill>
                  <w14:solidFill>
                    <w14:srgbClr w14:val="000000">
                      <w14:alpha w14:val="100000"/>
                    </w14:srgbClr>
                  </w14:solidFill>
                </w14:textFill>
              </w:rPr>
              <w:t>|||</w:t>
            </w:r>
            <w:r w:rsidR="00F111EB" w:rsidRPr="00F111EB">
              <w:rPr>
                <w:color w:val="000000"/>
                <w:spacing w:val="3"/>
                <w:shd w:val="solid" w:color="000000" w:fill="000000"/>
                <w:fitText w:val="326" w:id="-761014774"/>
                <w14:textFill>
                  <w14:solidFill>
                    <w14:srgbClr w14:val="000000">
                      <w14:alpha w14:val="100000"/>
                    </w14:srgbClr>
                  </w14:solidFill>
                </w14:textFill>
              </w:rPr>
              <w:t>|</w:t>
            </w:r>
            <w:r w:rsidRPr="00C07C0C">
              <w:t xml:space="preserve"> published</w:t>
            </w:r>
          </w:p>
          <w:p w14:paraId="140129D1" w14:textId="40822160"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BAE03B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DD1D76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64071C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515A2C25"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571EE0B" w14:textId="77777777" w:rsidTr="00296C07">
        <w:trPr>
          <w:cantSplit/>
          <w:trHeight w:val="20"/>
        </w:trPr>
        <w:tc>
          <w:tcPr>
            <w:tcW w:w="3686" w:type="dxa"/>
            <w:gridSpan w:val="3"/>
          </w:tcPr>
          <w:p w14:paraId="7587F0B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709" w:type="dxa"/>
            <w:vAlign w:val="center"/>
          </w:tcPr>
          <w:p w14:paraId="4C98D669"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8979A7B" w14:textId="59C7BC3D"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2"/>
                <w14:textFill>
                  <w14:solidFill>
                    <w14:srgbClr w14:val="000000">
                      <w14:alpha w14:val="100000"/>
                    </w14:srgbClr>
                  </w14:solidFill>
                </w14:textFill>
              </w:rPr>
              <w:t>|||</w:t>
            </w:r>
            <w:r w:rsidR="00F111EB" w:rsidRPr="00F111EB">
              <w:rPr>
                <w:color w:val="000000"/>
                <w:spacing w:val="3"/>
                <w:szCs w:val="20"/>
                <w:shd w:val="solid" w:color="000000" w:fill="000000"/>
                <w:fitText w:val="326" w:id="-761014772"/>
                <w14:textFill>
                  <w14:solidFill>
                    <w14:srgbClr w14:val="000000">
                      <w14:alpha w14:val="100000"/>
                    </w14:srgbClr>
                  </w14:solidFill>
                </w14:textFill>
              </w:rPr>
              <w:t>|</w:t>
            </w:r>
            <w:r w:rsidRPr="0076762E">
              <w:rPr>
                <w:szCs w:val="20"/>
              </w:rPr>
              <w:t xml:space="preserve"> published</w:t>
            </w:r>
          </w:p>
          <w:p w14:paraId="7B2B5082" w14:textId="6B13250F"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47BC80F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25AB5ED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A61336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DFE7241"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B2D750B" w14:textId="77777777" w:rsidTr="00296C07">
        <w:trPr>
          <w:cantSplit/>
          <w:trHeight w:val="20"/>
        </w:trPr>
        <w:tc>
          <w:tcPr>
            <w:tcW w:w="3686" w:type="dxa"/>
            <w:gridSpan w:val="3"/>
          </w:tcPr>
          <w:p w14:paraId="5EC6124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398BEBC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D8025FC" w14:textId="1A436447"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0"/>
                <w14:textFill>
                  <w14:solidFill>
                    <w14:srgbClr w14:val="000000">
                      <w14:alpha w14:val="100000"/>
                    </w14:srgbClr>
                  </w14:solidFill>
                </w14:textFill>
              </w:rPr>
              <w:t>|||</w:t>
            </w:r>
            <w:r w:rsidR="00F111EB" w:rsidRPr="00F111EB">
              <w:rPr>
                <w:color w:val="000000"/>
                <w:spacing w:val="3"/>
                <w:szCs w:val="20"/>
                <w:shd w:val="solid" w:color="000000" w:fill="000000"/>
                <w:fitText w:val="326" w:id="-761014770"/>
                <w14:textFill>
                  <w14:solidFill>
                    <w14:srgbClr w14:val="000000">
                      <w14:alpha w14:val="100000"/>
                    </w14:srgbClr>
                  </w14:solidFill>
                </w14:textFill>
              </w:rPr>
              <w:t>|</w:t>
            </w:r>
            <w:r w:rsidRPr="0076762E">
              <w:rPr>
                <w:szCs w:val="20"/>
              </w:rPr>
              <w:t xml:space="preserve"> published</w:t>
            </w:r>
          </w:p>
          <w:p w14:paraId="6FB93345" w14:textId="13C02CCE"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6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6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2EF0BE5A"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64C345E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25DAC8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4EAF6E7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AC8B2FA" w14:textId="77777777" w:rsidTr="00296C07">
        <w:trPr>
          <w:cantSplit/>
          <w:trHeight w:val="20"/>
        </w:trPr>
        <w:tc>
          <w:tcPr>
            <w:tcW w:w="8080" w:type="dxa"/>
            <w:gridSpan w:val="8"/>
          </w:tcPr>
          <w:p w14:paraId="59EFE81C"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63A84E1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70A22D" w14:textId="77777777" w:rsidTr="00296C07">
        <w:trPr>
          <w:cantSplit/>
          <w:trHeight w:val="20"/>
        </w:trPr>
        <w:tc>
          <w:tcPr>
            <w:tcW w:w="3686" w:type="dxa"/>
            <w:gridSpan w:val="3"/>
          </w:tcPr>
          <w:p w14:paraId="10870CDF" w14:textId="77777777" w:rsidR="00C07C0C" w:rsidRPr="008F4886" w:rsidRDefault="00C07C0C" w:rsidP="00296C0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790304C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3033F72" w14:textId="752348F1"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68"/>
                <w14:textFill>
                  <w14:solidFill>
                    <w14:srgbClr w14:val="000000">
                      <w14:alpha w14:val="100000"/>
                    </w14:srgbClr>
                  </w14:solidFill>
                </w14:textFill>
              </w:rPr>
              <w:t>|||</w:t>
            </w:r>
            <w:r w:rsidR="00F111EB" w:rsidRPr="00F111EB">
              <w:rPr>
                <w:color w:val="000000"/>
                <w:spacing w:val="3"/>
                <w:shd w:val="solid" w:color="000000" w:fill="000000"/>
                <w:fitText w:val="326" w:id="-76101476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80577A4" w14:textId="192C35F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4"/>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4"/>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74CBA3FE"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35F4A2C"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9AD606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B58819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3AD5AFA" w14:textId="77777777" w:rsidTr="00296C07">
        <w:trPr>
          <w:cantSplit/>
          <w:trHeight w:val="20"/>
        </w:trPr>
        <w:tc>
          <w:tcPr>
            <w:tcW w:w="3686" w:type="dxa"/>
            <w:gridSpan w:val="3"/>
          </w:tcPr>
          <w:p w14:paraId="050A58CA"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00A2B99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90FE9D6" w14:textId="500DCB99" w:rsidR="00C07C0C" w:rsidRPr="00C07C0C" w:rsidRDefault="00C07C0C" w:rsidP="00296C0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3"/>
                <w14:textFill>
                  <w14:solidFill>
                    <w14:srgbClr w14:val="000000">
                      <w14:alpha w14:val="100000"/>
                    </w14:srgbClr>
                  </w14:solidFill>
                </w14:textFill>
              </w:rPr>
              <w:t>|||</w:t>
            </w:r>
            <w:r w:rsidR="00F111EB" w:rsidRPr="00F111EB">
              <w:rPr>
                <w:color w:val="000000"/>
                <w:spacing w:val="3"/>
                <w:shd w:val="solid" w:color="000000" w:fill="000000"/>
                <w:fitText w:val="326" w:id="-7610147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78FCF8F3" w14:textId="70F556AA"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BE76BA1"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818C1F4"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8D5658A"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7DA525F0"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1AC5F1D" w14:textId="77777777" w:rsidTr="00296C07">
        <w:trPr>
          <w:cantSplit/>
          <w:trHeight w:val="20"/>
        </w:trPr>
        <w:tc>
          <w:tcPr>
            <w:tcW w:w="3686" w:type="dxa"/>
            <w:gridSpan w:val="3"/>
          </w:tcPr>
          <w:p w14:paraId="6C880D2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2E66251E"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97A14AE" w14:textId="009CE317"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81"/>
                <w14:textFill>
                  <w14:solidFill>
                    <w14:srgbClr w14:val="000000">
                      <w14:alpha w14:val="100000"/>
                    </w14:srgbClr>
                  </w14:solidFill>
                </w14:textFill>
              </w:rPr>
              <w:t>|||</w:t>
            </w:r>
            <w:r w:rsidR="00F111EB" w:rsidRPr="00F111EB">
              <w:rPr>
                <w:color w:val="000000"/>
                <w:spacing w:val="3"/>
                <w:shd w:val="solid" w:color="000000" w:fill="000000"/>
                <w:fitText w:val="326" w:id="-761014781"/>
                <w14:textFill>
                  <w14:solidFill>
                    <w14:srgbClr w14:val="000000">
                      <w14:alpha w14:val="100000"/>
                    </w14:srgbClr>
                  </w14:solidFill>
                </w14:textFill>
              </w:rPr>
              <w:t>|</w:t>
            </w:r>
            <w:r w:rsidRPr="00C07C0C">
              <w:t xml:space="preserve"> published</w:t>
            </w:r>
          </w:p>
          <w:p w14:paraId="3A6D4CF6" w14:textId="16F805E7"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80"/>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80"/>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0E2E516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1F5ED0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7293151C"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F9DBEC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5B409923" w14:textId="77777777" w:rsidTr="00296C07">
        <w:trPr>
          <w:cantSplit/>
          <w:trHeight w:val="20"/>
        </w:trPr>
        <w:tc>
          <w:tcPr>
            <w:tcW w:w="3686" w:type="dxa"/>
            <w:gridSpan w:val="3"/>
          </w:tcPr>
          <w:p w14:paraId="3CC9A351" w14:textId="77777777" w:rsidR="00C07C0C" w:rsidRPr="008F4886" w:rsidRDefault="00C07C0C" w:rsidP="00296C0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3B355D36"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FD8C78C" w14:textId="6A1D8A2E" w:rsidR="00342C45" w:rsidRPr="00C07C0C" w:rsidRDefault="00342C45" w:rsidP="00296C07">
            <w:pPr>
              <w:pStyle w:val="COMTabletext"/>
              <w:jc w:val="center"/>
            </w:pPr>
            <w:r w:rsidRPr="00C07C0C">
              <w:t>$</w:t>
            </w:r>
            <w:r w:rsidR="00F111EB" w:rsidRPr="00F111EB">
              <w:rPr>
                <w:color w:val="000000"/>
                <w:spacing w:val="51"/>
                <w:shd w:val="solid" w:color="000000" w:fill="000000"/>
                <w:fitText w:val="326" w:id="-761014779"/>
                <w14:textFill>
                  <w14:solidFill>
                    <w14:srgbClr w14:val="000000">
                      <w14:alpha w14:val="100000"/>
                    </w14:srgbClr>
                  </w14:solidFill>
                </w14:textFill>
              </w:rPr>
              <w:t>|||</w:t>
            </w:r>
            <w:r w:rsidR="00F111EB" w:rsidRPr="00F111EB">
              <w:rPr>
                <w:color w:val="000000"/>
                <w:spacing w:val="3"/>
                <w:shd w:val="solid" w:color="000000" w:fill="000000"/>
                <w:fitText w:val="326" w:id="-761014779"/>
                <w14:textFill>
                  <w14:solidFill>
                    <w14:srgbClr w14:val="000000">
                      <w14:alpha w14:val="100000"/>
                    </w14:srgbClr>
                  </w14:solidFill>
                </w14:textFill>
              </w:rPr>
              <w:t>|</w:t>
            </w:r>
            <w:r w:rsidRPr="00C07C0C">
              <w:t xml:space="preserve"> published</w:t>
            </w:r>
          </w:p>
          <w:p w14:paraId="1E8B34B7" w14:textId="4171D8D3"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5D72259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F19459B"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904226"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44466294"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6B0EFCF" w14:textId="77777777" w:rsidTr="00296C07">
        <w:trPr>
          <w:cantSplit/>
          <w:trHeight w:val="20"/>
        </w:trPr>
        <w:tc>
          <w:tcPr>
            <w:tcW w:w="3686" w:type="dxa"/>
            <w:gridSpan w:val="3"/>
          </w:tcPr>
          <w:p w14:paraId="583FB79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2E904F0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3F38D03" w14:textId="24F60DDE"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7"/>
                <w14:textFill>
                  <w14:solidFill>
                    <w14:srgbClr w14:val="000000">
                      <w14:alpha w14:val="100000"/>
                    </w14:srgbClr>
                  </w14:solidFill>
                </w14:textFill>
              </w:rPr>
              <w:t>|||</w:t>
            </w:r>
            <w:r w:rsidR="00F111EB" w:rsidRPr="00F111EB">
              <w:rPr>
                <w:color w:val="000000"/>
                <w:spacing w:val="3"/>
                <w:szCs w:val="20"/>
                <w:shd w:val="solid" w:color="000000" w:fill="000000"/>
                <w:fitText w:val="326" w:id="-761014777"/>
                <w14:textFill>
                  <w14:solidFill>
                    <w14:srgbClr w14:val="000000">
                      <w14:alpha w14:val="100000"/>
                    </w14:srgbClr>
                  </w14:solidFill>
                </w14:textFill>
              </w:rPr>
              <w:t>|</w:t>
            </w:r>
            <w:r w:rsidRPr="0076762E">
              <w:rPr>
                <w:szCs w:val="20"/>
              </w:rPr>
              <w:t xml:space="preserve"> published</w:t>
            </w:r>
          </w:p>
          <w:p w14:paraId="1F7320EE" w14:textId="1AAF2BCB"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6"/>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EC314B8"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CFE8A8B"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C15DD14"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3DCEEEEE"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29FE77D" w14:textId="77777777" w:rsidTr="00296C07">
        <w:trPr>
          <w:cantSplit/>
          <w:trHeight w:val="20"/>
        </w:trPr>
        <w:tc>
          <w:tcPr>
            <w:tcW w:w="3686" w:type="dxa"/>
            <w:gridSpan w:val="3"/>
          </w:tcPr>
          <w:p w14:paraId="0CECBFC1"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7795EF57"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24FA7C7" w14:textId="4FE80B56" w:rsidR="00342C45" w:rsidRPr="0076762E" w:rsidRDefault="00342C45" w:rsidP="00296C0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5"/>
                <w14:textFill>
                  <w14:solidFill>
                    <w14:srgbClr w14:val="000000">
                      <w14:alpha w14:val="100000"/>
                    </w14:srgbClr>
                  </w14:solidFill>
                </w14:textFill>
              </w:rPr>
              <w:t>|||</w:t>
            </w:r>
            <w:r w:rsidR="00F111EB" w:rsidRPr="00F111EB">
              <w:rPr>
                <w:color w:val="000000"/>
                <w:spacing w:val="3"/>
                <w:szCs w:val="20"/>
                <w:shd w:val="solid" w:color="000000" w:fill="000000"/>
                <w:fitText w:val="326" w:id="-761014775"/>
                <w14:textFill>
                  <w14:solidFill>
                    <w14:srgbClr w14:val="000000">
                      <w14:alpha w14:val="100000"/>
                    </w14:srgbClr>
                  </w14:solidFill>
                </w14:textFill>
              </w:rPr>
              <w:t>|</w:t>
            </w:r>
            <w:r w:rsidRPr="0076762E">
              <w:rPr>
                <w:szCs w:val="20"/>
              </w:rPr>
              <w:t xml:space="preserve"> published</w:t>
            </w:r>
          </w:p>
          <w:p w14:paraId="718503A3" w14:textId="0B0F85D0" w:rsidR="00C07C0C" w:rsidRPr="008F4886" w:rsidRDefault="00342C45" w:rsidP="00296C0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6E96AB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3AFDAE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C6DA363"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3</w:t>
            </w:r>
          </w:p>
        </w:tc>
        <w:tc>
          <w:tcPr>
            <w:tcW w:w="942" w:type="dxa"/>
            <w:vMerge/>
            <w:vAlign w:val="center"/>
          </w:tcPr>
          <w:p w14:paraId="7521F423"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B0171B7" w14:textId="77777777" w:rsidTr="00296C0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3B807B28"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85C6F10" w14:textId="77777777" w:rsidTr="00296C0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11745E90" w14:textId="77777777" w:rsidR="00C07C0C" w:rsidRPr="008F4886" w:rsidRDefault="00C07C0C" w:rsidP="00296C07">
            <w:pPr>
              <w:spacing w:line="259" w:lineRule="auto"/>
              <w:jc w:val="left"/>
              <w:rPr>
                <w:rFonts w:ascii="Arial Narrow" w:eastAsia="Calibri" w:hAnsi="Arial Narrow"/>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535083FE"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4D1D8DDB" w14:textId="239481E0" w:rsidR="00C07C0C" w:rsidRPr="008F4886" w:rsidRDefault="00C07C0C" w:rsidP="00296C07">
            <w:pPr>
              <w:spacing w:line="259" w:lineRule="auto"/>
              <w:jc w:val="left"/>
              <w:rPr>
                <w:rFonts w:ascii="Arial Narrow" w:eastAsia="Calibri" w:hAnsi="Arial Narrow" w:cs="Times New Roman"/>
                <w:b/>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1D7EA9F"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77D31BE4"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52E483E3"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3A4796D" w14:textId="77777777" w:rsidR="00C07C0C" w:rsidRPr="008F4886" w:rsidRDefault="00C07C0C" w:rsidP="00296C0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kern w:val="2"/>
                <w:sz w:val="20"/>
                <w:szCs w:val="20"/>
                <w:lang w:eastAsia="en-US"/>
                <w14:ligatures w14:val="standardContextual"/>
              </w:rPr>
            </w:r>
            <w:r w:rsidRPr="008F4886">
              <w:rPr>
                <w:rFonts w:ascii="Arial Narrow" w:eastAsia="Calibri" w:hAnsi="Arial Narrow" w:cs="Times New Roman"/>
                <w:kern w:val="2"/>
                <w:sz w:val="20"/>
                <w:szCs w:val="20"/>
                <w:lang w:eastAsia="en-US"/>
                <w14:ligatures w14:val="standardContextual"/>
              </w:rPr>
              <w:fldChar w:fldCharType="separate"/>
            </w:r>
            <w:r w:rsidRPr="008F4886">
              <w:rPr>
                <w:rFonts w:ascii="Arial Narrow" w:eastAsia="Calibri" w:hAnsi="Arial Narrow" w:cs="Times New Roman"/>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7218BABF" w14:textId="77777777" w:rsidTr="00296C0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78E1FD19"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0B7B147" w14:textId="77777777" w:rsidR="00C07C0C" w:rsidRPr="008F4886" w:rsidRDefault="00C07C0C" w:rsidP="00296C07">
            <w:pPr>
              <w:spacing w:line="259" w:lineRule="auto"/>
              <w:jc w:val="left"/>
              <w:rPr>
                <w:rFonts w:ascii="Arial Narrow" w:eastAsia="Calibri" w:hAnsi="Arial Narrow" w:cs="Times New Roman"/>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kern w:val="2"/>
                <w:sz w:val="20"/>
                <w:szCs w:val="20"/>
                <w:lang w:eastAsia="en-US"/>
                <w14:ligatures w14:val="standardContextual"/>
              </w:rPr>
            </w:r>
            <w:r w:rsidRPr="008F4886">
              <w:rPr>
                <w:rFonts w:ascii="Arial Narrow" w:eastAsia="Calibri" w:hAnsi="Arial Narrow" w:cs="Times New Roman"/>
                <w:kern w:val="2"/>
                <w:sz w:val="20"/>
                <w:szCs w:val="20"/>
                <w:lang w:eastAsia="en-US"/>
                <w14:ligatures w14:val="standardContextual"/>
              </w:rPr>
              <w:fldChar w:fldCharType="separate"/>
            </w:r>
            <w:r w:rsidRPr="008F4886">
              <w:rPr>
                <w:rFonts w:ascii="Arial Narrow" w:eastAsia="Calibri" w:hAnsi="Arial Narrow" w:cs="Times New Roman"/>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w:t>
            </w:r>
            <w:r w:rsidRPr="008F4886">
              <w:rPr>
                <w:rFonts w:ascii="Arial Narrow" w:eastAsia="Calibri" w:hAnsi="Arial Narrow" w:cs="Times New Roman"/>
                <w:i/>
                <w:kern w:val="2"/>
                <w:sz w:val="20"/>
                <w:szCs w:val="20"/>
                <w:lang w:eastAsia="en-US"/>
                <w14:ligatures w14:val="standardContextual"/>
              </w:rPr>
              <w:t>(telephone/electronic)</w:t>
            </w:r>
          </w:p>
        </w:tc>
      </w:tr>
      <w:tr w:rsidR="00C07C0C" w:rsidRPr="008F4886" w14:paraId="731F000E" w14:textId="77777777" w:rsidTr="00296C07">
        <w:tblPrEx>
          <w:tblCellMar>
            <w:top w:w="15" w:type="dxa"/>
            <w:bottom w:w="15" w:type="dxa"/>
          </w:tblCellMar>
          <w:tblLook w:val="04A0" w:firstRow="1" w:lastRow="0" w:firstColumn="1" w:lastColumn="0" w:noHBand="0" w:noVBand="1"/>
        </w:tblPrEx>
        <w:trPr>
          <w:trHeight w:val="20"/>
        </w:trPr>
        <w:tc>
          <w:tcPr>
            <w:tcW w:w="568" w:type="dxa"/>
            <w:vMerge w:val="restart"/>
            <w:tcBorders>
              <w:left w:val="single" w:sz="4" w:space="0" w:color="auto"/>
              <w:right w:val="single" w:sz="4" w:space="0" w:color="auto"/>
            </w:tcBorders>
          </w:tcPr>
          <w:p w14:paraId="39C115F1" w14:textId="716CB83B"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vAlign w:val="center"/>
          </w:tcPr>
          <w:p w14:paraId="4F511585" w14:textId="42733328"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4B36482" w14:textId="77777777" w:rsidR="00C07C0C" w:rsidRPr="008F4886" w:rsidRDefault="00C07C0C" w:rsidP="00296C0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i/>
                <w:iCs/>
                <w:kern w:val="2"/>
                <w:sz w:val="20"/>
                <w:szCs w:val="20"/>
                <w:lang w:eastAsia="en-US"/>
                <w14:ligatures w14:val="standardContextual"/>
              </w:rPr>
              <w:t xml:space="preserve">Administrative Advice:  </w:t>
            </w:r>
          </w:p>
          <w:p w14:paraId="2123BD39"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r w:rsidR="00C07C0C" w:rsidRPr="008F4886" w14:paraId="66171781"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07521CD0" w14:textId="77777777" w:rsidR="00C07C0C" w:rsidRPr="008F4886" w:rsidRDefault="00C07C0C" w:rsidP="00296C07">
            <w:pPr>
              <w:spacing w:line="259" w:lineRule="auto"/>
              <w:jc w:val="left"/>
              <w:rPr>
                <w:rFonts w:ascii="Arial Narrow" w:eastAsia="Calibri" w:hAnsi="Arial Narrow" w:cs="Times New Roman"/>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742817A0" w14:textId="748C56E2"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11F3A94"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13C604E9"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right w:val="single" w:sz="4" w:space="0" w:color="auto"/>
            </w:tcBorders>
          </w:tcPr>
          <w:p w14:paraId="1EEDA49B"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1DD081A3" w14:textId="7A4AFCAB"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30A0DF3"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21E68491" w14:textId="77777777" w:rsidTr="00296C07">
        <w:tblPrEx>
          <w:tblCellMar>
            <w:top w:w="15" w:type="dxa"/>
            <w:bottom w:w="15" w:type="dxa"/>
          </w:tblCellMar>
          <w:tblLook w:val="04A0" w:firstRow="1" w:lastRow="0" w:firstColumn="1" w:lastColumn="0" w:noHBand="0" w:noVBand="1"/>
        </w:tblPrEx>
        <w:trPr>
          <w:trHeight w:val="20"/>
        </w:trPr>
        <w:tc>
          <w:tcPr>
            <w:tcW w:w="568" w:type="dxa"/>
            <w:vMerge/>
            <w:tcBorders>
              <w:left w:val="single" w:sz="4" w:space="0" w:color="auto"/>
              <w:bottom w:val="single" w:sz="4" w:space="0" w:color="auto"/>
              <w:right w:val="single" w:sz="4" w:space="0" w:color="auto"/>
            </w:tcBorders>
          </w:tcPr>
          <w:p w14:paraId="2EB72C1F" w14:textId="77777777"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09" w:type="dxa"/>
            <w:tcBorders>
              <w:left w:val="single" w:sz="4" w:space="0" w:color="auto"/>
              <w:bottom w:val="single" w:sz="4" w:space="0" w:color="auto"/>
              <w:right w:val="single" w:sz="4" w:space="0" w:color="auto"/>
            </w:tcBorders>
          </w:tcPr>
          <w:p w14:paraId="4424740F" w14:textId="03C2EFC1" w:rsidR="00C07C0C" w:rsidRPr="008F4886" w:rsidRDefault="00C07C0C" w:rsidP="00296C0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45853246" w14:textId="77777777" w:rsidR="00C07C0C" w:rsidRPr="008F4886" w:rsidRDefault="00C07C0C" w:rsidP="00296C0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6DA872D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378800D" w14:textId="345518C8"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60D5303D" w14:textId="77777777" w:rsidR="00C07C0C" w:rsidRPr="008F4886" w:rsidRDefault="00C07C0C" w:rsidP="00296C0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10CA9EBB"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24B9F43" w14:textId="7777777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5A29CDD7" w14:textId="77777777" w:rsidR="00C07C0C" w:rsidRPr="008F4886" w:rsidRDefault="00C07C0C" w:rsidP="00296C0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First continuing treatment – until the assessment of response</w:t>
            </w:r>
            <w:r w:rsidRPr="008F4886">
              <w:rPr>
                <w:rFonts w:ascii="Arial Narrow" w:eastAsia="Calibri" w:hAnsi="Arial Narrow" w:cs="Times New Roman"/>
                <w:kern w:val="2"/>
                <w:sz w:val="20"/>
                <w:szCs w:val="20"/>
                <w14:ligatures w14:val="standardContextual"/>
              </w:rPr>
              <w:t xml:space="preserve"> </w:t>
            </w:r>
          </w:p>
        </w:tc>
      </w:tr>
      <w:tr w:rsidR="00C07C0C" w:rsidRPr="008F4886" w14:paraId="2AD7B7DC"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8381572" w14:textId="35BAE2B1"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A9B8205" w14:textId="77777777" w:rsidR="00C07C0C" w:rsidRPr="008F4886" w:rsidRDefault="00C07C0C" w:rsidP="00296C07">
            <w:pPr>
              <w:spacing w:line="259" w:lineRule="auto"/>
              <w:jc w:val="left"/>
              <w:rPr>
                <w:rFonts w:ascii="Arial Narrow" w:eastAsia="Calibri" w:hAnsi="Arial Narrow" w:cs="Times New Roman"/>
                <w:strike/>
                <w:kern w:val="2"/>
                <w:sz w:val="20"/>
                <w:szCs w:val="20"/>
                <w:lang w:val="en-US"/>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559F62A7"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B535AF" w14:textId="24FA10B1"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2D94E58" w14:textId="77777777" w:rsidR="00C07C0C" w:rsidRPr="008F4886" w:rsidRDefault="00C07C0C" w:rsidP="00296C07">
            <w:pPr>
              <w:spacing w:line="259" w:lineRule="auto"/>
              <w:jc w:val="left"/>
              <w:rPr>
                <w:rFonts w:ascii="Arial Narrow" w:eastAsia="Calibri" w:hAnsi="Arial Narrow" w:cs="Times New Roman"/>
                <w:i/>
                <w:iCs/>
                <w:strike/>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received this drug as their most recent course of PBS-subsidised treatment for this condition under the initial treatment restriction; OR</w:t>
            </w:r>
          </w:p>
        </w:tc>
      </w:tr>
      <w:tr w:rsidR="00C07C0C" w:rsidRPr="008F4886" w14:paraId="2E14BA5A"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E9894F5" w14:textId="25C14F97" w:rsidR="00C07C0C" w:rsidRPr="008F4886" w:rsidRDefault="00C07C0C" w:rsidP="00296C0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1E975140" w14:textId="77777777" w:rsidR="00C07C0C" w:rsidRPr="008F4886" w:rsidRDefault="00C07C0C" w:rsidP="00296C07">
            <w:pPr>
              <w:spacing w:line="259" w:lineRule="auto"/>
              <w:jc w:val="left"/>
              <w:rPr>
                <w:rFonts w:ascii="Arial Narrow" w:eastAsia="Calibri" w:hAnsi="Arial Narrow" w:cs="Times New Roman"/>
                <w:i/>
                <w:iCs/>
                <w:strike/>
                <w:kern w:val="2"/>
                <w:sz w:val="20"/>
                <w:szCs w:val="20"/>
                <w14:ligatures w14:val="standardContextual"/>
              </w:rPr>
            </w:pPr>
            <w:r w:rsidRPr="008F4886">
              <w:rPr>
                <w:rFonts w:ascii="Arial Narrow" w:hAnsi="Arial Narrow"/>
                <w:i/>
                <w:iCs/>
                <w:kern w:val="2"/>
                <w:sz w:val="20"/>
                <w:szCs w:val="20"/>
                <w14:ligatures w14:val="standardContextual"/>
              </w:rPr>
              <w:t>Patient must have received PBS-subsidised treatment with this drug for this condition under the grandfather treatment restriction that is insufficient to complete the first 40 weeks of treatment</w:t>
            </w:r>
          </w:p>
        </w:tc>
      </w:tr>
      <w:tr w:rsidR="00C07C0C" w:rsidRPr="008F4886" w14:paraId="05DB1955"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C3DC7B7" w14:textId="7777777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9239A17"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0985ED2"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679577" w14:textId="3A463524"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DDDC9ED"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7CDD7AAC"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07A49F8" w14:textId="558BF414"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E74AB54"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have demonstrated a response to treatment with this drug as determined by the treating clinician.</w:t>
            </w:r>
          </w:p>
        </w:tc>
      </w:tr>
      <w:tr w:rsidR="00C07C0C" w:rsidRPr="008F4886" w14:paraId="3C406828"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7B80B6C" w14:textId="2F03FF5E"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4A9B20A6"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3B197C3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DE896EF" w14:textId="2D6D0A06"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2EF2FE7B"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10BB42BF"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BC01BE8" w14:textId="19BF6286"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73FB74C3"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38F5ADCB"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AFC4E0F" w14:textId="5005840E"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C4B89E3"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7648CB09"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41926E7" w14:textId="55E124A8"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3F643D0" w14:textId="77777777" w:rsidR="00C07C0C" w:rsidRPr="008F4886" w:rsidRDefault="00C07C0C" w:rsidP="00296C07">
            <w:pPr>
              <w:rPr>
                <w:rFonts w:ascii="Arial Narrow" w:hAnsi="Arial Narrow"/>
                <w:b/>
                <w:bCs/>
                <w:i/>
                <w:iCs/>
                <w:kern w:val="2"/>
                <w:sz w:val="20"/>
                <w:szCs w:val="20"/>
                <w14:ligatures w14:val="standardContextual"/>
              </w:rPr>
            </w:pPr>
            <w:r w:rsidRPr="008F4886">
              <w:rPr>
                <w:rFonts w:ascii="Arial Narrow" w:hAnsi="Arial Narrow"/>
                <w:b/>
                <w:bCs/>
                <w:i/>
                <w:iCs/>
                <w:kern w:val="2"/>
                <w:sz w:val="20"/>
                <w:szCs w:val="20"/>
                <w14:ligatures w14:val="standardContextual"/>
              </w:rPr>
              <w:t>Prescriber instructions:</w:t>
            </w:r>
          </w:p>
          <w:p w14:paraId="69943882" w14:textId="77777777" w:rsidR="00C07C0C" w:rsidRPr="008F4886" w:rsidRDefault="00C07C0C" w:rsidP="00296C07">
            <w:pPr>
              <w:rPr>
                <w:rFonts w:ascii="Arial Narrow" w:hAnsi="Arial Narrow"/>
                <w:b/>
                <w:bCs/>
                <w:i/>
                <w:iCs/>
                <w:kern w:val="2"/>
                <w:sz w:val="20"/>
                <w:szCs w:val="20"/>
                <w14:ligatures w14:val="standardContextual"/>
              </w:rPr>
            </w:pPr>
            <w:r w:rsidRPr="008F4886">
              <w:rPr>
                <w:rFonts w:ascii="Arial Narrow" w:hAnsi="Arial Narrow"/>
                <w:i/>
                <w:iCs/>
                <w:kern w:val="2"/>
                <w:sz w:val="20"/>
                <w:szCs w:val="20"/>
                <w14:ligatures w14:val="standardContextual"/>
              </w:rPr>
              <w:t xml:space="preserve">This treatment phase provides additional 16 weeks of initial treatment until assessment of response is conducted after a total of 40 weeks of initial treatment. </w:t>
            </w:r>
          </w:p>
        </w:tc>
      </w:tr>
      <w:tr w:rsidR="00C07C0C" w:rsidRPr="008F4886" w14:paraId="64FF838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1A2031E" w14:textId="15DFBD13"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1F5E70A4"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513F5C9"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69C8C7F4"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56ABD4B9"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161955DC" w14:textId="5BB92F35"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280FB26E" w14:textId="77777777" w:rsidTr="00296C0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966C5FD" w14:textId="50893687" w:rsidR="00C07C0C" w:rsidRPr="008F4886" w:rsidRDefault="00C07C0C" w:rsidP="00296C0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6C647DD" w14:textId="77777777" w:rsidR="00C07C0C" w:rsidRPr="008F4886" w:rsidRDefault="00C07C0C" w:rsidP="00296C0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6FBFB1AA" w14:textId="77777777" w:rsidR="00C07C0C" w:rsidRPr="008F4886" w:rsidRDefault="00C07C0C" w:rsidP="00296C0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bl>
    <w:p w14:paraId="7D3D008C" w14:textId="77777777" w:rsidR="009A280E" w:rsidRPr="00296C07" w:rsidRDefault="009A280E" w:rsidP="00296C07">
      <w:pPr>
        <w:spacing w:line="259" w:lineRule="auto"/>
        <w:jc w:val="left"/>
        <w:rPr>
          <w:rFonts w:asciiTheme="minorHAnsi" w:eastAsia="Calibri" w:hAnsiTheme="minorHAnsi" w:cstheme="minorHAnsi"/>
          <w:kern w:val="2"/>
          <w:lang w:eastAsia="en-US"/>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638"/>
        <w:gridCol w:w="2409"/>
        <w:gridCol w:w="709"/>
        <w:gridCol w:w="1559"/>
        <w:gridCol w:w="709"/>
        <w:gridCol w:w="708"/>
        <w:gridCol w:w="709"/>
        <w:gridCol w:w="942"/>
      </w:tblGrid>
      <w:tr w:rsidR="00C07C0C" w:rsidRPr="008F4886" w14:paraId="64721EC6" w14:textId="77777777" w:rsidTr="001C2457">
        <w:trPr>
          <w:cantSplit/>
          <w:trHeight w:val="20"/>
        </w:trPr>
        <w:tc>
          <w:tcPr>
            <w:tcW w:w="3686" w:type="dxa"/>
            <w:gridSpan w:val="3"/>
            <w:vAlign w:val="center"/>
          </w:tcPr>
          <w:p w14:paraId="284AEBDA"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w:t>
            </w:r>
          </w:p>
          <w:p w14:paraId="5D46E0BC"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medicinal product pack</w:t>
            </w:r>
          </w:p>
        </w:tc>
        <w:tc>
          <w:tcPr>
            <w:tcW w:w="709" w:type="dxa"/>
            <w:vAlign w:val="center"/>
          </w:tcPr>
          <w:p w14:paraId="31DB93C2"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PBS item code</w:t>
            </w:r>
          </w:p>
        </w:tc>
        <w:tc>
          <w:tcPr>
            <w:tcW w:w="1559" w:type="dxa"/>
            <w:vAlign w:val="center"/>
          </w:tcPr>
          <w:p w14:paraId="032884A3" w14:textId="7B0ACFC0"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C07C0C">
              <w:rPr>
                <w:rFonts w:ascii="Arial Narrow" w:eastAsia="Calibri" w:hAnsi="Arial Narrow" w:cs="Times New Roman"/>
                <w:b/>
                <w:bCs/>
                <w:kern w:val="2"/>
                <w:sz w:val="20"/>
                <w:szCs w:val="20"/>
                <w:lang w:eastAsia="en-US"/>
                <w14:ligatures w14:val="standardContextual"/>
              </w:rPr>
              <w:t>Dispensed Price for Max. Qty</w:t>
            </w:r>
          </w:p>
        </w:tc>
        <w:tc>
          <w:tcPr>
            <w:tcW w:w="709" w:type="dxa"/>
            <w:vAlign w:val="center"/>
          </w:tcPr>
          <w:p w14:paraId="447509C0"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packs</w:t>
            </w:r>
          </w:p>
        </w:tc>
        <w:tc>
          <w:tcPr>
            <w:tcW w:w="708" w:type="dxa"/>
            <w:vAlign w:val="center"/>
          </w:tcPr>
          <w:p w14:paraId="5903EEDB"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Max. qty units</w:t>
            </w:r>
          </w:p>
        </w:tc>
        <w:tc>
          <w:tcPr>
            <w:tcW w:w="709" w:type="dxa"/>
            <w:vAlign w:val="center"/>
          </w:tcPr>
          <w:p w14:paraId="06EF2BD1"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№.of</w:t>
            </w:r>
          </w:p>
          <w:p w14:paraId="2070A5C1"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Rpts</w:t>
            </w:r>
          </w:p>
        </w:tc>
        <w:tc>
          <w:tcPr>
            <w:tcW w:w="942" w:type="dxa"/>
            <w:vAlign w:val="center"/>
          </w:tcPr>
          <w:p w14:paraId="1C9392C4" w14:textId="77777777" w:rsidR="00C07C0C" w:rsidRPr="008F4886" w:rsidRDefault="00C07C0C" w:rsidP="001C2457">
            <w:pPr>
              <w:spacing w:line="259" w:lineRule="auto"/>
              <w:jc w:val="left"/>
              <w:rPr>
                <w:rFonts w:ascii="Arial Narrow" w:eastAsia="Calibri" w:hAnsi="Arial Narrow" w:cs="Times New Roman"/>
                <w:b/>
                <w:bCs/>
                <w:i/>
                <w:iCs/>
                <w:kern w:val="2"/>
                <w:sz w:val="20"/>
                <w:szCs w:val="20"/>
                <w:lang w:val="fr-FR" w:eastAsia="en-US"/>
                <w14:ligatures w14:val="standardContextual"/>
              </w:rPr>
            </w:pPr>
            <w:r w:rsidRPr="008F4886">
              <w:rPr>
                <w:rFonts w:ascii="Arial Narrow" w:eastAsia="Calibri" w:hAnsi="Arial Narrow" w:cs="Times New Roman"/>
                <w:b/>
                <w:bCs/>
                <w:kern w:val="2"/>
                <w:sz w:val="20"/>
                <w:szCs w:val="20"/>
                <w:lang w:eastAsia="en-US"/>
                <w14:ligatures w14:val="standardContextual"/>
              </w:rPr>
              <w:t>Available brands</w:t>
            </w:r>
          </w:p>
        </w:tc>
      </w:tr>
      <w:tr w:rsidR="00C07C0C" w:rsidRPr="008F4886" w14:paraId="4E1F1C6E" w14:textId="77777777" w:rsidTr="001C2457">
        <w:trPr>
          <w:cantSplit/>
          <w:trHeight w:val="20"/>
        </w:trPr>
        <w:tc>
          <w:tcPr>
            <w:tcW w:w="9022" w:type="dxa"/>
            <w:gridSpan w:val="9"/>
            <w:vAlign w:val="center"/>
          </w:tcPr>
          <w:p w14:paraId="09138D4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w:t>
            </w:r>
          </w:p>
        </w:tc>
      </w:tr>
      <w:tr w:rsidR="00C07C0C" w:rsidRPr="008F4886" w14:paraId="4AF74C38" w14:textId="77777777" w:rsidTr="001C2457">
        <w:trPr>
          <w:cantSplit/>
          <w:trHeight w:val="20"/>
        </w:trPr>
        <w:tc>
          <w:tcPr>
            <w:tcW w:w="3686" w:type="dxa"/>
            <w:gridSpan w:val="3"/>
          </w:tcPr>
          <w:p w14:paraId="1A9280A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4 x 0.5 mL single-use pen devices</w:t>
            </w:r>
          </w:p>
        </w:tc>
        <w:tc>
          <w:tcPr>
            <w:tcW w:w="709" w:type="dxa"/>
            <w:vAlign w:val="center"/>
          </w:tcPr>
          <w:p w14:paraId="046FF77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D1804EB" w14:textId="09EBC056"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3"/>
                <w14:textFill>
                  <w14:solidFill>
                    <w14:srgbClr w14:val="000000">
                      <w14:alpha w14:val="100000"/>
                    </w14:srgbClr>
                  </w14:solidFill>
                </w14:textFill>
              </w:rPr>
              <w:t>|||</w:t>
            </w:r>
            <w:r w:rsidR="00F111EB" w:rsidRPr="00F111EB">
              <w:rPr>
                <w:color w:val="000000"/>
                <w:spacing w:val="3"/>
                <w:shd w:val="solid" w:color="000000" w:fill="000000"/>
                <w:fitText w:val="326" w:id="-76101477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015F4917" w14:textId="1BC0BA20"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F839B7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6F0399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8DD2EF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restart"/>
            <w:vAlign w:val="center"/>
          </w:tcPr>
          <w:p w14:paraId="18608C6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Mounjaro</w:t>
            </w:r>
          </w:p>
        </w:tc>
      </w:tr>
      <w:tr w:rsidR="00C07C0C" w:rsidRPr="008F4886" w14:paraId="6F8CD9D5" w14:textId="77777777" w:rsidTr="001C2457">
        <w:trPr>
          <w:cantSplit/>
          <w:trHeight w:val="20"/>
        </w:trPr>
        <w:tc>
          <w:tcPr>
            <w:tcW w:w="3686" w:type="dxa"/>
            <w:gridSpan w:val="3"/>
          </w:tcPr>
          <w:p w14:paraId="0C33E36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mg/0.5 mL injection, 4 x 0.5 mL single-use pen devices</w:t>
            </w:r>
          </w:p>
        </w:tc>
        <w:tc>
          <w:tcPr>
            <w:tcW w:w="709" w:type="dxa"/>
            <w:vAlign w:val="center"/>
          </w:tcPr>
          <w:p w14:paraId="06B67DF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3953E328" w14:textId="6B4DA204"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1"/>
                <w14:textFill>
                  <w14:solidFill>
                    <w14:srgbClr w14:val="000000">
                      <w14:alpha w14:val="100000"/>
                    </w14:srgbClr>
                  </w14:solidFill>
                </w14:textFill>
              </w:rPr>
              <w:t>|||</w:t>
            </w:r>
            <w:r w:rsidR="00F111EB" w:rsidRPr="00F111EB">
              <w:rPr>
                <w:color w:val="000000"/>
                <w:spacing w:val="3"/>
                <w:shd w:val="solid" w:color="000000" w:fill="000000"/>
                <w:fitText w:val="326" w:id="-76101477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DA79ED7" w14:textId="4504EE75"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62856F5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40CBF7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819D27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41AB9C0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04EFAD3" w14:textId="77777777" w:rsidTr="001C2457">
        <w:trPr>
          <w:cantSplit/>
          <w:trHeight w:val="20"/>
        </w:trPr>
        <w:tc>
          <w:tcPr>
            <w:tcW w:w="3686" w:type="dxa"/>
            <w:gridSpan w:val="3"/>
          </w:tcPr>
          <w:p w14:paraId="098DA9C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mg/0.5 mL injection, 4 x 0.5 mL single-use pen devices</w:t>
            </w:r>
          </w:p>
        </w:tc>
        <w:tc>
          <w:tcPr>
            <w:tcW w:w="709" w:type="dxa"/>
            <w:vAlign w:val="center"/>
          </w:tcPr>
          <w:p w14:paraId="0B5E6F7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3BAC8BC" w14:textId="2827273A"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69"/>
                <w14:textFill>
                  <w14:solidFill>
                    <w14:srgbClr w14:val="000000">
                      <w14:alpha w14:val="100000"/>
                    </w14:srgbClr>
                  </w14:solidFill>
                </w14:textFill>
              </w:rPr>
              <w:t>|||</w:t>
            </w:r>
            <w:r w:rsidR="00F111EB" w:rsidRPr="00F111EB">
              <w:rPr>
                <w:color w:val="000000"/>
                <w:spacing w:val="3"/>
                <w:shd w:val="solid" w:color="000000" w:fill="000000"/>
                <w:fitText w:val="326" w:id="-761014769"/>
                <w14:textFill>
                  <w14:solidFill>
                    <w14:srgbClr w14:val="000000">
                      <w14:alpha w14:val="100000"/>
                    </w14:srgbClr>
                  </w14:solidFill>
                </w14:textFill>
              </w:rPr>
              <w:t>|</w:t>
            </w:r>
            <w:r w:rsidRPr="00C07C0C">
              <w:t xml:space="preserve"> published</w:t>
            </w:r>
          </w:p>
          <w:p w14:paraId="1AB80D31" w14:textId="0B103C98"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6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6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1DEE3F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7EDC92C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EF70B5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167C0EC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6FC93AC7" w14:textId="77777777" w:rsidTr="001C2457">
        <w:trPr>
          <w:cantSplit/>
          <w:trHeight w:val="20"/>
        </w:trPr>
        <w:tc>
          <w:tcPr>
            <w:tcW w:w="3686" w:type="dxa"/>
            <w:gridSpan w:val="3"/>
          </w:tcPr>
          <w:p w14:paraId="60F93C0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4 x 0.5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single-use pen devices</w:t>
            </w:r>
          </w:p>
        </w:tc>
        <w:tc>
          <w:tcPr>
            <w:tcW w:w="709" w:type="dxa"/>
            <w:vAlign w:val="center"/>
          </w:tcPr>
          <w:p w14:paraId="16B4763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0532EF50" w14:textId="597AFF10"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84"/>
                <w14:textFill>
                  <w14:solidFill>
                    <w14:srgbClr w14:val="000000">
                      <w14:alpha w14:val="100000"/>
                    </w14:srgbClr>
                  </w14:solidFill>
                </w14:textFill>
              </w:rPr>
              <w:t>|||</w:t>
            </w:r>
            <w:r w:rsidR="00F111EB" w:rsidRPr="00F111EB">
              <w:rPr>
                <w:color w:val="000000"/>
                <w:spacing w:val="3"/>
                <w:shd w:val="solid" w:color="000000" w:fill="000000"/>
                <w:fitText w:val="326" w:id="-761014784"/>
                <w14:textFill>
                  <w14:solidFill>
                    <w14:srgbClr w14:val="000000">
                      <w14:alpha w14:val="100000"/>
                    </w14:srgbClr>
                  </w14:solidFill>
                </w14:textFill>
              </w:rPr>
              <w:t>|</w:t>
            </w:r>
            <w:r w:rsidRPr="00C07C0C">
              <w:t xml:space="preserve"> published</w:t>
            </w:r>
          </w:p>
          <w:p w14:paraId="5480CE67" w14:textId="3C5B7E3C"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8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8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6C7B3AE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4E8FA8E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850736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5 </w:t>
            </w:r>
          </w:p>
        </w:tc>
        <w:tc>
          <w:tcPr>
            <w:tcW w:w="942" w:type="dxa"/>
            <w:vMerge/>
            <w:vAlign w:val="center"/>
          </w:tcPr>
          <w:p w14:paraId="4168E29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8D4A65" w14:textId="77777777" w:rsidTr="001C2457">
        <w:trPr>
          <w:cantSplit/>
          <w:trHeight w:val="20"/>
        </w:trPr>
        <w:tc>
          <w:tcPr>
            <w:tcW w:w="3686" w:type="dxa"/>
            <w:gridSpan w:val="3"/>
          </w:tcPr>
          <w:p w14:paraId="15E0DD8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4 x 0.5 mL single-use pen devices</w:t>
            </w:r>
          </w:p>
        </w:tc>
        <w:tc>
          <w:tcPr>
            <w:tcW w:w="709" w:type="dxa"/>
            <w:vAlign w:val="center"/>
          </w:tcPr>
          <w:p w14:paraId="56B7836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B4B75C4" w14:textId="7CF8C82E"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2"/>
                <w14:textFill>
                  <w14:solidFill>
                    <w14:srgbClr w14:val="000000">
                      <w14:alpha w14:val="100000"/>
                    </w14:srgbClr>
                  </w14:solidFill>
                </w14:textFill>
              </w:rPr>
              <w:t>|||</w:t>
            </w:r>
            <w:r w:rsidR="00F111EB" w:rsidRPr="00F111EB">
              <w:rPr>
                <w:color w:val="000000"/>
                <w:spacing w:val="3"/>
                <w:szCs w:val="20"/>
                <w:shd w:val="solid" w:color="000000" w:fill="000000"/>
                <w:fitText w:val="326" w:id="-761014782"/>
                <w14:textFill>
                  <w14:solidFill>
                    <w14:srgbClr w14:val="000000">
                      <w14:alpha w14:val="100000"/>
                    </w14:srgbClr>
                  </w14:solidFill>
                </w14:textFill>
              </w:rPr>
              <w:t>|</w:t>
            </w:r>
            <w:r w:rsidRPr="0076762E">
              <w:rPr>
                <w:szCs w:val="20"/>
              </w:rPr>
              <w:t xml:space="preserve"> published</w:t>
            </w:r>
          </w:p>
          <w:p w14:paraId="6E9F59FC" w14:textId="679C7D52"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1"/>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24BFF7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8959B2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4E6E164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7059D6A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BEF99D3" w14:textId="77777777" w:rsidTr="001C2457">
        <w:trPr>
          <w:cantSplit/>
          <w:trHeight w:val="20"/>
        </w:trPr>
        <w:tc>
          <w:tcPr>
            <w:tcW w:w="3686" w:type="dxa"/>
            <w:gridSpan w:val="3"/>
          </w:tcPr>
          <w:p w14:paraId="646BCA4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4 x 0.5 mL single-use pen devices</w:t>
            </w:r>
          </w:p>
        </w:tc>
        <w:tc>
          <w:tcPr>
            <w:tcW w:w="709" w:type="dxa"/>
            <w:vAlign w:val="center"/>
          </w:tcPr>
          <w:p w14:paraId="008E55D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2E18008" w14:textId="325A6AA1"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80"/>
                <w14:textFill>
                  <w14:solidFill>
                    <w14:srgbClr w14:val="000000">
                      <w14:alpha w14:val="100000"/>
                    </w14:srgbClr>
                  </w14:solidFill>
                </w14:textFill>
              </w:rPr>
              <w:t>|||</w:t>
            </w:r>
            <w:r w:rsidR="00F111EB" w:rsidRPr="00F111EB">
              <w:rPr>
                <w:color w:val="000000"/>
                <w:spacing w:val="3"/>
                <w:szCs w:val="20"/>
                <w:shd w:val="solid" w:color="000000" w:fill="000000"/>
                <w:fitText w:val="326" w:id="-761014780"/>
                <w14:textFill>
                  <w14:solidFill>
                    <w14:srgbClr w14:val="000000">
                      <w14:alpha w14:val="100000"/>
                    </w14:srgbClr>
                  </w14:solidFill>
                </w14:textFill>
              </w:rPr>
              <w:t>|</w:t>
            </w:r>
            <w:r w:rsidRPr="0076762E">
              <w:rPr>
                <w:szCs w:val="20"/>
              </w:rPr>
              <w:t xml:space="preserve"> published</w:t>
            </w:r>
          </w:p>
          <w:p w14:paraId="163CBC00" w14:textId="2DDAF9E9"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304FF2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61BE3D8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5A4A8E1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793A482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377E9D" w14:textId="77777777" w:rsidTr="001C2457">
        <w:trPr>
          <w:cantSplit/>
          <w:trHeight w:val="20"/>
        </w:trPr>
        <w:tc>
          <w:tcPr>
            <w:tcW w:w="8080" w:type="dxa"/>
            <w:gridSpan w:val="8"/>
          </w:tcPr>
          <w:p w14:paraId="41ED056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3CF4FA6A"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5B14F39" w14:textId="77777777" w:rsidTr="001C2457">
        <w:trPr>
          <w:cantSplit/>
          <w:trHeight w:val="20"/>
        </w:trPr>
        <w:tc>
          <w:tcPr>
            <w:tcW w:w="3686" w:type="dxa"/>
            <w:gridSpan w:val="3"/>
          </w:tcPr>
          <w:p w14:paraId="7501192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mg/0.5 mL injection, 0.5 mL single-use vial</w:t>
            </w:r>
          </w:p>
        </w:tc>
        <w:tc>
          <w:tcPr>
            <w:tcW w:w="709" w:type="dxa"/>
            <w:vAlign w:val="center"/>
          </w:tcPr>
          <w:p w14:paraId="66B754B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617AA48E" w14:textId="288FBF1D"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8"/>
                <w14:textFill>
                  <w14:solidFill>
                    <w14:srgbClr w14:val="000000">
                      <w14:alpha w14:val="100000"/>
                    </w14:srgbClr>
                  </w14:solidFill>
                </w14:textFill>
              </w:rPr>
              <w:t>|||</w:t>
            </w:r>
            <w:r w:rsidR="00F111EB" w:rsidRPr="00F111EB">
              <w:rPr>
                <w:color w:val="000000"/>
                <w:spacing w:val="3"/>
                <w:shd w:val="solid" w:color="000000" w:fill="000000"/>
                <w:fitText w:val="326" w:id="-761014778"/>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462F28B7" w14:textId="46994303"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7"/>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1A39C0D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4A788B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A35A0F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166BEEB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C7A6E2B" w14:textId="77777777" w:rsidTr="001C2457">
        <w:trPr>
          <w:cantSplit/>
          <w:trHeight w:val="20"/>
        </w:trPr>
        <w:tc>
          <w:tcPr>
            <w:tcW w:w="3686" w:type="dxa"/>
            <w:gridSpan w:val="3"/>
          </w:tcPr>
          <w:p w14:paraId="3E3923C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lastRenderedPageBreak/>
              <w:t>tirzepatide 5 mg/0.5 mL injection, 0.5 mL single-use vial</w:t>
            </w:r>
          </w:p>
        </w:tc>
        <w:tc>
          <w:tcPr>
            <w:tcW w:w="709" w:type="dxa"/>
            <w:vAlign w:val="center"/>
          </w:tcPr>
          <w:p w14:paraId="5415B3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8D8FBFB" w14:textId="3AFC8E21"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76"/>
                <w14:textFill>
                  <w14:solidFill>
                    <w14:srgbClr w14:val="000000">
                      <w14:alpha w14:val="100000"/>
                    </w14:srgbClr>
                  </w14:solidFill>
                </w14:textFill>
              </w:rPr>
              <w:t>|||</w:t>
            </w:r>
            <w:r w:rsidR="00F111EB" w:rsidRPr="00F111EB">
              <w:rPr>
                <w:color w:val="000000"/>
                <w:spacing w:val="3"/>
                <w:shd w:val="solid" w:color="000000" w:fill="000000"/>
                <w:fitText w:val="326" w:id="-761014776"/>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311DB274" w14:textId="01319F81"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75"/>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75"/>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B53D1F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9AB226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7552FD2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0BC62B5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08CC1ED8" w14:textId="77777777" w:rsidTr="001C2457">
        <w:trPr>
          <w:cantSplit/>
          <w:trHeight w:val="20"/>
        </w:trPr>
        <w:tc>
          <w:tcPr>
            <w:tcW w:w="3686" w:type="dxa"/>
            <w:gridSpan w:val="3"/>
          </w:tcPr>
          <w:p w14:paraId="0FE14A3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 xml:space="preserve">tirzepatide 7.5 mg/0.5 mL injection, 0.5 mL single-use vial </w:t>
            </w:r>
          </w:p>
        </w:tc>
        <w:tc>
          <w:tcPr>
            <w:tcW w:w="709" w:type="dxa"/>
            <w:vAlign w:val="center"/>
          </w:tcPr>
          <w:p w14:paraId="67FDDC3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1DBE35E7" w14:textId="748D37E4"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4"/>
                <w14:textFill>
                  <w14:solidFill>
                    <w14:srgbClr w14:val="000000">
                      <w14:alpha w14:val="100000"/>
                    </w14:srgbClr>
                  </w14:solidFill>
                </w14:textFill>
              </w:rPr>
              <w:t>|||</w:t>
            </w:r>
            <w:r w:rsidR="00F111EB" w:rsidRPr="00F111EB">
              <w:rPr>
                <w:color w:val="000000"/>
                <w:spacing w:val="3"/>
                <w:shd w:val="solid" w:color="000000" w:fill="000000"/>
                <w:fitText w:val="326" w:id="-761014774"/>
                <w14:textFill>
                  <w14:solidFill>
                    <w14:srgbClr w14:val="000000">
                      <w14:alpha w14:val="100000"/>
                    </w14:srgbClr>
                  </w14:solidFill>
                </w14:textFill>
              </w:rPr>
              <w:t>|</w:t>
            </w:r>
            <w:r w:rsidRPr="00C07C0C">
              <w:t xml:space="preserve"> published</w:t>
            </w:r>
          </w:p>
          <w:p w14:paraId="50E96E68" w14:textId="2F5F4866"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3"/>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3"/>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63D75B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1EDA5AA1"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39D3A83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7E8CB4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3F2E6B8B" w14:textId="77777777" w:rsidTr="001C2457">
        <w:trPr>
          <w:cantSplit/>
          <w:trHeight w:val="20"/>
        </w:trPr>
        <w:tc>
          <w:tcPr>
            <w:tcW w:w="3686" w:type="dxa"/>
            <w:gridSpan w:val="3"/>
          </w:tcPr>
          <w:p w14:paraId="19C7FE1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mg/0.5 mL injection, 0.5 mL single-use vial</w:t>
            </w:r>
          </w:p>
        </w:tc>
        <w:tc>
          <w:tcPr>
            <w:tcW w:w="709" w:type="dxa"/>
            <w:vAlign w:val="center"/>
          </w:tcPr>
          <w:p w14:paraId="066328B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526CEB7" w14:textId="2ED6C365"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2"/>
                <w14:textFill>
                  <w14:solidFill>
                    <w14:srgbClr w14:val="000000">
                      <w14:alpha w14:val="100000"/>
                    </w14:srgbClr>
                  </w14:solidFill>
                </w14:textFill>
              </w:rPr>
              <w:t>|||</w:t>
            </w:r>
            <w:r w:rsidR="00F111EB" w:rsidRPr="00F111EB">
              <w:rPr>
                <w:color w:val="000000"/>
                <w:spacing w:val="3"/>
                <w:shd w:val="solid" w:color="000000" w:fill="000000"/>
                <w:fitText w:val="326" w:id="-761014772"/>
                <w14:textFill>
                  <w14:solidFill>
                    <w14:srgbClr w14:val="000000">
                      <w14:alpha w14:val="100000"/>
                    </w14:srgbClr>
                  </w14:solidFill>
                </w14:textFill>
              </w:rPr>
              <w:t>|</w:t>
            </w:r>
            <w:r w:rsidRPr="00C07C0C">
              <w:t xml:space="preserve"> published</w:t>
            </w:r>
          </w:p>
          <w:p w14:paraId="286B85FC" w14:textId="1ECA8A15"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1"/>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1"/>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3FFFCEEB"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53B1D3F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681D1586"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3ECFA65F"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1D37DEC7" w14:textId="77777777" w:rsidTr="001C2457">
        <w:trPr>
          <w:cantSplit/>
          <w:trHeight w:val="20"/>
        </w:trPr>
        <w:tc>
          <w:tcPr>
            <w:tcW w:w="3686" w:type="dxa"/>
            <w:gridSpan w:val="3"/>
          </w:tcPr>
          <w:p w14:paraId="72E095F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mg/0.5 mL injection, 0.5 mL single-use vial</w:t>
            </w:r>
          </w:p>
        </w:tc>
        <w:tc>
          <w:tcPr>
            <w:tcW w:w="709" w:type="dxa"/>
            <w:vAlign w:val="center"/>
          </w:tcPr>
          <w:p w14:paraId="017324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1DC3F7B" w14:textId="6BE97BEB"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0"/>
                <w14:textFill>
                  <w14:solidFill>
                    <w14:srgbClr w14:val="000000">
                      <w14:alpha w14:val="100000"/>
                    </w14:srgbClr>
                  </w14:solidFill>
                </w14:textFill>
              </w:rPr>
              <w:t>|||</w:t>
            </w:r>
            <w:r w:rsidR="00F111EB" w:rsidRPr="00F111EB">
              <w:rPr>
                <w:color w:val="000000"/>
                <w:spacing w:val="3"/>
                <w:szCs w:val="20"/>
                <w:shd w:val="solid" w:color="000000" w:fill="000000"/>
                <w:fitText w:val="326" w:id="-761014770"/>
                <w14:textFill>
                  <w14:solidFill>
                    <w14:srgbClr w14:val="000000">
                      <w14:alpha w14:val="100000"/>
                    </w14:srgbClr>
                  </w14:solidFill>
                </w14:textFill>
              </w:rPr>
              <w:t>|</w:t>
            </w:r>
            <w:r w:rsidRPr="0076762E">
              <w:rPr>
                <w:szCs w:val="20"/>
              </w:rPr>
              <w:t xml:space="preserve"> published</w:t>
            </w:r>
          </w:p>
          <w:p w14:paraId="2CE57F0B" w14:textId="0C297F24"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69"/>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69"/>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7B4794E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0428157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10CC753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0EBA541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2B8E4945" w14:textId="77777777" w:rsidTr="001C2457">
        <w:trPr>
          <w:cantSplit/>
          <w:trHeight w:val="20"/>
        </w:trPr>
        <w:tc>
          <w:tcPr>
            <w:tcW w:w="3686" w:type="dxa"/>
            <w:gridSpan w:val="3"/>
          </w:tcPr>
          <w:p w14:paraId="036A408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15 mg/0.5 mL injection, 0.5 mL single-use vial</w:t>
            </w:r>
          </w:p>
        </w:tc>
        <w:tc>
          <w:tcPr>
            <w:tcW w:w="709" w:type="dxa"/>
            <w:vAlign w:val="center"/>
          </w:tcPr>
          <w:p w14:paraId="629E721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8FDE39D" w14:textId="3F594A83"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68"/>
                <w14:textFill>
                  <w14:solidFill>
                    <w14:srgbClr w14:val="000000">
                      <w14:alpha w14:val="100000"/>
                    </w14:srgbClr>
                  </w14:solidFill>
                </w14:textFill>
              </w:rPr>
              <w:t>|||</w:t>
            </w:r>
            <w:r w:rsidR="00F111EB" w:rsidRPr="00F111EB">
              <w:rPr>
                <w:color w:val="000000"/>
                <w:spacing w:val="3"/>
                <w:szCs w:val="20"/>
                <w:shd w:val="solid" w:color="000000" w:fill="000000"/>
                <w:fitText w:val="326" w:id="-761014768"/>
                <w14:textFill>
                  <w14:solidFill>
                    <w14:srgbClr w14:val="000000">
                      <w14:alpha w14:val="100000"/>
                    </w14:srgbClr>
                  </w14:solidFill>
                </w14:textFill>
              </w:rPr>
              <w:t>|</w:t>
            </w:r>
            <w:r w:rsidRPr="0076762E">
              <w:rPr>
                <w:szCs w:val="20"/>
              </w:rPr>
              <w:t xml:space="preserve"> published</w:t>
            </w:r>
          </w:p>
          <w:p w14:paraId="1E3A326B" w14:textId="38D63B9C"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8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8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39ACEF4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8" w:type="dxa"/>
            <w:vAlign w:val="center"/>
          </w:tcPr>
          <w:p w14:paraId="3A63C69D"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4</w:t>
            </w:r>
          </w:p>
        </w:tc>
        <w:tc>
          <w:tcPr>
            <w:tcW w:w="709" w:type="dxa"/>
            <w:vAlign w:val="center"/>
          </w:tcPr>
          <w:p w14:paraId="20C756BE"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1A578B78"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41FDEB8E" w14:textId="77777777" w:rsidTr="001C2457">
        <w:trPr>
          <w:cantSplit/>
          <w:trHeight w:val="20"/>
        </w:trPr>
        <w:tc>
          <w:tcPr>
            <w:tcW w:w="8080" w:type="dxa"/>
            <w:gridSpan w:val="8"/>
          </w:tcPr>
          <w:p w14:paraId="0C9DAB45"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c>
          <w:tcPr>
            <w:tcW w:w="942" w:type="dxa"/>
            <w:vMerge/>
            <w:vAlign w:val="center"/>
          </w:tcPr>
          <w:p w14:paraId="17C0295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p>
        </w:tc>
      </w:tr>
      <w:tr w:rsidR="00C07C0C" w:rsidRPr="008F4886" w14:paraId="7E2E7B72" w14:textId="77777777" w:rsidTr="001C2457">
        <w:trPr>
          <w:cantSplit/>
          <w:trHeight w:val="20"/>
        </w:trPr>
        <w:tc>
          <w:tcPr>
            <w:tcW w:w="3686" w:type="dxa"/>
            <w:gridSpan w:val="3"/>
          </w:tcPr>
          <w:p w14:paraId="45428C57"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2.5 mg/0.6 mL injection, 2.4 mL multi-dose pen device</w:t>
            </w:r>
          </w:p>
        </w:tc>
        <w:tc>
          <w:tcPr>
            <w:tcW w:w="709" w:type="dxa"/>
            <w:vAlign w:val="center"/>
          </w:tcPr>
          <w:p w14:paraId="72EDEB5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5739B1FE" w14:textId="2A82922C"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3"/>
                <w14:textFill>
                  <w14:solidFill>
                    <w14:srgbClr w14:val="000000">
                      <w14:alpha w14:val="100000"/>
                    </w14:srgbClr>
                  </w14:solidFill>
                </w14:textFill>
              </w:rPr>
              <w:t>|||</w:t>
            </w:r>
            <w:r w:rsidR="00F111EB" w:rsidRPr="00F111EB">
              <w:rPr>
                <w:color w:val="000000"/>
                <w:spacing w:val="3"/>
                <w:shd w:val="solid" w:color="000000" w:fill="000000"/>
                <w:fitText w:val="326" w:id="-761014783"/>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250EB2B5" w14:textId="3FC27E5F"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2"/>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3FEAA01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70BB5F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750C65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0D6740A"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7B7D551" w14:textId="77777777" w:rsidTr="001C2457">
        <w:trPr>
          <w:cantSplit/>
          <w:trHeight w:val="20"/>
        </w:trPr>
        <w:tc>
          <w:tcPr>
            <w:tcW w:w="3686" w:type="dxa"/>
            <w:gridSpan w:val="3"/>
          </w:tcPr>
          <w:p w14:paraId="5842C01F"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5 mg/0.6 mL injection, 2.4 mL</w:t>
            </w:r>
            <w:r w:rsidRPr="008F4886">
              <w:rPr>
                <w:rFonts w:eastAsia="Calibri" w:cs="Calibri"/>
                <w:sz w:val="22"/>
                <w:szCs w:val="22"/>
                <w:lang w:eastAsia="en-US"/>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62DE102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DC3CB07" w14:textId="7092AC3C" w:rsidR="00C07C0C" w:rsidRPr="00C07C0C" w:rsidRDefault="00C07C0C" w:rsidP="001C2457">
            <w:pPr>
              <w:pStyle w:val="COMTabletext"/>
              <w:jc w:val="center"/>
              <w:rPr>
                <w:rFonts w:eastAsia="Calibri" w:cs="Times New Roman"/>
                <w:bCs w:val="0"/>
                <w:kern w:val="2"/>
                <w:szCs w:val="20"/>
                <w:lang w:eastAsia="en-US"/>
                <w14:ligatures w14:val="standardContextual"/>
              </w:rPr>
            </w:pPr>
            <w:r w:rsidRPr="0076762E">
              <w:t>$</w:t>
            </w:r>
            <w:r w:rsidR="00F111EB" w:rsidRPr="00F111EB">
              <w:rPr>
                <w:color w:val="000000"/>
                <w:spacing w:val="51"/>
                <w:shd w:val="solid" w:color="000000" w:fill="000000"/>
                <w:fitText w:val="326" w:id="-761014781"/>
                <w14:textFill>
                  <w14:solidFill>
                    <w14:srgbClr w14:val="000000">
                      <w14:alpha w14:val="100000"/>
                    </w14:srgbClr>
                  </w14:solidFill>
                </w14:textFill>
              </w:rPr>
              <w:t>|||</w:t>
            </w:r>
            <w:r w:rsidR="00F111EB" w:rsidRPr="00F111EB">
              <w:rPr>
                <w:color w:val="000000"/>
                <w:spacing w:val="3"/>
                <w:shd w:val="solid" w:color="000000" w:fill="000000"/>
                <w:fitText w:val="326" w:id="-761014781"/>
                <w14:textFill>
                  <w14:solidFill>
                    <w14:srgbClr w14:val="000000">
                      <w14:alpha w14:val="100000"/>
                    </w14:srgbClr>
                  </w14:solidFill>
                </w14:textFill>
              </w:rPr>
              <w:t>|</w:t>
            </w:r>
            <w:r w:rsidRPr="0076762E">
              <w:t xml:space="preserve"> </w:t>
            </w:r>
            <w:r w:rsidRPr="00C07C0C">
              <w:rPr>
                <w:rFonts w:eastAsia="Calibri" w:cs="Times New Roman"/>
                <w:bCs w:val="0"/>
                <w:kern w:val="2"/>
                <w:szCs w:val="20"/>
                <w:lang w:eastAsia="en-US"/>
                <w14:ligatures w14:val="standardContextual"/>
              </w:rPr>
              <w:t>published</w:t>
            </w:r>
          </w:p>
          <w:p w14:paraId="13D13AE8" w14:textId="1CA32492"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Calibri" w:hAnsi="Arial Narrow" w:cs="Times New Roman"/>
                <w:kern w:val="2"/>
                <w:sz w:val="20"/>
                <w:szCs w:val="20"/>
                <w:lang w:eastAsia="en-US"/>
                <w14:ligatures w14:val="standardContextual"/>
              </w:rPr>
              <w:t>$</w:t>
            </w:r>
            <w:r w:rsidR="00F111EB" w:rsidRPr="00F111EB">
              <w:rPr>
                <w:rFonts w:ascii="Arial Narrow" w:eastAsia="Calibri" w:hAnsi="Arial Narrow" w:cs="Times New Roman"/>
                <w:color w:val="000000"/>
                <w:spacing w:val="51"/>
                <w:sz w:val="20"/>
                <w:szCs w:val="20"/>
                <w:shd w:val="solid" w:color="000000" w:fill="000000"/>
                <w:fitText w:val="326" w:id="-761014780"/>
                <w:lang w:eastAsia="en-US"/>
                <w14:textFill>
                  <w14:solidFill>
                    <w14:srgbClr w14:val="000000">
                      <w14:alpha w14:val="100000"/>
                    </w14:srgbClr>
                  </w14:solidFill>
                </w14:textFill>
                <w14:ligatures w14:val="standardContextual"/>
              </w:rPr>
              <w:t>|||</w:t>
            </w:r>
            <w:r w:rsidR="00F111EB" w:rsidRPr="00F111EB">
              <w:rPr>
                <w:rFonts w:ascii="Arial Narrow" w:eastAsia="Calibri" w:hAnsi="Arial Narrow" w:cs="Times New Roman"/>
                <w:color w:val="000000"/>
                <w:spacing w:val="3"/>
                <w:sz w:val="20"/>
                <w:szCs w:val="20"/>
                <w:shd w:val="solid" w:color="000000" w:fill="000000"/>
                <w:fitText w:val="326" w:id="-761014780"/>
                <w:lang w:eastAsia="en-US"/>
                <w14:textFill>
                  <w14:solidFill>
                    <w14:srgbClr w14:val="000000">
                      <w14:alpha w14:val="100000"/>
                    </w14:srgbClr>
                  </w14:solidFill>
                </w14:textFill>
                <w14:ligatures w14:val="standardContextual"/>
              </w:rPr>
              <w:t>|</w:t>
            </w:r>
            <w:r w:rsidRPr="00C07C0C">
              <w:rPr>
                <w:rFonts w:ascii="Arial Narrow" w:eastAsia="Calibri" w:hAnsi="Arial Narrow" w:cs="Times New Roman"/>
                <w:kern w:val="2"/>
                <w:sz w:val="20"/>
                <w:szCs w:val="20"/>
                <w:lang w:eastAsia="en-US"/>
                <w14:ligatures w14:val="standardContextual"/>
              </w:rPr>
              <w:t xml:space="preserve"> effective</w:t>
            </w:r>
          </w:p>
        </w:tc>
        <w:tc>
          <w:tcPr>
            <w:tcW w:w="709" w:type="dxa"/>
            <w:vAlign w:val="center"/>
          </w:tcPr>
          <w:p w14:paraId="5CCDA15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57B4206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344C3BC1"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6B9D2C4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217C51A4" w14:textId="77777777" w:rsidTr="001C2457">
        <w:trPr>
          <w:cantSplit/>
          <w:trHeight w:val="20"/>
        </w:trPr>
        <w:tc>
          <w:tcPr>
            <w:tcW w:w="3686" w:type="dxa"/>
            <w:gridSpan w:val="3"/>
          </w:tcPr>
          <w:p w14:paraId="327F494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7.5 mg/0.6 mL injection, 2.4 mL</w:t>
            </w:r>
            <w:r w:rsidRPr="008F4886">
              <w:rPr>
                <w:rFonts w:ascii="Times New Roman" w:eastAsia="Calibri" w:hAnsi="Times New Roman" w:cs="Times New Roman"/>
                <w:kern w:val="2"/>
                <w:lang w:eastAsia="en-US"/>
                <w14:ligatures w14:val="standardContextual"/>
              </w:rPr>
              <w:t xml:space="preserve"> </w:t>
            </w:r>
            <w:r w:rsidRPr="008F4886">
              <w:rPr>
                <w:rFonts w:ascii="Arial Narrow" w:eastAsia="Calibri" w:hAnsi="Arial Narrow" w:cs="Times New Roman"/>
                <w:kern w:val="2"/>
                <w:sz w:val="20"/>
                <w:szCs w:val="20"/>
                <w:lang w:eastAsia="en-US"/>
                <w14:ligatures w14:val="standardContextual"/>
              </w:rPr>
              <w:t>multi-dose pen device</w:t>
            </w:r>
          </w:p>
        </w:tc>
        <w:tc>
          <w:tcPr>
            <w:tcW w:w="709" w:type="dxa"/>
            <w:vAlign w:val="center"/>
          </w:tcPr>
          <w:p w14:paraId="71E2E0C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269DE81C" w14:textId="2124CFF5"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9"/>
                <w14:textFill>
                  <w14:solidFill>
                    <w14:srgbClr w14:val="000000">
                      <w14:alpha w14:val="100000"/>
                    </w14:srgbClr>
                  </w14:solidFill>
                </w14:textFill>
              </w:rPr>
              <w:t>|||</w:t>
            </w:r>
            <w:r w:rsidR="00F111EB" w:rsidRPr="00F111EB">
              <w:rPr>
                <w:color w:val="000000"/>
                <w:spacing w:val="3"/>
                <w:shd w:val="solid" w:color="000000" w:fill="000000"/>
                <w:fitText w:val="326" w:id="-761014779"/>
                <w14:textFill>
                  <w14:solidFill>
                    <w14:srgbClr w14:val="000000">
                      <w14:alpha w14:val="100000"/>
                    </w14:srgbClr>
                  </w14:solidFill>
                </w14:textFill>
              </w:rPr>
              <w:t>|</w:t>
            </w:r>
            <w:r w:rsidRPr="00C07C0C">
              <w:t xml:space="preserve"> published</w:t>
            </w:r>
          </w:p>
          <w:p w14:paraId="582B4C96" w14:textId="6FF11F98"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8"/>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8"/>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1025F2E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1AE37A28"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23D210E6"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4CDEFC2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54EDB6D" w14:textId="77777777" w:rsidTr="001C2457">
        <w:trPr>
          <w:cantSplit/>
          <w:trHeight w:val="20"/>
        </w:trPr>
        <w:tc>
          <w:tcPr>
            <w:tcW w:w="3686" w:type="dxa"/>
            <w:gridSpan w:val="3"/>
          </w:tcPr>
          <w:p w14:paraId="3954C284"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10 mg/0.6 mL injection, 2.4 mL multi-dose pen device</w:t>
            </w:r>
          </w:p>
        </w:tc>
        <w:tc>
          <w:tcPr>
            <w:tcW w:w="709" w:type="dxa"/>
            <w:vAlign w:val="center"/>
          </w:tcPr>
          <w:p w14:paraId="7E841BD3"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38F482F" w14:textId="5CDD5A6D" w:rsidR="00342C45" w:rsidRPr="00C07C0C" w:rsidRDefault="00342C45" w:rsidP="001C2457">
            <w:pPr>
              <w:pStyle w:val="COMTabletext"/>
              <w:jc w:val="center"/>
            </w:pPr>
            <w:r w:rsidRPr="00C07C0C">
              <w:t>$</w:t>
            </w:r>
            <w:r w:rsidR="00F111EB" w:rsidRPr="00F111EB">
              <w:rPr>
                <w:color w:val="000000"/>
                <w:spacing w:val="51"/>
                <w:shd w:val="solid" w:color="000000" w:fill="000000"/>
                <w:fitText w:val="326" w:id="-761014777"/>
                <w14:textFill>
                  <w14:solidFill>
                    <w14:srgbClr w14:val="000000">
                      <w14:alpha w14:val="100000"/>
                    </w14:srgbClr>
                  </w14:solidFill>
                </w14:textFill>
              </w:rPr>
              <w:t>|||</w:t>
            </w:r>
            <w:r w:rsidR="00F111EB" w:rsidRPr="00F111EB">
              <w:rPr>
                <w:color w:val="000000"/>
                <w:spacing w:val="3"/>
                <w:shd w:val="solid" w:color="000000" w:fill="000000"/>
                <w:fitText w:val="326" w:id="-761014777"/>
                <w14:textFill>
                  <w14:solidFill>
                    <w14:srgbClr w14:val="000000">
                      <w14:alpha w14:val="100000"/>
                    </w14:srgbClr>
                  </w14:solidFill>
                </w14:textFill>
              </w:rPr>
              <w:t>|</w:t>
            </w:r>
            <w:r w:rsidRPr="00C07C0C">
              <w:t xml:space="preserve"> published</w:t>
            </w:r>
          </w:p>
          <w:p w14:paraId="03B715CD" w14:textId="4114E9B1"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rPr>
              <w:t>$</w:t>
            </w:r>
            <w:r w:rsidR="00F111EB" w:rsidRPr="00F111EB">
              <w:rPr>
                <w:rFonts w:ascii="Arial Narrow" w:eastAsiaTheme="majorEastAsia" w:hAnsi="Arial Narrow" w:cstheme="majorBidi"/>
                <w:bCs/>
                <w:color w:val="000000"/>
                <w:spacing w:val="51"/>
                <w:sz w:val="20"/>
                <w:shd w:val="solid" w:color="000000" w:fill="000000"/>
                <w:fitText w:val="326" w:id="-761014776"/>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776"/>
                <w14:textFill>
                  <w14:solidFill>
                    <w14:srgbClr w14:val="000000">
                      <w14:alpha w14:val="100000"/>
                    </w14:srgbClr>
                  </w14:solidFill>
                </w14:textFill>
              </w:rPr>
              <w:t>|</w:t>
            </w:r>
            <w:r w:rsidRPr="00C07C0C">
              <w:rPr>
                <w:rFonts w:ascii="Arial Narrow" w:eastAsiaTheme="majorEastAsia" w:hAnsi="Arial Narrow" w:cstheme="majorBidi"/>
                <w:bCs/>
                <w:sz w:val="20"/>
              </w:rPr>
              <w:t xml:space="preserve"> effective</w:t>
            </w:r>
          </w:p>
        </w:tc>
        <w:tc>
          <w:tcPr>
            <w:tcW w:w="709" w:type="dxa"/>
            <w:vAlign w:val="center"/>
          </w:tcPr>
          <w:p w14:paraId="21CC16C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2D922702"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5AEF4E58"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299D5EE9"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1E76E809" w14:textId="77777777" w:rsidTr="001C2457">
        <w:trPr>
          <w:cantSplit/>
          <w:trHeight w:val="20"/>
        </w:trPr>
        <w:tc>
          <w:tcPr>
            <w:tcW w:w="3686" w:type="dxa"/>
            <w:gridSpan w:val="3"/>
          </w:tcPr>
          <w:p w14:paraId="0D44A2B7"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tirzepatide 12.5 mg/0.6 mL injection, 2.4 mL multi-dose pen device</w:t>
            </w:r>
          </w:p>
        </w:tc>
        <w:tc>
          <w:tcPr>
            <w:tcW w:w="709" w:type="dxa"/>
            <w:vAlign w:val="center"/>
          </w:tcPr>
          <w:p w14:paraId="66AD06E9"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4D807348" w14:textId="62C9B89C"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5"/>
                <w14:textFill>
                  <w14:solidFill>
                    <w14:srgbClr w14:val="000000">
                      <w14:alpha w14:val="100000"/>
                    </w14:srgbClr>
                  </w14:solidFill>
                </w14:textFill>
              </w:rPr>
              <w:t>|||</w:t>
            </w:r>
            <w:r w:rsidR="00F111EB" w:rsidRPr="00F111EB">
              <w:rPr>
                <w:color w:val="000000"/>
                <w:spacing w:val="3"/>
                <w:szCs w:val="20"/>
                <w:shd w:val="solid" w:color="000000" w:fill="000000"/>
                <w:fitText w:val="326" w:id="-761014775"/>
                <w14:textFill>
                  <w14:solidFill>
                    <w14:srgbClr w14:val="000000">
                      <w14:alpha w14:val="100000"/>
                    </w14:srgbClr>
                  </w14:solidFill>
                </w14:textFill>
              </w:rPr>
              <w:t>|</w:t>
            </w:r>
            <w:r w:rsidRPr="0076762E">
              <w:rPr>
                <w:szCs w:val="20"/>
              </w:rPr>
              <w:t xml:space="preserve"> published</w:t>
            </w:r>
          </w:p>
          <w:p w14:paraId="1D231036" w14:textId="08F1BFF7"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4"/>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4"/>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6531B74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3F5088C4"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F9B919C"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i/>
                <w:iCs/>
                <w:kern w:val="2"/>
                <w:sz w:val="20"/>
                <w:szCs w:val="20"/>
                <w:lang w:eastAsia="en-US"/>
                <w14:ligatures w14:val="standardContextual"/>
              </w:rPr>
              <w:t>1</w:t>
            </w:r>
          </w:p>
        </w:tc>
        <w:tc>
          <w:tcPr>
            <w:tcW w:w="942" w:type="dxa"/>
            <w:vMerge/>
            <w:vAlign w:val="center"/>
          </w:tcPr>
          <w:p w14:paraId="5E2DCF4F"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0094F51E" w14:textId="77777777" w:rsidTr="001C2457">
        <w:trPr>
          <w:cantSplit/>
          <w:trHeight w:val="20"/>
        </w:trPr>
        <w:tc>
          <w:tcPr>
            <w:tcW w:w="3686" w:type="dxa"/>
            <w:gridSpan w:val="3"/>
          </w:tcPr>
          <w:p w14:paraId="52B06F0B"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Calibri"/>
                <w:kern w:val="2"/>
                <w:sz w:val="20"/>
                <w:szCs w:val="20"/>
                <w:lang w:eastAsia="en-US"/>
                <w14:ligatures w14:val="standardContextual"/>
              </w:rPr>
              <w:t>tirzepatide 15 mg/0.6 mL injection, 2.4 mL multi-dose pen device</w:t>
            </w:r>
          </w:p>
        </w:tc>
        <w:tc>
          <w:tcPr>
            <w:tcW w:w="709" w:type="dxa"/>
            <w:vAlign w:val="center"/>
          </w:tcPr>
          <w:p w14:paraId="1A0CEC92" w14:textId="77777777" w:rsidR="00C07C0C" w:rsidRPr="008F4886" w:rsidRDefault="00C07C0C" w:rsidP="001C2457">
            <w:pPr>
              <w:spacing w:line="259" w:lineRule="auto"/>
              <w:jc w:val="left"/>
              <w:rPr>
                <w:rFonts w:ascii="Arial Narrow" w:eastAsia="Calibri" w:hAnsi="Arial Narrow" w:cs="Times New Roman"/>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NEW</w:t>
            </w:r>
          </w:p>
        </w:tc>
        <w:tc>
          <w:tcPr>
            <w:tcW w:w="1559" w:type="dxa"/>
            <w:vAlign w:val="center"/>
          </w:tcPr>
          <w:p w14:paraId="7293F519" w14:textId="2E9C4D1D" w:rsidR="00342C45" w:rsidRPr="0076762E" w:rsidRDefault="00342C45" w:rsidP="001C2457">
            <w:pPr>
              <w:pStyle w:val="COMTabletext"/>
              <w:jc w:val="center"/>
              <w:rPr>
                <w:szCs w:val="20"/>
              </w:rPr>
            </w:pPr>
            <w:r w:rsidRPr="0076762E">
              <w:rPr>
                <w:szCs w:val="20"/>
              </w:rPr>
              <w:t>$</w:t>
            </w:r>
            <w:r w:rsidR="00F111EB" w:rsidRPr="00F111EB">
              <w:rPr>
                <w:color w:val="000000"/>
                <w:spacing w:val="51"/>
                <w:szCs w:val="20"/>
                <w:shd w:val="solid" w:color="000000" w:fill="000000"/>
                <w:fitText w:val="326" w:id="-761014773"/>
                <w14:textFill>
                  <w14:solidFill>
                    <w14:srgbClr w14:val="000000">
                      <w14:alpha w14:val="100000"/>
                    </w14:srgbClr>
                  </w14:solidFill>
                </w14:textFill>
              </w:rPr>
              <w:t>|||</w:t>
            </w:r>
            <w:r w:rsidR="00F111EB" w:rsidRPr="00F111EB">
              <w:rPr>
                <w:color w:val="000000"/>
                <w:spacing w:val="3"/>
                <w:szCs w:val="20"/>
                <w:shd w:val="solid" w:color="000000" w:fill="000000"/>
                <w:fitText w:val="326" w:id="-761014773"/>
                <w14:textFill>
                  <w14:solidFill>
                    <w14:srgbClr w14:val="000000">
                      <w14:alpha w14:val="100000"/>
                    </w14:srgbClr>
                  </w14:solidFill>
                </w14:textFill>
              </w:rPr>
              <w:t>|</w:t>
            </w:r>
            <w:r w:rsidRPr="0076762E">
              <w:rPr>
                <w:szCs w:val="20"/>
              </w:rPr>
              <w:t xml:space="preserve"> published</w:t>
            </w:r>
          </w:p>
          <w:p w14:paraId="55A0E7AA" w14:textId="6F62AA76" w:rsidR="00C07C0C" w:rsidRPr="008F4886" w:rsidRDefault="00342C45" w:rsidP="001C2457">
            <w:pPr>
              <w:spacing w:line="259" w:lineRule="auto"/>
              <w:jc w:val="left"/>
              <w:rPr>
                <w:rFonts w:ascii="Arial Narrow" w:eastAsia="Calibri" w:hAnsi="Arial Narrow" w:cs="Times New Roman"/>
                <w:kern w:val="2"/>
                <w:sz w:val="20"/>
                <w:szCs w:val="20"/>
                <w:lang w:eastAsia="en-US"/>
                <w14:ligatures w14:val="standardContextual"/>
              </w:rPr>
            </w:pPr>
            <w:r w:rsidRPr="00C07C0C">
              <w:rPr>
                <w:rFonts w:ascii="Arial Narrow" w:eastAsiaTheme="majorEastAsia" w:hAnsi="Arial Narrow" w:cstheme="majorBidi"/>
                <w:bCs/>
                <w:sz w:val="20"/>
                <w:szCs w:val="20"/>
              </w:rPr>
              <w:t>$</w:t>
            </w:r>
            <w:r w:rsidR="00F111EB" w:rsidRPr="00F111EB">
              <w:rPr>
                <w:rFonts w:ascii="Arial Narrow" w:eastAsiaTheme="majorEastAsia" w:hAnsi="Arial Narrow" w:cstheme="majorBidi"/>
                <w:bCs/>
                <w:color w:val="000000"/>
                <w:spacing w:val="51"/>
                <w:sz w:val="20"/>
                <w:szCs w:val="20"/>
                <w:shd w:val="solid" w:color="000000" w:fill="000000"/>
                <w:fitText w:val="326" w:id="-76101477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zCs w:val="20"/>
                <w:shd w:val="solid" w:color="000000" w:fill="000000"/>
                <w:fitText w:val="326" w:id="-761014772"/>
                <w14:textFill>
                  <w14:solidFill>
                    <w14:srgbClr w14:val="000000">
                      <w14:alpha w14:val="100000"/>
                    </w14:srgbClr>
                  </w14:solidFill>
                </w14:textFill>
              </w:rPr>
              <w:t>|</w:t>
            </w:r>
            <w:r w:rsidRPr="00C07C0C">
              <w:rPr>
                <w:rFonts w:ascii="Arial Narrow" w:eastAsiaTheme="majorEastAsia" w:hAnsi="Arial Narrow" w:cstheme="majorBidi"/>
                <w:bCs/>
                <w:sz w:val="20"/>
                <w:szCs w:val="20"/>
              </w:rPr>
              <w:t xml:space="preserve"> effective</w:t>
            </w:r>
          </w:p>
        </w:tc>
        <w:tc>
          <w:tcPr>
            <w:tcW w:w="709" w:type="dxa"/>
            <w:vAlign w:val="center"/>
          </w:tcPr>
          <w:p w14:paraId="18E4497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8" w:type="dxa"/>
            <w:vAlign w:val="center"/>
          </w:tcPr>
          <w:p w14:paraId="08E31281"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1</w:t>
            </w:r>
          </w:p>
        </w:tc>
        <w:tc>
          <w:tcPr>
            <w:tcW w:w="709" w:type="dxa"/>
            <w:vAlign w:val="center"/>
          </w:tcPr>
          <w:p w14:paraId="0A49A227"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kern w:val="2"/>
                <w:sz w:val="20"/>
                <w:szCs w:val="20"/>
                <w:lang w:eastAsia="en-US"/>
                <w14:ligatures w14:val="standardContextual"/>
              </w:rPr>
              <w:t>5</w:t>
            </w:r>
          </w:p>
        </w:tc>
        <w:tc>
          <w:tcPr>
            <w:tcW w:w="942" w:type="dxa"/>
            <w:vMerge/>
            <w:vAlign w:val="center"/>
          </w:tcPr>
          <w:p w14:paraId="45DE69FD"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35374B96" w14:textId="77777777" w:rsidTr="001C245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tcPr>
          <w:p w14:paraId="6D8C2A1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r>
      <w:tr w:rsidR="00C07C0C" w:rsidRPr="008F4886" w14:paraId="42F10F6B" w14:textId="77777777" w:rsidTr="001C2457">
        <w:tblPrEx>
          <w:tblCellMar>
            <w:top w:w="15" w:type="dxa"/>
            <w:bottom w:w="15" w:type="dxa"/>
          </w:tblCellMar>
          <w:tblLook w:val="04A0" w:firstRow="1" w:lastRow="0" w:firstColumn="1" w:lastColumn="0" w:noHBand="0" w:noVBand="1"/>
        </w:tblPrEx>
        <w:trPr>
          <w:trHeight w:val="20"/>
        </w:trPr>
        <w:tc>
          <w:tcPr>
            <w:tcW w:w="9022" w:type="dxa"/>
            <w:gridSpan w:val="9"/>
            <w:tcBorders>
              <w:top w:val="single" w:sz="4" w:space="0" w:color="auto"/>
              <w:left w:val="single" w:sz="4" w:space="0" w:color="auto"/>
              <w:right w:val="single" w:sz="4" w:space="0" w:color="auto"/>
            </w:tcBorders>
            <w:vAlign w:val="center"/>
          </w:tcPr>
          <w:p w14:paraId="255B8459" w14:textId="77777777" w:rsidR="00C07C0C" w:rsidRPr="008F4886" w:rsidRDefault="00C07C0C" w:rsidP="001C2457">
            <w:pPr>
              <w:spacing w:line="259" w:lineRule="auto"/>
              <w:jc w:val="left"/>
              <w:rPr>
                <w:rFonts w:ascii="Arial Narrow" w:eastAsia="Calibri" w:hAnsi="Arial Narrow"/>
                <w:i/>
                <w:iCs/>
                <w:kern w:val="2"/>
                <w:sz w:val="20"/>
                <w:szCs w:val="20"/>
                <w:lang w:eastAsia="en-US"/>
                <w14:ligatures w14:val="standardContextual"/>
              </w:rPr>
            </w:pPr>
            <w:r w:rsidRPr="008F4886">
              <w:rPr>
                <w:rFonts w:ascii="Arial Narrow" w:eastAsia="Calibri" w:hAnsi="Arial Narrow" w:cs="Times New Roman"/>
                <w:b/>
                <w:bCs/>
                <w:kern w:val="2"/>
                <w:sz w:val="20"/>
                <w:szCs w:val="20"/>
                <w:lang w:eastAsia="en-US"/>
                <w14:ligatures w14:val="standardContextual"/>
              </w:rPr>
              <w:t>Restriction Summary</w:t>
            </w:r>
            <w:r w:rsidRPr="008F4886">
              <w:rPr>
                <w:rFonts w:ascii="Arial Narrow" w:eastAsia="Calibri" w:hAnsi="Arial Narrow" w:cs="Times New Roman"/>
                <w:kern w:val="2"/>
                <w:sz w:val="20"/>
                <w:szCs w:val="20"/>
                <w:lang w:eastAsia="en-US"/>
                <w14:ligatures w14:val="standardContextual"/>
              </w:rPr>
              <w:t xml:space="preserve"> </w:t>
            </w:r>
            <w:r w:rsidRPr="008F4886">
              <w:rPr>
                <w:rFonts w:ascii="Arial Narrow" w:eastAsia="Calibri" w:hAnsi="Arial Narrow" w:cs="Times New Roman"/>
                <w:b/>
                <w:bCs/>
                <w:kern w:val="2"/>
                <w:sz w:val="20"/>
                <w:szCs w:val="20"/>
                <w:lang w:eastAsia="en-US"/>
                <w14:ligatures w14:val="standardContextual"/>
              </w:rPr>
              <w:t>[new 1] / Treatment of Concept: [new 2]</w:t>
            </w:r>
            <w:r w:rsidRPr="008F4886">
              <w:rPr>
                <w:rFonts w:ascii="Arial Narrow" w:eastAsia="Calibri" w:hAnsi="Arial Narrow" w:cs="Times New Roman"/>
                <w:kern w:val="2"/>
                <w:sz w:val="20"/>
                <w:szCs w:val="20"/>
                <w:lang w:eastAsia="en-US"/>
                <w14:ligatures w14:val="standardContextual"/>
              </w:rPr>
              <w:t xml:space="preserve"> </w:t>
            </w:r>
          </w:p>
        </w:tc>
      </w:tr>
      <w:tr w:rsidR="00C07C0C" w:rsidRPr="008F4886" w14:paraId="57D6884B"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34E9417B" w14:textId="5039CF5F" w:rsidR="00C07C0C" w:rsidRPr="008F4886" w:rsidRDefault="00C07C0C" w:rsidP="001C2457">
            <w:pPr>
              <w:spacing w:line="259" w:lineRule="auto"/>
              <w:jc w:val="left"/>
              <w:rPr>
                <w:rFonts w:ascii="Arial Narrow" w:eastAsia="Calibri" w:hAnsi="Arial Narrow" w:cs="Times New Roman"/>
                <w:b/>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381DBB4"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Category / Program: </w:t>
            </w:r>
            <w:r w:rsidRPr="008F4886">
              <w:rPr>
                <w:rFonts w:ascii="Arial Narrow" w:eastAsia="Calibri" w:hAnsi="Arial Narrow" w:cs="Times New Roman"/>
                <w:kern w:val="2"/>
                <w:sz w:val="20"/>
                <w:szCs w:val="20"/>
                <w:lang w:eastAsia="en-US"/>
                <w14:ligatures w14:val="standardContextual"/>
              </w:rPr>
              <w:t>GENERAL – General Schedule (Code GE)</w:t>
            </w:r>
            <w:r w:rsidRPr="008F4886">
              <w:rPr>
                <w:rFonts w:ascii="Arial Narrow" w:eastAsia="Calibri" w:hAnsi="Arial Narrow" w:cs="Times New Roman"/>
                <w:color w:val="FF0000"/>
                <w:kern w:val="2"/>
                <w:sz w:val="20"/>
                <w:szCs w:val="20"/>
                <w:lang w:eastAsia="en-US"/>
                <w14:ligatures w14:val="standardContextual"/>
              </w:rPr>
              <w:t xml:space="preserve"> </w:t>
            </w:r>
          </w:p>
        </w:tc>
      </w:tr>
      <w:tr w:rsidR="00C07C0C" w:rsidRPr="008F4886" w14:paraId="3E71CFA6"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right w:val="single" w:sz="4" w:space="0" w:color="auto"/>
            </w:tcBorders>
          </w:tcPr>
          <w:p w14:paraId="5C37817B"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586F3C86" w14:textId="77777777" w:rsidR="00C07C0C" w:rsidRPr="008F4886" w:rsidRDefault="00C07C0C" w:rsidP="001C2457">
            <w:pPr>
              <w:spacing w:line="259" w:lineRule="auto"/>
              <w:jc w:val="left"/>
              <w:rPr>
                <w:rFonts w:ascii="Arial Narrow" w:eastAsia="Calibri" w:hAnsi="Arial Narrow" w:cs="Times New Roman"/>
                <w:b/>
                <w:i/>
                <w:iCs/>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Prescriber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Medical Practitioners </w:t>
            </w:r>
          </w:p>
        </w:tc>
      </w:tr>
      <w:tr w:rsidR="00C07C0C" w:rsidRPr="008F4886" w14:paraId="01CD2162" w14:textId="77777777" w:rsidTr="001C2457">
        <w:tblPrEx>
          <w:tblCellMar>
            <w:top w:w="15" w:type="dxa"/>
            <w:bottom w:w="15" w:type="dxa"/>
          </w:tblCellMar>
          <w:tblLook w:val="04A0" w:firstRow="1" w:lastRow="0" w:firstColumn="1" w:lastColumn="0" w:noHBand="0" w:noVBand="1"/>
        </w:tblPrEx>
        <w:trPr>
          <w:trHeight w:val="20"/>
        </w:trPr>
        <w:tc>
          <w:tcPr>
            <w:tcW w:w="1277" w:type="dxa"/>
            <w:gridSpan w:val="2"/>
            <w:vMerge/>
            <w:tcBorders>
              <w:left w:val="single" w:sz="4" w:space="0" w:color="auto"/>
              <w:bottom w:val="single" w:sz="4" w:space="0" w:color="auto"/>
              <w:right w:val="single" w:sz="4" w:space="0" w:color="auto"/>
            </w:tcBorders>
          </w:tcPr>
          <w:p w14:paraId="2F37ED8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F9FD578" w14:textId="77777777" w:rsidR="00C07C0C" w:rsidRPr="008F4886" w:rsidRDefault="00C07C0C" w:rsidP="001C2457">
            <w:pPr>
              <w:spacing w:line="259" w:lineRule="auto"/>
              <w:jc w:val="left"/>
              <w:rPr>
                <w:rFonts w:ascii="Arial Narrow" w:eastAsia="Calibri" w:hAnsi="Arial Narrow" w:cs="Times New Roman"/>
                <w:i/>
                <w:iCs/>
                <w:color w:val="FF0000"/>
                <w:kern w:val="2"/>
                <w:sz w:val="20"/>
                <w:szCs w:val="20"/>
                <w:lang w:eastAsia="en-US"/>
                <w14:ligatures w14:val="standardContextual"/>
              </w:rPr>
            </w:pPr>
            <w:r w:rsidRPr="008F4886">
              <w:rPr>
                <w:rFonts w:ascii="Arial Narrow" w:eastAsia="Calibri" w:hAnsi="Arial Narrow" w:cs="Times New Roman"/>
                <w:b/>
                <w:kern w:val="2"/>
                <w:sz w:val="20"/>
                <w:szCs w:val="20"/>
                <w:lang w:eastAsia="en-US"/>
                <w14:ligatures w14:val="standardContextual"/>
              </w:rPr>
              <w:t xml:space="preserve">Restriction type: </w:t>
            </w:r>
            <w:r w:rsidRPr="008F4886">
              <w:rPr>
                <w:rFonts w:ascii="Arial Narrow" w:eastAsia="Calibri" w:hAnsi="Arial Narrow" w:cs="Times New Roman"/>
                <w:i/>
                <w:iCs/>
                <w:kern w:val="2"/>
                <w:sz w:val="20"/>
                <w:szCs w:val="20"/>
                <w:lang w:eastAsia="en-US"/>
                <w14:ligatures w14:val="standardContextual"/>
              </w:rPr>
              <w:fldChar w:fldCharType="begin" w:fldLock="1">
                <w:ffData>
                  <w:name w:val=""/>
                  <w:enabled/>
                  <w:calcOnExit w:val="0"/>
                  <w:checkBox>
                    <w:sizeAuto/>
                    <w:default w:val="1"/>
                  </w:checkBox>
                </w:ffData>
              </w:fldChar>
            </w:r>
            <w:r w:rsidRPr="008F4886">
              <w:rPr>
                <w:rFonts w:ascii="Arial Narrow" w:eastAsia="Calibri" w:hAnsi="Arial Narrow" w:cs="Times New Roman"/>
                <w:kern w:val="2"/>
                <w:sz w:val="20"/>
                <w:szCs w:val="20"/>
                <w:lang w:eastAsia="en-US"/>
                <w14:ligatures w14:val="standardContextual"/>
              </w:rPr>
              <w:instrText xml:space="preserve"> FORMCHECKBOX </w:instrText>
            </w:r>
            <w:r w:rsidRPr="008F4886">
              <w:rPr>
                <w:rFonts w:ascii="Arial Narrow" w:eastAsia="Calibri" w:hAnsi="Arial Narrow" w:cs="Times New Roman"/>
                <w:i/>
                <w:iCs/>
                <w:kern w:val="2"/>
                <w:sz w:val="20"/>
                <w:szCs w:val="20"/>
                <w:lang w:eastAsia="en-US"/>
                <w14:ligatures w14:val="standardContextual"/>
              </w:rPr>
            </w:r>
            <w:r w:rsidRPr="008F4886">
              <w:rPr>
                <w:rFonts w:ascii="Arial Narrow" w:eastAsia="Calibri" w:hAnsi="Arial Narrow" w:cs="Times New Roman"/>
                <w:i/>
                <w:iCs/>
                <w:kern w:val="2"/>
                <w:sz w:val="20"/>
                <w:szCs w:val="20"/>
                <w:lang w:eastAsia="en-US"/>
                <w14:ligatures w14:val="standardContextual"/>
              </w:rPr>
              <w:fldChar w:fldCharType="separate"/>
            </w:r>
            <w:r w:rsidRPr="008F4886">
              <w:rPr>
                <w:rFonts w:ascii="Arial Narrow" w:eastAsia="Calibri" w:hAnsi="Arial Narrow" w:cs="Times New Roman"/>
                <w:i/>
                <w:iCs/>
                <w:kern w:val="2"/>
                <w:sz w:val="20"/>
                <w:szCs w:val="20"/>
                <w:lang w:eastAsia="en-US"/>
                <w14:ligatures w14:val="standardContextual"/>
              </w:rPr>
              <w:fldChar w:fldCharType="end"/>
            </w:r>
            <w:r w:rsidRPr="008F4886">
              <w:rPr>
                <w:rFonts w:ascii="Arial Narrow" w:eastAsia="Calibri" w:hAnsi="Arial Narrow" w:cs="Times New Roman"/>
                <w:kern w:val="2"/>
                <w:sz w:val="20"/>
                <w:szCs w:val="20"/>
                <w:lang w:eastAsia="en-US"/>
                <w14:ligatures w14:val="standardContextual"/>
              </w:rPr>
              <w:t xml:space="preserve">Authority Required In Writing (only via mail/postal service or electronic upload to Hobart (HPOS); </w:t>
            </w:r>
          </w:p>
        </w:tc>
      </w:tr>
      <w:tr w:rsidR="00C07C0C" w:rsidRPr="008F4886" w14:paraId="540A7A14" w14:textId="77777777" w:rsidTr="001C2457">
        <w:tblPrEx>
          <w:tblCellMar>
            <w:top w:w="15" w:type="dxa"/>
            <w:bottom w:w="15" w:type="dxa"/>
          </w:tblCellMar>
          <w:tblLook w:val="04A0" w:firstRow="1" w:lastRow="0" w:firstColumn="1" w:lastColumn="0" w:noHBand="0" w:noVBand="1"/>
        </w:tblPrEx>
        <w:trPr>
          <w:trHeight w:val="20"/>
        </w:trPr>
        <w:tc>
          <w:tcPr>
            <w:tcW w:w="639" w:type="dxa"/>
            <w:vMerge w:val="restart"/>
            <w:tcBorders>
              <w:left w:val="single" w:sz="4" w:space="0" w:color="auto"/>
              <w:right w:val="single" w:sz="4" w:space="0" w:color="auto"/>
            </w:tcBorders>
          </w:tcPr>
          <w:p w14:paraId="35865656" w14:textId="3B9358D5"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7DAB01C0" w14:textId="1EC3B068"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46F11CC"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quantity or number of units may be authorised.</w:t>
            </w:r>
          </w:p>
        </w:tc>
      </w:tr>
      <w:tr w:rsidR="00C07C0C" w:rsidRPr="008F4886" w14:paraId="358A560F" w14:textId="77777777" w:rsidTr="001C2457">
        <w:tblPrEx>
          <w:tblCellMar>
            <w:top w:w="15" w:type="dxa"/>
            <w:bottom w:w="15" w:type="dxa"/>
          </w:tblCellMar>
          <w:tblLook w:val="04A0" w:firstRow="1" w:lastRow="0" w:firstColumn="1" w:lastColumn="0" w:noHBand="0" w:noVBand="1"/>
        </w:tblPrEx>
        <w:trPr>
          <w:trHeight w:val="20"/>
        </w:trPr>
        <w:tc>
          <w:tcPr>
            <w:tcW w:w="639" w:type="dxa"/>
            <w:vMerge/>
            <w:tcBorders>
              <w:left w:val="single" w:sz="4" w:space="0" w:color="auto"/>
              <w:right w:val="single" w:sz="4" w:space="0" w:color="auto"/>
            </w:tcBorders>
          </w:tcPr>
          <w:p w14:paraId="30FA293C"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080C9FB8" w14:textId="54535521"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757FCCE"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i/>
                <w:iCs/>
                <w:kern w:val="2"/>
                <w:sz w:val="20"/>
                <w:szCs w:val="20"/>
                <w:lang w:eastAsia="en-US"/>
                <w14:ligatures w14:val="standardContextual"/>
              </w:rPr>
              <w:t>No increase in the maximum number of repeats may be authorised.</w:t>
            </w:r>
          </w:p>
        </w:tc>
      </w:tr>
      <w:tr w:rsidR="00C07C0C" w:rsidRPr="008F4886" w14:paraId="1DBB288C" w14:textId="77777777" w:rsidTr="001C2457">
        <w:tblPrEx>
          <w:tblCellMar>
            <w:top w:w="15" w:type="dxa"/>
            <w:bottom w:w="15" w:type="dxa"/>
          </w:tblCellMar>
          <w:tblLook w:val="04A0" w:firstRow="1" w:lastRow="0" w:firstColumn="1" w:lastColumn="0" w:noHBand="0" w:noVBand="1"/>
        </w:tblPrEx>
        <w:trPr>
          <w:trHeight w:val="20"/>
        </w:trPr>
        <w:tc>
          <w:tcPr>
            <w:tcW w:w="639" w:type="dxa"/>
            <w:vMerge/>
            <w:tcBorders>
              <w:left w:val="single" w:sz="4" w:space="0" w:color="auto"/>
              <w:bottom w:val="single" w:sz="4" w:space="0" w:color="auto"/>
              <w:right w:val="single" w:sz="4" w:space="0" w:color="auto"/>
            </w:tcBorders>
          </w:tcPr>
          <w:p w14:paraId="17145485" w14:textId="77777777"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638" w:type="dxa"/>
            <w:tcBorders>
              <w:left w:val="single" w:sz="4" w:space="0" w:color="auto"/>
              <w:bottom w:val="single" w:sz="4" w:space="0" w:color="auto"/>
              <w:right w:val="single" w:sz="4" w:space="0" w:color="auto"/>
            </w:tcBorders>
          </w:tcPr>
          <w:p w14:paraId="01FB2858" w14:textId="1BF5BA8B" w:rsidR="00C07C0C" w:rsidRPr="008F4886" w:rsidRDefault="00C07C0C" w:rsidP="001C2457">
            <w:pPr>
              <w:spacing w:line="259" w:lineRule="auto"/>
              <w:jc w:val="left"/>
              <w:rPr>
                <w:rFonts w:ascii="Arial Narrow" w:eastAsia="Calibri" w:hAnsi="Arial Narrow" w:cs="Times New Roman"/>
                <w:i/>
                <w:iCs/>
                <w:kern w:val="2"/>
                <w:sz w:val="20"/>
                <w:szCs w:val="20"/>
                <w:lang w:eastAsia="en-US"/>
                <w14:ligatures w14:val="standardContextual"/>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1B476A06" w14:textId="77777777" w:rsidR="00C07C0C" w:rsidRPr="008F4886" w:rsidRDefault="00C07C0C" w:rsidP="001C2457">
            <w:pPr>
              <w:spacing w:line="259" w:lineRule="auto"/>
              <w:jc w:val="left"/>
              <w:rPr>
                <w:rFonts w:ascii="Arial Narrow" w:eastAsia="Calibri" w:hAnsi="Arial Narrow" w:cs="Times New Roman"/>
                <w:b/>
                <w:kern w:val="2"/>
                <w:sz w:val="20"/>
                <w:szCs w:val="20"/>
                <w:lang w:eastAsia="en-US"/>
                <w14:ligatures w14:val="standardContextual"/>
              </w:rPr>
            </w:pPr>
            <w:r w:rsidRPr="008F4886">
              <w:rPr>
                <w:rFonts w:ascii="Arial Narrow" w:eastAsia="Calibri" w:hAnsi="Arial Narrow" w:cs="Times New Roman"/>
                <w:b/>
                <w:i/>
                <w:iCs/>
                <w:kern w:val="2"/>
                <w:sz w:val="20"/>
                <w:szCs w:val="20"/>
                <w:lang w:eastAsia="en-US"/>
                <w14:ligatures w14:val="standardContextual"/>
              </w:rPr>
              <w:t xml:space="preserve">Administrative Advice: </w:t>
            </w:r>
            <w:r w:rsidRPr="008F4886">
              <w:rPr>
                <w:rFonts w:ascii="Arial Narrow" w:eastAsia="Calibri" w:hAnsi="Arial Narrow" w:cs="Times New Roman"/>
                <w:bCs/>
                <w:i/>
                <w:iCs/>
                <w:kern w:val="2"/>
                <w:sz w:val="20"/>
                <w:szCs w:val="20"/>
                <w:lang w:eastAsia="en-US"/>
                <w14:ligatures w14:val="standardContextual"/>
              </w:rPr>
              <w:t>Special Pricing Arrangements apply.</w:t>
            </w:r>
          </w:p>
        </w:tc>
      </w:tr>
      <w:tr w:rsidR="00C07C0C" w:rsidRPr="008F4886" w14:paraId="399EE53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0F4E77" w14:textId="3D021B05"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5641E945"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5C6C927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FCB5C93"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AB29B9"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eastAsia="Calibri" w:hAnsi="Arial Narrow" w:cs="Times New Roman"/>
                <w:i/>
                <w:iCs/>
                <w:kern w:val="2"/>
                <w:sz w:val="20"/>
                <w:szCs w:val="20"/>
                <w14:ligatures w14:val="standardContextual"/>
              </w:rPr>
              <w:t>Subsequent</w:t>
            </w:r>
            <w:r w:rsidRPr="008F4886">
              <w:rPr>
                <w:rFonts w:ascii="Arial Narrow" w:eastAsia="Calibri" w:hAnsi="Arial Narrow" w:cs="Times New Roman"/>
                <w:b/>
                <w:bCs/>
                <w:kern w:val="2"/>
                <w:sz w:val="20"/>
                <w:szCs w:val="20"/>
                <w14:ligatures w14:val="standardContextual"/>
              </w:rPr>
              <w:t xml:space="preserve"> </w:t>
            </w:r>
            <w:r w:rsidRPr="008F4886">
              <w:rPr>
                <w:rFonts w:ascii="Arial Narrow" w:eastAsia="Calibri" w:hAnsi="Arial Narrow" w:cs="Times New Roman"/>
                <w:kern w:val="2"/>
                <w:sz w:val="20"/>
                <w:szCs w:val="20"/>
                <w14:ligatures w14:val="standardContextual"/>
              </w:rPr>
              <w:t xml:space="preserve">continuing treatment </w:t>
            </w:r>
          </w:p>
        </w:tc>
      </w:tr>
      <w:tr w:rsidR="00C07C0C" w:rsidRPr="008F4886" w14:paraId="70338B6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C3CE861" w14:textId="14D37552"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7ABADB3"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79CD77F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781DC1" w14:textId="0F4890DA"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0F1A2A17"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lang w:val="en-US"/>
                <w14:ligatures w14:val="standardContextual"/>
              </w:rPr>
              <w:t>Patient must have received this drug as their most recent course of PBS-subsidised treatment for this condition under the first continuing treatment OR</w:t>
            </w:r>
          </w:p>
        </w:tc>
      </w:tr>
      <w:tr w:rsidR="00C07C0C" w:rsidRPr="008F4886" w14:paraId="05F7E63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A7F2C3F" w14:textId="6DE9A84D"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5BD142AE" w14:textId="77777777" w:rsidR="00C07C0C" w:rsidRPr="008F4886" w:rsidRDefault="00C07C0C" w:rsidP="001C2457">
            <w:pPr>
              <w:spacing w:line="259" w:lineRule="auto"/>
              <w:jc w:val="left"/>
              <w:rPr>
                <w:rFonts w:ascii="Arial Narrow" w:eastAsia="Calibri" w:hAnsi="Arial Narrow" w:cs="Times New Roman"/>
                <w:i/>
                <w:iCs/>
                <w:kern w:val="2"/>
                <w:sz w:val="20"/>
                <w:szCs w:val="20"/>
                <w:lang w:val="en-US"/>
                <w14:ligatures w14:val="standardContextual"/>
              </w:rPr>
            </w:pPr>
            <w:r w:rsidRPr="008F4886">
              <w:rPr>
                <w:rFonts w:ascii="Arial Narrow" w:hAnsi="Arial Narrow"/>
                <w:i/>
                <w:iCs/>
                <w:kern w:val="2"/>
                <w:sz w:val="20"/>
                <w:szCs w:val="20"/>
                <w14:ligatures w14:val="standardContextual"/>
              </w:rPr>
              <w:t xml:space="preserve">Patient must have received </w:t>
            </w:r>
            <w:r w:rsidRPr="008F4886">
              <w:rPr>
                <w:rFonts w:ascii="Arial Narrow" w:eastAsia="Calibri" w:hAnsi="Arial Narrow" w:cs="Times New Roman"/>
                <w:i/>
                <w:iCs/>
                <w:kern w:val="2"/>
                <w:sz w:val="20"/>
                <w:szCs w:val="20"/>
                <w:lang w:val="en-US"/>
                <w14:ligatures w14:val="standardContextual"/>
              </w:rPr>
              <w:t xml:space="preserve">this drug as their most recent course of PBS-subsidised treatment for this condition under </w:t>
            </w:r>
            <w:r w:rsidRPr="008F4886">
              <w:rPr>
                <w:rFonts w:ascii="Arial Narrow" w:hAnsi="Arial Narrow"/>
                <w:i/>
                <w:iCs/>
                <w:kern w:val="2"/>
                <w:sz w:val="20"/>
                <w:szCs w:val="20"/>
                <w14:ligatures w14:val="standardContextual"/>
              </w:rPr>
              <w:t>the grandfather arrangements if adequate response is achieved after 40 weeks of initial treatment</w:t>
            </w:r>
          </w:p>
        </w:tc>
      </w:tr>
      <w:tr w:rsidR="00C07C0C" w:rsidRPr="008F4886" w14:paraId="07F674A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24810D2"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1BA0248"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36E650B5"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4E4EA54" w14:textId="77777777"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2CFE67F1"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39D57B4"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CB30685" w14:textId="37EA7926"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B0E0332"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hAnsi="Arial Narrow" w:cs="Calibri"/>
                <w:color w:val="333333"/>
                <w:kern w:val="2"/>
                <w:sz w:val="20"/>
                <w:szCs w:val="20"/>
                <w:lang w:val="en-US"/>
                <w14:ligatures w14:val="standardContextual"/>
              </w:rPr>
              <w:t xml:space="preserve">Patient must have demonstrated an adequate response to treatment with this drug </w:t>
            </w:r>
            <w:r w:rsidRPr="008F4886">
              <w:rPr>
                <w:rFonts w:ascii="Arial Narrow" w:hAnsi="Arial Narrow" w:cs="Calibri"/>
                <w:i/>
                <w:iCs/>
                <w:color w:val="333333"/>
                <w:kern w:val="2"/>
                <w:sz w:val="20"/>
                <w:szCs w:val="20"/>
                <w:lang w:val="en-US"/>
                <w14:ligatures w14:val="standardContextual"/>
              </w:rPr>
              <w:t>for this condition</w:t>
            </w:r>
          </w:p>
        </w:tc>
      </w:tr>
      <w:tr w:rsidR="00C07C0C" w:rsidRPr="008F4886" w14:paraId="0F16BF9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63A5341" w14:textId="2EB78224"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6698CDA9"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Treatment criteria:</w:t>
            </w:r>
          </w:p>
        </w:tc>
      </w:tr>
      <w:tr w:rsidR="00C07C0C" w:rsidRPr="008F4886" w14:paraId="01B33F63"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6BFB1C1" w14:textId="517490D3"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3132D07"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222B372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DF81F85" w14:textId="77777777" w:rsidR="00C07C0C" w:rsidRPr="008F4886" w:rsidRDefault="00C07C0C" w:rsidP="001C2457">
            <w:pPr>
              <w:spacing w:line="259" w:lineRule="auto"/>
              <w:jc w:val="left"/>
              <w:rPr>
                <w:rFonts w:ascii="Arial Narrow" w:eastAsia="Calibri" w:hAnsi="Arial Narrow" w:cs="Times New Roman"/>
                <w:strike/>
                <w:kern w:val="2"/>
                <w:sz w:val="20"/>
                <w:szCs w:val="20"/>
                <w14:ligatures w14:val="standardContextual"/>
              </w:rPr>
            </w:pPr>
          </w:p>
        </w:tc>
        <w:tc>
          <w:tcPr>
            <w:tcW w:w="7745" w:type="dxa"/>
            <w:gridSpan w:val="7"/>
            <w:vAlign w:val="center"/>
          </w:tcPr>
          <w:p w14:paraId="72DDF400" w14:textId="77777777" w:rsidR="00C07C0C" w:rsidRPr="008F4886" w:rsidRDefault="00C07C0C" w:rsidP="001C2457">
            <w:pPr>
              <w:keepNext/>
              <w:keepLines/>
              <w:spacing w:line="228" w:lineRule="auto"/>
              <w:jc w:val="left"/>
              <w:rPr>
                <w:rFonts w:cs="Calibri"/>
                <w:color w:val="333333"/>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47E6972A"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74420723" w14:textId="77777777" w:rsidR="00C07C0C" w:rsidRPr="008F4886" w:rsidRDefault="00C07C0C" w:rsidP="001C2457">
            <w:pPr>
              <w:numPr>
                <w:ilvl w:val="0"/>
                <w:numId w:val="14"/>
              </w:num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2418C499" w14:textId="77777777" w:rsidR="00C07C0C" w:rsidRPr="008F4886" w:rsidRDefault="00C07C0C" w:rsidP="001C2457">
            <w:pPr>
              <w:numPr>
                <w:ilvl w:val="0"/>
                <w:numId w:val="14"/>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53AF739" w14:textId="77777777" w:rsidR="00C07C0C" w:rsidRPr="008F4886" w:rsidRDefault="00C07C0C" w:rsidP="001C2457">
            <w:pPr>
              <w:numPr>
                <w:ilvl w:val="0"/>
                <w:numId w:val="14"/>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HbA1c pathology results </w:t>
            </w:r>
            <w:r w:rsidRPr="008F4886">
              <w:rPr>
                <w:rFonts w:ascii="Arial Narrow" w:eastAsia="Calibri" w:hAnsi="Arial Narrow" w:cs="Times New Roman"/>
                <w:i/>
                <w:iCs/>
                <w:kern w:val="2"/>
                <w:sz w:val="20"/>
                <w:szCs w:val="20"/>
                <w14:ligatures w14:val="standardContextual"/>
              </w:rPr>
              <w:t>which must be</w:t>
            </w:r>
            <w:r w:rsidRPr="008F4886">
              <w:rPr>
                <w:rFonts w:ascii="Arial Narrow" w:eastAsia="Calibri" w:hAnsi="Arial Narrow" w:cs="Times New Roman"/>
                <w:kern w:val="2"/>
                <w:sz w:val="20"/>
                <w:szCs w:val="20"/>
                <w14:ligatures w14:val="standardContextual"/>
              </w:rPr>
              <w:t xml:space="preserve"> no more than 1 month old (or if using portable HbA1c point of care testing (</w:t>
            </w:r>
            <w:proofErr w:type="spellStart"/>
            <w:r w:rsidRPr="008F4886">
              <w:rPr>
                <w:rFonts w:ascii="Arial Narrow" w:eastAsia="Calibri" w:hAnsi="Arial Narrow" w:cs="Times New Roman"/>
                <w:kern w:val="2"/>
                <w:sz w:val="20"/>
                <w:szCs w:val="20"/>
                <w14:ligatures w14:val="standardContextual"/>
              </w:rPr>
              <w:t>PoCT</w:t>
            </w:r>
            <w:proofErr w:type="spellEnd"/>
            <w:r w:rsidRPr="008F4886">
              <w:rPr>
                <w:rFonts w:ascii="Arial Narrow" w:eastAsia="Calibri" w:hAnsi="Arial Narrow" w:cs="Times New Roman"/>
                <w:kern w:val="2"/>
                <w:sz w:val="20"/>
                <w:szCs w:val="20"/>
                <w14:ligatures w14:val="standardContextual"/>
              </w:rPr>
              <w:t xml:space="preserve">) the meter reading </w:t>
            </w:r>
            <w:r w:rsidRPr="008F4886">
              <w:rPr>
                <w:rFonts w:ascii="Arial Narrow" w:eastAsia="Calibri" w:hAnsi="Arial Narrow" w:cs="Times New Roman"/>
                <w:i/>
                <w:iCs/>
                <w:kern w:val="2"/>
                <w:sz w:val="20"/>
                <w:szCs w:val="20"/>
                <w14:ligatures w14:val="standardContextual"/>
              </w:rPr>
              <w:t>and the result</w:t>
            </w:r>
            <w:r w:rsidRPr="008F4886">
              <w:rPr>
                <w:rFonts w:ascii="Arial Narrow" w:eastAsia="Calibri" w:hAnsi="Arial Narrow" w:cs="Times New Roman"/>
                <w:kern w:val="2"/>
                <w:sz w:val="20"/>
                <w:szCs w:val="20"/>
                <w14:ligatures w14:val="standardContextual"/>
              </w:rPr>
              <w:t xml:space="preserve"> date, </w:t>
            </w:r>
            <w:r w:rsidRPr="008F4886">
              <w:rPr>
                <w:rFonts w:ascii="Arial Narrow" w:eastAsia="Calibri" w:hAnsi="Arial Narrow" w:cs="Times New Roman"/>
                <w:i/>
                <w:iCs/>
                <w:kern w:val="2"/>
                <w:sz w:val="20"/>
                <w:szCs w:val="20"/>
                <w14:ligatures w14:val="standardContextual"/>
              </w:rPr>
              <w:t>if it was not provided before.</w:t>
            </w:r>
          </w:p>
        </w:tc>
      </w:tr>
      <w:tr w:rsidR="00C07C0C" w:rsidRPr="008F4886" w14:paraId="6035B77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EEF86CB" w14:textId="2F54D611"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hideMark/>
          </w:tcPr>
          <w:p w14:paraId="7612F95A" w14:textId="77777777"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50F4E935"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An adequate response to treatment is defined as: </w:t>
            </w:r>
          </w:p>
          <w:p w14:paraId="5EA3654D" w14:textId="77777777" w:rsidR="00C07C0C" w:rsidRPr="008F4886" w:rsidRDefault="00C07C0C" w:rsidP="001C2457">
            <w:pPr>
              <w:numPr>
                <w:ilvl w:val="0"/>
                <w:numId w:val="13"/>
              </w:numPr>
              <w:spacing w:line="259" w:lineRule="auto"/>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 HbA1c measurement </w:t>
            </w:r>
            <w:r w:rsidRPr="008F4886">
              <w:rPr>
                <w:rFonts w:ascii="Arial Narrow" w:eastAsia="Calibri" w:hAnsi="Arial Narrow" w:cs="Times New Roman"/>
                <w:i/>
                <w:iCs/>
                <w:kern w:val="2"/>
                <w:sz w:val="20"/>
                <w:szCs w:val="20"/>
                <w14:ligatures w14:val="standardContextual"/>
              </w:rPr>
              <w:t>of</w:t>
            </w:r>
            <w:r w:rsidRPr="008F4886">
              <w:rPr>
                <w:rFonts w:ascii="Arial Narrow" w:eastAsia="Calibri" w:hAnsi="Arial Narrow" w:cs="Times New Roman"/>
                <w:kern w:val="2"/>
                <w:sz w:val="20"/>
                <w:szCs w:val="20"/>
                <w14:ligatures w14:val="standardContextual"/>
              </w:rPr>
              <w:t xml:space="preserve"> less than 7% or </w:t>
            </w:r>
          </w:p>
          <w:p w14:paraId="3D722D04" w14:textId="77777777" w:rsidR="00C07C0C" w:rsidRPr="008F4886" w:rsidRDefault="00C07C0C" w:rsidP="001C2457">
            <w:pPr>
              <w:numPr>
                <w:ilvl w:val="0"/>
                <w:numId w:val="13"/>
              </w:numPr>
              <w:spacing w:line="259" w:lineRule="auto"/>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reduction of at least 2.0% from baseline.</w:t>
            </w:r>
          </w:p>
        </w:tc>
      </w:tr>
      <w:tr w:rsidR="00C07C0C" w:rsidRPr="008F4886" w14:paraId="7A70FBC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7CC0EE0" w14:textId="1052F611" w:rsidR="00C07C0C" w:rsidRPr="008F4886" w:rsidRDefault="00C07C0C" w:rsidP="001C2457">
            <w:pPr>
              <w:spacing w:line="259" w:lineRule="auto"/>
              <w:jc w:val="center"/>
              <w:rPr>
                <w:rFonts w:ascii="Arial Narrow" w:eastAsia="Calibri" w:hAnsi="Arial Narrow" w:cs="Times New Roman"/>
                <w:i/>
                <w:iCs/>
                <w:kern w:val="2"/>
                <w:sz w:val="20"/>
                <w:szCs w:val="20"/>
                <w14:ligatures w14:val="standardContextual"/>
              </w:rPr>
            </w:pPr>
          </w:p>
        </w:tc>
        <w:tc>
          <w:tcPr>
            <w:tcW w:w="7745" w:type="dxa"/>
            <w:gridSpan w:val="7"/>
            <w:vAlign w:val="center"/>
          </w:tcPr>
          <w:p w14:paraId="3A635528" w14:textId="77777777"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FC6B8B3"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55A86459"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381E8273" w14:textId="77777777" w:rsidR="00C07C0C" w:rsidRPr="008F4886" w:rsidRDefault="00C07C0C" w:rsidP="001C2457">
            <w:pPr>
              <w:spacing w:line="259" w:lineRule="auto"/>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7DDF4BEF" w14:textId="2AE81B44" w:rsidR="00C07C0C" w:rsidRPr="008F4886" w:rsidRDefault="00C07C0C" w:rsidP="001C2457">
            <w:pPr>
              <w:spacing w:line="259" w:lineRule="auto"/>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3464C9E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B789135" w14:textId="618FF2DB" w:rsidR="00C07C0C" w:rsidRPr="008F4886" w:rsidRDefault="00C07C0C" w:rsidP="001C2457">
            <w:pPr>
              <w:spacing w:line="259" w:lineRule="auto"/>
              <w:jc w:val="center"/>
              <w:rPr>
                <w:rFonts w:ascii="Arial Narrow" w:eastAsia="Calibri" w:hAnsi="Arial Narrow" w:cs="Times New Roman"/>
                <w:kern w:val="2"/>
                <w:sz w:val="20"/>
                <w:szCs w:val="20"/>
                <w14:ligatures w14:val="standardContextual"/>
              </w:rPr>
            </w:pPr>
          </w:p>
        </w:tc>
        <w:tc>
          <w:tcPr>
            <w:tcW w:w="7745" w:type="dxa"/>
            <w:gridSpan w:val="7"/>
            <w:vAlign w:val="center"/>
          </w:tcPr>
          <w:p w14:paraId="3B677ED6" w14:textId="77777777" w:rsidR="00C07C0C" w:rsidRPr="008F4886" w:rsidRDefault="00C07C0C" w:rsidP="001C2457">
            <w:pPr>
              <w:spacing w:line="259" w:lineRule="auto"/>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0C79B6C1" w14:textId="77777777" w:rsidR="00C07C0C" w:rsidRPr="008F4886" w:rsidRDefault="00C07C0C" w:rsidP="001C2457">
            <w:pPr>
              <w:spacing w:line="259" w:lineRule="auto"/>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r w:rsidR="00C07C0C" w:rsidRPr="008F4886" w14:paraId="64AAB980" w14:textId="77777777" w:rsidTr="001C2457">
        <w:tblPrEx>
          <w:tblCellMar>
            <w:top w:w="15" w:type="dxa"/>
            <w:bottom w:w="15" w:type="dxa"/>
          </w:tblCellMar>
          <w:tblLook w:val="04A0" w:firstRow="1" w:lastRow="0" w:firstColumn="1" w:lastColumn="0" w:noHBand="0" w:noVBand="1"/>
        </w:tblPrEx>
        <w:trPr>
          <w:cantSplit/>
          <w:trHeight w:val="20"/>
        </w:trPr>
        <w:tc>
          <w:tcPr>
            <w:tcW w:w="9022" w:type="dxa"/>
            <w:gridSpan w:val="9"/>
            <w:vAlign w:val="center"/>
          </w:tcPr>
          <w:p w14:paraId="19A18652" w14:textId="77777777" w:rsidR="00C07C0C" w:rsidRPr="008F4886" w:rsidRDefault="00C07C0C" w:rsidP="001C2457">
            <w:pPr>
              <w:keepNext/>
              <w:keepLines/>
              <w:spacing w:line="228" w:lineRule="auto"/>
              <w:jc w:val="left"/>
              <w:rPr>
                <w:rFonts w:ascii="Arial Narrow" w:hAnsi="Arial Narrow" w:cs="Calibri"/>
                <w:b/>
                <w:strike/>
                <w:color w:val="333333"/>
                <w:kern w:val="2"/>
                <w:sz w:val="20"/>
                <w:szCs w:val="20"/>
                <w14:ligatures w14:val="standardContextual"/>
              </w:rPr>
            </w:pPr>
          </w:p>
        </w:tc>
      </w:tr>
      <w:tr w:rsidR="00C07C0C" w:rsidRPr="008F4886" w14:paraId="6EFF3A74"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9B48CF" w14:textId="2BD37F9E" w:rsidR="00C07C0C" w:rsidRPr="008F4886" w:rsidRDefault="00C07C0C" w:rsidP="001C2457">
            <w:pPr>
              <w:shd w:val="clear" w:color="auto" w:fill="FFFFFF"/>
              <w:jc w:val="center"/>
              <w:textAlignment w:val="baseline"/>
              <w:rPr>
                <w:rFonts w:ascii="Arial Narrow" w:hAnsi="Arial Narrow" w:cs="Open Sans"/>
                <w:i/>
                <w:iCs/>
                <w:color w:val="333333"/>
                <w:sz w:val="20"/>
                <w:szCs w:val="20"/>
              </w:rPr>
            </w:pPr>
          </w:p>
        </w:tc>
        <w:tc>
          <w:tcPr>
            <w:tcW w:w="7745" w:type="dxa"/>
            <w:gridSpan w:val="7"/>
            <w:vAlign w:val="center"/>
          </w:tcPr>
          <w:p w14:paraId="5444D07D" w14:textId="77777777" w:rsidR="00C07C0C" w:rsidRPr="008F4886" w:rsidRDefault="00C07C0C" w:rsidP="001C2457">
            <w:pPr>
              <w:keepNext/>
              <w:keepLines/>
              <w:jc w:val="left"/>
              <w:rPr>
                <w:rFonts w:ascii="Arial Narrow" w:hAnsi="Arial Narrow" w:cs="Calibri"/>
                <w:b/>
                <w:strike/>
                <w:color w:val="333333"/>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Indication:</w:t>
            </w:r>
            <w:r w:rsidRPr="008F4886">
              <w:rPr>
                <w:rFonts w:ascii="Arial Narrow" w:eastAsia="Calibri" w:hAnsi="Arial Narrow" w:cs="Times New Roman"/>
                <w:kern w:val="2"/>
                <w:sz w:val="20"/>
                <w:szCs w:val="20"/>
                <w14:ligatures w14:val="standardContextual"/>
              </w:rPr>
              <w:t xml:space="preserve"> Diabetes mellitus type 2</w:t>
            </w:r>
            <w:r w:rsidRPr="008F4886">
              <w:rPr>
                <w:rFonts w:ascii="Times New Roman" w:eastAsia="Calibri" w:hAnsi="Times New Roman" w:cs="Times New Roman"/>
                <w:kern w:val="2"/>
                <w:lang w:eastAsia="en-US"/>
                <w14:ligatures w14:val="standardContextual"/>
              </w:rPr>
              <w:t xml:space="preserve"> </w:t>
            </w:r>
          </w:p>
        </w:tc>
      </w:tr>
      <w:tr w:rsidR="00C07C0C" w:rsidRPr="008F4886" w14:paraId="2F627F1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0725552"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D401B42"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 xml:space="preserve">Treatment Phase: </w:t>
            </w:r>
            <w:r w:rsidRPr="008F4886">
              <w:rPr>
                <w:rFonts w:ascii="Arial Narrow" w:hAnsi="Arial Narrow" w:cs="Calibri"/>
                <w:color w:val="333333"/>
                <w:kern w:val="2"/>
                <w:sz w:val="20"/>
                <w:szCs w:val="20"/>
                <w14:ligatures w14:val="standardContextual"/>
              </w:rPr>
              <w:t>Transitioning from non-PBS to PBS-subsidised treatment- Grandfather arrangement</w:t>
            </w:r>
          </w:p>
        </w:tc>
      </w:tr>
      <w:tr w:rsidR="00C07C0C" w:rsidRPr="008F4886" w14:paraId="41D2EEB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0B2F743" w14:textId="5BDB4188"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1CC4B7FC"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1E34DCC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41D278A" w14:textId="3C33E09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7D82CE64"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kern w:val="2"/>
                <w:sz w:val="20"/>
                <w:szCs w:val="20"/>
                <w14:ligatures w14:val="standardContextual"/>
              </w:rPr>
              <w:t>Patient must have been receiving non-PBS subsidised treatment with this drug for this condition prior to [PBS listing date].</w:t>
            </w:r>
          </w:p>
        </w:tc>
      </w:tr>
      <w:tr w:rsidR="00C07C0C" w:rsidRPr="008F4886" w14:paraId="5B9E842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D074B5C"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BE2ECAD" w14:textId="77777777" w:rsidR="00C07C0C" w:rsidRPr="008F4886" w:rsidRDefault="00C07C0C" w:rsidP="001C2457">
            <w:pPr>
              <w:keepNext/>
              <w:keepLines/>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2F658D2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B41E905"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5A955EE0"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ED81EB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5E583A2" w14:textId="3415BD1B"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30F7D5F6"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Patient must have had a Body Mass Index greater (BMI) than or equal to 35 kg/m</w:t>
            </w:r>
            <w:r w:rsidRPr="008F4886">
              <w:rPr>
                <w:rFonts w:ascii="Arial Narrow" w:eastAsia="Calibri" w:hAnsi="Arial Narrow" w:cs="Times New Roman"/>
                <w:i/>
                <w:iCs/>
                <w:kern w:val="2"/>
                <w:sz w:val="20"/>
                <w:szCs w:val="20"/>
                <w:vertAlign w:val="superscript"/>
                <w:lang w:val="en-US"/>
                <w14:ligatures w14:val="standardContextual"/>
              </w:rPr>
              <w:t xml:space="preserve">2 </w:t>
            </w:r>
            <w:r w:rsidRPr="008F4886">
              <w:rPr>
                <w:rFonts w:ascii="Arial Narrow" w:eastAsia="Calibri" w:hAnsi="Arial Narrow" w:cs="Times New Roman"/>
                <w:i/>
                <w:iCs/>
                <w:kern w:val="2"/>
                <w:sz w:val="20"/>
                <w:szCs w:val="20"/>
                <w14:ligatures w14:val="standardContextual"/>
              </w:rPr>
              <w:t>prior to initiating treatment with this drug OR</w:t>
            </w:r>
          </w:p>
        </w:tc>
      </w:tr>
      <w:tr w:rsidR="00C07C0C" w:rsidRPr="008F4886" w14:paraId="21ED5E4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41F8FAD" w14:textId="6677B7C5"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9D7ABFA" w14:textId="77777777" w:rsidR="00C07C0C" w:rsidRPr="008F4886" w:rsidRDefault="00C07C0C" w:rsidP="001C2457">
            <w:pPr>
              <w:keepNext/>
              <w:keepLines/>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Patient must identify as Aboriginal or Torres Strait Islander.</w:t>
            </w:r>
          </w:p>
        </w:tc>
      </w:tr>
      <w:tr w:rsidR="00C07C0C" w:rsidRPr="008F4886" w14:paraId="762EC2D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A469612"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70F806EE"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0ABDFBD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AF6490F" w14:textId="638F61A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55DCE3E"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70190B7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57410DF" w14:textId="28104811"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0B80EB5"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treatment must be used in combination with at least one of: metformin, a sulfonylurea, insulin</w:t>
            </w:r>
          </w:p>
        </w:tc>
      </w:tr>
      <w:tr w:rsidR="00C07C0C" w:rsidRPr="008F4886" w14:paraId="5FBEEE4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BD9F302"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34C434E"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4A149CF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AC85663" w14:textId="573AD26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2A6F513"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17FBF0A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3D67903" w14:textId="608D68A2"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25ED344B"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lang w:val="en-US"/>
                <w14:ligatures w14:val="standardContextual"/>
              </w:rPr>
              <w:t>The condition must have been inadequately responsive to at least one of: (i) metformin, (ii) a sulfonylurea, or (iii) insulin</w:t>
            </w:r>
          </w:p>
        </w:tc>
      </w:tr>
      <w:tr w:rsidR="00C07C0C" w:rsidRPr="008F4886" w14:paraId="5AF4C6D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4CBEA4"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63A7059" w14:textId="77777777" w:rsidR="00C07C0C" w:rsidRPr="008F4886" w:rsidRDefault="00C07C0C" w:rsidP="001C2457">
            <w:pPr>
              <w:keepNext/>
              <w:keepLines/>
              <w:jc w:val="left"/>
              <w:rPr>
                <w:rFonts w:ascii="Arial Narrow" w:eastAsia="Calibri" w:hAnsi="Arial Narrow" w:cs="Times New Roman"/>
                <w:i/>
                <w:iCs/>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AND</w:t>
            </w:r>
          </w:p>
        </w:tc>
      </w:tr>
      <w:tr w:rsidR="00C07C0C" w:rsidRPr="008F4886" w14:paraId="659A17F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B7D355D" w14:textId="616EE7B9"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D753C61"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Clinical criteria:</w:t>
            </w:r>
          </w:p>
        </w:tc>
      </w:tr>
      <w:tr w:rsidR="00C07C0C" w:rsidRPr="008F4886" w14:paraId="0CA3488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3978BC5" w14:textId="21DFF5FE"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7D9E141"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hAnsi="Arial Narrow" w:cs="Calibri"/>
                <w:i/>
                <w:iCs/>
                <w:color w:val="333333"/>
                <w:kern w:val="2"/>
                <w:sz w:val="20"/>
                <w:szCs w:val="20"/>
                <w:lang w:val="en-US"/>
                <w14:ligatures w14:val="standardContextual"/>
              </w:rPr>
              <w:t xml:space="preserve">Patient must not have achieved a clinically meaningful </w:t>
            </w:r>
            <w:proofErr w:type="spellStart"/>
            <w:r w:rsidRPr="008F4886">
              <w:rPr>
                <w:rFonts w:ascii="Arial Narrow" w:hAnsi="Arial Narrow" w:cs="Calibri"/>
                <w:i/>
                <w:iCs/>
                <w:color w:val="333333"/>
                <w:kern w:val="2"/>
                <w:sz w:val="20"/>
                <w:szCs w:val="20"/>
                <w:lang w:val="en-US"/>
                <w14:ligatures w14:val="standardContextual"/>
              </w:rPr>
              <w:t>glycaemic</w:t>
            </w:r>
            <w:proofErr w:type="spellEnd"/>
            <w:r w:rsidRPr="008F4886">
              <w:rPr>
                <w:rFonts w:ascii="Arial Narrow" w:hAnsi="Arial Narrow" w:cs="Calibri"/>
                <w:i/>
                <w:iCs/>
                <w:color w:val="333333"/>
                <w:kern w:val="2"/>
                <w:sz w:val="20"/>
                <w:szCs w:val="20"/>
                <w:lang w:val="en-US"/>
                <w14:ligatures w14:val="standardContextual"/>
              </w:rPr>
              <w:t xml:space="preserve"> response with an SGLT2 inhibitor prior to initiating treatment with this drug; OR</w:t>
            </w:r>
          </w:p>
        </w:tc>
      </w:tr>
      <w:tr w:rsidR="00C07C0C" w:rsidRPr="008F4886" w14:paraId="2E8EB1C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F22AC5F" w14:textId="74F3B8EA"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203BBB57" w14:textId="77777777" w:rsidR="00C07C0C" w:rsidRPr="008F4886" w:rsidRDefault="00C07C0C" w:rsidP="001C2457">
            <w:pPr>
              <w:keepNext/>
              <w:keepLines/>
              <w:jc w:val="left"/>
              <w:rPr>
                <w:rFonts w:ascii="Arial Narrow" w:hAnsi="Arial Narrow" w:cs="Calibri"/>
                <w:i/>
                <w:iCs/>
                <w:color w:val="333333"/>
                <w:kern w:val="2"/>
                <w:sz w:val="20"/>
                <w:szCs w:val="20"/>
                <w:lang w:val="en-US"/>
                <w14:ligatures w14:val="standardContextual"/>
              </w:rPr>
            </w:pPr>
            <w:r w:rsidRPr="008F4886">
              <w:rPr>
                <w:rFonts w:ascii="Arial Narrow" w:eastAsia="Calibri" w:hAnsi="Arial Narrow" w:cs="Times New Roman"/>
                <w:i/>
                <w:iCs/>
                <w:kern w:val="2"/>
                <w:sz w:val="20"/>
                <w:szCs w:val="20"/>
                <w14:ligatures w14:val="standardContextual"/>
              </w:rPr>
              <w:t xml:space="preserve">Patient must have had a contraindication/intolerance requiring treatment discontinuation of an SGLT2 inhibitor </w:t>
            </w:r>
            <w:r w:rsidRPr="008F4886">
              <w:rPr>
                <w:rFonts w:ascii="Arial Narrow" w:hAnsi="Arial Narrow" w:cs="Calibri"/>
                <w:i/>
                <w:iCs/>
                <w:color w:val="333333"/>
                <w:kern w:val="2"/>
                <w:sz w:val="20"/>
                <w:szCs w:val="20"/>
                <w:lang w:val="en-US"/>
                <w14:ligatures w14:val="standardContextual"/>
              </w:rPr>
              <w:t>prior to initiating treatment with this drug</w:t>
            </w:r>
          </w:p>
        </w:tc>
      </w:tr>
      <w:tr w:rsidR="00C07C0C" w:rsidRPr="008F4886" w14:paraId="015DCF6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346E979" w14:textId="77777777"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42779A0D"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AND</w:t>
            </w:r>
          </w:p>
        </w:tc>
      </w:tr>
      <w:tr w:rsidR="00C07C0C" w:rsidRPr="008F4886" w14:paraId="50A4FD89"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EB2EE4" w14:textId="4509DF52"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7728D57"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Clinical criteria:</w:t>
            </w:r>
          </w:p>
        </w:tc>
      </w:tr>
      <w:tr w:rsidR="00C07C0C" w:rsidRPr="008F4886" w14:paraId="211D2E41"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49F586E" w14:textId="1AB78F4B"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0106C72" w14:textId="77777777" w:rsidR="00C07C0C" w:rsidRPr="008F4886" w:rsidRDefault="00C07C0C" w:rsidP="001C2457">
            <w:pPr>
              <w:keepNext/>
              <w:keepLines/>
              <w:jc w:val="left"/>
              <w:rPr>
                <w:rFonts w:ascii="Arial Narrow" w:eastAsia="Calibri" w:hAnsi="Arial Narrow" w:cs="Times New Roman"/>
                <w:b/>
                <w:bCs/>
                <w:kern w:val="2"/>
                <w:sz w:val="20"/>
                <w:szCs w:val="20"/>
                <w14:ligatures w14:val="standardContextual"/>
              </w:rPr>
            </w:pPr>
            <w:r w:rsidRPr="008F4886">
              <w:rPr>
                <w:rFonts w:ascii="Arial Narrow" w:hAnsi="Arial Narrow" w:cs="Calibri"/>
                <w:color w:val="333333"/>
                <w:kern w:val="2"/>
                <w:sz w:val="20"/>
                <w:szCs w:val="20"/>
                <w:lang w:val="en-US"/>
                <w14:ligatures w14:val="standardContextual"/>
              </w:rPr>
              <w:t xml:space="preserve">Patient must have demonstrated an adequate response to treatment with this drug </w:t>
            </w:r>
            <w:r w:rsidRPr="008F4886">
              <w:rPr>
                <w:rFonts w:ascii="Arial Narrow" w:hAnsi="Arial Narrow" w:cs="Calibri"/>
                <w:i/>
                <w:iCs/>
                <w:color w:val="333333"/>
                <w:kern w:val="2"/>
                <w:sz w:val="20"/>
                <w:szCs w:val="20"/>
                <w:lang w:val="en-US"/>
                <w14:ligatures w14:val="standardContextual"/>
              </w:rPr>
              <w:t>for this condition if received 40 weeks of therapy.</w:t>
            </w:r>
          </w:p>
        </w:tc>
      </w:tr>
      <w:tr w:rsidR="00C07C0C" w:rsidRPr="008F4886" w14:paraId="7C09640D"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784291C" w14:textId="4F7B2868"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242A0B8A" w14:textId="77777777" w:rsidR="00C07C0C" w:rsidRPr="008F4886" w:rsidRDefault="00C07C0C" w:rsidP="001C2457">
            <w:pPr>
              <w:keepNext/>
              <w:keepLines/>
              <w:jc w:val="left"/>
              <w:rPr>
                <w:rFonts w:ascii="Arial Narrow" w:hAnsi="Arial Narrow" w:cs="Calibri"/>
                <w:color w:val="333333"/>
                <w:kern w:val="2"/>
                <w:sz w:val="20"/>
                <w:szCs w:val="20"/>
                <w:lang w:val="en-US"/>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1E2067FA"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504C66" w14:textId="46901DA9"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68F9A55"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Must be treated by an endocrinologist</w:t>
            </w:r>
          </w:p>
        </w:tc>
      </w:tr>
      <w:tr w:rsidR="00C07C0C" w:rsidRPr="008F4886" w14:paraId="0602BE97"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C41A508" w14:textId="50734BBF"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D64FB1F"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Treatment criteria:</w:t>
            </w:r>
          </w:p>
        </w:tc>
      </w:tr>
      <w:tr w:rsidR="00C07C0C" w:rsidRPr="008F4886" w14:paraId="1941DEB8"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25650AB" w14:textId="49E4B6E6"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3461713C" w14:textId="77777777" w:rsidR="00C07C0C" w:rsidRPr="008F4886" w:rsidRDefault="00C07C0C" w:rsidP="001C2457">
            <w:pPr>
              <w:keepNext/>
              <w:keepLines/>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Patient must not be undergoing concomitant PBS-subsidised treatment for type 2 diabetes mellitus with any of: an SGLT2 inhibitor, a DPP4 inhibitor, another GLP-1 receptor agonist</w:t>
            </w:r>
          </w:p>
        </w:tc>
      </w:tr>
      <w:tr w:rsidR="00C07C0C" w:rsidRPr="008F4886" w14:paraId="60E24AC3"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09FD1B" w14:textId="2E8BE90C"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0D3FBA7F" w14:textId="77777777" w:rsidR="00C07C0C" w:rsidRPr="008F4886" w:rsidRDefault="00C07C0C" w:rsidP="001C2457">
            <w:pPr>
              <w:keepNext/>
              <w:keepLines/>
              <w:jc w:val="left"/>
              <w:rPr>
                <w:rFonts w:ascii="Arial Narrow" w:eastAsia="Calibri" w:hAnsi="Arial Narrow" w:cs="Times New Roman"/>
                <w:i/>
                <w:iCs/>
                <w:kern w:val="2"/>
                <w:sz w:val="20"/>
                <w:szCs w:val="20"/>
                <w14:ligatures w14:val="standardContextual"/>
              </w:rPr>
            </w:pPr>
            <w:r w:rsidRPr="008F4886">
              <w:rPr>
                <w:rFonts w:ascii="Arial Narrow" w:hAnsi="Arial Narrow" w:cs="Calibri"/>
                <w:b/>
                <w:i/>
                <w:iCs/>
                <w:color w:val="333333"/>
                <w:kern w:val="2"/>
                <w:sz w:val="20"/>
                <w:szCs w:val="20"/>
                <w14:ligatures w14:val="standardContextual"/>
              </w:rPr>
              <w:t>Population criteria:</w:t>
            </w:r>
          </w:p>
        </w:tc>
      </w:tr>
      <w:tr w:rsidR="00C07C0C" w:rsidRPr="008F4886" w14:paraId="5E4E7FF6"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45B169F" w14:textId="277B1048"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57FAE4D" w14:textId="77777777" w:rsidR="00C07C0C" w:rsidRPr="008F4886" w:rsidRDefault="00C07C0C" w:rsidP="001C2457">
            <w:pPr>
              <w:keepNext/>
              <w:keepLines/>
              <w:jc w:val="left"/>
              <w:rPr>
                <w:rFonts w:ascii="Arial Narrow" w:hAnsi="Arial Narrow" w:cs="Calibri"/>
                <w:b/>
                <w:i/>
                <w:iCs/>
                <w:color w:val="333333"/>
                <w:kern w:val="2"/>
                <w:sz w:val="20"/>
                <w:szCs w:val="20"/>
                <w14:ligatures w14:val="standardContextual"/>
              </w:rPr>
            </w:pPr>
            <w:r w:rsidRPr="008F4886">
              <w:rPr>
                <w:rFonts w:ascii="Arial Narrow" w:hAnsi="Arial Narrow" w:cs="Calibri"/>
                <w:i/>
                <w:iCs/>
                <w:color w:val="333333"/>
                <w:kern w:val="2"/>
                <w:sz w:val="20"/>
                <w:szCs w:val="20"/>
                <w14:ligatures w14:val="standardContextual"/>
              </w:rPr>
              <w:t>Patient must be at least 18 years of age</w:t>
            </w:r>
          </w:p>
        </w:tc>
      </w:tr>
      <w:tr w:rsidR="00C07C0C" w:rsidRPr="008F4886" w14:paraId="51A5B9E0"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8FDEDB" w14:textId="7C095528"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1E652CE9"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2A78A6B6"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An inadequate response to prior therapy is defined as:</w:t>
            </w:r>
          </w:p>
          <w:p w14:paraId="71A05334"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2EA4EFD9"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Blood glucose monitoring is an alternative to HbA1c measurement where at least one of the following circumstances applies:</w:t>
            </w:r>
          </w:p>
          <w:p w14:paraId="08921859"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 A clinical condition with reduced red blood cell survival (inclusive of haemolytic anaemias, haemoglobinopathies),</w:t>
            </w:r>
          </w:p>
          <w:p w14:paraId="67BCD0DE" w14:textId="77777777" w:rsidR="00C07C0C" w:rsidRPr="008F4886" w:rsidRDefault="00C07C0C" w:rsidP="001C2457">
            <w:pPr>
              <w:keepNext/>
              <w:keepLines/>
              <w:jc w:val="left"/>
              <w:rPr>
                <w:rFonts w:ascii="Arial Narrow" w:hAnsi="Arial Narrow" w:cs="Calibri"/>
                <w:i/>
                <w:iCs/>
                <w:color w:val="333333"/>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(b) Red cell transfusion within the previous 3 months.</w:t>
            </w:r>
          </w:p>
        </w:tc>
      </w:tr>
      <w:tr w:rsidR="00C07C0C" w:rsidRPr="008F4886" w14:paraId="1A09C56F"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DD8AF6C" w14:textId="2A947936"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5CCEB566"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0111EADE" w14:textId="77777777" w:rsidR="00C07C0C" w:rsidRPr="008F4886" w:rsidRDefault="00C07C0C" w:rsidP="001C2457">
            <w:pPr>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An adequate response to treatment </w:t>
            </w:r>
            <w:r w:rsidRPr="008F4886">
              <w:rPr>
                <w:rFonts w:ascii="Arial Narrow" w:eastAsia="Calibri" w:hAnsi="Arial Narrow" w:cs="Times New Roman"/>
                <w:i/>
                <w:iCs/>
                <w:kern w:val="2"/>
                <w:sz w:val="20"/>
                <w:szCs w:val="20"/>
                <w14:ligatures w14:val="standardContextual"/>
              </w:rPr>
              <w:t>with this drug</w:t>
            </w:r>
            <w:r w:rsidRPr="008F4886">
              <w:rPr>
                <w:rFonts w:ascii="Arial Narrow" w:eastAsia="Calibri" w:hAnsi="Arial Narrow" w:cs="Times New Roman"/>
                <w:kern w:val="2"/>
                <w:sz w:val="20"/>
                <w:szCs w:val="20"/>
                <w14:ligatures w14:val="standardContextual"/>
              </w:rPr>
              <w:t xml:space="preserve"> is defined as: </w:t>
            </w:r>
          </w:p>
          <w:p w14:paraId="276BEDD6" w14:textId="77777777" w:rsidR="00C07C0C" w:rsidRPr="008F4886" w:rsidRDefault="00C07C0C" w:rsidP="001C2457">
            <w:pPr>
              <w:numPr>
                <w:ilvl w:val="0"/>
                <w:numId w:val="15"/>
              </w:numPr>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a HbA1c measurement </w:t>
            </w:r>
            <w:r w:rsidRPr="008F4886">
              <w:rPr>
                <w:rFonts w:ascii="Arial Narrow" w:eastAsia="Calibri" w:hAnsi="Arial Narrow" w:cs="Times New Roman"/>
                <w:i/>
                <w:iCs/>
                <w:kern w:val="2"/>
                <w:sz w:val="20"/>
                <w:szCs w:val="20"/>
                <w14:ligatures w14:val="standardContextual"/>
              </w:rPr>
              <w:t>of</w:t>
            </w:r>
            <w:r w:rsidRPr="008F4886">
              <w:rPr>
                <w:rFonts w:ascii="Arial Narrow" w:eastAsia="Calibri" w:hAnsi="Arial Narrow" w:cs="Times New Roman"/>
                <w:kern w:val="2"/>
                <w:sz w:val="20"/>
                <w:szCs w:val="20"/>
                <w14:ligatures w14:val="standardContextual"/>
              </w:rPr>
              <w:t xml:space="preserve"> less than 7% or </w:t>
            </w:r>
          </w:p>
          <w:p w14:paraId="72900481" w14:textId="77777777" w:rsidR="00C07C0C" w:rsidRPr="008F4886" w:rsidRDefault="00C07C0C" w:rsidP="001C2457">
            <w:pPr>
              <w:numPr>
                <w:ilvl w:val="0"/>
                <w:numId w:val="15"/>
              </w:numPr>
              <w:contextualSpacing/>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a HbA1c reduction of at least 2.0% from baseline.</w:t>
            </w:r>
          </w:p>
        </w:tc>
      </w:tr>
      <w:tr w:rsidR="00C07C0C" w:rsidRPr="008F4886" w14:paraId="1F63418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3E7F93C" w14:textId="29BA4A9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75513854"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Administrative Advice:</w:t>
            </w:r>
          </w:p>
          <w:p w14:paraId="47EADDEF"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Abbreviations used in the restriction are as follows:</w:t>
            </w:r>
          </w:p>
          <w:p w14:paraId="1850F790"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SGLT2 - sodium glucose transporter-2 inhibitor (drug names ending in '</w:t>
            </w:r>
            <w:proofErr w:type="spellStart"/>
            <w:r w:rsidRPr="008F4886">
              <w:rPr>
                <w:rFonts w:ascii="Arial Narrow" w:eastAsia="Calibri" w:hAnsi="Arial Narrow" w:cs="Times New Roman"/>
                <w:i/>
                <w:iCs/>
                <w:kern w:val="2"/>
                <w:sz w:val="20"/>
                <w:szCs w:val="20"/>
                <w14:ligatures w14:val="standardContextual"/>
              </w:rPr>
              <w:t>flozin</w:t>
            </w:r>
            <w:proofErr w:type="spellEnd"/>
            <w:r w:rsidRPr="008F4886">
              <w:rPr>
                <w:rFonts w:ascii="Arial Narrow" w:eastAsia="Calibri" w:hAnsi="Arial Narrow" w:cs="Times New Roman"/>
                <w:i/>
                <w:iCs/>
                <w:kern w:val="2"/>
                <w:sz w:val="20"/>
                <w:szCs w:val="20"/>
                <w14:ligatures w14:val="standardContextual"/>
              </w:rPr>
              <w:t>')</w:t>
            </w:r>
          </w:p>
          <w:p w14:paraId="75360BB4"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DPP4 - dipeptidyl peptidase-4 inhibitor (drug names ending in 'gliptin')</w:t>
            </w:r>
          </w:p>
          <w:p w14:paraId="06BD188B" w14:textId="37E57C27" w:rsidR="00C07C0C" w:rsidRPr="008F4886" w:rsidRDefault="00C07C0C" w:rsidP="001C2457">
            <w:pPr>
              <w:jc w:val="left"/>
              <w:rPr>
                <w:rFonts w:ascii="Arial Narrow" w:eastAsia="Calibri" w:hAnsi="Arial Narrow" w:cs="Times New Roman"/>
                <w:b/>
                <w:bCs/>
                <w:strike/>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GLP-1 - glucagon-like peptide-1 receptor agonist</w:t>
            </w:r>
          </w:p>
        </w:tc>
      </w:tr>
      <w:tr w:rsidR="00C07C0C" w:rsidRPr="008F4886" w14:paraId="0DEA62BC"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DD6626A" w14:textId="65BB7825" w:rsidR="00C07C0C" w:rsidRPr="008F4886" w:rsidRDefault="00C07C0C" w:rsidP="001C2457">
            <w:pPr>
              <w:shd w:val="clear" w:color="auto" w:fill="FFFFFF"/>
              <w:jc w:val="center"/>
              <w:textAlignment w:val="baseline"/>
              <w:rPr>
                <w:rFonts w:ascii="Arial Narrow" w:eastAsia="Calibri" w:hAnsi="Arial Narrow" w:cs="Times New Roman"/>
                <w:i/>
                <w:iCs/>
                <w:kern w:val="2"/>
                <w:sz w:val="20"/>
                <w:szCs w:val="20"/>
                <w14:ligatures w14:val="standardContextual"/>
              </w:rPr>
            </w:pPr>
          </w:p>
        </w:tc>
        <w:tc>
          <w:tcPr>
            <w:tcW w:w="7745" w:type="dxa"/>
            <w:gridSpan w:val="7"/>
            <w:vAlign w:val="center"/>
          </w:tcPr>
          <w:p w14:paraId="648A4C14" w14:textId="77777777" w:rsidR="00C07C0C" w:rsidRPr="008F4886" w:rsidRDefault="00C07C0C" w:rsidP="001C2457">
            <w:pPr>
              <w:jc w:val="left"/>
              <w:rPr>
                <w:rFonts w:ascii="Arial Narrow" w:eastAsia="Calibri" w:hAnsi="Arial Narrow" w:cs="Times New Roman"/>
                <w:b/>
                <w:bCs/>
                <w:kern w:val="2"/>
                <w:sz w:val="20"/>
                <w:szCs w:val="20"/>
                <w14:ligatures w14:val="standardContextual"/>
              </w:rPr>
            </w:pPr>
            <w:r w:rsidRPr="008F4886">
              <w:rPr>
                <w:rFonts w:ascii="Arial Narrow" w:eastAsia="Calibri" w:hAnsi="Arial Narrow" w:cs="Times New Roman"/>
                <w:b/>
                <w:bCs/>
                <w:kern w:val="2"/>
                <w:sz w:val="20"/>
                <w:szCs w:val="20"/>
                <w14:ligatures w14:val="standardContextual"/>
              </w:rPr>
              <w:t>Administrative Advice:</w:t>
            </w:r>
          </w:p>
          <w:p w14:paraId="289597B9"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kern w:val="2"/>
                <w:sz w:val="20"/>
                <w:szCs w:val="20"/>
                <w14:ligatures w14:val="standardContextual"/>
              </w:rPr>
              <w:t>Where an SGLT2 inhibitor is being accessed through a PBS indication other than diabetes, the clinical criterion excluding concomitant treatment with an SGLT2 inhibitor is in relation to diabetes mellitus type 2 only.</w:t>
            </w:r>
          </w:p>
        </w:tc>
      </w:tr>
      <w:tr w:rsidR="00C07C0C" w:rsidRPr="008F4886" w14:paraId="442A67EB" w14:textId="77777777" w:rsidTr="001C245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39B735F" w14:textId="77777777" w:rsidR="00C07C0C" w:rsidRPr="008F4886" w:rsidRDefault="00C07C0C" w:rsidP="001C2457">
            <w:pPr>
              <w:shd w:val="clear" w:color="auto" w:fill="FFFFFF"/>
              <w:jc w:val="center"/>
              <w:textAlignment w:val="baseline"/>
              <w:rPr>
                <w:rFonts w:ascii="Arial Narrow" w:eastAsia="Calibri" w:hAnsi="Arial Narrow" w:cs="Times New Roman"/>
                <w:kern w:val="2"/>
                <w:sz w:val="20"/>
                <w:szCs w:val="20"/>
                <w14:ligatures w14:val="standardContextual"/>
              </w:rPr>
            </w:pPr>
          </w:p>
        </w:tc>
        <w:tc>
          <w:tcPr>
            <w:tcW w:w="7745" w:type="dxa"/>
            <w:gridSpan w:val="7"/>
            <w:vAlign w:val="center"/>
          </w:tcPr>
          <w:p w14:paraId="4DA5B184" w14:textId="77777777" w:rsidR="00C07C0C" w:rsidRPr="008F4886" w:rsidRDefault="00C07C0C" w:rsidP="001C2457">
            <w:pPr>
              <w:jc w:val="left"/>
              <w:rPr>
                <w:rFonts w:ascii="Arial Narrow" w:eastAsia="Calibri" w:hAnsi="Arial Narrow" w:cs="Times New Roman"/>
                <w:b/>
                <w:bCs/>
                <w:i/>
                <w:iCs/>
                <w:kern w:val="2"/>
                <w:sz w:val="20"/>
                <w:szCs w:val="20"/>
                <w14:ligatures w14:val="standardContextual"/>
              </w:rPr>
            </w:pPr>
            <w:r w:rsidRPr="008F4886">
              <w:rPr>
                <w:rFonts w:ascii="Arial Narrow" w:eastAsia="Calibri" w:hAnsi="Arial Narrow" w:cs="Times New Roman"/>
                <w:b/>
                <w:bCs/>
                <w:i/>
                <w:iCs/>
                <w:kern w:val="2"/>
                <w:sz w:val="20"/>
                <w:szCs w:val="20"/>
                <w14:ligatures w14:val="standardContextual"/>
              </w:rPr>
              <w:t>Prescribing instructions:</w:t>
            </w:r>
          </w:p>
          <w:p w14:paraId="68980305" w14:textId="77777777" w:rsidR="00C07C0C" w:rsidRPr="008F4886" w:rsidRDefault="00C07C0C" w:rsidP="001C2457">
            <w:pPr>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authority application must be made in writing and must include:</w:t>
            </w:r>
          </w:p>
          <w:p w14:paraId="2AB8D080" w14:textId="77777777" w:rsidR="00C07C0C" w:rsidRPr="008F4886" w:rsidRDefault="00C07C0C" w:rsidP="001C2457">
            <w:pPr>
              <w:numPr>
                <w:ilvl w:val="0"/>
                <w:numId w:val="16"/>
              </w:numPr>
              <w:spacing w:line="259" w:lineRule="auto"/>
              <w:ind w:left="714" w:hanging="357"/>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the proposed prescription(s); and</w:t>
            </w:r>
          </w:p>
          <w:p w14:paraId="0F2397B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a completed authority application form relevant to the indication and treatment phase (the latest version is located on the website specified in the Administrative Advice). </w:t>
            </w:r>
          </w:p>
          <w:p w14:paraId="6381144F"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the HbA1c pathology results at baseline, prior initiating non-PBS subsidised treatment.</w:t>
            </w:r>
          </w:p>
          <w:p w14:paraId="69F5150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SGLT2 inhibitor therapy (i.e. confirmation of either (i) inadequate responsiveness; (ii) intolerance, or (iii) contraindication)</w:t>
            </w:r>
          </w:p>
          <w:p w14:paraId="7A35ABAD"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details of prior metformin, sulfonylurea, or insulin therapy</w:t>
            </w:r>
          </w:p>
          <w:p w14:paraId="7807F3C5"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i/>
                <w:iCs/>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 xml:space="preserve">for patients with </w:t>
            </w:r>
            <w:r w:rsidRPr="008F4886">
              <w:rPr>
                <w:rFonts w:ascii="Arial Narrow" w:eastAsia="Calibri" w:hAnsi="Arial Narrow" w:cs="Times New Roman"/>
                <w:i/>
                <w:iCs/>
                <w:kern w:val="2"/>
                <w:sz w:val="20"/>
                <w:szCs w:val="20"/>
                <w:lang w:val="en-US"/>
                <w14:ligatures w14:val="standardContextual"/>
              </w:rPr>
              <w:t>BMI greater than or equal to 35 kg/m</w:t>
            </w:r>
            <w:r w:rsidRPr="008F4886">
              <w:rPr>
                <w:rFonts w:ascii="Arial Narrow" w:eastAsia="Calibri" w:hAnsi="Arial Narrow" w:cs="Times New Roman"/>
                <w:i/>
                <w:iCs/>
                <w:kern w:val="2"/>
                <w:sz w:val="20"/>
                <w:szCs w:val="20"/>
                <w:vertAlign w:val="superscript"/>
                <w:lang w:val="en-US"/>
                <w14:ligatures w14:val="standardContextual"/>
              </w:rPr>
              <w:t>2</w:t>
            </w:r>
            <w:r w:rsidRPr="008F4886">
              <w:rPr>
                <w:rFonts w:ascii="Arial Narrow" w:eastAsia="Calibri" w:hAnsi="Arial Narrow" w:cs="Times New Roman"/>
                <w:i/>
                <w:iCs/>
                <w:kern w:val="2"/>
                <w:sz w:val="20"/>
                <w:szCs w:val="20"/>
                <w14:ligatures w14:val="standardContextual"/>
              </w:rPr>
              <w:t xml:space="preserve">, a measurement of body weight, height, and BMI at baseline must be provided. </w:t>
            </w:r>
          </w:p>
          <w:p w14:paraId="641FCA5E"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i/>
                <w:iCs/>
                <w:kern w:val="2"/>
                <w:sz w:val="20"/>
                <w:szCs w:val="20"/>
                <w14:ligatures w14:val="standardContextual"/>
              </w:rPr>
              <w:t>for Aboriginal or Torres Strait Islander patients, confirmation of Aboriginal and Torres Strait Islander people identity as documented by a CTG code on Medicare card must be provided.</w:t>
            </w:r>
          </w:p>
          <w:p w14:paraId="32A37774" w14:textId="77777777" w:rsidR="00C07C0C" w:rsidRPr="008F4886" w:rsidRDefault="00C07C0C" w:rsidP="001C2457">
            <w:pPr>
              <w:numPr>
                <w:ilvl w:val="0"/>
                <w:numId w:val="16"/>
              </w:numPr>
              <w:spacing w:line="259" w:lineRule="auto"/>
              <w:contextualSpacing/>
              <w:jc w:val="left"/>
              <w:rPr>
                <w:rFonts w:ascii="Arial Narrow" w:eastAsia="Calibri" w:hAnsi="Arial Narrow" w:cs="Times New Roman"/>
                <w:kern w:val="2"/>
                <w:sz w:val="20"/>
                <w:szCs w:val="20"/>
                <w14:ligatures w14:val="standardContextual"/>
              </w:rPr>
            </w:pPr>
            <w:r w:rsidRPr="008F4886">
              <w:rPr>
                <w:rFonts w:ascii="Arial Narrow" w:eastAsia="Calibri" w:hAnsi="Arial Narrow" w:cs="Times New Roman"/>
                <w:kern w:val="2"/>
                <w:sz w:val="20"/>
                <w:szCs w:val="20"/>
                <w14:ligatures w14:val="standardContextual"/>
              </w:rPr>
              <w:t xml:space="preserve">the HbA1c pathology results </w:t>
            </w:r>
            <w:r w:rsidRPr="008F4886">
              <w:rPr>
                <w:rFonts w:ascii="Arial Narrow" w:eastAsia="Calibri" w:hAnsi="Arial Narrow" w:cs="Times New Roman"/>
                <w:i/>
                <w:iCs/>
                <w:kern w:val="2"/>
                <w:sz w:val="20"/>
                <w:szCs w:val="20"/>
                <w14:ligatures w14:val="standardContextual"/>
              </w:rPr>
              <w:t xml:space="preserve">assessing the response to treatment </w:t>
            </w:r>
            <w:proofErr w:type="spellStart"/>
            <w:r w:rsidRPr="008F4886">
              <w:rPr>
                <w:rFonts w:ascii="Arial Narrow" w:eastAsia="Calibri" w:hAnsi="Arial Narrow" w:cs="Times New Roman"/>
                <w:i/>
                <w:iCs/>
                <w:kern w:val="2"/>
                <w:sz w:val="20"/>
                <w:szCs w:val="20"/>
                <w14:ligatures w14:val="standardContextual"/>
              </w:rPr>
              <w:t>if</w:t>
            </w:r>
            <w:proofErr w:type="spellEnd"/>
            <w:r w:rsidRPr="008F4886">
              <w:rPr>
                <w:rFonts w:ascii="Arial Narrow" w:eastAsia="Calibri" w:hAnsi="Arial Narrow" w:cs="Times New Roman"/>
                <w:i/>
                <w:iCs/>
                <w:kern w:val="2"/>
                <w:sz w:val="20"/>
                <w:szCs w:val="20"/>
                <w14:ligatures w14:val="standardContextual"/>
              </w:rPr>
              <w:t xml:space="preserve"> patients received 40 weeks of treatment. The result must be no more than 1 month old.</w:t>
            </w:r>
          </w:p>
        </w:tc>
      </w:tr>
    </w:tbl>
    <w:p w14:paraId="525459CD" w14:textId="3B044732" w:rsidR="00C41DE7" w:rsidRPr="00915E2B" w:rsidRDefault="00C41DE7" w:rsidP="00915E2B">
      <w:pPr>
        <w:pStyle w:val="COMexecsummnumbered"/>
        <w:rPr>
          <w:iCs/>
        </w:rPr>
      </w:pPr>
      <w:bookmarkStart w:id="9" w:name="_Ref184036709"/>
      <w:bookmarkStart w:id="10" w:name="_Ref184112046"/>
      <w:r w:rsidRPr="009339EB">
        <w:t xml:space="preserve">The resubmission requested a special pricing arrangement consisting of tiered effective prices based on the following rebates on published prices: </w:t>
      </w:r>
      <w:r w:rsidR="00F111EB" w:rsidRPr="00F111EB">
        <w:rPr>
          <w:color w:val="000000"/>
          <w:w w:val="60"/>
          <w:shd w:val="solid" w:color="000000" w:fill="000000"/>
          <w:fitText w:val="468" w:id="-761014771"/>
          <w14:textFill>
            <w14:solidFill>
              <w14:srgbClr w14:val="000000">
                <w14:alpha w14:val="100000"/>
              </w14:srgbClr>
            </w14:solidFill>
          </w14:textFill>
        </w:rPr>
        <w:t>|||  ||</w:t>
      </w:r>
      <w:r w:rsidR="00F111EB" w:rsidRPr="00F111EB">
        <w:rPr>
          <w:color w:val="000000"/>
          <w:spacing w:val="4"/>
          <w:w w:val="60"/>
          <w:shd w:val="solid" w:color="000000" w:fill="000000"/>
          <w:fitText w:val="468" w:id="-761014771"/>
          <w14:textFill>
            <w14:solidFill>
              <w14:srgbClr w14:val="000000">
                <w14:alpha w14:val="100000"/>
              </w14:srgbClr>
            </w14:solidFill>
          </w14:textFill>
        </w:rPr>
        <w:t>|</w:t>
      </w:r>
      <w:r w:rsidRPr="009339EB">
        <w:t>% for 2.5</w:t>
      </w:r>
      <w:r w:rsidR="00AA1208">
        <w:t> </w:t>
      </w:r>
      <w:r w:rsidRPr="009339EB">
        <w:t xml:space="preserve">mg and 5 mg doses, </w:t>
      </w:r>
      <w:r w:rsidR="00F111EB" w:rsidRPr="00F111EB">
        <w:rPr>
          <w:color w:val="000000"/>
          <w:w w:val="60"/>
          <w:shd w:val="solid" w:color="000000" w:fill="000000"/>
          <w:fitText w:val="468" w:id="-761014770"/>
          <w14:textFill>
            <w14:solidFill>
              <w14:srgbClr w14:val="000000">
                <w14:alpha w14:val="100000"/>
              </w14:srgbClr>
            </w14:solidFill>
          </w14:textFill>
        </w:rPr>
        <w:t>|||  ||</w:t>
      </w:r>
      <w:r w:rsidR="00F111EB" w:rsidRPr="00F111EB">
        <w:rPr>
          <w:color w:val="000000"/>
          <w:spacing w:val="4"/>
          <w:w w:val="60"/>
          <w:shd w:val="solid" w:color="000000" w:fill="000000"/>
          <w:fitText w:val="468" w:id="-761014770"/>
          <w14:textFill>
            <w14:solidFill>
              <w14:srgbClr w14:val="000000">
                <w14:alpha w14:val="100000"/>
              </w14:srgbClr>
            </w14:solidFill>
          </w14:textFill>
        </w:rPr>
        <w:t>|</w:t>
      </w:r>
      <w:r w:rsidRPr="009339EB">
        <w:t xml:space="preserve">% for 7.5 mg and 10 mg doses and </w:t>
      </w:r>
      <w:r w:rsidR="00F111EB" w:rsidRPr="00F111EB">
        <w:rPr>
          <w:color w:val="000000"/>
          <w:w w:val="60"/>
          <w:shd w:val="solid" w:color="000000" w:fill="000000"/>
          <w:fitText w:val="468" w:id="-761014769"/>
          <w14:textFill>
            <w14:solidFill>
              <w14:srgbClr w14:val="000000">
                <w14:alpha w14:val="100000"/>
              </w14:srgbClr>
            </w14:solidFill>
          </w14:textFill>
        </w:rPr>
        <w:t>|||  ||</w:t>
      </w:r>
      <w:r w:rsidR="00F111EB" w:rsidRPr="00F111EB">
        <w:rPr>
          <w:color w:val="000000"/>
          <w:spacing w:val="4"/>
          <w:w w:val="60"/>
          <w:shd w:val="solid" w:color="000000" w:fill="000000"/>
          <w:fitText w:val="468" w:id="-761014769"/>
          <w14:textFill>
            <w14:solidFill>
              <w14:srgbClr w14:val="000000">
                <w14:alpha w14:val="100000"/>
              </w14:srgbClr>
            </w14:solidFill>
          </w14:textFill>
        </w:rPr>
        <w:t>|</w:t>
      </w:r>
      <w:r w:rsidRPr="009339EB">
        <w:t>% for 12.5 mg and 15</w:t>
      </w:r>
      <w:r w:rsidR="00AA1208">
        <w:t> </w:t>
      </w:r>
      <w:r w:rsidRPr="009339EB">
        <w:t>mg doses.</w:t>
      </w:r>
      <w:bookmarkStart w:id="11" w:name="_Ref179812253"/>
      <w:r w:rsidR="00915E2B">
        <w:rPr>
          <w:iCs/>
        </w:rPr>
        <w:t xml:space="preserve"> </w:t>
      </w:r>
      <w:r w:rsidRPr="007C7E4E">
        <w:t>Compared to the proposed effective price in the previous submission</w:t>
      </w:r>
      <w:r>
        <w:t xml:space="preserve"> (</w:t>
      </w:r>
      <w:r w:rsidRPr="007C7E4E">
        <w:t xml:space="preserve">flat </w:t>
      </w:r>
      <w:r w:rsidRPr="007C7E4E">
        <w:lastRenderedPageBreak/>
        <w:t xml:space="preserve">effective </w:t>
      </w:r>
      <w:r>
        <w:t xml:space="preserve">DPMQ </w:t>
      </w:r>
      <w:r w:rsidRPr="007C7E4E">
        <w:t>of</w:t>
      </w:r>
      <w:r>
        <w:t xml:space="preserve"> </w:t>
      </w:r>
      <w:r w:rsidRPr="007C7E4E">
        <w:t>$</w:t>
      </w:r>
      <w:r w:rsidR="00F111EB" w:rsidRPr="00F111EB">
        <w:rPr>
          <w:color w:val="000000"/>
          <w:w w:val="60"/>
          <w:shd w:val="solid" w:color="000000" w:fill="000000"/>
          <w:fitText w:val="468" w:id="-761014768"/>
          <w14:textFill>
            <w14:solidFill>
              <w14:srgbClr w14:val="000000">
                <w14:alpha w14:val="100000"/>
              </w14:srgbClr>
            </w14:solidFill>
          </w14:textFill>
        </w:rPr>
        <w:t>|||  ||</w:t>
      </w:r>
      <w:r w:rsidR="00F111EB" w:rsidRPr="00F111EB">
        <w:rPr>
          <w:color w:val="000000"/>
          <w:spacing w:val="4"/>
          <w:w w:val="60"/>
          <w:shd w:val="solid" w:color="000000" w:fill="000000"/>
          <w:fitText w:val="468" w:id="-761014768"/>
          <w14:textFill>
            <w14:solidFill>
              <w14:srgbClr w14:val="000000">
                <w14:alpha w14:val="100000"/>
              </w14:srgbClr>
            </w14:solidFill>
          </w14:textFill>
        </w:rPr>
        <w:t>|</w:t>
      </w:r>
      <w:r w:rsidRPr="007C7E4E">
        <w:t xml:space="preserve"> for all doses</w:t>
      </w:r>
      <w:r>
        <w:t>)</w:t>
      </w:r>
      <w:r w:rsidRPr="007C7E4E">
        <w:t xml:space="preserve">, the current proposed effective prices represent a </w:t>
      </w:r>
      <w:r w:rsidR="00F111EB" w:rsidRPr="00F111EB">
        <w:rPr>
          <w:color w:val="000000"/>
          <w:w w:val="60"/>
          <w:shd w:val="solid" w:color="000000" w:fill="000000"/>
          <w:fitText w:val="468" w:id="-761014784"/>
          <w14:textFill>
            <w14:solidFill>
              <w14:srgbClr w14:val="000000">
                <w14:alpha w14:val="100000"/>
              </w14:srgbClr>
            </w14:solidFill>
          </w14:textFill>
        </w:rPr>
        <w:t>|||  ||</w:t>
      </w:r>
      <w:r w:rsidR="00F111EB" w:rsidRPr="00F111EB">
        <w:rPr>
          <w:color w:val="000000"/>
          <w:spacing w:val="4"/>
          <w:w w:val="60"/>
          <w:shd w:val="solid" w:color="000000" w:fill="000000"/>
          <w:fitText w:val="468" w:id="-761014784"/>
          <w14:textFill>
            <w14:solidFill>
              <w14:srgbClr w14:val="000000">
                <w14:alpha w14:val="100000"/>
              </w14:srgbClr>
            </w14:solidFill>
          </w14:textFill>
        </w:rPr>
        <w:t>|</w:t>
      </w:r>
      <w:r w:rsidRPr="007C7E4E">
        <w:t xml:space="preserve">% reduction for 2.5 mg and 5 mg doses, a </w:t>
      </w:r>
      <w:r w:rsidR="00F111EB" w:rsidRPr="00F111EB">
        <w:rPr>
          <w:color w:val="000000"/>
          <w:w w:val="62"/>
          <w:shd w:val="solid" w:color="000000" w:fill="000000"/>
          <w:fitText w:val="481" w:id="-761014783"/>
          <w14:textFill>
            <w14:solidFill>
              <w14:srgbClr w14:val="000000">
                <w14:alpha w14:val="100000"/>
              </w14:srgbClr>
            </w14:solidFill>
          </w14:textFill>
        </w:rPr>
        <w:t>|||  ||</w:t>
      </w:r>
      <w:r w:rsidR="00F111EB" w:rsidRPr="00F111EB">
        <w:rPr>
          <w:color w:val="000000"/>
          <w:spacing w:val="3"/>
          <w:w w:val="62"/>
          <w:shd w:val="solid" w:color="000000" w:fill="000000"/>
          <w:fitText w:val="481" w:id="-761014783"/>
          <w14:textFill>
            <w14:solidFill>
              <w14:srgbClr w14:val="000000">
                <w14:alpha w14:val="100000"/>
              </w14:srgbClr>
            </w14:solidFill>
          </w14:textFill>
        </w:rPr>
        <w:t>|</w:t>
      </w:r>
      <w:r w:rsidRPr="007C7E4E">
        <w:t>% reduction for 7.</w:t>
      </w:r>
      <w:r w:rsidR="00AA1208" w:rsidRPr="007C7E4E">
        <w:t>5</w:t>
      </w:r>
      <w:r w:rsidR="00AA1208">
        <w:t> </w:t>
      </w:r>
      <w:r w:rsidRPr="007C7E4E">
        <w:t xml:space="preserve">mg and 10 mg doses and a </w:t>
      </w:r>
      <w:r w:rsidR="00F111EB" w:rsidRPr="00F111EB">
        <w:rPr>
          <w:color w:val="000000"/>
          <w:w w:val="60"/>
          <w:shd w:val="solid" w:color="000000" w:fill="000000"/>
          <w:fitText w:val="469" w:id="-761014782"/>
          <w14:textFill>
            <w14:solidFill>
              <w14:srgbClr w14:val="000000">
                <w14:alpha w14:val="100000"/>
              </w14:srgbClr>
            </w14:solidFill>
          </w14:textFill>
        </w:rPr>
        <w:t>|||  ||</w:t>
      </w:r>
      <w:r w:rsidR="00F111EB" w:rsidRPr="00F111EB">
        <w:rPr>
          <w:color w:val="000000"/>
          <w:spacing w:val="5"/>
          <w:w w:val="60"/>
          <w:shd w:val="solid" w:color="000000" w:fill="000000"/>
          <w:fitText w:val="469" w:id="-761014782"/>
          <w14:textFill>
            <w14:solidFill>
              <w14:srgbClr w14:val="000000">
                <w14:alpha w14:val="100000"/>
              </w14:srgbClr>
            </w14:solidFill>
          </w14:textFill>
        </w:rPr>
        <w:t>|</w:t>
      </w:r>
      <w:r w:rsidRPr="007C7E4E">
        <w:t>% increase for the 12.5 mg and 15 mg doses.</w:t>
      </w:r>
      <w:bookmarkEnd w:id="11"/>
      <w:r>
        <w:t xml:space="preserve"> </w:t>
      </w:r>
      <w:r w:rsidR="00915E2B">
        <w:t>As such, the resubmission proposed effective DPMQs of $</w:t>
      </w:r>
      <w:r w:rsidR="00F111EB" w:rsidRPr="00F111EB">
        <w:rPr>
          <w:color w:val="000000"/>
          <w:w w:val="60"/>
          <w:shd w:val="solid" w:color="000000" w:fill="000000"/>
          <w:fitText w:val="468" w:id="-761014781"/>
          <w14:textFill>
            <w14:solidFill>
              <w14:srgbClr w14:val="000000">
                <w14:alpha w14:val="100000"/>
              </w14:srgbClr>
            </w14:solidFill>
          </w14:textFill>
        </w:rPr>
        <w:t>|||  ||</w:t>
      </w:r>
      <w:r w:rsidR="00F111EB" w:rsidRPr="00F111EB">
        <w:rPr>
          <w:color w:val="000000"/>
          <w:spacing w:val="4"/>
          <w:w w:val="60"/>
          <w:shd w:val="solid" w:color="000000" w:fill="000000"/>
          <w:fitText w:val="468" w:id="-761014781"/>
          <w14:textFill>
            <w14:solidFill>
              <w14:srgbClr w14:val="000000">
                <w14:alpha w14:val="100000"/>
              </w14:srgbClr>
            </w14:solidFill>
          </w14:textFill>
        </w:rPr>
        <w:t>|</w:t>
      </w:r>
      <w:r w:rsidR="00915E2B">
        <w:t xml:space="preserve"> for 2.5 mg and 5 mg doses, $</w:t>
      </w:r>
      <w:r w:rsidR="00F111EB" w:rsidRPr="00F111EB">
        <w:rPr>
          <w:color w:val="000000"/>
          <w:w w:val="60"/>
          <w:shd w:val="solid" w:color="000000" w:fill="000000"/>
          <w:fitText w:val="468" w:id="-761014780"/>
          <w14:textFill>
            <w14:solidFill>
              <w14:srgbClr w14:val="000000">
                <w14:alpha w14:val="100000"/>
              </w14:srgbClr>
            </w14:solidFill>
          </w14:textFill>
        </w:rPr>
        <w:t>|||  ||</w:t>
      </w:r>
      <w:r w:rsidR="00F111EB" w:rsidRPr="00F111EB">
        <w:rPr>
          <w:color w:val="000000"/>
          <w:spacing w:val="4"/>
          <w:w w:val="60"/>
          <w:shd w:val="solid" w:color="000000" w:fill="000000"/>
          <w:fitText w:val="468" w:id="-761014780"/>
          <w14:textFill>
            <w14:solidFill>
              <w14:srgbClr w14:val="000000">
                <w14:alpha w14:val="100000"/>
              </w14:srgbClr>
            </w14:solidFill>
          </w14:textFill>
        </w:rPr>
        <w:t>|</w:t>
      </w:r>
      <w:r w:rsidR="00915E2B">
        <w:t xml:space="preserve"> for the 7.5 mg and 10 mg doses, and $</w:t>
      </w:r>
      <w:r w:rsidR="00F111EB" w:rsidRPr="00F111EB">
        <w:rPr>
          <w:color w:val="000000"/>
          <w:w w:val="60"/>
          <w:shd w:val="solid" w:color="000000" w:fill="000000"/>
          <w:fitText w:val="469" w:id="-761014779"/>
          <w14:textFill>
            <w14:solidFill>
              <w14:srgbClr w14:val="000000">
                <w14:alpha w14:val="100000"/>
              </w14:srgbClr>
            </w14:solidFill>
          </w14:textFill>
        </w:rPr>
        <w:t>|||  ||</w:t>
      </w:r>
      <w:r w:rsidR="00F111EB" w:rsidRPr="00F111EB">
        <w:rPr>
          <w:color w:val="000000"/>
          <w:spacing w:val="5"/>
          <w:w w:val="60"/>
          <w:shd w:val="solid" w:color="000000" w:fill="000000"/>
          <w:fitText w:val="469" w:id="-761014779"/>
          <w14:textFill>
            <w14:solidFill>
              <w14:srgbClr w14:val="000000">
                <w14:alpha w14:val="100000"/>
              </w14:srgbClr>
            </w14:solidFill>
          </w14:textFill>
        </w:rPr>
        <w:t>|</w:t>
      </w:r>
      <w:r w:rsidR="00915E2B">
        <w:t xml:space="preserve"> for the 12.5 mg and </w:t>
      </w:r>
      <w:r w:rsidR="00AA1208">
        <w:t>15 </w:t>
      </w:r>
      <w:r w:rsidR="00915E2B">
        <w:t>mg doses. The pre-PBAC response offered a price reduction with effective DPMQs of $</w:t>
      </w:r>
      <w:r w:rsidR="00F111EB" w:rsidRPr="00F111EB">
        <w:rPr>
          <w:color w:val="000000"/>
          <w:w w:val="62"/>
          <w:shd w:val="solid" w:color="000000" w:fill="000000"/>
          <w:fitText w:val="481" w:id="-761014778"/>
          <w14:textFill>
            <w14:solidFill>
              <w14:srgbClr w14:val="000000">
                <w14:alpha w14:val="100000"/>
              </w14:srgbClr>
            </w14:solidFill>
          </w14:textFill>
        </w:rPr>
        <w:t>|||  ||</w:t>
      </w:r>
      <w:r w:rsidR="00F111EB" w:rsidRPr="00F111EB">
        <w:rPr>
          <w:color w:val="000000"/>
          <w:spacing w:val="3"/>
          <w:w w:val="62"/>
          <w:shd w:val="solid" w:color="000000" w:fill="000000"/>
          <w:fitText w:val="481" w:id="-761014778"/>
          <w14:textFill>
            <w14:solidFill>
              <w14:srgbClr w14:val="000000">
                <w14:alpha w14:val="100000"/>
              </w14:srgbClr>
            </w14:solidFill>
          </w14:textFill>
        </w:rPr>
        <w:t>|</w:t>
      </w:r>
      <w:r w:rsidR="00915E2B">
        <w:t xml:space="preserve"> for the 2.5 mg and 5 mg doses, $</w:t>
      </w:r>
      <w:r w:rsidR="00F111EB" w:rsidRPr="00F111EB">
        <w:rPr>
          <w:color w:val="000000"/>
          <w:w w:val="60"/>
          <w:shd w:val="solid" w:color="000000" w:fill="000000"/>
          <w:fitText w:val="469" w:id="-761014777"/>
          <w14:textFill>
            <w14:solidFill>
              <w14:srgbClr w14:val="000000">
                <w14:alpha w14:val="100000"/>
              </w14:srgbClr>
            </w14:solidFill>
          </w14:textFill>
        </w:rPr>
        <w:t>|||  ||</w:t>
      </w:r>
      <w:r w:rsidR="00F111EB" w:rsidRPr="00F111EB">
        <w:rPr>
          <w:color w:val="000000"/>
          <w:spacing w:val="5"/>
          <w:w w:val="60"/>
          <w:shd w:val="solid" w:color="000000" w:fill="000000"/>
          <w:fitText w:val="469" w:id="-761014777"/>
          <w14:textFill>
            <w14:solidFill>
              <w14:srgbClr w14:val="000000">
                <w14:alpha w14:val="100000"/>
              </w14:srgbClr>
            </w14:solidFill>
          </w14:textFill>
        </w:rPr>
        <w:t>|</w:t>
      </w:r>
      <w:r w:rsidR="00915E2B">
        <w:t xml:space="preserve"> for the 7.5 mg and 10 mg doses, and $</w:t>
      </w:r>
      <w:r w:rsidR="00F111EB" w:rsidRPr="00F111EB">
        <w:rPr>
          <w:color w:val="000000"/>
          <w:w w:val="60"/>
          <w:shd w:val="solid" w:color="000000" w:fill="000000"/>
          <w:fitText w:val="468" w:id="-761014776"/>
          <w14:textFill>
            <w14:solidFill>
              <w14:srgbClr w14:val="000000">
                <w14:alpha w14:val="100000"/>
              </w14:srgbClr>
            </w14:solidFill>
          </w14:textFill>
        </w:rPr>
        <w:t>|||  ||</w:t>
      </w:r>
      <w:r w:rsidR="00F111EB" w:rsidRPr="00F111EB">
        <w:rPr>
          <w:color w:val="000000"/>
          <w:spacing w:val="4"/>
          <w:w w:val="60"/>
          <w:shd w:val="solid" w:color="000000" w:fill="000000"/>
          <w:fitText w:val="468" w:id="-761014776"/>
          <w14:textFill>
            <w14:solidFill>
              <w14:srgbClr w14:val="000000">
                <w14:alpha w14:val="100000"/>
              </w14:srgbClr>
            </w14:solidFill>
          </w14:textFill>
        </w:rPr>
        <w:t>|</w:t>
      </w:r>
      <w:r w:rsidR="00915E2B">
        <w:t xml:space="preserve"> for the 12.5 mg and 15 mg doses.</w:t>
      </w:r>
      <w:bookmarkEnd w:id="9"/>
      <w:r w:rsidR="00915E2B">
        <w:t xml:space="preserve"> </w:t>
      </w:r>
      <w:r w:rsidR="00DF7802">
        <w:t>In addition, the pre-PBAC response stated that, if recommended, the sponsor would be requesting the listings of only two presentations: the multi-dose pen device and the single-use vial.</w:t>
      </w:r>
      <w:bookmarkEnd w:id="10"/>
    </w:p>
    <w:p w14:paraId="55D502C1" w14:textId="1836C521" w:rsidR="00C41DE7" w:rsidRDefault="00C41DE7" w:rsidP="00C41DE7">
      <w:pPr>
        <w:pStyle w:val="COMexecsummnumbered"/>
      </w:pPr>
      <w:r w:rsidRPr="009339EB">
        <w:t>The resubmission noted that special pricing arrangements are currently in place for semaglutide and dulaglutide.</w:t>
      </w:r>
      <w:r>
        <w:t xml:space="preserve"> </w:t>
      </w:r>
    </w:p>
    <w:p w14:paraId="5B8A7A75" w14:textId="16662D51" w:rsidR="00511D32" w:rsidRPr="0032185B" w:rsidRDefault="0032185B" w:rsidP="00F9393E">
      <w:pPr>
        <w:pStyle w:val="COMexecsummnumbered"/>
      </w:pPr>
      <w:r w:rsidRPr="0032185B">
        <w:t xml:space="preserve">The </w:t>
      </w:r>
      <w:r w:rsidR="00E71BD8" w:rsidRPr="0032185B">
        <w:t>ESC considered t</w:t>
      </w:r>
      <w:r w:rsidR="004B181C" w:rsidRPr="0032185B">
        <w:t>he proposed restriction</w:t>
      </w:r>
      <w:r w:rsidR="00E71BD8" w:rsidRPr="0032185B">
        <w:t>s</w:t>
      </w:r>
      <w:r w:rsidR="004B181C" w:rsidRPr="0032185B">
        <w:t xml:space="preserve"> </w:t>
      </w:r>
      <w:r w:rsidR="00087773" w:rsidRPr="0032185B">
        <w:t>we</w:t>
      </w:r>
      <w:r w:rsidR="00E71BD8" w:rsidRPr="0032185B">
        <w:t xml:space="preserve">re </w:t>
      </w:r>
      <w:r w:rsidR="00087773" w:rsidRPr="0032185B">
        <w:t xml:space="preserve">very </w:t>
      </w:r>
      <w:r w:rsidR="004B181C" w:rsidRPr="0032185B">
        <w:t>complex</w:t>
      </w:r>
      <w:r w:rsidR="00087773" w:rsidRPr="0032185B">
        <w:t>,</w:t>
      </w:r>
      <w:r w:rsidR="00E71BD8" w:rsidRPr="0032185B">
        <w:t xml:space="preserve"> </w:t>
      </w:r>
      <w:r w:rsidR="00087773" w:rsidRPr="0032185B">
        <w:t xml:space="preserve">and likely to be </w:t>
      </w:r>
      <w:r w:rsidR="00E71BD8" w:rsidRPr="0032185B">
        <w:t xml:space="preserve">burdensome for prescribers and may result in prescribing errors. The </w:t>
      </w:r>
      <w:r w:rsidR="004B181C" w:rsidRPr="0032185B">
        <w:t>multiple treatment phases</w:t>
      </w:r>
      <w:r w:rsidR="00917D6F" w:rsidRPr="0032185B">
        <w:t xml:space="preserve"> (initial, balance of supply and continuing)</w:t>
      </w:r>
      <w:r w:rsidR="004B181C" w:rsidRPr="0032185B">
        <w:t xml:space="preserve"> with an array of doses (all with separate item codes), with script coverage based on </w:t>
      </w:r>
      <w:r w:rsidR="006C51B2" w:rsidRPr="0032185B">
        <w:t xml:space="preserve">initial </w:t>
      </w:r>
      <w:r w:rsidR="004B181C" w:rsidRPr="0032185B">
        <w:t>treatment response assessed at 40 weeks</w:t>
      </w:r>
      <w:r w:rsidR="006C51B2" w:rsidRPr="0032185B">
        <w:t xml:space="preserve"> and every 24 weeks thereafter</w:t>
      </w:r>
      <w:r w:rsidR="004B181C" w:rsidRPr="0032185B">
        <w:t>. It is unclear how this could be practically implemented to align with</w:t>
      </w:r>
      <w:r w:rsidR="002C1D06" w:rsidRPr="0032185B">
        <w:t xml:space="preserve"> a flexible titration approach </w:t>
      </w:r>
      <w:r w:rsidR="005136E7" w:rsidRPr="0032185B">
        <w:t xml:space="preserve">using the </w:t>
      </w:r>
      <w:r w:rsidR="004B181C" w:rsidRPr="0032185B">
        <w:t xml:space="preserve">recommended titration algorithm in the </w:t>
      </w:r>
      <w:r w:rsidR="00DA345B" w:rsidRPr="0032185B">
        <w:t>P</w:t>
      </w:r>
      <w:r w:rsidR="004B181C" w:rsidRPr="0032185B">
        <w:t xml:space="preserve">roduct </w:t>
      </w:r>
      <w:r w:rsidR="00DA345B" w:rsidRPr="0032185B">
        <w:t>I</w:t>
      </w:r>
      <w:r w:rsidR="004B181C" w:rsidRPr="0032185B">
        <w:t>nformation.</w:t>
      </w:r>
      <w:r w:rsidR="00E71BD8" w:rsidRPr="0032185B">
        <w:t xml:space="preserve"> </w:t>
      </w:r>
      <w:r w:rsidR="00D32321">
        <w:t xml:space="preserve">The </w:t>
      </w:r>
      <w:r w:rsidR="00E71BD8" w:rsidRPr="0032185B">
        <w:t xml:space="preserve">ESC advised that </w:t>
      </w:r>
      <w:r w:rsidR="00087773" w:rsidRPr="0032185B">
        <w:t xml:space="preserve">the </w:t>
      </w:r>
      <w:r w:rsidR="001160BB" w:rsidRPr="0032185B">
        <w:t>restrictions should be simplified.</w:t>
      </w:r>
      <w:r w:rsidR="00A74DA5">
        <w:t xml:space="preserve"> </w:t>
      </w:r>
      <w:r w:rsidR="0066067D">
        <w:t>The pre-PBAC response proposed a number of amendments to the restrictions put forward in the resubmission</w:t>
      </w:r>
      <w:r w:rsidR="00390818">
        <w:t xml:space="preserve">, including the removal of the balance of supply treatment phase. The additional amendments proposed are outlined in paragraphs </w:t>
      </w:r>
      <w:r w:rsidR="00390818">
        <w:fldChar w:fldCharType="begin" w:fldLock="1"/>
      </w:r>
      <w:r w:rsidR="00390818">
        <w:instrText xml:space="preserve"> REF _Ref184040012 \r \h </w:instrText>
      </w:r>
      <w:r w:rsidR="00390818">
        <w:fldChar w:fldCharType="separate"/>
      </w:r>
      <w:r w:rsidR="00EE035D">
        <w:t>3.5</w:t>
      </w:r>
      <w:r w:rsidR="00390818">
        <w:fldChar w:fldCharType="end"/>
      </w:r>
      <w:r w:rsidR="00390818">
        <w:t xml:space="preserve">, </w:t>
      </w:r>
      <w:r w:rsidR="00390818">
        <w:fldChar w:fldCharType="begin" w:fldLock="1"/>
      </w:r>
      <w:r w:rsidR="00390818">
        <w:instrText xml:space="preserve"> REF _Ref184040021 \r \h </w:instrText>
      </w:r>
      <w:r w:rsidR="00390818">
        <w:fldChar w:fldCharType="separate"/>
      </w:r>
      <w:r w:rsidR="00EE035D">
        <w:t>3.9</w:t>
      </w:r>
      <w:r w:rsidR="00390818">
        <w:fldChar w:fldCharType="end"/>
      </w:r>
      <w:r w:rsidR="00390818">
        <w:t xml:space="preserve">, </w:t>
      </w:r>
      <w:r w:rsidR="00390818">
        <w:fldChar w:fldCharType="begin" w:fldLock="1"/>
      </w:r>
      <w:r w:rsidR="00390818">
        <w:instrText xml:space="preserve"> REF _Ref184040031 \r \h </w:instrText>
      </w:r>
      <w:r w:rsidR="00390818">
        <w:fldChar w:fldCharType="separate"/>
      </w:r>
      <w:r w:rsidR="00EE035D">
        <w:t>3.13</w:t>
      </w:r>
      <w:r w:rsidR="00390818">
        <w:fldChar w:fldCharType="end"/>
      </w:r>
      <w:r w:rsidR="00390818">
        <w:t xml:space="preserve">, </w:t>
      </w:r>
      <w:r w:rsidR="00390818">
        <w:fldChar w:fldCharType="begin" w:fldLock="1"/>
      </w:r>
      <w:r w:rsidR="00390818">
        <w:instrText xml:space="preserve"> REF _Ref184040039 \r \h </w:instrText>
      </w:r>
      <w:r w:rsidR="00390818">
        <w:fldChar w:fldCharType="separate"/>
      </w:r>
      <w:r w:rsidR="00EE035D">
        <w:t>3.14</w:t>
      </w:r>
      <w:r w:rsidR="00390818">
        <w:fldChar w:fldCharType="end"/>
      </w:r>
      <w:r w:rsidR="00390818">
        <w:t xml:space="preserve"> and </w:t>
      </w:r>
      <w:r w:rsidR="00390818">
        <w:fldChar w:fldCharType="begin" w:fldLock="1"/>
      </w:r>
      <w:r w:rsidR="00390818">
        <w:instrText xml:space="preserve"> REF _Ref184040053 \r \h </w:instrText>
      </w:r>
      <w:r w:rsidR="00390818">
        <w:fldChar w:fldCharType="separate"/>
      </w:r>
      <w:r w:rsidR="00EE035D">
        <w:t>3.15</w:t>
      </w:r>
      <w:r w:rsidR="00390818">
        <w:fldChar w:fldCharType="end"/>
      </w:r>
      <w:r w:rsidR="00390818">
        <w:t xml:space="preserve">. </w:t>
      </w:r>
    </w:p>
    <w:p w14:paraId="6A2C8899" w14:textId="0AB5A6A3" w:rsidR="00E93317" w:rsidRPr="0032185B" w:rsidRDefault="00E93317" w:rsidP="00F9393E">
      <w:pPr>
        <w:pStyle w:val="COMexecsummnumbered"/>
      </w:pPr>
      <w:bookmarkStart w:id="12" w:name="_Ref184040012"/>
      <w:r w:rsidRPr="0032185B">
        <w:t>The PBAC previously considered that one repeat would be most appropriate for the 2.5</w:t>
      </w:r>
      <w:r w:rsidR="007C7E4E" w:rsidRPr="0032185B">
        <w:t> </w:t>
      </w:r>
      <w:r w:rsidRPr="0032185B">
        <w:t xml:space="preserve">mg, 7.5 mg and 12.5 mg dose strengths of tirzepatide which are used for titration purposes only (para 7.5, tirzepatide PSD, July 2023 PBAC meeting). The resubmission </w:t>
      </w:r>
      <w:r w:rsidR="00F54448" w:rsidRPr="0032185B">
        <w:t xml:space="preserve">requested </w:t>
      </w:r>
      <w:r w:rsidR="00EF567E" w:rsidRPr="0032185B">
        <w:t xml:space="preserve">5 repeats for the titration doses, claiming that </w:t>
      </w:r>
      <w:r w:rsidR="005E1731" w:rsidRPr="0032185B">
        <w:t xml:space="preserve">patients with tolerability issues </w:t>
      </w:r>
      <w:r w:rsidR="00C25AA4" w:rsidRPr="0032185B">
        <w:t>may undergo slower titration and that limiting the maximum duration to 8</w:t>
      </w:r>
      <w:r w:rsidR="006B2DDC">
        <w:t> </w:t>
      </w:r>
      <w:r w:rsidR="00C25AA4" w:rsidRPr="0032185B">
        <w:t>weeks may increase burden to patients and clinicians, particularly those in rural or remote</w:t>
      </w:r>
      <w:r w:rsidR="009A3EF3" w:rsidRPr="0032185B">
        <w:t xml:space="preserve"> settings</w:t>
      </w:r>
      <w:r w:rsidRPr="0032185B">
        <w:t xml:space="preserve">. </w:t>
      </w:r>
      <w:r w:rsidR="00A74DA5">
        <w:t xml:space="preserve">The </w:t>
      </w:r>
      <w:r w:rsidR="00AA374A" w:rsidRPr="0032185B">
        <w:t>ESC considered</w:t>
      </w:r>
      <w:r w:rsidR="005966DD" w:rsidRPr="0032185B">
        <w:t xml:space="preserve"> </w:t>
      </w:r>
      <w:r w:rsidR="00596F38" w:rsidRPr="0032185B">
        <w:t xml:space="preserve">that there is a need for </w:t>
      </w:r>
      <w:r w:rsidR="00374222" w:rsidRPr="0032185B">
        <w:t xml:space="preserve">more </w:t>
      </w:r>
      <w:r w:rsidR="00596F38" w:rsidRPr="0032185B">
        <w:t>flexible dose titration in clinical practice than the 4</w:t>
      </w:r>
      <w:r w:rsidR="00A45F36" w:rsidRPr="0032185B">
        <w:noBreakHyphen/>
      </w:r>
      <w:r w:rsidR="00596F38" w:rsidRPr="0032185B">
        <w:t xml:space="preserve">week period in the key trial. However, </w:t>
      </w:r>
      <w:r w:rsidR="00A74DA5">
        <w:t xml:space="preserve">the </w:t>
      </w:r>
      <w:r w:rsidR="00596F38" w:rsidRPr="0032185B">
        <w:t>ESC considered</w:t>
      </w:r>
      <w:r w:rsidR="00455A1C" w:rsidRPr="0032185B">
        <w:t xml:space="preserve"> </w:t>
      </w:r>
      <w:r w:rsidR="00A45F36" w:rsidRPr="0032185B">
        <w:t xml:space="preserve">the </w:t>
      </w:r>
      <w:r w:rsidR="00455A1C" w:rsidRPr="0032185B">
        <w:t>request</w:t>
      </w:r>
      <w:r w:rsidR="00A45F36" w:rsidRPr="0032185B">
        <w:t xml:space="preserve"> for</w:t>
      </w:r>
      <w:r w:rsidR="00455A1C" w:rsidRPr="0032185B">
        <w:t xml:space="preserve"> </w:t>
      </w:r>
      <w:r w:rsidR="00101F3B" w:rsidRPr="0032185B">
        <w:t>5 repeats for dose titration was not reasonable as</w:t>
      </w:r>
      <w:r w:rsidR="00387CB6" w:rsidRPr="0032185B">
        <w:t xml:space="preserve"> clinicians should review</w:t>
      </w:r>
      <w:r w:rsidR="00101F3B" w:rsidRPr="0032185B">
        <w:t xml:space="preserve"> </w:t>
      </w:r>
      <w:r w:rsidR="005966DD" w:rsidRPr="0032185B">
        <w:t xml:space="preserve">patients </w:t>
      </w:r>
      <w:r w:rsidR="00387CB6" w:rsidRPr="0032185B">
        <w:t xml:space="preserve">during dose titration </w:t>
      </w:r>
      <w:r w:rsidR="00455A1C" w:rsidRPr="0032185B">
        <w:t xml:space="preserve">and further </w:t>
      </w:r>
      <w:r w:rsidR="00A45F36" w:rsidRPr="0032185B">
        <w:t>doses prescribed</w:t>
      </w:r>
      <w:r w:rsidR="00455A1C" w:rsidRPr="0032185B">
        <w:t xml:space="preserve"> as appropriate.</w:t>
      </w:r>
      <w:r w:rsidR="00596F38" w:rsidRPr="0032185B">
        <w:t xml:space="preserve"> </w:t>
      </w:r>
      <w:r w:rsidR="00DF7802">
        <w:t xml:space="preserve">The </w:t>
      </w:r>
      <w:r w:rsidR="00596F38" w:rsidRPr="0032185B">
        <w:t xml:space="preserve">ESC considered there was limited evidence to support how dose titration would occur in clinical practice. </w:t>
      </w:r>
      <w:r w:rsidR="00DF7802">
        <w:t xml:space="preserve">The pre-PBAC response proposed the number of repeats for the 2.5 mg, 7.5 mg and 12.5 mg doses </w:t>
      </w:r>
      <w:r w:rsidR="008D054F">
        <w:t>be reduced from 5 to 1.</w:t>
      </w:r>
      <w:bookmarkEnd w:id="12"/>
      <w:r w:rsidR="008D054F">
        <w:t xml:space="preserve"> </w:t>
      </w:r>
    </w:p>
    <w:p w14:paraId="458C8066" w14:textId="6D575C35" w:rsidR="004F118D" w:rsidRDefault="00B67528" w:rsidP="00F9393E">
      <w:pPr>
        <w:pStyle w:val="COMexecsummnumbered"/>
      </w:pPr>
      <w:r w:rsidRPr="00B67528">
        <w:t>The proposed PBS restriction (type 2 diabetes and BMI ≥35 kg/m</w:t>
      </w:r>
      <w:r w:rsidRPr="00B32021">
        <w:rPr>
          <w:vertAlign w:val="superscript"/>
        </w:rPr>
        <w:t>2</w:t>
      </w:r>
      <w:r w:rsidRPr="00B67528">
        <w:t xml:space="preserve"> or Aboriginal and Torres Strait Islander peoples with type 2 diabetes) is narrower than the approved TGA indication, key trial population, the requested restriction in the July 2023 submission and the current GLP-1 RA restriction.</w:t>
      </w:r>
    </w:p>
    <w:p w14:paraId="1F3FA9FB" w14:textId="2ADB476D" w:rsidR="00842E87" w:rsidRPr="00842E87" w:rsidRDefault="00CF0492" w:rsidP="00842E87">
      <w:pPr>
        <w:pStyle w:val="COMexecsummnumbered"/>
      </w:pPr>
      <w:r w:rsidRPr="00CF0492">
        <w:lastRenderedPageBreak/>
        <w:t>The resubmission stated that the targeting of treatment to the defined high-risk subgroups was in response to PBAC advice.</w:t>
      </w:r>
      <w:r>
        <w:t xml:space="preserve"> </w:t>
      </w:r>
      <w:r w:rsidRPr="00DA345B">
        <w:t>The proposed population is narrower than populations previously considered appropriate by the PBAC</w:t>
      </w:r>
      <w:r w:rsidR="00BD66DB" w:rsidRPr="00DA345B">
        <w:t xml:space="preserve"> in July 2023</w:t>
      </w:r>
      <w:r w:rsidRPr="00DA345B">
        <w:t xml:space="preserve">. </w:t>
      </w:r>
      <w:r w:rsidR="00F27E3D">
        <w:t>The evaluation and the ESC considered i</w:t>
      </w:r>
      <w:r w:rsidRPr="00DA345B">
        <w:t xml:space="preserve">t </w:t>
      </w:r>
      <w:r w:rsidR="00DA345B" w:rsidRPr="00DA345B">
        <w:t xml:space="preserve">was </w:t>
      </w:r>
      <w:r w:rsidRPr="00DA345B">
        <w:t xml:space="preserve">unclear whether the proposed eligible population represents the </w:t>
      </w:r>
      <w:r w:rsidR="002533F1" w:rsidRPr="00DA345B">
        <w:t xml:space="preserve">most appropriate targeted </w:t>
      </w:r>
      <w:r w:rsidRPr="00DA345B">
        <w:t xml:space="preserve">use of tirzepatide </w:t>
      </w:r>
      <w:r w:rsidR="00AF1B2A" w:rsidRPr="00DA345B">
        <w:t xml:space="preserve">noting </w:t>
      </w:r>
      <w:r w:rsidRPr="00DA345B">
        <w:t>its proposed place in therapy as an alternative to GLP-1 RAs and clinical evidence in broader populations through its trial program.</w:t>
      </w:r>
    </w:p>
    <w:p w14:paraId="39536F44" w14:textId="471751DA" w:rsidR="00842E87" w:rsidRPr="0032185B" w:rsidRDefault="00842E87" w:rsidP="00842E87">
      <w:pPr>
        <w:pStyle w:val="COMexecsummnumbered"/>
      </w:pPr>
      <w:r w:rsidRPr="00842E87">
        <w:t>The resubmission proposed a BMI threshold of 35 kg/m</w:t>
      </w:r>
      <w:r w:rsidRPr="00842E87">
        <w:rPr>
          <w:vertAlign w:val="superscript"/>
        </w:rPr>
        <w:t>2</w:t>
      </w:r>
      <w:r w:rsidRPr="00842E87">
        <w:t xml:space="preserve"> to define patients with severe obesity</w:t>
      </w:r>
      <w:r w:rsidRPr="00DA345B">
        <w:t>. The PBAC has previously stated that BMI criteria should be adjusted for, at a minimum, Asian and Aboriginal and Torres Strait Islander populations (para 7.4, semaglutide PSD, March 2022 PBAC meeting). Adjustments for these populations are typically applied as a 2.5 kg/m</w:t>
      </w:r>
      <w:r w:rsidRPr="00DA345B">
        <w:rPr>
          <w:vertAlign w:val="superscript"/>
        </w:rPr>
        <w:t>2</w:t>
      </w:r>
      <w:r w:rsidRPr="00DA345B">
        <w:t xml:space="preserve"> reduction on BMI thresholds.</w:t>
      </w:r>
      <w:r w:rsidR="00E71BD8">
        <w:t xml:space="preserve"> </w:t>
      </w:r>
      <w:r w:rsidR="0032185B">
        <w:t xml:space="preserve">The </w:t>
      </w:r>
      <w:r w:rsidR="00E71BD8" w:rsidRPr="0032185B">
        <w:t xml:space="preserve">ESC considered an adjusted BMI threshold for the aforementioned populations would be more appropriate. </w:t>
      </w:r>
    </w:p>
    <w:p w14:paraId="619AC95E" w14:textId="2BB6B120" w:rsidR="00842E87" w:rsidRPr="00284F98" w:rsidRDefault="004B6003" w:rsidP="00F9393E">
      <w:pPr>
        <w:pStyle w:val="COMexecsummnumbered"/>
      </w:pPr>
      <w:bookmarkStart w:id="13" w:name="_Ref184040021"/>
      <w:r w:rsidRPr="004B6003">
        <w:t>The resubmission claimed that the target population will likely present with more complex disease, multiple comorbidities and highly uncontrolled diabetes. Therefore, it is expected that these patients will be managed by endocrinologists</w:t>
      </w:r>
      <w:r w:rsidR="00C15D7C">
        <w:t xml:space="preserve">, which </w:t>
      </w:r>
      <w:r w:rsidRPr="004B6003">
        <w:t xml:space="preserve">would ensure adequate assessment of these patients prior to commencing therapy. </w:t>
      </w:r>
      <w:r w:rsidR="00284F98" w:rsidRPr="0032185B">
        <w:t xml:space="preserve">The </w:t>
      </w:r>
      <w:r w:rsidR="008E33E4" w:rsidRPr="008E33E4">
        <w:t xml:space="preserve">Pre-Sub-Committee Response </w:t>
      </w:r>
      <w:r w:rsidR="008E33E4">
        <w:t>(</w:t>
      </w:r>
      <w:r w:rsidR="00284F98" w:rsidRPr="0032185B">
        <w:t xml:space="preserve">PSCR) </w:t>
      </w:r>
      <w:r w:rsidR="00DC147F" w:rsidRPr="0032185B">
        <w:t xml:space="preserve">raised that an </w:t>
      </w:r>
      <w:r w:rsidR="001D0A5B" w:rsidRPr="0032185B">
        <w:t>alternative</w:t>
      </w:r>
      <w:r w:rsidR="00DC147F" w:rsidRPr="0032185B">
        <w:t xml:space="preserve"> option may be that the patient must be under the care of or in consultation with an endocrinologist. </w:t>
      </w:r>
      <w:r w:rsidR="0032185B" w:rsidRPr="0032185B">
        <w:t xml:space="preserve">The </w:t>
      </w:r>
      <w:r w:rsidR="00284F98" w:rsidRPr="0032185B">
        <w:t xml:space="preserve">ESC considered a high proportion of people with type 2 diabetes are managed by GPs </w:t>
      </w:r>
      <w:r w:rsidR="008D054F">
        <w:t xml:space="preserve">who </w:t>
      </w:r>
      <w:r w:rsidR="00284F98" w:rsidRPr="0032185B">
        <w:t xml:space="preserve">would manage medication initiated by another specialist. </w:t>
      </w:r>
      <w:r w:rsidR="0032185B" w:rsidRPr="0032185B">
        <w:t xml:space="preserve">The </w:t>
      </w:r>
      <w:r w:rsidR="00E80857" w:rsidRPr="0032185B">
        <w:t xml:space="preserve">ESC considered the requirement for </w:t>
      </w:r>
      <w:r w:rsidR="00A629F1" w:rsidRPr="0032185B">
        <w:t xml:space="preserve">initial </w:t>
      </w:r>
      <w:r w:rsidR="00E80857" w:rsidRPr="0032185B">
        <w:t>prescribing by an endocrinologist would be a barrier to tirzepatide access as access to endocrinologists vary across Australia.</w:t>
      </w:r>
      <w:r w:rsidR="0032185B">
        <w:t xml:space="preserve"> The </w:t>
      </w:r>
      <w:r w:rsidR="00A629F1" w:rsidRPr="0032185B">
        <w:t>ESC considered th</w:t>
      </w:r>
      <w:r w:rsidR="00C220BA" w:rsidRPr="0032185B">
        <w:t>is</w:t>
      </w:r>
      <w:r w:rsidR="00A629F1" w:rsidRPr="0032185B">
        <w:t xml:space="preserve"> requirement could </w:t>
      </w:r>
      <w:r w:rsidR="006A676F" w:rsidRPr="0032185B">
        <w:t>hinder</w:t>
      </w:r>
      <w:r w:rsidR="00A629F1" w:rsidRPr="0032185B">
        <w:t xml:space="preserve"> access for Aboriginal and Torres Strait Islander people</w:t>
      </w:r>
      <w:r w:rsidR="00C220BA" w:rsidRPr="0032185B">
        <w:t>s</w:t>
      </w:r>
      <w:r w:rsidR="00B05823" w:rsidRPr="0032185B">
        <w:t xml:space="preserve">, however some ACCHOs have </w:t>
      </w:r>
      <w:r w:rsidR="009E77AC" w:rsidRPr="0032185B">
        <w:t xml:space="preserve">may have </w:t>
      </w:r>
      <w:r w:rsidR="00B05823" w:rsidRPr="0032185B">
        <w:t>access to endocrinologists</w:t>
      </w:r>
      <w:r w:rsidR="009E77AC" w:rsidRPr="0032185B">
        <w:t xml:space="preserve"> through in-reach specialist services</w:t>
      </w:r>
      <w:r w:rsidR="00B05823" w:rsidRPr="0032185B">
        <w:t xml:space="preserve">. </w:t>
      </w:r>
      <w:r w:rsidR="0032185B">
        <w:t xml:space="preserve">The </w:t>
      </w:r>
      <w:r w:rsidR="00354044" w:rsidRPr="0032185B">
        <w:t>ESC advised that the group of eligible prescribers should be broadened and could potentially require initial prescribing occur in consultation with an endocrinologist</w:t>
      </w:r>
      <w:r w:rsidR="00354044">
        <w:rPr>
          <w:i/>
          <w:iCs/>
        </w:rPr>
        <w:t>.</w:t>
      </w:r>
      <w:r w:rsidR="008D054F">
        <w:rPr>
          <w:i/>
          <w:iCs/>
        </w:rPr>
        <w:t xml:space="preserve"> </w:t>
      </w:r>
      <w:r w:rsidR="008D054F">
        <w:t>The pre-PBAC response proposed that the criterion requiring patients to be under the treatment of an endocrinologist could be amended to ‘under the care of or in consultation with an endocrinologist.’</w:t>
      </w:r>
      <w:bookmarkEnd w:id="13"/>
      <w:r w:rsidR="008D054F">
        <w:t xml:space="preserve"> </w:t>
      </w:r>
    </w:p>
    <w:p w14:paraId="16B2CD9C" w14:textId="576CB1FD" w:rsidR="00284F98" w:rsidRPr="00745F36" w:rsidRDefault="00284F98" w:rsidP="00F9393E">
      <w:pPr>
        <w:pStyle w:val="COMexecsummnumbered"/>
      </w:pPr>
      <w:r w:rsidRPr="00DA345B">
        <w:t>Based on the proposed restriction, patients would require up to 6 visits to endocrinologists during the initial titration period (up to 40 weeks) to achieve the maximum 15 mg dose.</w:t>
      </w:r>
    </w:p>
    <w:p w14:paraId="7E3D62FB" w14:textId="439384F3" w:rsidR="00745F36" w:rsidRPr="005105C4" w:rsidRDefault="00745F36" w:rsidP="00F9393E">
      <w:pPr>
        <w:pStyle w:val="COMexecsummnumbered"/>
      </w:pPr>
      <w:r w:rsidRPr="00745F36">
        <w:t xml:space="preserve">The resubmission noted that the Written Authority level and required documentation for initial treatment is substantially more stringent than the current GLP-1 RA restriction; however, this was necessary to reduce the risk of use outside the proposed restriction. </w:t>
      </w:r>
      <w:r w:rsidRPr="00983CED">
        <w:t xml:space="preserve">The </w:t>
      </w:r>
      <w:r w:rsidR="00F27E3D">
        <w:t xml:space="preserve">evaluation and the ESC noted the </w:t>
      </w:r>
      <w:r w:rsidRPr="00983CED">
        <w:t>administrative requirements, which include provision of recent HbA1c pathology results (≤4 months old for initial scripts and ≤1 month old for continuing scripts), appear burdensome</w:t>
      </w:r>
      <w:r w:rsidR="00E75280" w:rsidRPr="00983CED">
        <w:t xml:space="preserve">, </w:t>
      </w:r>
      <w:r w:rsidR="0087511B" w:rsidRPr="00983CED">
        <w:t xml:space="preserve">and processing of information </w:t>
      </w:r>
      <w:r w:rsidR="00F27E3D">
        <w:t>may</w:t>
      </w:r>
      <w:r w:rsidR="00E75280" w:rsidRPr="00983CED">
        <w:t xml:space="preserve"> be beyond </w:t>
      </w:r>
      <w:r w:rsidR="0087511B" w:rsidRPr="00983CED">
        <w:t>the current capacity of the health system</w:t>
      </w:r>
      <w:r w:rsidR="008E22F6" w:rsidRPr="00983CED">
        <w:t>,</w:t>
      </w:r>
      <w:r w:rsidRPr="00983CED">
        <w:t xml:space="preserve"> and </w:t>
      </w:r>
      <w:r w:rsidR="0087511B" w:rsidRPr="00983CED">
        <w:t xml:space="preserve">would </w:t>
      </w:r>
      <w:r w:rsidRPr="00983CED">
        <w:t>likely hinder access to treatment.</w:t>
      </w:r>
      <w:r w:rsidR="008D054F">
        <w:t xml:space="preserve"> </w:t>
      </w:r>
    </w:p>
    <w:p w14:paraId="47506FF7" w14:textId="2D5B170C" w:rsidR="003476DA" w:rsidRPr="0032185B" w:rsidRDefault="005105C4" w:rsidP="00F9393E">
      <w:pPr>
        <w:pStyle w:val="COMexecsummnumbered"/>
      </w:pPr>
      <w:bookmarkStart w:id="14" w:name="_Ref184039454"/>
      <w:r w:rsidRPr="0032185B">
        <w:lastRenderedPageBreak/>
        <w:t>The proposed restriction is intended for tirzepatide as dual therapy with metformin</w:t>
      </w:r>
      <w:r w:rsidR="003476DA" w:rsidRPr="0032185B">
        <w:t xml:space="preserve">. </w:t>
      </w:r>
      <w:r w:rsidR="00DF7802">
        <w:t xml:space="preserve">The </w:t>
      </w:r>
      <w:r w:rsidR="003476DA" w:rsidRPr="0032185B">
        <w:t>ESC highlighted that this excludes patients who cannot use metformin.</w:t>
      </w:r>
      <w:bookmarkEnd w:id="14"/>
      <w:r w:rsidR="003476DA" w:rsidRPr="0032185B">
        <w:t xml:space="preserve"> </w:t>
      </w:r>
    </w:p>
    <w:p w14:paraId="16A54845" w14:textId="42D11A5D" w:rsidR="005105C4" w:rsidRPr="0032185B" w:rsidRDefault="005105C4">
      <w:pPr>
        <w:pStyle w:val="COMexecsummnumbered"/>
      </w:pPr>
      <w:bookmarkStart w:id="15" w:name="_Ref184040031"/>
      <w:r w:rsidRPr="001D0A5B">
        <w:t>GLP-1 RAs can be</w:t>
      </w:r>
      <w:r w:rsidRPr="005105C4">
        <w:t xml:space="preserve"> used as dual or triple therapy in combination with metformin, a sulfonylurea and/or insulin. </w:t>
      </w:r>
      <w:r w:rsidRPr="00983CED">
        <w:t>The PBAC previously stated that clinicians would likely want to use tirzepatide in combination with sulfonylurea or insulin given available clinical data within the trial program. The PBAC also considered the high risk of use beyond the proposed restriction given tirzepatide would be limited to use as dual therapy with metformin only (para 7.5, tirzepatide PSD, July 2023 PBAC meeting).</w:t>
      </w:r>
      <w:r w:rsidR="003476DA">
        <w:t xml:space="preserve"> </w:t>
      </w:r>
      <w:r w:rsidR="00460387" w:rsidRPr="0032185B">
        <w:t xml:space="preserve">The PSCR </w:t>
      </w:r>
      <w:r w:rsidR="002F5E6C" w:rsidRPr="0032185B">
        <w:t xml:space="preserve">considered use as dual therapy with metformin was appropriate as </w:t>
      </w:r>
      <w:r w:rsidR="00681155" w:rsidRPr="0032185B">
        <w:t xml:space="preserve">expert </w:t>
      </w:r>
      <w:r w:rsidR="002F5E6C" w:rsidRPr="0032185B">
        <w:t xml:space="preserve">advice </w:t>
      </w:r>
      <w:r w:rsidR="00681155" w:rsidRPr="0032185B">
        <w:t>and clinical guidelines</w:t>
      </w:r>
      <w:r w:rsidR="002F5E6C" w:rsidRPr="0032185B">
        <w:t xml:space="preserve"> advise against the use of </w:t>
      </w:r>
      <w:proofErr w:type="spellStart"/>
      <w:r w:rsidR="002F5E6C" w:rsidRPr="0032185B">
        <w:t>sulphonylureas</w:t>
      </w:r>
      <w:proofErr w:type="spellEnd"/>
      <w:r w:rsidR="002F5E6C" w:rsidRPr="0032185B">
        <w:t xml:space="preserve"> as second line therapy and</w:t>
      </w:r>
      <w:r w:rsidR="00681155" w:rsidRPr="0032185B">
        <w:t xml:space="preserve"> people with </w:t>
      </w:r>
      <w:r w:rsidR="00C1124A" w:rsidRPr="0032185B">
        <w:t>comorbid</w:t>
      </w:r>
      <w:r w:rsidR="00681155" w:rsidRPr="0032185B">
        <w:t xml:space="preserve"> obesity </w:t>
      </w:r>
      <w:r w:rsidR="002F5E6C" w:rsidRPr="0032185B">
        <w:t>are highly unlikely to</w:t>
      </w:r>
      <w:r w:rsidR="00681155" w:rsidRPr="0032185B">
        <w:t xml:space="preserve"> use </w:t>
      </w:r>
      <w:r w:rsidR="00C1124A" w:rsidRPr="0032185B">
        <w:t>a</w:t>
      </w:r>
      <w:r w:rsidR="00681155" w:rsidRPr="0032185B">
        <w:t xml:space="preserve"> </w:t>
      </w:r>
      <w:proofErr w:type="spellStart"/>
      <w:r w:rsidR="00681155" w:rsidRPr="0032185B">
        <w:t>sulphonylurea</w:t>
      </w:r>
      <w:proofErr w:type="spellEnd"/>
      <w:r w:rsidR="00C1124A" w:rsidRPr="0032185B">
        <w:t xml:space="preserve"> or insulin prior to using an SGLT2i or tirzepatide because </w:t>
      </w:r>
      <w:proofErr w:type="spellStart"/>
      <w:r w:rsidR="00C1124A" w:rsidRPr="0032185B">
        <w:t>sulphonylureas</w:t>
      </w:r>
      <w:proofErr w:type="spellEnd"/>
      <w:r w:rsidR="00C1124A" w:rsidRPr="0032185B">
        <w:t xml:space="preserve"> and insulin can cause weight gain and hypoglycaemia. </w:t>
      </w:r>
      <w:r w:rsidR="00DF7802">
        <w:t xml:space="preserve">The </w:t>
      </w:r>
      <w:r w:rsidR="003476DA" w:rsidRPr="0032185B">
        <w:t xml:space="preserve">ESC </w:t>
      </w:r>
      <w:r w:rsidR="0071626C" w:rsidRPr="0032185B">
        <w:t xml:space="preserve">reaffirmed PBAC’s previous advice that clinicians would want </w:t>
      </w:r>
      <w:r w:rsidR="006456D9" w:rsidRPr="0032185B">
        <w:t xml:space="preserve">the option </w:t>
      </w:r>
      <w:r w:rsidR="0071626C" w:rsidRPr="0032185B">
        <w:t xml:space="preserve">to use tirzepatide in combination with sulfonylurea or insulin. </w:t>
      </w:r>
      <w:r w:rsidR="008D054F">
        <w:t xml:space="preserve">The </w:t>
      </w:r>
      <w:r w:rsidR="002F5E6C" w:rsidRPr="0032185B">
        <w:t xml:space="preserve">ESC noted </w:t>
      </w:r>
      <w:r w:rsidR="00DE462C" w:rsidRPr="0032185B">
        <w:t xml:space="preserve">the PSCR stated </w:t>
      </w:r>
      <w:r w:rsidR="002F5E6C" w:rsidRPr="0032185B">
        <w:t xml:space="preserve">that the sponsor may make a future submission for use with insulin. </w:t>
      </w:r>
      <w:r w:rsidR="001D0A5B" w:rsidRPr="0032185B">
        <w:t xml:space="preserve">The ESC encouraged a submission to address co-prescribing with insulin or sulfonylurea to address the inconsistencies with </w:t>
      </w:r>
      <w:r w:rsidR="006456D9" w:rsidRPr="0032185B">
        <w:t xml:space="preserve">expectations in </w:t>
      </w:r>
      <w:r w:rsidR="001D0A5B" w:rsidRPr="0032185B">
        <w:t>clinical practice.</w:t>
      </w:r>
      <w:r w:rsidR="0066067D">
        <w:t xml:space="preserve"> The pre-PBAC response proposed including use in combination with a sulfonylurea, which the response stated will ensure patients who cannot use metformin have access to tirzepatide treatment (see paragraph </w:t>
      </w:r>
      <w:r w:rsidR="0066067D">
        <w:fldChar w:fldCharType="begin" w:fldLock="1"/>
      </w:r>
      <w:r w:rsidR="0066067D">
        <w:instrText xml:space="preserve"> REF _Ref184039454 \r \h </w:instrText>
      </w:r>
      <w:r w:rsidR="0066067D">
        <w:fldChar w:fldCharType="separate"/>
      </w:r>
      <w:r w:rsidR="00EE035D">
        <w:t>3.12</w:t>
      </w:r>
      <w:r w:rsidR="0066067D">
        <w:fldChar w:fldCharType="end"/>
      </w:r>
      <w:r w:rsidR="0066067D">
        <w:t>).</w:t>
      </w:r>
      <w:bookmarkEnd w:id="15"/>
    </w:p>
    <w:p w14:paraId="07303F85" w14:textId="2E54382F" w:rsidR="00896A35" w:rsidRPr="00983CED" w:rsidRDefault="00896A35" w:rsidP="00F9393E">
      <w:pPr>
        <w:pStyle w:val="COMexecsummnumbered"/>
      </w:pPr>
      <w:bookmarkStart w:id="16" w:name="_Ref184040039"/>
      <w:r w:rsidRPr="006456D9">
        <w:t>The resubmission proposed</w:t>
      </w:r>
      <w:r w:rsidRPr="0076762E">
        <w:t xml:space="preserve"> continuing treatment criteria based on treatment response. This is assessed after 40 weeks of initial treatment and every 24</w:t>
      </w:r>
      <w:r w:rsidR="001D4164">
        <w:t> </w:t>
      </w:r>
      <w:r w:rsidRPr="0076762E">
        <w:t xml:space="preserve">weeks thereafter, defined as HbA1c </w:t>
      </w:r>
      <w:r>
        <w:rPr>
          <w:rFonts w:cs="Calibri"/>
        </w:rPr>
        <w:t>&lt;</w:t>
      </w:r>
      <w:r w:rsidRPr="0076762E">
        <w:rPr>
          <w:rFonts w:cs="Calibri"/>
        </w:rPr>
        <w:t xml:space="preserve"> </w:t>
      </w:r>
      <w:r w:rsidRPr="0076762E">
        <w:t xml:space="preserve">7% or a HbA1c reduction </w:t>
      </w:r>
      <w:r>
        <w:rPr>
          <w:rFonts w:cstheme="minorHAnsi"/>
        </w:rPr>
        <w:t>≥</w:t>
      </w:r>
      <w:r w:rsidRPr="0076762E">
        <w:t>2.0% from baseline.</w:t>
      </w:r>
      <w:r w:rsidRPr="00896A35">
        <w:t xml:space="preserve"> </w:t>
      </w:r>
      <w:r w:rsidRPr="00983CED">
        <w:t>The</w:t>
      </w:r>
      <w:r w:rsidR="00F27E3D">
        <w:t>se</w:t>
      </w:r>
      <w:r w:rsidRPr="00983CED">
        <w:t xml:space="preserve"> </w:t>
      </w:r>
      <w:r w:rsidR="001C1D51" w:rsidRPr="00983CED">
        <w:t>criteria</w:t>
      </w:r>
      <w:r w:rsidRPr="00983CED">
        <w:t xml:space="preserve"> </w:t>
      </w:r>
      <w:r w:rsidR="001C1D51" w:rsidRPr="00983CED">
        <w:t>were</w:t>
      </w:r>
      <w:r w:rsidRPr="00983CED">
        <w:t xml:space="preserve"> inconsistent with published guidelines </w:t>
      </w:r>
      <w:r w:rsidR="003D7128" w:rsidRPr="00983CED">
        <w:t xml:space="preserve">(Australian Diabetes Society Type 2 Diabetes Glycaemic Management Algorithm, June 2024) </w:t>
      </w:r>
      <w:r w:rsidRPr="00983CED">
        <w:t xml:space="preserve">that </w:t>
      </w:r>
      <w:r w:rsidR="00274295" w:rsidRPr="00983CED">
        <w:t xml:space="preserve">recommend individualising glycaemic targets based on </w:t>
      </w:r>
      <w:r w:rsidRPr="00983CED">
        <w:t>patient-centred treatment goals.</w:t>
      </w:r>
      <w:r w:rsidR="00CB6040">
        <w:t xml:space="preserve"> </w:t>
      </w:r>
      <w:r w:rsidR="0032185B">
        <w:t xml:space="preserve">The </w:t>
      </w:r>
      <w:r w:rsidR="00CB6040" w:rsidRPr="0032185B">
        <w:t xml:space="preserve">ESC considered the continuation criteria </w:t>
      </w:r>
      <w:r w:rsidR="006A2A68" w:rsidRPr="0032185B">
        <w:t>w</w:t>
      </w:r>
      <w:r w:rsidR="001C2405" w:rsidRPr="0032185B">
        <w:t xml:space="preserve">ere </w:t>
      </w:r>
      <w:r w:rsidR="006A2A68" w:rsidRPr="0032185B">
        <w:t xml:space="preserve">not patient-centred and </w:t>
      </w:r>
      <w:r w:rsidR="00CB6040" w:rsidRPr="0032185B">
        <w:t>did not capture the complex</w:t>
      </w:r>
      <w:r w:rsidR="001C2405" w:rsidRPr="0032185B">
        <w:t xml:space="preserve"> clinical needs</w:t>
      </w:r>
      <w:r w:rsidR="00CB6040" w:rsidRPr="0032185B">
        <w:t xml:space="preserve"> of</w:t>
      </w:r>
      <w:r w:rsidR="001C2405" w:rsidRPr="0032185B">
        <w:t xml:space="preserve"> many people with type </w:t>
      </w:r>
      <w:r w:rsidR="004230A5" w:rsidRPr="0032185B">
        <w:t>2</w:t>
      </w:r>
      <w:r w:rsidR="001C2405" w:rsidRPr="0032185B">
        <w:t xml:space="preserve"> diabetes</w:t>
      </w:r>
      <w:r w:rsidR="006A2A68" w:rsidRPr="0032185B">
        <w:t xml:space="preserve">. </w:t>
      </w:r>
      <w:r w:rsidR="0032185B">
        <w:t xml:space="preserve">The </w:t>
      </w:r>
      <w:r w:rsidR="006A2A68" w:rsidRPr="0032185B">
        <w:t xml:space="preserve">ESC highlighted that the continuation criteria </w:t>
      </w:r>
      <w:proofErr w:type="gramStart"/>
      <w:r w:rsidR="001C2405" w:rsidRPr="0032185B">
        <w:t>would</w:t>
      </w:r>
      <w:proofErr w:type="gramEnd"/>
      <w:r w:rsidR="001C2405" w:rsidRPr="0032185B">
        <w:t xml:space="preserve"> </w:t>
      </w:r>
      <w:r w:rsidR="006A2A68" w:rsidRPr="0032185B">
        <w:t>require patients to discontinue tirzepatid</w:t>
      </w:r>
      <w:r w:rsidR="001C2405" w:rsidRPr="0032185B">
        <w:t>e if they have a</w:t>
      </w:r>
      <w:r w:rsidR="006A2A68" w:rsidRPr="0032185B">
        <w:t xml:space="preserve"> clinically meaningful reduction HbA1c if their HbA1c </w:t>
      </w:r>
      <w:r w:rsidR="00F27E3D">
        <w:t>remained</w:t>
      </w:r>
      <w:r w:rsidR="00F27E3D" w:rsidRPr="0032185B">
        <w:t xml:space="preserve"> </w:t>
      </w:r>
      <w:r w:rsidR="006A2A68" w:rsidRPr="0032185B">
        <w:t>&gt; 7%.</w:t>
      </w:r>
      <w:r w:rsidRPr="0032185B">
        <w:t xml:space="preserve"> </w:t>
      </w:r>
      <w:r w:rsidRPr="00983CED">
        <w:t xml:space="preserve">It </w:t>
      </w:r>
      <w:r w:rsidR="005F69A9" w:rsidRPr="00983CED">
        <w:t>wa</w:t>
      </w:r>
      <w:r w:rsidRPr="00983CED">
        <w:t>s</w:t>
      </w:r>
      <w:r w:rsidR="005F69A9" w:rsidRPr="00983CED">
        <w:t xml:space="preserve"> also</w:t>
      </w:r>
      <w:r w:rsidRPr="00983CED">
        <w:t xml:space="preserve"> unclear how the treatment response criteria could be practically implemented given the flexible titration approach.</w:t>
      </w:r>
      <w:r w:rsidR="00284F98">
        <w:t xml:space="preserve"> </w:t>
      </w:r>
      <w:r w:rsidR="0066067D">
        <w:t xml:space="preserve">The pre-PBAC response proposed the removal of the continuation criteria based on glycaemic response </w:t>
      </w:r>
      <w:r w:rsidR="00732A63" w:rsidRPr="00732A63">
        <w:t xml:space="preserve">to align with current GLP-1 RA </w:t>
      </w:r>
      <w:r w:rsidR="0066067D">
        <w:t>continuing treatment restriction</w:t>
      </w:r>
      <w:r w:rsidR="00732A63">
        <w:t>s</w:t>
      </w:r>
      <w:r w:rsidR="0066067D">
        <w:t>.</w:t>
      </w:r>
      <w:bookmarkEnd w:id="16"/>
      <w:r w:rsidR="0066067D">
        <w:t xml:space="preserve"> </w:t>
      </w:r>
    </w:p>
    <w:p w14:paraId="33B3EF49" w14:textId="1B70C252" w:rsidR="00BE0820" w:rsidRPr="00A57F1D" w:rsidRDefault="00BE0820" w:rsidP="00F9393E">
      <w:pPr>
        <w:pStyle w:val="COMexecsummnumbered"/>
      </w:pPr>
      <w:bookmarkStart w:id="17" w:name="_Ref184040053"/>
      <w:r w:rsidRPr="00BE0820">
        <w:t xml:space="preserve">The resubmission requested grandfathering provisions for patients who met the initial treatment criteria before initiating non-PBS-subsidised tirzepatide, prior to the PBS listing date of </w:t>
      </w:r>
      <w:bookmarkStart w:id="18" w:name="_Hlk178781626"/>
      <w:r w:rsidRPr="00BE0820">
        <w:t>tirzepatide</w:t>
      </w:r>
      <w:bookmarkEnd w:id="18"/>
      <w:r w:rsidRPr="00BE0820">
        <w:t xml:space="preserve">. </w:t>
      </w:r>
      <w:r w:rsidR="00521E0A" w:rsidRPr="0032185B">
        <w:t xml:space="preserve">The PSCR clarified that patients eligible under the requested grandfathering provisions do not refer to patients on GLP-1 RA without prior SGLT2 inhibitor treatment prior to restriction changes in June 2024. </w:t>
      </w:r>
      <w:r w:rsidRPr="00983CED">
        <w:t xml:space="preserve">The administrative requirements appeared difficult to implement in practice as </w:t>
      </w:r>
      <w:r w:rsidR="00560BDF" w:rsidRPr="00983CED">
        <w:t>they</w:t>
      </w:r>
      <w:r w:rsidRPr="00983CED">
        <w:t xml:space="preserve"> include provision of documentation based on historical points of care as well as recent results demonstrating adequate glycaemic response. The size of the grandfathered </w:t>
      </w:r>
      <w:r w:rsidRPr="00983CED">
        <w:lastRenderedPageBreak/>
        <w:t xml:space="preserve">population </w:t>
      </w:r>
      <w:r w:rsidR="00732A63">
        <w:t>wa</w:t>
      </w:r>
      <w:r w:rsidRPr="00983CED">
        <w:t xml:space="preserve">s unknown but </w:t>
      </w:r>
      <w:r w:rsidR="00732A63">
        <w:t>wa</w:t>
      </w:r>
      <w:r w:rsidRPr="00983CED">
        <w:t>s likely to be hindered by these requirements.</w:t>
      </w:r>
      <w:bookmarkEnd w:id="17"/>
      <w:r w:rsidRPr="00846137">
        <w:rPr>
          <w:iCs/>
        </w:rPr>
        <w:t xml:space="preserve"> </w:t>
      </w:r>
      <w:r w:rsidR="00C46D7E">
        <w:rPr>
          <w:iCs/>
        </w:rPr>
        <w:t xml:space="preserve">The pre-PBAC response stated that with the proposed removal of the continuation criteria based on glycaemia response (see paragraph </w:t>
      </w:r>
      <w:r w:rsidR="00C46D7E">
        <w:rPr>
          <w:iCs/>
        </w:rPr>
        <w:fldChar w:fldCharType="begin" w:fldLock="1"/>
      </w:r>
      <w:r w:rsidR="00C46D7E">
        <w:rPr>
          <w:iCs/>
        </w:rPr>
        <w:instrText xml:space="preserve"> REF _Ref184040039 \r \h </w:instrText>
      </w:r>
      <w:r w:rsidR="00C46D7E">
        <w:rPr>
          <w:iCs/>
        </w:rPr>
      </w:r>
      <w:r w:rsidR="00C46D7E">
        <w:rPr>
          <w:iCs/>
        </w:rPr>
        <w:fldChar w:fldCharType="separate"/>
      </w:r>
      <w:r w:rsidR="00EE035D">
        <w:rPr>
          <w:iCs/>
        </w:rPr>
        <w:t>3.14</w:t>
      </w:r>
      <w:r w:rsidR="00C46D7E">
        <w:rPr>
          <w:iCs/>
        </w:rPr>
        <w:fldChar w:fldCharType="end"/>
      </w:r>
      <w:r w:rsidR="00C46D7E">
        <w:rPr>
          <w:iCs/>
        </w:rPr>
        <w:t>), implementation of the grandfathering restriction would only require provision of documented HbA1c results at treatment initiation.</w:t>
      </w:r>
    </w:p>
    <w:p w14:paraId="44FBD24F" w14:textId="21B11750" w:rsidR="00A57F1D" w:rsidRPr="00A57F1D" w:rsidRDefault="00A57F1D" w:rsidP="00A57F1D">
      <w:pPr>
        <w:pStyle w:val="COMexecsummnumbered"/>
        <w:numPr>
          <w:ilvl w:val="0"/>
          <w:numId w:val="0"/>
        </w:numPr>
        <w:ind w:firstLine="720"/>
        <w:rPr>
          <w:i/>
          <w:iCs/>
        </w:rPr>
      </w:pPr>
      <w:r w:rsidRPr="00A57F1D">
        <w:rPr>
          <w:i/>
          <w:iCs/>
        </w:rPr>
        <w:t>For more detail on PBAC’s view, see section 7 PBAC outcome</w:t>
      </w:r>
    </w:p>
    <w:p w14:paraId="7075B85C" w14:textId="62A47B7B" w:rsidR="00B50DB8" w:rsidRPr="0076762E" w:rsidDel="00195452" w:rsidRDefault="00203181" w:rsidP="004E18E9">
      <w:pPr>
        <w:pStyle w:val="COMH1-numbered"/>
      </w:pPr>
      <w:bookmarkStart w:id="19" w:name="_Toc176618563"/>
      <w:r w:rsidRPr="0076762E" w:rsidDel="00195452">
        <w:t xml:space="preserve">Population and </w:t>
      </w:r>
      <w:r w:rsidR="008E0D3C" w:rsidRPr="0076762E" w:rsidDel="00195452">
        <w:t>d</w:t>
      </w:r>
      <w:r w:rsidRPr="0076762E" w:rsidDel="00195452">
        <w:t>isease</w:t>
      </w:r>
      <w:bookmarkEnd w:id="19"/>
    </w:p>
    <w:p w14:paraId="0E3FF0AB" w14:textId="42BE076A" w:rsidR="004813A8" w:rsidRPr="004813A8" w:rsidRDefault="004813A8" w:rsidP="004813A8">
      <w:pPr>
        <w:pStyle w:val="COMexecsummnumbered"/>
      </w:pPr>
      <w:r w:rsidRPr="004813A8">
        <w:t>Type 2 diabetes mellitus is the most common type of diabetes in adults and is characterised by hyperglycaemia associated with variable degrees of impaired insulin secretion and peripheral resistance to insulin. It is a chronic condition associated with a range of hereditary and lifestyle risk factors including poor diet, insufficient physical activity and being overweight or obese. Overall disease prevalence in Australia is increasing over time but it is more common in men, the elderly, Aboriginal and Torres Strait Islander</w:t>
      </w:r>
      <w:r w:rsidR="00560BDF">
        <w:t xml:space="preserve"> peoples</w:t>
      </w:r>
      <w:r w:rsidRPr="004813A8">
        <w:t xml:space="preserve"> and socially disadvantaged populations. </w:t>
      </w:r>
    </w:p>
    <w:p w14:paraId="52A17DED" w14:textId="195BC0AA" w:rsidR="00B668EA" w:rsidRDefault="00B668EA" w:rsidP="00B668EA">
      <w:pPr>
        <w:pStyle w:val="COMexecsummnumbered"/>
      </w:pPr>
      <w:r w:rsidRPr="00B668EA">
        <w:t>Diabetes complications are divided into microvascular (damage to small blood vessels) and macrovascular (damage to large blood vessels). Microvascular complications include damage to eyes (retinopathy) leading to blindness, to kidneys (nephropathy) leading to renal failure, to nerves (neuropathy) and diabetic foot disorders (which include severe infections leading to amputation). Macrovascular complications include cardiovascular diseases such as myocardial infarction, stroke and peripheral vascular disease.</w:t>
      </w:r>
    </w:p>
    <w:p w14:paraId="5B123D89" w14:textId="77777777" w:rsidR="00FF3028" w:rsidRDefault="00FF3028" w:rsidP="000843BA">
      <w:pPr>
        <w:pStyle w:val="COMexecsummnumbered"/>
        <w:spacing w:after="0"/>
      </w:pPr>
      <w:r>
        <w:t>The resubmission positioned tirzepatide as an alternative treatment option for patients who meet PBS eligibility criteria for GLP-1 RA treatment for type 2 diabetes and are considered as high risk, defined as either:</w:t>
      </w:r>
    </w:p>
    <w:p w14:paraId="65CFA428" w14:textId="77777777" w:rsidR="00FF3028" w:rsidRDefault="00FF3028" w:rsidP="00EF2904">
      <w:pPr>
        <w:pStyle w:val="COMexecsummnumbered"/>
        <w:numPr>
          <w:ilvl w:val="0"/>
          <w:numId w:val="18"/>
        </w:numPr>
      </w:pPr>
      <w:r>
        <w:t>Patients with BMI ≥35 kg/m</w:t>
      </w:r>
      <w:r w:rsidRPr="00E95737">
        <w:rPr>
          <w:vertAlign w:val="superscript"/>
        </w:rPr>
        <w:t>2</w:t>
      </w:r>
      <w:r>
        <w:t>, or</w:t>
      </w:r>
    </w:p>
    <w:p w14:paraId="0A97E2AE" w14:textId="64AD757C" w:rsidR="009B6CDA" w:rsidRPr="00B668EA" w:rsidRDefault="00FF3028" w:rsidP="00EF2904">
      <w:pPr>
        <w:pStyle w:val="COMexecsummnumbered"/>
        <w:numPr>
          <w:ilvl w:val="0"/>
          <w:numId w:val="18"/>
        </w:numPr>
      </w:pPr>
      <w:r>
        <w:t>Aboriginal and Torres Strait Islander peoples</w:t>
      </w:r>
      <w:r w:rsidR="00560BDF">
        <w:t>.</w:t>
      </w:r>
    </w:p>
    <w:p w14:paraId="124DF166" w14:textId="67ED16FB" w:rsidR="006D332F" w:rsidRDefault="00E638E4" w:rsidP="006D332F">
      <w:pPr>
        <w:pStyle w:val="COMexecsummnumbered"/>
      </w:pPr>
      <w:r w:rsidRPr="00E638E4">
        <w:t>Tirzepatide is a long-acting dual glucose-dependent insulinotropic polypeptide (GIP) and glucagon-like peptide-1 (GLP-1) receptor agonist</w:t>
      </w:r>
      <w:r w:rsidR="001F6C75">
        <w:t xml:space="preserve">, self-administered as a subcutaneous injection. </w:t>
      </w:r>
      <w:r w:rsidR="005E0DC6">
        <w:t>Available doses are 2.5 mg, 5 mg, 7.5 mg, 10 mg, 12.5 mg and 15 mg. The starting dose is 2.5 mg once weekly for 4 weeks, increasing to 5 mg once weekly. If needed, dose increases can be made in 2.5 mg increments after at least 4</w:t>
      </w:r>
      <w:r w:rsidR="001C2F93">
        <w:t> </w:t>
      </w:r>
      <w:r w:rsidR="005E0DC6">
        <w:t>weeks on the current dose. The recommended doses are 5 mg, 10 mg and 15</w:t>
      </w:r>
      <w:r w:rsidR="001C2F93">
        <w:t> </w:t>
      </w:r>
      <w:r w:rsidR="005E0DC6">
        <w:t>mg once weekly. The product information states that 2.5 mg, 7.5 mg and 12.5 mg once weekly are not maintenance doses.</w:t>
      </w:r>
    </w:p>
    <w:p w14:paraId="5330DAE9" w14:textId="60C13DD8" w:rsidR="00C87288" w:rsidRDefault="00FF1241" w:rsidP="006D332F">
      <w:pPr>
        <w:pStyle w:val="COMexecsummnumbered"/>
      </w:pPr>
      <w:r>
        <w:t xml:space="preserve">The product information includes special warnings related to gastrointestinal effects (particularly when up titrating the dose in patients with renal impairment). </w:t>
      </w:r>
      <w:r w:rsidRPr="00FF1241">
        <w:t>The product information was updated in June 2024</w:t>
      </w:r>
      <w:r w:rsidR="00A55AD2">
        <w:t xml:space="preserve"> following post marketing safety reports</w:t>
      </w:r>
      <w:r w:rsidRPr="00FF1241">
        <w:t xml:space="preserve"> to include additional warnings </w:t>
      </w:r>
      <w:r w:rsidR="0052128A">
        <w:t>regarding</w:t>
      </w:r>
      <w:r w:rsidR="0052128A" w:rsidRPr="0052128A">
        <w:t xml:space="preserve"> </w:t>
      </w:r>
      <w:r w:rsidR="0052128A" w:rsidRPr="00FF1241">
        <w:t>anaphylactic reaction and angioedema, intestinal obstruction including ileus and dysaesthesia</w:t>
      </w:r>
      <w:r w:rsidR="0052128A">
        <w:t xml:space="preserve">. </w:t>
      </w:r>
    </w:p>
    <w:p w14:paraId="7D0B1E9D" w14:textId="192BD07D" w:rsidR="00FB1B38" w:rsidRDefault="006D332F" w:rsidP="00002088">
      <w:pPr>
        <w:pStyle w:val="COMexecsummnumbered"/>
      </w:pPr>
      <w:r w:rsidRPr="00983CED">
        <w:lastRenderedPageBreak/>
        <w:t>The resubmission noted that tirzepatide is subject to ongoing supply constraints due to strong demand for the treatment globally. The TGA currently note</w:t>
      </w:r>
      <w:r w:rsidR="00BD1AAB">
        <w:t>d</w:t>
      </w:r>
      <w:r w:rsidRPr="00983CED">
        <w:t xml:space="preserve"> there is limited supply of tirzepatide in Australia </w:t>
      </w:r>
      <w:r w:rsidR="00401B32" w:rsidRPr="00983CED">
        <w:t>and</w:t>
      </w:r>
      <w:r w:rsidRPr="00983CED">
        <w:t xml:space="preserve"> recommends that patients who are unable to obtain the correct strength of tirzepatide should contact their doctor immediately to have their treatment plan assessed. </w:t>
      </w:r>
      <w:r w:rsidR="008E26C5" w:rsidRPr="0032185B">
        <w:t>The PSCR stated that the sponsor can ensure sufficient supply to</w:t>
      </w:r>
      <w:r w:rsidR="009E3488" w:rsidRPr="0032185B">
        <w:t xml:space="preserve"> </w:t>
      </w:r>
      <w:r w:rsidR="008E26C5" w:rsidRPr="0032185B">
        <w:t xml:space="preserve">meet the needs of the high-risk type 2 diabetes market. </w:t>
      </w:r>
      <w:r w:rsidR="0032185B">
        <w:t xml:space="preserve">The </w:t>
      </w:r>
      <w:r w:rsidR="009849A7" w:rsidRPr="0032185B">
        <w:t>ESC considered the high demand for tirzepatide in the private market (including as an alternative to semaglutide due to supply shortages) increased the risk of use outside the restriction.</w:t>
      </w:r>
    </w:p>
    <w:p w14:paraId="282F7565" w14:textId="3C28FBDC" w:rsidR="00A57F1D" w:rsidRPr="00A57F1D" w:rsidDel="00195452" w:rsidRDefault="00A57F1D" w:rsidP="00A57F1D">
      <w:pPr>
        <w:pStyle w:val="COMexecsummnumbered"/>
        <w:numPr>
          <w:ilvl w:val="0"/>
          <w:numId w:val="0"/>
        </w:numPr>
        <w:ind w:left="720"/>
        <w:rPr>
          <w:i/>
          <w:iCs/>
        </w:rPr>
      </w:pPr>
      <w:r w:rsidRPr="00A57F1D">
        <w:rPr>
          <w:i/>
          <w:iCs/>
        </w:rPr>
        <w:t>For more detail on PBAC’s view, see section 7 PBAC outcome</w:t>
      </w:r>
    </w:p>
    <w:p w14:paraId="51E5AE96" w14:textId="136A63B1" w:rsidR="00B50DB8" w:rsidRPr="0076762E" w:rsidRDefault="00B50DB8" w:rsidP="004E18E9">
      <w:pPr>
        <w:pStyle w:val="COMH1-numbered"/>
      </w:pPr>
      <w:bookmarkStart w:id="20" w:name="_Toc176618564"/>
      <w:r w:rsidRPr="0076762E">
        <w:t>Comparator</w:t>
      </w:r>
      <w:bookmarkEnd w:id="20"/>
    </w:p>
    <w:p w14:paraId="747A75CC" w14:textId="219EF3B0" w:rsidR="00A05472" w:rsidRPr="00983CED" w:rsidRDefault="00002088" w:rsidP="00882E3C">
      <w:pPr>
        <w:pStyle w:val="COMexecsummnumbered"/>
      </w:pPr>
      <w:r w:rsidRPr="00002088">
        <w:t xml:space="preserve">The resubmission nominated semaglutide as the main comparator. </w:t>
      </w:r>
      <w:r w:rsidRPr="00983CED">
        <w:t>The PBAC previously considered that this was appropriate (para 7.4, tirzepatide PSD, July</w:t>
      </w:r>
      <w:r w:rsidR="001C2F93">
        <w:t> </w:t>
      </w:r>
      <w:r w:rsidRPr="00983CED">
        <w:t>2023 PBAC meeting).</w:t>
      </w:r>
    </w:p>
    <w:p w14:paraId="47D9B48A" w14:textId="6393CBD0" w:rsidR="002C2775" w:rsidRDefault="00002088" w:rsidP="002E4F02">
      <w:pPr>
        <w:pStyle w:val="COMexecsummnumbered"/>
      </w:pPr>
      <w:r w:rsidRPr="00002088">
        <w:t xml:space="preserve">The resubmission claimed that dulaglutide was not considered as a relevant </w:t>
      </w:r>
      <w:r w:rsidRPr="00BE7223">
        <w:t xml:space="preserve">comparator given more recent PBS utilisation estimates indicate its continuous decline in GLP-1 RA market share. </w:t>
      </w:r>
      <w:r w:rsidR="0032185B">
        <w:t xml:space="preserve">The </w:t>
      </w:r>
      <w:r w:rsidR="001C2405" w:rsidRPr="0032185B">
        <w:t xml:space="preserve">ESC considered this </w:t>
      </w:r>
      <w:r w:rsidRPr="0032185B">
        <w:t>appeared reasonable.</w:t>
      </w:r>
    </w:p>
    <w:p w14:paraId="65E35D92" w14:textId="194E52C6" w:rsidR="00A57F1D" w:rsidRPr="005D1A06" w:rsidRDefault="00A57F1D" w:rsidP="005D1A06">
      <w:pPr>
        <w:pStyle w:val="COMexecsummnumbered"/>
        <w:numPr>
          <w:ilvl w:val="0"/>
          <w:numId w:val="0"/>
        </w:numPr>
        <w:ind w:left="720"/>
        <w:rPr>
          <w:i/>
          <w:iCs/>
        </w:rPr>
      </w:pPr>
      <w:r w:rsidRPr="005D1A06">
        <w:rPr>
          <w:i/>
          <w:iCs/>
        </w:rPr>
        <w:t>For more detail on PBAC’s view, see section 7 PBAC outcome</w:t>
      </w:r>
    </w:p>
    <w:p w14:paraId="7F9C27C8" w14:textId="2718510C" w:rsidR="00223D5A" w:rsidRPr="00BE7223" w:rsidRDefault="00223D5A" w:rsidP="00223D5A">
      <w:pPr>
        <w:pStyle w:val="COMH1-numbered"/>
      </w:pPr>
      <w:bookmarkStart w:id="21" w:name="_Toc176618565"/>
      <w:bookmarkStart w:id="22" w:name="_Toc22897640"/>
      <w:r w:rsidRPr="00BE7223">
        <w:t>Consideration of the evidence</w:t>
      </w:r>
      <w:bookmarkEnd w:id="21"/>
    </w:p>
    <w:p w14:paraId="729197D1" w14:textId="77777777" w:rsidR="00087900" w:rsidRPr="006E1229" w:rsidRDefault="00087900" w:rsidP="00087900">
      <w:pPr>
        <w:pStyle w:val="COMH2-non-numbered"/>
      </w:pPr>
      <w:bookmarkStart w:id="23" w:name="_Toc176618566"/>
      <w:r w:rsidRPr="006E1229">
        <w:t>Sponsor hearing</w:t>
      </w:r>
    </w:p>
    <w:p w14:paraId="567A1E5E" w14:textId="1A08414D" w:rsidR="00087900" w:rsidRDefault="00087900" w:rsidP="00087900">
      <w:pPr>
        <w:widowControl w:val="0"/>
        <w:numPr>
          <w:ilvl w:val="1"/>
          <w:numId w:val="1"/>
        </w:numPr>
        <w:spacing w:after="120"/>
        <w:rPr>
          <w:rFonts w:asciiTheme="minorHAnsi" w:hAnsiTheme="minorHAnsi"/>
          <w:bCs/>
          <w:snapToGrid w:val="0"/>
        </w:rPr>
      </w:pPr>
      <w:bookmarkStart w:id="24" w:name="_Hlk76382586"/>
      <w:r w:rsidRPr="00836F75">
        <w:rPr>
          <w:rFonts w:asciiTheme="minorHAnsi" w:hAnsiTheme="minorHAnsi"/>
          <w:bCs/>
          <w:snapToGrid w:val="0"/>
        </w:rPr>
        <w:t xml:space="preserve">The sponsor requested a hearing for this item. </w:t>
      </w:r>
      <w:r w:rsidR="00841706">
        <w:rPr>
          <w:rFonts w:asciiTheme="minorHAnsi" w:hAnsiTheme="minorHAnsi"/>
          <w:bCs/>
          <w:snapToGrid w:val="0"/>
        </w:rPr>
        <w:t xml:space="preserve">In addition to reiterating the points made in the pre-PBAC response the sponsor highlighted that supply has stabilised with the recent approval of the multi-dose pen device with the sponsor </w:t>
      </w:r>
      <w:r w:rsidR="008649AD">
        <w:rPr>
          <w:rFonts w:asciiTheme="minorHAnsi" w:hAnsiTheme="minorHAnsi"/>
          <w:bCs/>
          <w:snapToGrid w:val="0"/>
        </w:rPr>
        <w:t xml:space="preserve">was </w:t>
      </w:r>
      <w:r w:rsidR="00841706">
        <w:rPr>
          <w:rFonts w:asciiTheme="minorHAnsi" w:hAnsiTheme="minorHAnsi"/>
          <w:bCs/>
          <w:snapToGrid w:val="0"/>
        </w:rPr>
        <w:t>now confident in supply.</w:t>
      </w:r>
    </w:p>
    <w:bookmarkEnd w:id="24"/>
    <w:p w14:paraId="0AD80116" w14:textId="77777777" w:rsidR="00087900" w:rsidRPr="006E1229" w:rsidRDefault="00087900" w:rsidP="00087900">
      <w:pPr>
        <w:pStyle w:val="COMH2-non-numbered"/>
      </w:pPr>
      <w:r w:rsidRPr="006E1229">
        <w:t>Consumer comments</w:t>
      </w:r>
    </w:p>
    <w:p w14:paraId="1ECB4A66" w14:textId="0DAB93C5" w:rsidR="008649AD" w:rsidRDefault="00087900" w:rsidP="00171248">
      <w:pPr>
        <w:pStyle w:val="COMexecsummnumbered"/>
      </w:pPr>
      <w:r w:rsidRPr="00171248">
        <w:t>The PBAC noted and welcomed the input from individuals (</w:t>
      </w:r>
      <w:r w:rsidR="00611CEC" w:rsidRPr="00171248">
        <w:t>1</w:t>
      </w:r>
      <w:r w:rsidRPr="00171248">
        <w:t>4), health care professionals (</w:t>
      </w:r>
      <w:r w:rsidR="00611CEC" w:rsidRPr="00171248">
        <w:t>6</w:t>
      </w:r>
      <w:r w:rsidRPr="00171248">
        <w:t>) and organisations (</w:t>
      </w:r>
      <w:r w:rsidR="00611CEC" w:rsidRPr="00171248">
        <w:t>2</w:t>
      </w:r>
      <w:r w:rsidRPr="00171248">
        <w:t xml:space="preserve">) via the Consumer Comments facility on the PBS website. The comments </w:t>
      </w:r>
      <w:r w:rsidR="00973985" w:rsidRPr="00171248">
        <w:t xml:space="preserve">from health care professionals </w:t>
      </w:r>
      <w:r w:rsidRPr="00171248">
        <w:t xml:space="preserve">described </w:t>
      </w:r>
      <w:r w:rsidR="00973985" w:rsidRPr="00171248">
        <w:t xml:space="preserve">the effectiveness of tirzepatide </w:t>
      </w:r>
      <w:r w:rsidR="00477B0B" w:rsidRPr="00171248">
        <w:t xml:space="preserve">in terms of reduction in HbA1c and weight loss. </w:t>
      </w:r>
      <w:r w:rsidR="00E0752B" w:rsidRPr="00171248">
        <w:t xml:space="preserve">Health care professional input noted that tirzepatide can reduce the likelihood of patients needing insulin therapy with its associated risk of hypoglycaemia. </w:t>
      </w:r>
      <w:r w:rsidR="00C97CD0" w:rsidRPr="00171248">
        <w:t xml:space="preserve">Health care professionals also noted cost as an access issue, with many patients unable to afford tirzepatide privately. One endocrinologist </w:t>
      </w:r>
      <w:r w:rsidR="00FD29E6" w:rsidRPr="00171248">
        <w:t>expressed their</w:t>
      </w:r>
      <w:r w:rsidR="00C97CD0" w:rsidRPr="00171248">
        <w:t xml:space="preserve"> concern that the necessity for an endocrinologist to be involved would be too exclusive and would reduce access to those most at need.</w:t>
      </w:r>
      <w:r w:rsidR="00FD29E6" w:rsidRPr="00171248">
        <w:t xml:space="preserve"> </w:t>
      </w:r>
      <w:r w:rsidR="00C97CD0" w:rsidRPr="00171248">
        <w:t xml:space="preserve">The input from individuals who had used tirzepatide for their own health condition described improvements in blood sugar levels as well as diabetes risk, reductions in food cravings and weight loss. Some individuals noted the gastrointestinal side effects </w:t>
      </w:r>
      <w:r w:rsidR="00C97CD0" w:rsidRPr="00171248">
        <w:lastRenderedPageBreak/>
        <w:t>that they had experienced with treatment</w:t>
      </w:r>
      <w:r w:rsidR="00FD29E6" w:rsidRPr="00171248">
        <w:t>, while others reported not experiencing side effects.</w:t>
      </w:r>
      <w:r w:rsidR="00C97CD0" w:rsidRPr="00171248">
        <w:t xml:space="preserve"> </w:t>
      </w:r>
      <w:r w:rsidR="00C40D53" w:rsidRPr="00171248">
        <w:t xml:space="preserve">The comments from individuals also highlighted the lived experience of type 2 diabetes and its impact on quality of life. The input from both individuals who had used tirzepatide for their own health condition and those who would like to use it highlighted cost as a barrier to access. </w:t>
      </w:r>
    </w:p>
    <w:p w14:paraId="20E733C2" w14:textId="449B3F78" w:rsidR="00973985" w:rsidRDefault="00FD29E6" w:rsidP="00171248">
      <w:pPr>
        <w:pStyle w:val="COMexecsummnumbered"/>
      </w:pPr>
      <w:r w:rsidRPr="00171248">
        <w:t>Comments from National Aboriginal Community Controlled Health Organisation (NACCHO)</w:t>
      </w:r>
      <w:r w:rsidR="001A0251" w:rsidRPr="00171248">
        <w:t xml:space="preserve"> highlighted </w:t>
      </w:r>
      <w:r w:rsidR="009B34C0">
        <w:t>the impact of type 2 diabetes on its community, noting that Indigenous adults were 2.9 time</w:t>
      </w:r>
      <w:r w:rsidR="00720FAA">
        <w:t>s</w:t>
      </w:r>
      <w:r w:rsidR="009B34C0">
        <w:t xml:space="preserve"> as likely to be living with the condition as non-Indigenous adults</w:t>
      </w:r>
      <w:r w:rsidR="009B34C0">
        <w:rPr>
          <w:rStyle w:val="FootnoteReference"/>
        </w:rPr>
        <w:footnoteReference w:id="2"/>
      </w:r>
      <w:r w:rsidR="00720FAA">
        <w:t xml:space="preserve"> and are more likely to die from the condition</w:t>
      </w:r>
      <w:r w:rsidR="009B34C0">
        <w:t>.</w:t>
      </w:r>
      <w:r w:rsidR="00720FAA">
        <w:t xml:space="preserve"> The PBAC noted diabetes death rates were 4.4 times as high among Indigenous Australians as non-Indigenous Australians.</w:t>
      </w:r>
      <w:r w:rsidR="00720FAA">
        <w:rPr>
          <w:vertAlign w:val="superscript"/>
        </w:rPr>
        <w:t>1</w:t>
      </w:r>
      <w:r w:rsidR="009B34C0">
        <w:t xml:space="preserve"> NACCHO also highlighted </w:t>
      </w:r>
      <w:r w:rsidR="001A0251" w:rsidRPr="00171248">
        <w:t xml:space="preserve">the significant barriers to access that have been experienced with existing </w:t>
      </w:r>
      <w:r w:rsidR="001A0251" w:rsidRPr="00E31065">
        <w:t>GLP-1 RA</w:t>
      </w:r>
      <w:r w:rsidR="001A0251">
        <w:t xml:space="preserve"> medications and stated that having an extra agent in this class would make the supply chain more robust. NACCHO also </w:t>
      </w:r>
      <w:r w:rsidR="00171248">
        <w:t xml:space="preserve">predicted that any requirement for a patient to be physically reviewed by an endocrinologist would be a significant barrier to care. NACCHO requested </w:t>
      </w:r>
      <w:r w:rsidR="00171248" w:rsidRPr="00171248">
        <w:t xml:space="preserve">consideration to list GLP1 injections and tirzepatide on the </w:t>
      </w:r>
      <w:r w:rsidR="00A51C16">
        <w:t xml:space="preserve">PBS for </w:t>
      </w:r>
      <w:r w:rsidR="00171248" w:rsidRPr="00171248">
        <w:t xml:space="preserve">Aboriginal and Torres Strait Islander </w:t>
      </w:r>
      <w:r w:rsidR="00A51C16">
        <w:t xml:space="preserve">peoples </w:t>
      </w:r>
      <w:r w:rsidR="00171248" w:rsidRPr="00171248">
        <w:t>without the restriction</w:t>
      </w:r>
      <w:r w:rsidR="00171248">
        <w:t xml:space="preserve"> </w:t>
      </w:r>
      <w:r w:rsidR="00171248" w:rsidRPr="00171248">
        <w:t>to have a documented HbA1c&gt;7% (or equivalent BSLs measurement) due to difficulties in pathology testing in some remote areas and to allow treatment</w:t>
      </w:r>
      <w:r w:rsidR="00171248">
        <w:t xml:space="preserve"> </w:t>
      </w:r>
      <w:r w:rsidR="00171248" w:rsidRPr="00171248">
        <w:t>for more people who may benefit, including those with pre-diabetes and obesity</w:t>
      </w:r>
      <w:r w:rsidR="00B21B60">
        <w:t>.</w:t>
      </w:r>
      <w:r w:rsidR="001A0251">
        <w:t xml:space="preserve"> </w:t>
      </w:r>
    </w:p>
    <w:p w14:paraId="3D844BD4" w14:textId="6DDE97EE" w:rsidR="0064469A" w:rsidRPr="00171248" w:rsidRDefault="0064469A" w:rsidP="0064469A">
      <w:pPr>
        <w:pStyle w:val="COMexecsummnumbered"/>
      </w:pPr>
      <w:r>
        <w:t>Comments from Diabetes Australia also highlighted the particular challenges faced by Aboriginal and Torres Strait Islander people with diabetes in Australia. Diabetes Australia indicated these challenges include a much higher prevalence than in non-indigenous Australians, the higher rate of severe-diabetes associated complications, the barriers faced by those in rural/remote areas in accessing endocrinologists and the significant cost barriers for all. In addition, the comments from Diabetes Australia noted the benefits of tirzepatide for those that do not respond well to other GLP-1</w:t>
      </w:r>
      <w:r w:rsidR="0075526E">
        <w:t xml:space="preserve"> </w:t>
      </w:r>
      <w:r>
        <w:t>RA, and highlighted the mental health stress that can arise for those currently using GLP</w:t>
      </w:r>
      <w:r w:rsidR="0075526E">
        <w:noBreakHyphen/>
      </w:r>
      <w:r>
        <w:t>1 RAs from not knowing whether they will have ongoing supply.</w:t>
      </w:r>
    </w:p>
    <w:p w14:paraId="609C0765" w14:textId="6719387B" w:rsidR="00B60939" w:rsidRPr="00BE7223" w:rsidRDefault="00B60939" w:rsidP="003D5DE7">
      <w:pPr>
        <w:pStyle w:val="COMH2-non-numbered"/>
      </w:pPr>
      <w:r w:rsidRPr="00BE7223">
        <w:t>Clinical trials</w:t>
      </w:r>
      <w:bookmarkEnd w:id="22"/>
      <w:bookmarkEnd w:id="23"/>
    </w:p>
    <w:p w14:paraId="6E555D27" w14:textId="77777777" w:rsidR="005B1BCE" w:rsidRPr="005B1BCE" w:rsidRDefault="00886C6C" w:rsidP="000843BA">
      <w:pPr>
        <w:pStyle w:val="COMexecsummnumbered"/>
        <w:spacing w:after="0"/>
        <w:rPr>
          <w:color w:val="0066FF"/>
        </w:rPr>
      </w:pPr>
      <w:r w:rsidRPr="00BE7223">
        <w:t>The resubmission was based on</w:t>
      </w:r>
      <w:r>
        <w:t xml:space="preserve"> the following comparisons</w:t>
      </w:r>
      <w:r w:rsidR="005B1BCE">
        <w:t xml:space="preserve"> </w:t>
      </w:r>
      <w:r w:rsidR="005B1BCE" w:rsidRPr="00846137">
        <w:rPr>
          <w:iCs/>
        </w:rPr>
        <w:t>previously considered by the PBAC in July 2023</w:t>
      </w:r>
      <w:r w:rsidR="005B1BCE">
        <w:t>:</w:t>
      </w:r>
    </w:p>
    <w:p w14:paraId="3F7F4D5A" w14:textId="019FC5BF" w:rsidR="005B1BCE" w:rsidRPr="005B1BCE" w:rsidRDefault="005B1BCE" w:rsidP="00EF2904">
      <w:pPr>
        <w:pStyle w:val="COMexecsummnumbered"/>
        <w:numPr>
          <w:ilvl w:val="0"/>
          <w:numId w:val="18"/>
        </w:numPr>
      </w:pPr>
      <w:r w:rsidRPr="005B1BCE">
        <w:t>Direct comparison of tirzepatide 10 mg and 15 mg versus semaglutide 1.0</w:t>
      </w:r>
      <w:r w:rsidR="00B73E1A">
        <w:t> </w:t>
      </w:r>
      <w:r w:rsidRPr="005B1BCE">
        <w:t>mg in patients on background metformin therapy (SURPASS-2).</w:t>
      </w:r>
    </w:p>
    <w:p w14:paraId="1A79C94F" w14:textId="2A92CE6A" w:rsidR="00CE456C" w:rsidRPr="00CE456C" w:rsidRDefault="005B1BCE" w:rsidP="00EF2904">
      <w:pPr>
        <w:pStyle w:val="COMexecsummnumbered"/>
        <w:numPr>
          <w:ilvl w:val="0"/>
          <w:numId w:val="18"/>
        </w:numPr>
      </w:pPr>
      <w:r w:rsidRPr="005B1BCE">
        <w:lastRenderedPageBreak/>
        <w:t>Supportive indirect comparison of tirzepatide 5 mg (SURPASS-2) versus semaglutide 0.5 mg (SUSTAIN 7) with semaglutide 1.0 mg as the common reference in patients on background metformin therapy.</w:t>
      </w:r>
    </w:p>
    <w:p w14:paraId="17C341B6" w14:textId="05EC8CA5" w:rsidR="00106936" w:rsidRDefault="00AA709B" w:rsidP="00106936">
      <w:pPr>
        <w:pStyle w:val="COMexecsummnumbered"/>
      </w:pPr>
      <w:r>
        <w:t xml:space="preserve">The resubmission provided </w:t>
      </w:r>
      <w:r w:rsidR="004636C1">
        <w:t xml:space="preserve">a </w:t>
      </w:r>
      <w:r>
        <w:t xml:space="preserve">new </w:t>
      </w:r>
      <w:r w:rsidRPr="00AA709B">
        <w:rPr>
          <w:i/>
          <w:iCs/>
        </w:rPr>
        <w:t>post hoc</w:t>
      </w:r>
      <w:r w:rsidRPr="00AA709B">
        <w:t xml:space="preserve"> analyses of the SURPASS-2 trial based on patients with baseline BMI ≥35 kg/m</w:t>
      </w:r>
      <w:r w:rsidRPr="00AA709B">
        <w:rPr>
          <w:vertAlign w:val="superscript"/>
        </w:rPr>
        <w:t>2</w:t>
      </w:r>
      <w:r w:rsidRPr="00AA709B">
        <w:t>. A supportive indirect comparison of tirzepatide 5 mg versus semaglutide 0.5 mg using semaglutide 1.0 mg as the common reference was conducted using subgroup data from SURPASS-2 and published subgroup data for patients with baseline BMI ≥35 kg/m</w:t>
      </w:r>
      <w:r w:rsidRPr="00AA709B">
        <w:rPr>
          <w:vertAlign w:val="superscript"/>
        </w:rPr>
        <w:t>2</w:t>
      </w:r>
      <w:r w:rsidRPr="00AA709B">
        <w:t xml:space="preserve"> in SUSTAIN-7 (Pratley 2020).</w:t>
      </w:r>
    </w:p>
    <w:p w14:paraId="73E71A67" w14:textId="2924721D" w:rsidR="00106936" w:rsidRPr="00E96CBF" w:rsidRDefault="0057474C" w:rsidP="00002A04">
      <w:pPr>
        <w:pStyle w:val="COMexecsummnumbered"/>
      </w:pPr>
      <w:r w:rsidRPr="00E96CBF">
        <w:t xml:space="preserve">The direct comparison of tirzepatide 5 mg versus semaglutide 1 mg </w:t>
      </w:r>
      <w:r w:rsidR="00433CF6" w:rsidRPr="00E96CBF">
        <w:t xml:space="preserve">in the SURPASS-2 trial was considered relevant during the evaluation. </w:t>
      </w:r>
    </w:p>
    <w:p w14:paraId="5FEB665F" w14:textId="29D73ED4" w:rsidR="003912FD" w:rsidRDefault="003912FD" w:rsidP="002540DF">
      <w:pPr>
        <w:pStyle w:val="COMexecsummnumbered"/>
      </w:pPr>
      <w:r w:rsidRPr="003912FD">
        <w:t>There are multiple trials of tirzepatide in the broader SURPASS trial program for type 2 diabetes, including completed trials submitted for regulatory consideration (SURPASS-1, SURPASS-3, SURPASS-4, SURPASS-5, SURPASS-J MONO, SURPASS-J COMBO), a cardiovascular outcomes trial (SURPASS-CVOT, expected completion April 2025), a paediatric study (SURPASS-PEDS, expected completion June 2025) and two GLP-1</w:t>
      </w:r>
      <w:r w:rsidR="002540DF">
        <w:t xml:space="preserve"> </w:t>
      </w:r>
      <w:r w:rsidRPr="003912FD">
        <w:t>RA switching studies (SURPASS-SWITCH and SURPASS-SWITCH2, expected completion July 2024 and completed in October 2023 respectively).</w:t>
      </w:r>
    </w:p>
    <w:p w14:paraId="2B59ABAC" w14:textId="2567D291" w:rsidR="00862502" w:rsidRPr="0076762E" w:rsidRDefault="00A73134" w:rsidP="002E4F02">
      <w:pPr>
        <w:pStyle w:val="COMexecsummnumbered"/>
      </w:pPr>
      <w:r w:rsidRPr="0076762E">
        <w:t xml:space="preserve">Details of the trials presented in the </w:t>
      </w:r>
      <w:r w:rsidR="0017796B">
        <w:t>re</w:t>
      </w:r>
      <w:r w:rsidRPr="0076762E">
        <w:t xml:space="preserve">submission are provided in </w:t>
      </w:r>
      <w:r w:rsidR="00696EF9" w:rsidRPr="0076762E">
        <w:fldChar w:fldCharType="begin" w:fldLock="1"/>
      </w:r>
      <w:r w:rsidR="00696EF9" w:rsidRPr="0076762E">
        <w:instrText xml:space="preserve"> REF _Ref104803956 \h </w:instrText>
      </w:r>
      <w:r w:rsidR="00696EF9" w:rsidRPr="0076762E">
        <w:fldChar w:fldCharType="separate"/>
      </w:r>
      <w:r w:rsidR="00EE035D" w:rsidRPr="0076762E">
        <w:t xml:space="preserve">Table </w:t>
      </w:r>
      <w:r w:rsidR="00EE035D">
        <w:rPr>
          <w:noProof/>
        </w:rPr>
        <w:t>3</w:t>
      </w:r>
      <w:r w:rsidR="00696EF9" w:rsidRPr="0076762E">
        <w:fldChar w:fldCharType="end"/>
      </w:r>
      <w:r w:rsidRPr="0076762E">
        <w:t>.</w:t>
      </w:r>
    </w:p>
    <w:p w14:paraId="7DE3A286" w14:textId="016405E1" w:rsidR="008E0D3C" w:rsidRDefault="00696EF9" w:rsidP="00B50F7F">
      <w:pPr>
        <w:pStyle w:val="COMtablefigcaption"/>
      </w:pPr>
      <w:bookmarkStart w:id="25" w:name="_Ref104803956"/>
      <w:r w:rsidRPr="0076762E">
        <w:t xml:space="preserve">Table </w:t>
      </w:r>
      <w:r w:rsidR="00EE035D">
        <w:fldChar w:fldCharType="begin" w:fldLock="1"/>
      </w:r>
      <w:r w:rsidR="00EE035D">
        <w:instrText xml:space="preserve"> SEQ Table \* ARABIC </w:instrText>
      </w:r>
      <w:r w:rsidR="00EE035D">
        <w:fldChar w:fldCharType="separate"/>
      </w:r>
      <w:r w:rsidR="00EE035D">
        <w:rPr>
          <w:noProof/>
        </w:rPr>
        <w:t>3</w:t>
      </w:r>
      <w:r w:rsidR="00EE035D">
        <w:rPr>
          <w:noProof/>
        </w:rPr>
        <w:fldChar w:fldCharType="end"/>
      </w:r>
      <w:bookmarkEnd w:id="25"/>
      <w:r w:rsidRPr="0076762E">
        <w:t>:</w:t>
      </w:r>
      <w:r w:rsidR="00BC591F" w:rsidRPr="0076762E">
        <w:t xml:space="preserve"> </w:t>
      </w:r>
      <w:r w:rsidR="008E0D3C" w:rsidRPr="0076762E">
        <w:t>Trials</w:t>
      </w:r>
      <w:r w:rsidR="00FD6D12">
        <w:t xml:space="preserve"> </w:t>
      </w:r>
      <w:r w:rsidR="008E0D3C" w:rsidRPr="0076762E">
        <w:t xml:space="preserve">and associated reports presented in the </w:t>
      </w:r>
      <w:r w:rsidR="00FD6D12">
        <w:t>re</w:t>
      </w:r>
      <w:r w:rsidR="008E0D3C" w:rsidRPr="0076762E">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214"/>
        <w:gridCol w:w="5922"/>
        <w:gridCol w:w="1881"/>
      </w:tblGrid>
      <w:tr w:rsidR="00FC24B1" w:rsidRPr="00FA1E86" w14:paraId="5DE90094" w14:textId="77777777" w:rsidTr="00A1032E">
        <w:trPr>
          <w:cantSplit/>
          <w:tblHeader/>
        </w:trPr>
        <w:tc>
          <w:tcPr>
            <w:tcW w:w="673" w:type="pct"/>
            <w:tcBorders>
              <w:bottom w:val="single" w:sz="4" w:space="0" w:color="auto"/>
            </w:tcBorders>
            <w:vAlign w:val="center"/>
          </w:tcPr>
          <w:p w14:paraId="42587619" w14:textId="77777777" w:rsidR="00FC24B1" w:rsidRPr="00FA1E86" w:rsidRDefault="00FC24B1" w:rsidP="00A1032E">
            <w:pPr>
              <w:pStyle w:val="COMTableheadingrow"/>
              <w:keepNext w:val="0"/>
              <w:widowControl w:val="0"/>
              <w:rPr>
                <w:lang w:val="en-AU"/>
              </w:rPr>
            </w:pPr>
            <w:r w:rsidRPr="00FA1E86">
              <w:rPr>
                <w:lang w:val="en-AU"/>
              </w:rPr>
              <w:t>Trial ID</w:t>
            </w:r>
          </w:p>
        </w:tc>
        <w:tc>
          <w:tcPr>
            <w:tcW w:w="3284" w:type="pct"/>
            <w:tcBorders>
              <w:bottom w:val="single" w:sz="4" w:space="0" w:color="auto"/>
            </w:tcBorders>
            <w:vAlign w:val="center"/>
          </w:tcPr>
          <w:p w14:paraId="56B77EDD" w14:textId="77777777" w:rsidR="00FC24B1" w:rsidRPr="00FA1E86" w:rsidRDefault="00FC24B1" w:rsidP="00A1032E">
            <w:pPr>
              <w:pStyle w:val="COMTableheadingrow"/>
              <w:keepNext w:val="0"/>
              <w:widowControl w:val="0"/>
              <w:rPr>
                <w:lang w:val="en-AU"/>
              </w:rPr>
            </w:pPr>
            <w:r w:rsidRPr="00FA1E86">
              <w:rPr>
                <w:lang w:val="en-AU"/>
              </w:rPr>
              <w:t>Protocol title/ Publication title</w:t>
            </w:r>
          </w:p>
        </w:tc>
        <w:tc>
          <w:tcPr>
            <w:tcW w:w="1043" w:type="pct"/>
            <w:tcBorders>
              <w:bottom w:val="single" w:sz="4" w:space="0" w:color="auto"/>
            </w:tcBorders>
            <w:vAlign w:val="center"/>
          </w:tcPr>
          <w:p w14:paraId="588ABFB2" w14:textId="77777777" w:rsidR="00FC24B1" w:rsidRPr="00FA1E86" w:rsidRDefault="00FC24B1" w:rsidP="00A1032E">
            <w:pPr>
              <w:pStyle w:val="COMTableheadingrow"/>
              <w:keepNext w:val="0"/>
              <w:widowControl w:val="0"/>
              <w:rPr>
                <w:lang w:val="en-AU"/>
              </w:rPr>
            </w:pPr>
            <w:r w:rsidRPr="00FA1E86">
              <w:rPr>
                <w:lang w:val="en-AU"/>
              </w:rPr>
              <w:t>Publication citation</w:t>
            </w:r>
          </w:p>
        </w:tc>
      </w:tr>
      <w:tr w:rsidR="00FC24B1" w:rsidRPr="00FA1E86" w14:paraId="0390F5AB" w14:textId="77777777" w:rsidTr="00A1032E">
        <w:trPr>
          <w:cantSplit/>
        </w:trPr>
        <w:tc>
          <w:tcPr>
            <w:tcW w:w="673" w:type="pct"/>
            <w:vMerge w:val="restart"/>
            <w:tcBorders>
              <w:top w:val="single" w:sz="4" w:space="0" w:color="auto"/>
            </w:tcBorders>
            <w:vAlign w:val="center"/>
          </w:tcPr>
          <w:p w14:paraId="4EC823B4" w14:textId="77777777" w:rsidR="00FC24B1" w:rsidRPr="00FA1E86" w:rsidRDefault="00FC24B1" w:rsidP="00A1032E">
            <w:pPr>
              <w:pStyle w:val="COMTabletext"/>
              <w:keepNext w:val="0"/>
              <w:widowControl w:val="0"/>
            </w:pPr>
            <w:r w:rsidRPr="00FA1E86">
              <w:t>SURPASS-2</w:t>
            </w:r>
          </w:p>
        </w:tc>
        <w:tc>
          <w:tcPr>
            <w:tcW w:w="3284" w:type="pct"/>
            <w:tcBorders>
              <w:top w:val="single" w:sz="4" w:space="0" w:color="auto"/>
              <w:bottom w:val="single" w:sz="4" w:space="0" w:color="auto"/>
            </w:tcBorders>
            <w:vAlign w:val="center"/>
          </w:tcPr>
          <w:p w14:paraId="6F0E867B" w14:textId="77777777" w:rsidR="00FC24B1" w:rsidRPr="00FA1E86" w:rsidRDefault="00FC24B1" w:rsidP="00A1032E">
            <w:pPr>
              <w:pStyle w:val="COMTabletext"/>
              <w:keepNext w:val="0"/>
              <w:widowControl w:val="0"/>
              <w:rPr>
                <w:szCs w:val="18"/>
              </w:rPr>
            </w:pPr>
            <w:r w:rsidRPr="00FA1E86">
              <w:rPr>
                <w:szCs w:val="18"/>
              </w:rPr>
              <w:t>Clinical study report (2021). A Phase 3, Randomized, Open-Label Trial Comparing Efficacy and Safety of Tirzepatide versus Semaglutide Once Weekly as Add-on Therapy to Metformin in Patients with Type 2 Diabetes</w:t>
            </w:r>
          </w:p>
        </w:tc>
        <w:tc>
          <w:tcPr>
            <w:tcW w:w="1043" w:type="pct"/>
            <w:tcBorders>
              <w:top w:val="single" w:sz="4" w:space="0" w:color="auto"/>
              <w:bottom w:val="single" w:sz="4" w:space="0" w:color="auto"/>
            </w:tcBorders>
            <w:vAlign w:val="center"/>
          </w:tcPr>
          <w:p w14:paraId="1B4A1193" w14:textId="77777777" w:rsidR="00FC24B1" w:rsidRPr="00FA1E86" w:rsidRDefault="00FC24B1" w:rsidP="00A1032E">
            <w:pPr>
              <w:pStyle w:val="COMTabletext"/>
              <w:keepNext w:val="0"/>
              <w:widowControl w:val="0"/>
              <w:rPr>
                <w:szCs w:val="18"/>
              </w:rPr>
            </w:pPr>
            <w:r w:rsidRPr="00FA1E86">
              <w:rPr>
                <w:szCs w:val="18"/>
              </w:rPr>
              <w:t>Internal study report</w:t>
            </w:r>
          </w:p>
        </w:tc>
      </w:tr>
      <w:tr w:rsidR="00FC24B1" w:rsidRPr="00FA1E86" w14:paraId="1F2AD028" w14:textId="77777777" w:rsidTr="00A1032E">
        <w:trPr>
          <w:cantSplit/>
        </w:trPr>
        <w:tc>
          <w:tcPr>
            <w:tcW w:w="673" w:type="pct"/>
            <w:vMerge/>
            <w:tcBorders>
              <w:bottom w:val="single" w:sz="4" w:space="0" w:color="auto"/>
            </w:tcBorders>
            <w:vAlign w:val="center"/>
          </w:tcPr>
          <w:p w14:paraId="6B2D5C9D" w14:textId="77777777" w:rsidR="00FC24B1" w:rsidRPr="00FA1E86" w:rsidRDefault="00FC24B1" w:rsidP="00A1032E">
            <w:pPr>
              <w:pStyle w:val="COMTabletext"/>
              <w:keepNext w:val="0"/>
              <w:widowControl w:val="0"/>
            </w:pPr>
          </w:p>
        </w:tc>
        <w:tc>
          <w:tcPr>
            <w:tcW w:w="3284" w:type="pct"/>
            <w:tcBorders>
              <w:top w:val="single" w:sz="4" w:space="0" w:color="auto"/>
              <w:bottom w:val="single" w:sz="4" w:space="0" w:color="auto"/>
            </w:tcBorders>
            <w:vAlign w:val="center"/>
          </w:tcPr>
          <w:p w14:paraId="4646D56A" w14:textId="77777777" w:rsidR="00FC24B1" w:rsidRPr="00FA1E86" w:rsidRDefault="00FC24B1" w:rsidP="00A1032E">
            <w:pPr>
              <w:pStyle w:val="COMTabletext"/>
              <w:keepNext w:val="0"/>
              <w:widowControl w:val="0"/>
              <w:rPr>
                <w:szCs w:val="18"/>
              </w:rPr>
            </w:pPr>
            <w:r w:rsidRPr="00FA1E86">
              <w:rPr>
                <w:szCs w:val="18"/>
              </w:rPr>
              <w:t>Frias JP, Davies M, Rosenstock J et al (2021). Tirzepatide versus Semaglutide Once Weekly in Patients with Type 2 Diabetes</w:t>
            </w:r>
          </w:p>
        </w:tc>
        <w:tc>
          <w:tcPr>
            <w:tcW w:w="1043" w:type="pct"/>
            <w:tcBorders>
              <w:top w:val="single" w:sz="4" w:space="0" w:color="auto"/>
              <w:bottom w:val="single" w:sz="4" w:space="0" w:color="auto"/>
            </w:tcBorders>
            <w:vAlign w:val="center"/>
          </w:tcPr>
          <w:p w14:paraId="26763061" w14:textId="77777777" w:rsidR="00FC24B1" w:rsidRPr="00FA1E86" w:rsidRDefault="00FC24B1" w:rsidP="00A1032E">
            <w:pPr>
              <w:pStyle w:val="COMTabletext"/>
              <w:keepNext w:val="0"/>
              <w:widowControl w:val="0"/>
              <w:rPr>
                <w:szCs w:val="18"/>
              </w:rPr>
            </w:pPr>
            <w:r w:rsidRPr="00FA1E86">
              <w:rPr>
                <w:szCs w:val="18"/>
              </w:rPr>
              <w:t>New England Journal of Medicine; 385:503-15</w:t>
            </w:r>
          </w:p>
        </w:tc>
      </w:tr>
      <w:tr w:rsidR="00271773" w:rsidRPr="00FA1E86" w14:paraId="1736DEB6" w14:textId="77777777" w:rsidTr="00A1032E">
        <w:trPr>
          <w:cantSplit/>
        </w:trPr>
        <w:tc>
          <w:tcPr>
            <w:tcW w:w="673" w:type="pct"/>
            <w:vMerge w:val="restart"/>
            <w:tcBorders>
              <w:top w:val="single" w:sz="4" w:space="0" w:color="auto"/>
            </w:tcBorders>
            <w:vAlign w:val="center"/>
          </w:tcPr>
          <w:p w14:paraId="48805CFB" w14:textId="77777777" w:rsidR="00271773" w:rsidRPr="00FA1E86" w:rsidRDefault="00271773" w:rsidP="00A1032E">
            <w:pPr>
              <w:pStyle w:val="COMTabletext"/>
              <w:keepNext w:val="0"/>
              <w:widowControl w:val="0"/>
            </w:pPr>
            <w:r w:rsidRPr="00FA1E86">
              <w:t>SUSTAIN 7</w:t>
            </w:r>
          </w:p>
        </w:tc>
        <w:tc>
          <w:tcPr>
            <w:tcW w:w="3284" w:type="pct"/>
            <w:tcBorders>
              <w:top w:val="single" w:sz="4" w:space="0" w:color="auto"/>
              <w:bottom w:val="single" w:sz="4" w:space="0" w:color="auto"/>
            </w:tcBorders>
            <w:vAlign w:val="center"/>
          </w:tcPr>
          <w:p w14:paraId="7F7BE9D6" w14:textId="77777777" w:rsidR="00271773" w:rsidRPr="00FA1E86" w:rsidRDefault="00271773" w:rsidP="00A1032E">
            <w:pPr>
              <w:pStyle w:val="COMTabletext"/>
              <w:keepNext w:val="0"/>
              <w:widowControl w:val="0"/>
              <w:rPr>
                <w:szCs w:val="18"/>
              </w:rPr>
            </w:pPr>
            <w:r w:rsidRPr="00FA1E86">
              <w:rPr>
                <w:szCs w:val="18"/>
              </w:rPr>
              <w:t xml:space="preserve">Pratley RE, </w:t>
            </w:r>
            <w:proofErr w:type="spellStart"/>
            <w:r w:rsidRPr="00FA1E86">
              <w:rPr>
                <w:szCs w:val="18"/>
              </w:rPr>
              <w:t>Aroda</w:t>
            </w:r>
            <w:proofErr w:type="spellEnd"/>
            <w:r w:rsidRPr="00FA1E86">
              <w:rPr>
                <w:szCs w:val="18"/>
              </w:rPr>
              <w:t xml:space="preserve"> VR, </w:t>
            </w:r>
            <w:proofErr w:type="spellStart"/>
            <w:r w:rsidRPr="00FA1E86">
              <w:rPr>
                <w:szCs w:val="18"/>
              </w:rPr>
              <w:t>Lingvay</w:t>
            </w:r>
            <w:proofErr w:type="spellEnd"/>
            <w:r w:rsidRPr="00FA1E86">
              <w:rPr>
                <w:szCs w:val="18"/>
              </w:rPr>
              <w:t xml:space="preserve"> I et al (2018). Semaglutide versus dulaglutide once weekly in patients with type 2 diabetes (SUSTAIN 7): a randomised, open-label, phase 3b trial</w:t>
            </w:r>
          </w:p>
        </w:tc>
        <w:tc>
          <w:tcPr>
            <w:tcW w:w="1043" w:type="pct"/>
            <w:tcBorders>
              <w:top w:val="single" w:sz="4" w:space="0" w:color="auto"/>
              <w:bottom w:val="single" w:sz="4" w:space="0" w:color="auto"/>
            </w:tcBorders>
            <w:vAlign w:val="center"/>
          </w:tcPr>
          <w:p w14:paraId="4FC6C315" w14:textId="77777777" w:rsidR="00271773" w:rsidRPr="00FA1E86" w:rsidRDefault="00271773" w:rsidP="00A1032E">
            <w:pPr>
              <w:pStyle w:val="COMTabletext"/>
              <w:keepNext w:val="0"/>
              <w:widowControl w:val="0"/>
            </w:pPr>
            <w:r w:rsidRPr="00FA1E86">
              <w:t>Lancet Diabetes &amp; Endocrinology; 6:275-86</w:t>
            </w:r>
          </w:p>
        </w:tc>
      </w:tr>
      <w:tr w:rsidR="00271773" w:rsidRPr="00FA1E86" w14:paraId="6AB89A1F" w14:textId="77777777" w:rsidTr="00A1032E">
        <w:trPr>
          <w:cantSplit/>
        </w:trPr>
        <w:tc>
          <w:tcPr>
            <w:tcW w:w="673" w:type="pct"/>
            <w:vMerge/>
            <w:tcBorders>
              <w:bottom w:val="single" w:sz="4" w:space="0" w:color="auto"/>
            </w:tcBorders>
            <w:vAlign w:val="center"/>
          </w:tcPr>
          <w:p w14:paraId="530D43ED" w14:textId="77777777" w:rsidR="00271773" w:rsidRPr="00FA1E86" w:rsidRDefault="00271773" w:rsidP="00A1032E">
            <w:pPr>
              <w:pStyle w:val="COMTabletext"/>
              <w:keepNext w:val="0"/>
              <w:widowControl w:val="0"/>
            </w:pPr>
          </w:p>
        </w:tc>
        <w:tc>
          <w:tcPr>
            <w:tcW w:w="3284" w:type="pct"/>
            <w:tcBorders>
              <w:top w:val="single" w:sz="4" w:space="0" w:color="auto"/>
              <w:bottom w:val="single" w:sz="4" w:space="0" w:color="auto"/>
            </w:tcBorders>
            <w:vAlign w:val="center"/>
          </w:tcPr>
          <w:p w14:paraId="3EF3B1A4" w14:textId="5A43C44F" w:rsidR="00271773" w:rsidRPr="00FA1E86" w:rsidRDefault="0079782D" w:rsidP="00A1032E">
            <w:pPr>
              <w:pStyle w:val="COMTabletext"/>
              <w:keepNext w:val="0"/>
              <w:widowControl w:val="0"/>
              <w:rPr>
                <w:szCs w:val="18"/>
              </w:rPr>
            </w:pPr>
            <w:r w:rsidRPr="00C27DC8">
              <w:rPr>
                <w:szCs w:val="18"/>
              </w:rPr>
              <w:t xml:space="preserve">Pratley RE, </w:t>
            </w:r>
            <w:proofErr w:type="spellStart"/>
            <w:r w:rsidRPr="00C27DC8">
              <w:rPr>
                <w:szCs w:val="18"/>
              </w:rPr>
              <w:t>Aroda</w:t>
            </w:r>
            <w:proofErr w:type="spellEnd"/>
            <w:r w:rsidRPr="00C27DC8">
              <w:rPr>
                <w:szCs w:val="18"/>
              </w:rPr>
              <w:t xml:space="preserve"> VR,</w:t>
            </w:r>
            <w:r>
              <w:rPr>
                <w:bCs w:val="0"/>
                <w:szCs w:val="18"/>
              </w:rPr>
              <w:t xml:space="preserve"> </w:t>
            </w:r>
            <w:proofErr w:type="spellStart"/>
            <w:r>
              <w:rPr>
                <w:bCs w:val="0"/>
                <w:szCs w:val="18"/>
              </w:rPr>
              <w:t>Catarig</w:t>
            </w:r>
            <w:proofErr w:type="spellEnd"/>
            <w:r>
              <w:rPr>
                <w:bCs w:val="0"/>
                <w:szCs w:val="18"/>
              </w:rPr>
              <w:t xml:space="preserve"> AM et al (2020). </w:t>
            </w:r>
            <w:r w:rsidRPr="00A23881">
              <w:rPr>
                <w:szCs w:val="18"/>
              </w:rPr>
              <w:t xml:space="preserve">Impact of patient characteristics on efficacy and safety of once-weekly semaglutide versus dulaglutide: SUSTAIN-7 </w:t>
            </w:r>
            <w:r w:rsidRPr="00A23881">
              <w:rPr>
                <w:i/>
                <w:iCs/>
                <w:szCs w:val="18"/>
              </w:rPr>
              <w:t>post hoc</w:t>
            </w:r>
            <w:r w:rsidRPr="00A23881">
              <w:rPr>
                <w:szCs w:val="18"/>
              </w:rPr>
              <w:t xml:space="preserve"> analyses</w:t>
            </w:r>
          </w:p>
        </w:tc>
        <w:tc>
          <w:tcPr>
            <w:tcW w:w="1043" w:type="pct"/>
            <w:tcBorders>
              <w:top w:val="single" w:sz="4" w:space="0" w:color="auto"/>
              <w:bottom w:val="single" w:sz="4" w:space="0" w:color="auto"/>
            </w:tcBorders>
            <w:vAlign w:val="center"/>
          </w:tcPr>
          <w:p w14:paraId="25F2B28D" w14:textId="7B6D6874" w:rsidR="00271773" w:rsidRPr="00FA1E86" w:rsidRDefault="0079782D" w:rsidP="00A1032E">
            <w:pPr>
              <w:pStyle w:val="COMTabletext"/>
              <w:keepNext w:val="0"/>
              <w:widowControl w:val="0"/>
            </w:pPr>
            <w:r>
              <w:rPr>
                <w:bCs w:val="0"/>
              </w:rPr>
              <w:t>BMJ Open; 10:e037883</w:t>
            </w:r>
          </w:p>
        </w:tc>
      </w:tr>
    </w:tbl>
    <w:p w14:paraId="51D8173A" w14:textId="0C75A466" w:rsidR="008E0D3C" w:rsidRPr="0076762E" w:rsidRDefault="008E0D3C" w:rsidP="007E51D5">
      <w:pPr>
        <w:pStyle w:val="COMTablefooter"/>
        <w:rPr>
          <w:sz w:val="20"/>
        </w:rPr>
      </w:pPr>
      <w:r w:rsidRPr="0076762E">
        <w:t xml:space="preserve">Source: </w:t>
      </w:r>
      <w:r w:rsidR="007A2AA6">
        <w:t>Table 2.2-1, p69 of the resubmission</w:t>
      </w:r>
    </w:p>
    <w:p w14:paraId="1DD06D7D" w14:textId="44F7F8FF" w:rsidR="007F1017" w:rsidRPr="0076762E" w:rsidRDefault="008F120A" w:rsidP="00EC5836">
      <w:pPr>
        <w:pStyle w:val="COMexecsummnumbered"/>
        <w:rPr>
          <w:color w:val="0066FF"/>
        </w:rPr>
      </w:pPr>
      <w:r w:rsidRPr="0076762E">
        <w:t xml:space="preserve">The key features of the </w:t>
      </w:r>
      <w:r w:rsidR="001E4984">
        <w:t>included trials</w:t>
      </w:r>
      <w:r w:rsidRPr="0076762E">
        <w:t xml:space="preserve"> are summarised in</w:t>
      </w:r>
      <w:r w:rsidR="00D6076E" w:rsidRPr="0076762E">
        <w:t xml:space="preserve"> </w:t>
      </w:r>
      <w:r w:rsidR="00D6076E" w:rsidRPr="0076762E">
        <w:fldChar w:fldCharType="begin" w:fldLock="1"/>
      </w:r>
      <w:r w:rsidR="00D6076E" w:rsidRPr="0076762E">
        <w:instrText xml:space="preserve"> REF _Ref104804098 \h  \* MERGEFORMAT </w:instrText>
      </w:r>
      <w:r w:rsidR="00D6076E" w:rsidRPr="0076762E">
        <w:fldChar w:fldCharType="separate"/>
      </w:r>
      <w:r w:rsidR="00EE035D" w:rsidRPr="000843BA">
        <w:t xml:space="preserve">Table </w:t>
      </w:r>
      <w:r w:rsidR="00EE035D">
        <w:t>4</w:t>
      </w:r>
      <w:r w:rsidR="00D6076E" w:rsidRPr="0076762E">
        <w:fldChar w:fldCharType="end"/>
      </w:r>
      <w:r w:rsidRPr="0076762E">
        <w:t>.</w:t>
      </w:r>
    </w:p>
    <w:p w14:paraId="355E2F15" w14:textId="7BD28601" w:rsidR="007F1017" w:rsidRPr="000843BA" w:rsidRDefault="00696EF9" w:rsidP="000843BA">
      <w:pPr>
        <w:pStyle w:val="Caption"/>
      </w:pPr>
      <w:bookmarkStart w:id="26" w:name="_Ref104804098"/>
      <w:r w:rsidRPr="000843BA">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4</w:t>
      </w:r>
      <w:r w:rsidR="00EE035D">
        <w:rPr>
          <w:noProof/>
        </w:rPr>
        <w:fldChar w:fldCharType="end"/>
      </w:r>
      <w:bookmarkEnd w:id="26"/>
      <w:r w:rsidR="00D6076E" w:rsidRPr="000843BA">
        <w:t xml:space="preserve">: </w:t>
      </w:r>
      <w:r w:rsidR="007F1017" w:rsidRPr="000843BA">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51"/>
        <w:gridCol w:w="806"/>
        <w:gridCol w:w="1380"/>
        <w:gridCol w:w="664"/>
        <w:gridCol w:w="1735"/>
        <w:gridCol w:w="1529"/>
        <w:gridCol w:w="1652"/>
      </w:tblGrid>
      <w:tr w:rsidR="00F60C35" w:rsidRPr="00FA1E86" w14:paraId="1F1FD685" w14:textId="77777777" w:rsidTr="00A1032E">
        <w:trPr>
          <w:cantSplit/>
          <w:tblHeader/>
        </w:trPr>
        <w:tc>
          <w:tcPr>
            <w:tcW w:w="694" w:type="pct"/>
            <w:shd w:val="clear" w:color="auto" w:fill="auto"/>
            <w:vAlign w:val="center"/>
          </w:tcPr>
          <w:p w14:paraId="2D42F875" w14:textId="77777777" w:rsidR="00F60C35" w:rsidRPr="00FA1E86" w:rsidRDefault="00F60C35" w:rsidP="00A1032E">
            <w:pPr>
              <w:pStyle w:val="COMTableheadingrow"/>
              <w:rPr>
                <w:lang w:val="en-AU"/>
              </w:rPr>
            </w:pPr>
            <w:r w:rsidRPr="00FA1E86">
              <w:rPr>
                <w:lang w:val="en-AU"/>
              </w:rPr>
              <w:t>Trial</w:t>
            </w:r>
          </w:p>
        </w:tc>
        <w:tc>
          <w:tcPr>
            <w:tcW w:w="447" w:type="pct"/>
            <w:shd w:val="clear" w:color="auto" w:fill="auto"/>
            <w:vAlign w:val="center"/>
          </w:tcPr>
          <w:p w14:paraId="7D427492" w14:textId="77777777" w:rsidR="00F60C35" w:rsidRPr="00FA1E86" w:rsidRDefault="00F60C35" w:rsidP="00A1032E">
            <w:pPr>
              <w:pStyle w:val="COMTableheadingrow"/>
              <w:jc w:val="center"/>
              <w:rPr>
                <w:lang w:val="en-AU"/>
              </w:rPr>
            </w:pPr>
            <w:r w:rsidRPr="00FA1E86">
              <w:rPr>
                <w:lang w:val="en-AU"/>
              </w:rPr>
              <w:t>N</w:t>
            </w:r>
          </w:p>
        </w:tc>
        <w:tc>
          <w:tcPr>
            <w:tcW w:w="765" w:type="pct"/>
            <w:shd w:val="clear" w:color="auto" w:fill="auto"/>
            <w:vAlign w:val="center"/>
          </w:tcPr>
          <w:p w14:paraId="797EFD98" w14:textId="77777777" w:rsidR="00F60C35" w:rsidRPr="00FA1E86" w:rsidRDefault="00F60C35" w:rsidP="00A1032E">
            <w:pPr>
              <w:pStyle w:val="COMTableheadingrow"/>
              <w:jc w:val="center"/>
              <w:rPr>
                <w:lang w:val="en-AU"/>
              </w:rPr>
            </w:pPr>
            <w:r w:rsidRPr="00FA1E86">
              <w:rPr>
                <w:lang w:val="en-AU"/>
              </w:rPr>
              <w:t>Design/ duration</w:t>
            </w:r>
          </w:p>
        </w:tc>
        <w:tc>
          <w:tcPr>
            <w:tcW w:w="368" w:type="pct"/>
            <w:shd w:val="clear" w:color="auto" w:fill="auto"/>
            <w:vAlign w:val="center"/>
          </w:tcPr>
          <w:p w14:paraId="17D3BA77" w14:textId="77777777" w:rsidR="00F60C35" w:rsidRPr="00FA1E86" w:rsidRDefault="00F60C35" w:rsidP="00A1032E">
            <w:pPr>
              <w:pStyle w:val="COMTableheadingrow"/>
              <w:jc w:val="center"/>
              <w:rPr>
                <w:lang w:val="en-AU"/>
              </w:rPr>
            </w:pPr>
            <w:r w:rsidRPr="00FA1E86">
              <w:rPr>
                <w:lang w:val="en-AU"/>
              </w:rPr>
              <w:t>Risk of bias</w:t>
            </w:r>
          </w:p>
        </w:tc>
        <w:tc>
          <w:tcPr>
            <w:tcW w:w="962" w:type="pct"/>
            <w:shd w:val="clear" w:color="auto" w:fill="auto"/>
            <w:vAlign w:val="center"/>
          </w:tcPr>
          <w:p w14:paraId="30A51FA7" w14:textId="77777777" w:rsidR="00F60C35" w:rsidRPr="00FA1E86" w:rsidRDefault="00F60C35" w:rsidP="00A1032E">
            <w:pPr>
              <w:pStyle w:val="COMTableheadingrow"/>
              <w:jc w:val="center"/>
              <w:rPr>
                <w:lang w:val="en-AU"/>
              </w:rPr>
            </w:pPr>
            <w:r w:rsidRPr="00FA1E86">
              <w:rPr>
                <w:lang w:val="en-AU"/>
              </w:rPr>
              <w:t>Patient population</w:t>
            </w:r>
          </w:p>
        </w:tc>
        <w:tc>
          <w:tcPr>
            <w:tcW w:w="848" w:type="pct"/>
            <w:shd w:val="clear" w:color="auto" w:fill="auto"/>
            <w:vAlign w:val="center"/>
          </w:tcPr>
          <w:p w14:paraId="49BC1AE4" w14:textId="77777777" w:rsidR="00F60C35" w:rsidRPr="00FA1E86" w:rsidRDefault="00F60C35" w:rsidP="00A1032E">
            <w:pPr>
              <w:pStyle w:val="COMTableheadingrow"/>
              <w:jc w:val="center"/>
              <w:rPr>
                <w:lang w:val="en-AU"/>
              </w:rPr>
            </w:pPr>
            <w:r w:rsidRPr="00FA1E86">
              <w:rPr>
                <w:lang w:val="en-AU"/>
              </w:rPr>
              <w:t>Outcomes</w:t>
            </w:r>
          </w:p>
        </w:tc>
        <w:tc>
          <w:tcPr>
            <w:tcW w:w="916" w:type="pct"/>
            <w:shd w:val="clear" w:color="auto" w:fill="auto"/>
            <w:vAlign w:val="center"/>
          </w:tcPr>
          <w:p w14:paraId="506072C5" w14:textId="77777777" w:rsidR="00F60C35" w:rsidRPr="00FA1E86" w:rsidRDefault="00F60C35" w:rsidP="00A1032E">
            <w:pPr>
              <w:pStyle w:val="COMTableheadingrow"/>
              <w:jc w:val="center"/>
              <w:rPr>
                <w:lang w:val="en-AU"/>
              </w:rPr>
            </w:pPr>
            <w:r w:rsidRPr="00FA1E86">
              <w:rPr>
                <w:lang w:val="en-AU"/>
              </w:rPr>
              <w:t>Use in modelled evaluation</w:t>
            </w:r>
          </w:p>
        </w:tc>
      </w:tr>
      <w:tr w:rsidR="00F60C35" w:rsidRPr="00FA1E86" w14:paraId="6C35DA65" w14:textId="77777777" w:rsidTr="00A1032E">
        <w:trPr>
          <w:cantSplit/>
        </w:trPr>
        <w:tc>
          <w:tcPr>
            <w:tcW w:w="5000" w:type="pct"/>
            <w:gridSpan w:val="7"/>
            <w:shd w:val="clear" w:color="auto" w:fill="auto"/>
            <w:vAlign w:val="center"/>
          </w:tcPr>
          <w:p w14:paraId="237575D3" w14:textId="77777777" w:rsidR="00F60C35" w:rsidRPr="00FA1E86" w:rsidRDefault="00F60C35" w:rsidP="00A1032E">
            <w:pPr>
              <w:pStyle w:val="COMTableheadingrow"/>
              <w:rPr>
                <w:lang w:val="en-AU"/>
              </w:rPr>
            </w:pPr>
            <w:r w:rsidRPr="00FA1E86">
              <w:rPr>
                <w:lang w:val="en-AU"/>
              </w:rPr>
              <w:t>Tirzepatide versus semaglutide</w:t>
            </w:r>
          </w:p>
        </w:tc>
      </w:tr>
      <w:tr w:rsidR="00F60C35" w:rsidRPr="00846137" w14:paraId="3011B0B7" w14:textId="77777777" w:rsidTr="00A1032E">
        <w:trPr>
          <w:cantSplit/>
        </w:trPr>
        <w:tc>
          <w:tcPr>
            <w:tcW w:w="694" w:type="pct"/>
            <w:shd w:val="clear" w:color="auto" w:fill="auto"/>
            <w:vAlign w:val="center"/>
          </w:tcPr>
          <w:p w14:paraId="69083E1D" w14:textId="77777777" w:rsidR="00F60C35" w:rsidRPr="00846137" w:rsidRDefault="00F60C35" w:rsidP="00A1032E">
            <w:pPr>
              <w:pStyle w:val="COMTabletext"/>
            </w:pPr>
            <w:r w:rsidRPr="00846137">
              <w:t>SURPASS-2</w:t>
            </w:r>
          </w:p>
        </w:tc>
        <w:tc>
          <w:tcPr>
            <w:tcW w:w="447" w:type="pct"/>
            <w:shd w:val="clear" w:color="auto" w:fill="auto"/>
            <w:vAlign w:val="center"/>
          </w:tcPr>
          <w:p w14:paraId="7C43CE40" w14:textId="77777777" w:rsidR="00F60C35" w:rsidRPr="00846137" w:rsidRDefault="00F60C35" w:rsidP="00A1032E">
            <w:pPr>
              <w:pStyle w:val="COMTabletext"/>
              <w:jc w:val="center"/>
            </w:pPr>
            <w:r w:rsidRPr="00846137">
              <w:t>1,878</w:t>
            </w:r>
          </w:p>
        </w:tc>
        <w:tc>
          <w:tcPr>
            <w:tcW w:w="765" w:type="pct"/>
            <w:shd w:val="clear" w:color="auto" w:fill="auto"/>
            <w:vAlign w:val="center"/>
          </w:tcPr>
          <w:p w14:paraId="504C66C8" w14:textId="77777777" w:rsidR="00F60C35" w:rsidRPr="00846137" w:rsidRDefault="00F60C35" w:rsidP="00A1032E">
            <w:pPr>
              <w:pStyle w:val="COMTabletext"/>
              <w:jc w:val="center"/>
            </w:pPr>
            <w:r w:rsidRPr="00846137">
              <w:t>MC, R, OL, AC</w:t>
            </w:r>
          </w:p>
          <w:p w14:paraId="1E0FF87A" w14:textId="77777777" w:rsidR="00F60C35" w:rsidRPr="00846137" w:rsidRDefault="00F60C35" w:rsidP="00A1032E">
            <w:pPr>
              <w:pStyle w:val="COMTabletext"/>
              <w:jc w:val="center"/>
            </w:pPr>
            <w:r w:rsidRPr="00846137">
              <w:t>40 weeks</w:t>
            </w:r>
          </w:p>
        </w:tc>
        <w:tc>
          <w:tcPr>
            <w:tcW w:w="368" w:type="pct"/>
            <w:shd w:val="clear" w:color="auto" w:fill="auto"/>
            <w:vAlign w:val="center"/>
          </w:tcPr>
          <w:p w14:paraId="65BC106C" w14:textId="77777777" w:rsidR="00F60C35" w:rsidRPr="00846137" w:rsidRDefault="00F60C35" w:rsidP="00A1032E">
            <w:pPr>
              <w:pStyle w:val="COMTabletext"/>
              <w:jc w:val="center"/>
            </w:pPr>
            <w:r w:rsidRPr="00846137">
              <w:t>High</w:t>
            </w:r>
          </w:p>
        </w:tc>
        <w:tc>
          <w:tcPr>
            <w:tcW w:w="962" w:type="pct"/>
            <w:shd w:val="clear" w:color="auto" w:fill="auto"/>
            <w:vAlign w:val="center"/>
          </w:tcPr>
          <w:p w14:paraId="7ACEF099" w14:textId="77777777" w:rsidR="00F60C35" w:rsidRPr="00846137" w:rsidRDefault="00F60C35" w:rsidP="00A1032E">
            <w:pPr>
              <w:pStyle w:val="COMTabletext"/>
              <w:jc w:val="center"/>
            </w:pPr>
            <w:r w:rsidRPr="00846137">
              <w:t>Type 2 diabetes on metformin alone</w:t>
            </w:r>
          </w:p>
        </w:tc>
        <w:tc>
          <w:tcPr>
            <w:tcW w:w="848" w:type="pct"/>
            <w:shd w:val="clear" w:color="auto" w:fill="auto"/>
            <w:vAlign w:val="center"/>
          </w:tcPr>
          <w:p w14:paraId="6FF116F7" w14:textId="77777777" w:rsidR="00F60C35" w:rsidRPr="00846137" w:rsidRDefault="00F60C35" w:rsidP="00A1032E">
            <w:pPr>
              <w:pStyle w:val="COMTabletext"/>
              <w:jc w:val="center"/>
            </w:pPr>
            <w:r w:rsidRPr="00846137">
              <w:t>HbA1c, weight, other biomarkers, quality of life and adverse events</w:t>
            </w:r>
          </w:p>
        </w:tc>
        <w:tc>
          <w:tcPr>
            <w:tcW w:w="916" w:type="pct"/>
            <w:shd w:val="clear" w:color="auto" w:fill="auto"/>
            <w:vAlign w:val="center"/>
          </w:tcPr>
          <w:p w14:paraId="0F0AE577" w14:textId="38AF9C8B" w:rsidR="00F60C35" w:rsidRPr="00846137" w:rsidRDefault="00560BDF" w:rsidP="00A1032E">
            <w:pPr>
              <w:pStyle w:val="COMTabletext"/>
              <w:jc w:val="center"/>
            </w:pPr>
            <w:r w:rsidRPr="00846137">
              <w:rPr>
                <w:iCs/>
              </w:rPr>
              <w:t>Post</w:t>
            </w:r>
            <w:r w:rsidRPr="00846137">
              <w:t xml:space="preserve"> </w:t>
            </w:r>
            <w:r w:rsidRPr="00846137">
              <w:rPr>
                <w:iCs/>
              </w:rPr>
              <w:t>hoc</w:t>
            </w:r>
            <w:r w:rsidRPr="00846137">
              <w:t xml:space="preserve"> subgroup</w:t>
            </w:r>
            <w:r w:rsidR="00F60C35" w:rsidRPr="00846137">
              <w:t xml:space="preserve"> patient characteristics and treatment effects</w:t>
            </w:r>
          </w:p>
        </w:tc>
      </w:tr>
      <w:tr w:rsidR="00F60C35" w:rsidRPr="00FA1E86" w14:paraId="0FE35A1C" w14:textId="77777777" w:rsidTr="00A1032E">
        <w:trPr>
          <w:cantSplit/>
        </w:trPr>
        <w:tc>
          <w:tcPr>
            <w:tcW w:w="5000" w:type="pct"/>
            <w:gridSpan w:val="7"/>
            <w:shd w:val="clear" w:color="auto" w:fill="auto"/>
            <w:vAlign w:val="center"/>
          </w:tcPr>
          <w:p w14:paraId="31B535F2" w14:textId="77777777" w:rsidR="00F60C35" w:rsidRPr="00FA1E86" w:rsidRDefault="00F60C35" w:rsidP="00A1032E">
            <w:pPr>
              <w:pStyle w:val="COMTabletext"/>
              <w:rPr>
                <w:b/>
                <w:bCs w:val="0"/>
              </w:rPr>
            </w:pPr>
            <w:r w:rsidRPr="00FA1E86">
              <w:rPr>
                <w:b/>
                <w:bCs w:val="0"/>
              </w:rPr>
              <w:t>Semaglutide versus dulaglutide</w:t>
            </w:r>
          </w:p>
        </w:tc>
      </w:tr>
      <w:tr w:rsidR="00F60C35" w:rsidRPr="00846137" w14:paraId="5C489B24" w14:textId="77777777" w:rsidTr="00A1032E">
        <w:trPr>
          <w:cantSplit/>
        </w:trPr>
        <w:tc>
          <w:tcPr>
            <w:tcW w:w="694" w:type="pct"/>
            <w:shd w:val="clear" w:color="auto" w:fill="auto"/>
            <w:vAlign w:val="center"/>
          </w:tcPr>
          <w:p w14:paraId="2004ABCE" w14:textId="77777777" w:rsidR="00F60C35" w:rsidRPr="00846137" w:rsidRDefault="00F60C35" w:rsidP="00A1032E">
            <w:pPr>
              <w:pStyle w:val="COMTabletext"/>
            </w:pPr>
            <w:r w:rsidRPr="00846137">
              <w:t>SUSTAIN 7</w:t>
            </w:r>
          </w:p>
        </w:tc>
        <w:tc>
          <w:tcPr>
            <w:tcW w:w="447" w:type="pct"/>
            <w:shd w:val="clear" w:color="auto" w:fill="auto"/>
            <w:vAlign w:val="center"/>
          </w:tcPr>
          <w:p w14:paraId="6E3FCA2F" w14:textId="77777777" w:rsidR="00F60C35" w:rsidRPr="00846137" w:rsidRDefault="00F60C35" w:rsidP="00A1032E">
            <w:pPr>
              <w:pStyle w:val="COMTabletext"/>
              <w:jc w:val="center"/>
            </w:pPr>
            <w:r w:rsidRPr="00846137">
              <w:t>1,199</w:t>
            </w:r>
          </w:p>
        </w:tc>
        <w:tc>
          <w:tcPr>
            <w:tcW w:w="765" w:type="pct"/>
            <w:shd w:val="clear" w:color="auto" w:fill="auto"/>
            <w:vAlign w:val="center"/>
          </w:tcPr>
          <w:p w14:paraId="203C70CD" w14:textId="77777777" w:rsidR="00F60C35" w:rsidRPr="00846137" w:rsidRDefault="00F60C35" w:rsidP="00A1032E">
            <w:pPr>
              <w:pStyle w:val="Tabletext0"/>
              <w:jc w:val="center"/>
            </w:pPr>
            <w:r w:rsidRPr="00846137">
              <w:t>MC, R, OL, AC</w:t>
            </w:r>
          </w:p>
          <w:p w14:paraId="49C02889" w14:textId="77777777" w:rsidR="00F60C35" w:rsidRPr="00846137" w:rsidRDefault="00F60C35" w:rsidP="00A1032E">
            <w:pPr>
              <w:pStyle w:val="COMTabletext"/>
              <w:jc w:val="center"/>
            </w:pPr>
            <w:r w:rsidRPr="00846137">
              <w:t>40 weeks</w:t>
            </w:r>
          </w:p>
        </w:tc>
        <w:tc>
          <w:tcPr>
            <w:tcW w:w="368" w:type="pct"/>
            <w:shd w:val="clear" w:color="auto" w:fill="auto"/>
            <w:vAlign w:val="center"/>
          </w:tcPr>
          <w:p w14:paraId="6BDFF538" w14:textId="77777777" w:rsidR="00F60C35" w:rsidRPr="00846137" w:rsidRDefault="00F60C35" w:rsidP="00A1032E">
            <w:pPr>
              <w:pStyle w:val="COMTabletext"/>
              <w:jc w:val="center"/>
            </w:pPr>
            <w:r w:rsidRPr="00846137">
              <w:t>High</w:t>
            </w:r>
          </w:p>
        </w:tc>
        <w:tc>
          <w:tcPr>
            <w:tcW w:w="962" w:type="pct"/>
            <w:shd w:val="clear" w:color="auto" w:fill="auto"/>
            <w:vAlign w:val="center"/>
          </w:tcPr>
          <w:p w14:paraId="09CF634D" w14:textId="77777777" w:rsidR="00F60C35" w:rsidRPr="00846137" w:rsidRDefault="00F60C35" w:rsidP="00A1032E">
            <w:pPr>
              <w:pStyle w:val="COMTabletext"/>
              <w:jc w:val="center"/>
            </w:pPr>
            <w:r w:rsidRPr="00846137">
              <w:t>Type 2 diabetes on metformin alone</w:t>
            </w:r>
          </w:p>
        </w:tc>
        <w:tc>
          <w:tcPr>
            <w:tcW w:w="848" w:type="pct"/>
            <w:shd w:val="clear" w:color="auto" w:fill="auto"/>
            <w:vAlign w:val="center"/>
          </w:tcPr>
          <w:p w14:paraId="7421417C" w14:textId="77777777" w:rsidR="00F60C35" w:rsidRPr="00846137" w:rsidRDefault="00F60C35" w:rsidP="00A1032E">
            <w:pPr>
              <w:pStyle w:val="COMTabletext"/>
              <w:jc w:val="center"/>
            </w:pPr>
            <w:r w:rsidRPr="00846137">
              <w:t>HbA1c, weight, other biomarkers, quality of life and adverse events</w:t>
            </w:r>
          </w:p>
        </w:tc>
        <w:tc>
          <w:tcPr>
            <w:tcW w:w="916" w:type="pct"/>
            <w:shd w:val="clear" w:color="auto" w:fill="auto"/>
            <w:vAlign w:val="center"/>
          </w:tcPr>
          <w:p w14:paraId="3ADA1AF2" w14:textId="08C17AB7" w:rsidR="00F60C35" w:rsidRPr="00846137" w:rsidRDefault="00560BDF" w:rsidP="00A1032E">
            <w:pPr>
              <w:pStyle w:val="COMTabletext"/>
              <w:jc w:val="center"/>
            </w:pPr>
            <w:r w:rsidRPr="00846137">
              <w:rPr>
                <w:iCs/>
              </w:rPr>
              <w:t>Post</w:t>
            </w:r>
            <w:r w:rsidRPr="00846137">
              <w:t xml:space="preserve"> </w:t>
            </w:r>
            <w:r w:rsidRPr="00846137">
              <w:rPr>
                <w:iCs/>
              </w:rPr>
              <w:t>hoc</w:t>
            </w:r>
            <w:r w:rsidRPr="00846137">
              <w:t xml:space="preserve"> subgroup </w:t>
            </w:r>
            <w:r w:rsidR="00F60C35" w:rsidRPr="00846137">
              <w:t>treatment effects for semaglutide 0.5 mg</w:t>
            </w:r>
          </w:p>
        </w:tc>
      </w:tr>
    </w:tbl>
    <w:p w14:paraId="560080D2" w14:textId="3C4AB7AD" w:rsidR="00045017" w:rsidRPr="0076762E" w:rsidRDefault="00045017" w:rsidP="007E51D5">
      <w:pPr>
        <w:pStyle w:val="COMTablefooter"/>
      </w:pPr>
      <w:r w:rsidRPr="0076762E">
        <w:t xml:space="preserve">Source: </w:t>
      </w:r>
      <w:r w:rsidR="00E64589">
        <w:t>Section 2.4</w:t>
      </w:r>
      <w:r w:rsidR="00E64589" w:rsidRPr="00E64589">
        <w:t>, pp78-96 of the resubmission</w:t>
      </w:r>
    </w:p>
    <w:p w14:paraId="1095487C" w14:textId="6929A252" w:rsidR="00620C25" w:rsidRPr="0076762E" w:rsidRDefault="00E64589" w:rsidP="007E51D5">
      <w:pPr>
        <w:pStyle w:val="COMTablefooter"/>
        <w:rPr>
          <w:sz w:val="20"/>
        </w:rPr>
      </w:pPr>
      <w:r>
        <w:t>Abbreviations:</w:t>
      </w:r>
      <w:r w:rsidRPr="00E64589">
        <w:t xml:space="preserve"> AC, active-control; HbA1c, glycated haemoglobin; MC, multicentre; OL, open-label; R, randomised.</w:t>
      </w:r>
    </w:p>
    <w:p w14:paraId="573BCB8C" w14:textId="66CABCD9" w:rsidR="00027165" w:rsidRPr="00783F7F" w:rsidRDefault="00674D5E" w:rsidP="00027165">
      <w:pPr>
        <w:pStyle w:val="COMexecsummnumbered"/>
      </w:pPr>
      <w:r w:rsidRPr="00E96CBF">
        <w:t>The PBAC considered the risk of bias in the open-label SURPASS-2 and SUSTAIN 7 trials was high (para 7.6, tirzepatide PSD, July 2023 PBAC meeting).</w:t>
      </w:r>
      <w:r w:rsidR="00027165" w:rsidRPr="00E96CBF">
        <w:t xml:space="preserve"> </w:t>
      </w:r>
      <w:r w:rsidR="005D0E22" w:rsidRPr="00E96CBF">
        <w:t xml:space="preserve">The PBAC noted the differential discontinuation between arms in the SURPASS-2 trial, with a higher rate of discontinuations in the tirzepatide 10 mg </w:t>
      </w:r>
      <w:r w:rsidR="005D0E22" w:rsidRPr="00783F7F">
        <w:t xml:space="preserve">and 15 mg arms (12-13%) compared to the tirzepatide 5 mg and semaglutide 1 mg arms (8-9%). </w:t>
      </w:r>
    </w:p>
    <w:p w14:paraId="4899E35E" w14:textId="28E5500C" w:rsidR="007F1017" w:rsidRPr="00E96CBF" w:rsidRDefault="007043E4" w:rsidP="00957BA5">
      <w:pPr>
        <w:pStyle w:val="COMexecsummnumbered"/>
      </w:pPr>
      <w:r w:rsidRPr="00E96CBF">
        <w:t xml:space="preserve">The </w:t>
      </w:r>
      <w:r w:rsidRPr="00E96CBF">
        <w:rPr>
          <w:i/>
          <w:iCs/>
        </w:rPr>
        <w:t>post hoc</w:t>
      </w:r>
      <w:r w:rsidRPr="00E96CBF">
        <w:t xml:space="preserve"> subgroup analyses presented in the resubmission </w:t>
      </w:r>
      <w:r w:rsidR="00BC5B54" w:rsidRPr="00E96CBF">
        <w:t xml:space="preserve">were also associated with a high risk of bias. </w:t>
      </w:r>
      <w:r w:rsidR="00AC010C" w:rsidRPr="00E96CBF">
        <w:t>Treatment discontinuation rates appeared similar between arms in the subgroup with BMI ≥35</w:t>
      </w:r>
      <w:r w:rsidR="00027165" w:rsidRPr="00E96CBF">
        <w:t> </w:t>
      </w:r>
      <w:r w:rsidR="00AC010C" w:rsidRPr="00E96CBF">
        <w:t>kg/m</w:t>
      </w:r>
      <w:r w:rsidR="00AC010C" w:rsidRPr="00E96CBF">
        <w:rPr>
          <w:vertAlign w:val="superscript"/>
        </w:rPr>
        <w:t>2</w:t>
      </w:r>
      <w:r w:rsidR="00AC010C" w:rsidRPr="00E96CBF">
        <w:t>,</w:t>
      </w:r>
      <w:r w:rsidR="00AC010C" w:rsidRPr="00E96CBF">
        <w:rPr>
          <w:vertAlign w:val="superscript"/>
        </w:rPr>
        <w:t xml:space="preserve"> </w:t>
      </w:r>
      <w:r w:rsidR="00AC010C" w:rsidRPr="00C05B36">
        <w:t>with marginally higher rates of discontinuation in the tirzepatide 10 mg and 15 mg arms (10-11%) compared to the tirzepatide 5 mg and semaglutide 1 mg arms (9%). This was in contrast to the complement group with BMI &lt;35 kg/m</w:t>
      </w:r>
      <w:r w:rsidR="00AC010C" w:rsidRPr="00C05B36">
        <w:rPr>
          <w:vertAlign w:val="superscript"/>
        </w:rPr>
        <w:t>2</w:t>
      </w:r>
      <w:r w:rsidR="00AC010C" w:rsidRPr="00C05B36">
        <w:t xml:space="preserve"> that had higher discontinuation rates in the tirzepatide 10 mg and 15 mg arms (14-15%) compared to the tirzepatide 5 mg and semaglutide 1 mg arms (8-9%).</w:t>
      </w:r>
      <w:r w:rsidR="00756570">
        <w:rPr>
          <w:rStyle w:val="FootnoteReference"/>
        </w:rPr>
        <w:footnoteReference w:id="3"/>
      </w:r>
      <w:r w:rsidR="00AC010C" w:rsidRPr="00C05B36">
        <w:t xml:space="preserve"> The difference appears</w:t>
      </w:r>
      <w:r w:rsidR="00AC010C" w:rsidRPr="00E96CBF">
        <w:t xml:space="preserve"> to be due to a greater frequency of adverse events leading to treatment discontinuation among patients with BMI &lt;35 kg/m</w:t>
      </w:r>
      <w:r w:rsidR="00AC010C" w:rsidRPr="00E96CBF">
        <w:rPr>
          <w:vertAlign w:val="superscript"/>
        </w:rPr>
        <w:t>2</w:t>
      </w:r>
      <w:r w:rsidR="00AC010C" w:rsidRPr="00E96CBF">
        <w:t xml:space="preserve"> who receive</w:t>
      </w:r>
      <w:r w:rsidR="00027165" w:rsidRPr="00E96CBF">
        <w:t>d</w:t>
      </w:r>
      <w:r w:rsidR="00AC010C" w:rsidRPr="00E96CBF">
        <w:t xml:space="preserve"> the higher doses of tirzepatide.</w:t>
      </w:r>
    </w:p>
    <w:p w14:paraId="34A2CDFD" w14:textId="4CAAE2F0" w:rsidR="00AA2C4B" w:rsidRPr="00E96CBF" w:rsidRDefault="00383C66" w:rsidP="00AD67CA">
      <w:pPr>
        <w:pStyle w:val="COMexecsummnumbered"/>
      </w:pPr>
      <w:r w:rsidRPr="00E96CBF">
        <w:t>Patients included in the clinical trials were required to have inadequate glycaemic control despite treatment with metformin alone. This population may not be representative of patients who had failed treatment with at least one of: metformin, a sulfonylurea or insulin, and had inadequate response/intolerance/contraindication to an SGLT2 inhibitor.</w:t>
      </w:r>
    </w:p>
    <w:p w14:paraId="7612CDC7" w14:textId="6328F097" w:rsidR="008F55F9" w:rsidRPr="00E96CBF" w:rsidRDefault="009211DE" w:rsidP="00AD67CA">
      <w:pPr>
        <w:pStyle w:val="COMexecsummnumbered"/>
      </w:pPr>
      <w:r w:rsidRPr="00E96CBF">
        <w:lastRenderedPageBreak/>
        <w:t xml:space="preserve">The </w:t>
      </w:r>
      <w:r w:rsidR="00F235F6" w:rsidRPr="00E96CBF">
        <w:t xml:space="preserve">trials used fixed dosing of tirzepatide and semaglutide which was inconsistent with </w:t>
      </w:r>
      <w:r w:rsidR="008F55F9" w:rsidRPr="00E96CBF">
        <w:t xml:space="preserve">the respective product information documents which recommend flexible titration. </w:t>
      </w:r>
    </w:p>
    <w:p w14:paraId="777C7F73" w14:textId="66F031EB" w:rsidR="009211DE" w:rsidRPr="00E96CBF" w:rsidRDefault="008F55F9" w:rsidP="00AD67CA">
      <w:pPr>
        <w:pStyle w:val="COMexecsummnumbered"/>
      </w:pPr>
      <w:r w:rsidRPr="00E96CBF">
        <w:t>The efficacy and safety of prolonged use of titration doses of tirzepatide (2.5</w:t>
      </w:r>
      <w:r w:rsidR="00B73E1A">
        <w:t> </w:t>
      </w:r>
      <w:r w:rsidRPr="00E96CBF">
        <w:t>mg, 7.5</w:t>
      </w:r>
      <w:r w:rsidR="006D0DB3" w:rsidRPr="00E96CBF">
        <w:t> </w:t>
      </w:r>
      <w:r w:rsidRPr="00E96CBF">
        <w:t>mg, 12.5 mg) is unknown given the use of these doses in the key trial was limited to 4 weeks.</w:t>
      </w:r>
    </w:p>
    <w:p w14:paraId="22190971" w14:textId="7771D7FD" w:rsidR="002628A3" w:rsidRPr="00AD67CA" w:rsidRDefault="002628A3" w:rsidP="00AD67CA">
      <w:pPr>
        <w:pStyle w:val="COMexecsummnumbered"/>
      </w:pPr>
      <w:r w:rsidRPr="002628A3">
        <w:t>The resubmission claimed the impact of type 2 diabetes is higher among Aboriginal and Torres Strait Islander</w:t>
      </w:r>
      <w:r w:rsidR="00852702">
        <w:t xml:space="preserve"> peoples</w:t>
      </w:r>
      <w:r w:rsidRPr="002628A3">
        <w:t xml:space="preserve"> compared to non-Indigenous people due to their high burden of disease. The resubmission assumed that Aboriginal and Torres Strait Islander peoples would have at least the same capacity to benefit as the subgroup with BMI ≥ 35 kg/m</w:t>
      </w:r>
      <w:r w:rsidRPr="002628A3">
        <w:rPr>
          <w:vertAlign w:val="superscript"/>
        </w:rPr>
        <w:t>2</w:t>
      </w:r>
      <w:r w:rsidRPr="002628A3">
        <w:t xml:space="preserve"> in the key trial.</w:t>
      </w:r>
    </w:p>
    <w:p w14:paraId="4A4FE085" w14:textId="1C5613CC" w:rsidR="00B60939" w:rsidRPr="0076762E" w:rsidRDefault="00B60939" w:rsidP="003D5DE7">
      <w:pPr>
        <w:pStyle w:val="COMH2-non-numbered"/>
      </w:pPr>
      <w:bookmarkStart w:id="27" w:name="_Toc22897641"/>
      <w:bookmarkStart w:id="28" w:name="_Toc176618567"/>
      <w:r w:rsidRPr="0076762E">
        <w:t>Comparative effectiveness</w:t>
      </w:r>
      <w:bookmarkEnd w:id="27"/>
      <w:bookmarkEnd w:id="28"/>
    </w:p>
    <w:p w14:paraId="28593FB8" w14:textId="090E87A9" w:rsidR="002C2775" w:rsidRDefault="001D338D" w:rsidP="00EC5836">
      <w:pPr>
        <w:pStyle w:val="COMexecsummnumbered"/>
      </w:pPr>
      <w:r w:rsidRPr="001D338D">
        <w:t xml:space="preserve">The SURPASS-2 trial assessed two primary </w:t>
      </w:r>
      <w:proofErr w:type="spellStart"/>
      <w:r w:rsidRPr="001D338D">
        <w:t>estimands</w:t>
      </w:r>
      <w:proofErr w:type="spellEnd"/>
      <w:r w:rsidRPr="001D338D">
        <w:t xml:space="preserve"> to compare efficacy outcomes between treatment groups: the efficacy estimand and the treatment-regimen estimand. The efficacy estimand used data censored for patients who prematurely discontinued treatment or used rescue medication, while the treatment regimen estimand included all in-trial data regardless of discontinuations or use of rescue medication. Both analyses were conducted in patients who underwent randomisation and received at least one dose of the assigned intervention (i.e. modified ITT population).</w:t>
      </w:r>
    </w:p>
    <w:p w14:paraId="63AB2591" w14:textId="24893F58" w:rsidR="001D338D" w:rsidRDefault="001D338D" w:rsidP="00EC5836">
      <w:pPr>
        <w:pStyle w:val="COMexecsummnumbered"/>
      </w:pPr>
      <w:r w:rsidRPr="001D338D">
        <w:t>Results based on the efficacy estimand were numerically higher in favour of tirzepatide versus semaglutide 1 mg, compared to the treatment regimen estimand, as it does not account for the impact of treatment discontinuations, which occurred more frequently in the tirzepatide 10 mg and 15 mg arms compared to the tirzepatide 5 mg and semaglutide 1 mg arms</w:t>
      </w:r>
      <w:r>
        <w:t>.</w:t>
      </w:r>
    </w:p>
    <w:p w14:paraId="1370BBAA" w14:textId="51C9BFCF" w:rsidR="006313F9" w:rsidRDefault="000843BA" w:rsidP="00EC5836">
      <w:pPr>
        <w:pStyle w:val="COMexecsummnumbered"/>
      </w:pPr>
      <w:r>
        <w:fldChar w:fldCharType="begin" w:fldLock="1"/>
      </w:r>
      <w:r>
        <w:instrText xml:space="preserve"> REF _Ref175745384 \h </w:instrText>
      </w:r>
      <w:r>
        <w:fldChar w:fldCharType="separate"/>
      </w:r>
      <w:r w:rsidR="00EE035D">
        <w:t xml:space="preserve">Table </w:t>
      </w:r>
      <w:r w:rsidR="00EE035D">
        <w:rPr>
          <w:noProof/>
        </w:rPr>
        <w:t>5</w:t>
      </w:r>
      <w:r>
        <w:fldChar w:fldCharType="end"/>
      </w:r>
      <w:r w:rsidR="006313F9">
        <w:t xml:space="preserve"> presents</w:t>
      </w:r>
      <w:r w:rsidR="00973D5B">
        <w:t xml:space="preserve"> the </w:t>
      </w:r>
      <w:r w:rsidR="004E29DC" w:rsidRPr="004E29DC">
        <w:rPr>
          <w:i/>
          <w:iCs/>
        </w:rPr>
        <w:t>post hoc</w:t>
      </w:r>
      <w:r w:rsidR="004E29DC" w:rsidRPr="004E29DC">
        <w:t xml:space="preserve"> subgroup analyses </w:t>
      </w:r>
      <w:r w:rsidR="004E29DC">
        <w:t xml:space="preserve">of </w:t>
      </w:r>
      <w:r w:rsidR="006313F9">
        <w:t xml:space="preserve">change in </w:t>
      </w:r>
      <w:r w:rsidR="005E00E1" w:rsidRPr="005E00E1">
        <w:t>HbA1c from baseline to 40 weeks</w:t>
      </w:r>
      <w:r w:rsidR="004E29DC">
        <w:t xml:space="preserve"> according to baseline BMI category. </w:t>
      </w:r>
    </w:p>
    <w:p w14:paraId="3F0FC14B" w14:textId="36DA6318" w:rsidR="005E00E1" w:rsidRPr="00782E57" w:rsidRDefault="000843BA" w:rsidP="000843BA">
      <w:pPr>
        <w:pStyle w:val="Caption"/>
      </w:pPr>
      <w:bookmarkStart w:id="29" w:name="_Ref175745384"/>
      <w:r>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5</w:t>
      </w:r>
      <w:r w:rsidR="00EE035D">
        <w:rPr>
          <w:noProof/>
        </w:rPr>
        <w:fldChar w:fldCharType="end"/>
      </w:r>
      <w:bookmarkEnd w:id="29"/>
      <w:r w:rsidR="005E00E1" w:rsidRPr="00E86AD5">
        <w:t xml:space="preserve">: </w:t>
      </w:r>
      <w:r w:rsidR="005E00E1">
        <w:t>C</w:t>
      </w:r>
      <w:r w:rsidR="005E00E1" w:rsidRPr="00E86AD5">
        <w:t xml:space="preserve">hange in HbA1c at 40 weeks </w:t>
      </w:r>
      <w:r w:rsidR="005E00E1">
        <w:t>by baseline BMI ≥35 kg/m</w:t>
      </w:r>
      <w:r w:rsidR="005E00E1">
        <w:rPr>
          <w:vertAlign w:val="superscript"/>
        </w:rPr>
        <w:t>2</w:t>
      </w:r>
      <w:r w:rsidR="005E00E1">
        <w:t xml:space="preserve"> and BMI &lt;35 kg/m</w:t>
      </w:r>
      <w:r w:rsidR="005E00E1">
        <w:rPr>
          <w:vertAlign w:val="superscript"/>
        </w:rPr>
        <w:t>2</w:t>
      </w:r>
    </w:p>
    <w:tbl>
      <w:tblPr>
        <w:tblStyle w:val="TableGrid"/>
        <w:tblW w:w="0" w:type="auto"/>
        <w:tblCellMar>
          <w:left w:w="28" w:type="dxa"/>
          <w:right w:w="28" w:type="dxa"/>
        </w:tblCellMar>
        <w:tblLook w:val="04A0" w:firstRow="1" w:lastRow="0" w:firstColumn="1" w:lastColumn="0" w:noHBand="0" w:noVBand="1"/>
        <w:tblCaption w:val="Table 5: Change in HbA1c at 40 weeks by baseline BMI ≥35 kg/m2 and BMI &lt;35 kg/m2"/>
      </w:tblPr>
      <w:tblGrid>
        <w:gridCol w:w="1139"/>
        <w:gridCol w:w="1894"/>
        <w:gridCol w:w="868"/>
        <w:gridCol w:w="1400"/>
        <w:gridCol w:w="2201"/>
        <w:gridCol w:w="1515"/>
      </w:tblGrid>
      <w:tr w:rsidR="005E00E1" w:rsidRPr="00E86AD5" w14:paraId="59DE2321" w14:textId="77777777" w:rsidTr="00A1032E">
        <w:tc>
          <w:tcPr>
            <w:tcW w:w="1139" w:type="dxa"/>
            <w:vAlign w:val="center"/>
          </w:tcPr>
          <w:p w14:paraId="5A7726D2" w14:textId="311FD474" w:rsidR="005E00E1" w:rsidRPr="00E86AD5" w:rsidRDefault="005E00E1" w:rsidP="00A1032E">
            <w:pPr>
              <w:keepNext/>
              <w:jc w:val="left"/>
              <w:rPr>
                <w:rFonts w:ascii="Arial Narrow" w:eastAsiaTheme="majorEastAsia" w:hAnsi="Arial Narrow" w:cs="Times New Roman"/>
                <w:b/>
                <w:sz w:val="20"/>
              </w:rPr>
            </w:pPr>
            <w:r>
              <w:rPr>
                <w:rFonts w:ascii="Arial Narrow" w:eastAsiaTheme="majorEastAsia" w:hAnsi="Arial Narrow" w:cs="Times New Roman"/>
                <w:b/>
                <w:sz w:val="20"/>
              </w:rPr>
              <w:t>HbA1c, %</w:t>
            </w:r>
          </w:p>
        </w:tc>
        <w:tc>
          <w:tcPr>
            <w:tcW w:w="1894" w:type="dxa"/>
            <w:vAlign w:val="center"/>
          </w:tcPr>
          <w:p w14:paraId="2819388E" w14:textId="77777777" w:rsidR="005E00E1" w:rsidRPr="00E86AD5" w:rsidRDefault="005E00E1" w:rsidP="00A1032E">
            <w:pPr>
              <w:keepNext/>
              <w:jc w:val="left"/>
              <w:rPr>
                <w:rFonts w:ascii="Arial Narrow" w:eastAsiaTheme="majorEastAsia" w:hAnsi="Arial Narrow" w:cs="Times New Roman"/>
                <w:b/>
                <w:sz w:val="20"/>
              </w:rPr>
            </w:pPr>
            <w:r w:rsidRPr="00E86AD5">
              <w:rPr>
                <w:rFonts w:ascii="Arial Narrow" w:eastAsiaTheme="majorEastAsia" w:hAnsi="Arial Narrow" w:cs="Times New Roman"/>
                <w:b/>
                <w:sz w:val="20"/>
              </w:rPr>
              <w:t>Treatment arm</w:t>
            </w:r>
          </w:p>
        </w:tc>
        <w:tc>
          <w:tcPr>
            <w:tcW w:w="868" w:type="dxa"/>
            <w:vAlign w:val="center"/>
          </w:tcPr>
          <w:p w14:paraId="6A9B797F" w14:textId="77777777"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n</w:t>
            </w:r>
          </w:p>
        </w:tc>
        <w:tc>
          <w:tcPr>
            <w:tcW w:w="1400" w:type="dxa"/>
            <w:vAlign w:val="center"/>
          </w:tcPr>
          <w:p w14:paraId="6990FC23" w14:textId="77777777" w:rsidR="005E00E1" w:rsidRPr="00E86AD5" w:rsidRDefault="005E00E1" w:rsidP="00A1032E">
            <w:pPr>
              <w:keepNext/>
              <w:jc w:val="center"/>
              <w:rPr>
                <w:rFonts w:ascii="Arial Narrow" w:eastAsiaTheme="majorEastAsia" w:hAnsi="Arial Narrow" w:cs="Times New Roman"/>
                <w:b/>
                <w:sz w:val="20"/>
                <w:vertAlign w:val="superscript"/>
              </w:rPr>
            </w:pPr>
            <w:r w:rsidRPr="00E86AD5">
              <w:rPr>
                <w:rFonts w:ascii="Arial Narrow" w:eastAsiaTheme="majorEastAsia" w:hAnsi="Arial Narrow" w:cs="Times New Roman"/>
                <w:b/>
                <w:sz w:val="20"/>
              </w:rPr>
              <w:t>Change from baseline, LSM (SE)</w:t>
            </w:r>
          </w:p>
        </w:tc>
        <w:tc>
          <w:tcPr>
            <w:tcW w:w="2201" w:type="dxa"/>
            <w:vAlign w:val="center"/>
          </w:tcPr>
          <w:p w14:paraId="7A25C658" w14:textId="3511C8D5"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Tirzepatide vs semaglutide, LSM difference (95% CI)</w:t>
            </w:r>
          </w:p>
        </w:tc>
        <w:tc>
          <w:tcPr>
            <w:tcW w:w="1515" w:type="dxa"/>
            <w:vAlign w:val="center"/>
          </w:tcPr>
          <w:p w14:paraId="163712EF" w14:textId="77777777" w:rsidR="005E00E1" w:rsidRPr="00E86AD5" w:rsidRDefault="005E00E1" w:rsidP="00A1032E">
            <w:pPr>
              <w:keepNext/>
              <w:jc w:val="center"/>
              <w:rPr>
                <w:rFonts w:ascii="Arial Narrow" w:eastAsiaTheme="majorEastAsia" w:hAnsi="Arial Narrow" w:cs="Times New Roman"/>
                <w:b/>
                <w:sz w:val="20"/>
              </w:rPr>
            </w:pPr>
            <w:r w:rsidRPr="00E86AD5">
              <w:rPr>
                <w:rFonts w:ascii="Arial Narrow" w:eastAsiaTheme="majorEastAsia" w:hAnsi="Arial Narrow" w:cs="Times New Roman"/>
                <w:b/>
                <w:sz w:val="20"/>
              </w:rPr>
              <w:t>Interaction p-value</w:t>
            </w:r>
          </w:p>
        </w:tc>
      </w:tr>
      <w:tr w:rsidR="005E00E1" w:rsidRPr="00E86AD5" w14:paraId="42A69DEF" w14:textId="77777777" w:rsidTr="00A1032E">
        <w:tc>
          <w:tcPr>
            <w:tcW w:w="9017" w:type="dxa"/>
            <w:gridSpan w:val="6"/>
            <w:vAlign w:val="center"/>
          </w:tcPr>
          <w:p w14:paraId="39F68DB1" w14:textId="77777777" w:rsidR="005E00E1" w:rsidRPr="00E86AD5" w:rsidRDefault="005E00E1" w:rsidP="00A1032E">
            <w:pPr>
              <w:pStyle w:val="COMTableheadingrow"/>
            </w:pPr>
            <w:r>
              <w:t xml:space="preserve">Treatment regimen </w:t>
            </w:r>
            <w:proofErr w:type="spellStart"/>
            <w:r>
              <w:t>estimand</w:t>
            </w:r>
            <w:proofErr w:type="spellEnd"/>
          </w:p>
        </w:tc>
      </w:tr>
      <w:tr w:rsidR="005E00E1" w:rsidRPr="00E86AD5" w14:paraId="54C81470" w14:textId="77777777" w:rsidTr="00A1032E">
        <w:tc>
          <w:tcPr>
            <w:tcW w:w="1139" w:type="dxa"/>
            <w:vMerge w:val="restart"/>
            <w:vAlign w:val="center"/>
          </w:tcPr>
          <w:p w14:paraId="0D05C37A"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ITT</w:t>
            </w:r>
          </w:p>
        </w:tc>
        <w:tc>
          <w:tcPr>
            <w:tcW w:w="1894" w:type="dxa"/>
          </w:tcPr>
          <w:p w14:paraId="3128D725"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5 mg </w:t>
            </w:r>
          </w:p>
        </w:tc>
        <w:tc>
          <w:tcPr>
            <w:tcW w:w="868" w:type="dxa"/>
            <w:vAlign w:val="center"/>
          </w:tcPr>
          <w:p w14:paraId="06D26649"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470</w:t>
            </w:r>
          </w:p>
        </w:tc>
        <w:tc>
          <w:tcPr>
            <w:tcW w:w="1400" w:type="dxa"/>
            <w:vAlign w:val="center"/>
          </w:tcPr>
          <w:p w14:paraId="50AAA8B4"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-2.01 (0.04)</w:t>
            </w:r>
          </w:p>
        </w:tc>
        <w:tc>
          <w:tcPr>
            <w:tcW w:w="2201" w:type="dxa"/>
            <w:vAlign w:val="center"/>
          </w:tcPr>
          <w:p w14:paraId="3E16E558"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-0.15 (-0.28, -0.03)</w:t>
            </w:r>
          </w:p>
        </w:tc>
        <w:tc>
          <w:tcPr>
            <w:tcW w:w="1515" w:type="dxa"/>
            <w:vMerge w:val="restart"/>
            <w:vAlign w:val="center"/>
          </w:tcPr>
          <w:p w14:paraId="0F6946A6"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w:t>
            </w:r>
          </w:p>
        </w:tc>
      </w:tr>
      <w:tr w:rsidR="005E00E1" w:rsidRPr="00E86AD5" w14:paraId="75243CA9" w14:textId="77777777" w:rsidTr="00A1032E">
        <w:tc>
          <w:tcPr>
            <w:tcW w:w="1139" w:type="dxa"/>
            <w:vMerge/>
            <w:vAlign w:val="center"/>
          </w:tcPr>
          <w:p w14:paraId="1AC4E721"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0EE399AF"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10 mg </w:t>
            </w:r>
          </w:p>
        </w:tc>
        <w:tc>
          <w:tcPr>
            <w:tcW w:w="868" w:type="dxa"/>
            <w:vAlign w:val="center"/>
          </w:tcPr>
          <w:p w14:paraId="4C8B86FF"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469</w:t>
            </w:r>
          </w:p>
        </w:tc>
        <w:tc>
          <w:tcPr>
            <w:tcW w:w="1400" w:type="dxa"/>
            <w:vAlign w:val="center"/>
          </w:tcPr>
          <w:p w14:paraId="1FC6B5DC"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-2.24 (0.05)</w:t>
            </w:r>
          </w:p>
        </w:tc>
        <w:tc>
          <w:tcPr>
            <w:tcW w:w="2201" w:type="dxa"/>
            <w:vAlign w:val="center"/>
          </w:tcPr>
          <w:p w14:paraId="253B8EDE"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-0.39 (-0.51, -0.26)</w:t>
            </w:r>
          </w:p>
        </w:tc>
        <w:tc>
          <w:tcPr>
            <w:tcW w:w="1515" w:type="dxa"/>
            <w:vMerge/>
            <w:vAlign w:val="center"/>
          </w:tcPr>
          <w:p w14:paraId="78E49B3C"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E86AD5" w14:paraId="01CF403C" w14:textId="77777777" w:rsidTr="00A1032E">
        <w:tc>
          <w:tcPr>
            <w:tcW w:w="1139" w:type="dxa"/>
            <w:vMerge/>
            <w:vAlign w:val="center"/>
          </w:tcPr>
          <w:p w14:paraId="0A3826F2"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273AB5A8"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 xml:space="preserve">Tirzepatide 15 mg </w:t>
            </w:r>
          </w:p>
        </w:tc>
        <w:tc>
          <w:tcPr>
            <w:tcW w:w="868" w:type="dxa"/>
            <w:vAlign w:val="center"/>
          </w:tcPr>
          <w:p w14:paraId="1257BA29"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469</w:t>
            </w:r>
          </w:p>
        </w:tc>
        <w:tc>
          <w:tcPr>
            <w:tcW w:w="1400" w:type="dxa"/>
            <w:vAlign w:val="center"/>
          </w:tcPr>
          <w:p w14:paraId="4A8D7F5A"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-2.30 (0.05)</w:t>
            </w:r>
          </w:p>
        </w:tc>
        <w:tc>
          <w:tcPr>
            <w:tcW w:w="2201" w:type="dxa"/>
            <w:vAlign w:val="center"/>
          </w:tcPr>
          <w:p w14:paraId="315B6BF9" w14:textId="77777777" w:rsidR="005E00E1" w:rsidRPr="004C1D07" w:rsidRDefault="005E00E1" w:rsidP="00A1032E">
            <w:pPr>
              <w:keepNext/>
              <w:jc w:val="center"/>
              <w:rPr>
                <w:rFonts w:ascii="Arial Narrow" w:eastAsiaTheme="majorEastAsia" w:hAnsi="Arial Narrow" w:cstheme="majorBidi"/>
                <w:b/>
                <w:sz w:val="20"/>
              </w:rPr>
            </w:pPr>
            <w:r w:rsidRPr="004C1D07">
              <w:rPr>
                <w:rFonts w:ascii="Arial Narrow" w:eastAsiaTheme="majorEastAsia" w:hAnsi="Arial Narrow" w:cstheme="majorBidi"/>
                <w:b/>
                <w:sz w:val="20"/>
              </w:rPr>
              <w:t>-0.45 (-0.57, -0.32)</w:t>
            </w:r>
          </w:p>
        </w:tc>
        <w:tc>
          <w:tcPr>
            <w:tcW w:w="1515" w:type="dxa"/>
            <w:vMerge/>
            <w:vAlign w:val="center"/>
          </w:tcPr>
          <w:p w14:paraId="1B4A05DA"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E86AD5" w14:paraId="2D4569D9" w14:textId="77777777" w:rsidTr="00A1032E">
        <w:tc>
          <w:tcPr>
            <w:tcW w:w="1139" w:type="dxa"/>
            <w:vMerge/>
            <w:vAlign w:val="center"/>
          </w:tcPr>
          <w:p w14:paraId="06DFEE94" w14:textId="77777777" w:rsidR="005E00E1" w:rsidRPr="00E86AD5" w:rsidRDefault="005E00E1" w:rsidP="00A1032E">
            <w:pPr>
              <w:keepNext/>
              <w:jc w:val="left"/>
              <w:rPr>
                <w:rFonts w:ascii="Arial Narrow" w:eastAsiaTheme="majorEastAsia" w:hAnsi="Arial Narrow" w:cstheme="majorBidi"/>
                <w:bCs/>
                <w:sz w:val="20"/>
              </w:rPr>
            </w:pPr>
          </w:p>
        </w:tc>
        <w:tc>
          <w:tcPr>
            <w:tcW w:w="1894" w:type="dxa"/>
          </w:tcPr>
          <w:p w14:paraId="57D060C2" w14:textId="77777777" w:rsidR="005E00E1" w:rsidRPr="00E86AD5" w:rsidRDefault="005E00E1" w:rsidP="00A1032E">
            <w:pPr>
              <w:keepNext/>
              <w:jc w:val="left"/>
              <w:rPr>
                <w:rFonts w:ascii="Arial Narrow" w:eastAsiaTheme="majorEastAsia" w:hAnsi="Arial Narrow" w:cstheme="majorBidi"/>
                <w:bCs/>
                <w:sz w:val="20"/>
              </w:rPr>
            </w:pPr>
            <w:r w:rsidRPr="00E86AD5">
              <w:rPr>
                <w:rFonts w:ascii="Arial Narrow" w:eastAsiaTheme="majorEastAsia" w:hAnsi="Arial Narrow" w:cstheme="majorBidi"/>
                <w:bCs/>
                <w:sz w:val="20"/>
              </w:rPr>
              <w:t>Semaglutide 1 mg</w:t>
            </w:r>
          </w:p>
        </w:tc>
        <w:tc>
          <w:tcPr>
            <w:tcW w:w="868" w:type="dxa"/>
            <w:vAlign w:val="center"/>
          </w:tcPr>
          <w:p w14:paraId="701CDDC3"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468</w:t>
            </w:r>
          </w:p>
        </w:tc>
        <w:tc>
          <w:tcPr>
            <w:tcW w:w="1400" w:type="dxa"/>
            <w:vAlign w:val="center"/>
          </w:tcPr>
          <w:p w14:paraId="1E7476F5"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-1.86 (0.05)</w:t>
            </w:r>
          </w:p>
        </w:tc>
        <w:tc>
          <w:tcPr>
            <w:tcW w:w="2201" w:type="dxa"/>
            <w:vAlign w:val="center"/>
          </w:tcPr>
          <w:p w14:paraId="750444E1" w14:textId="77777777" w:rsidR="005E00E1" w:rsidRPr="00E86AD5" w:rsidRDefault="005E00E1" w:rsidP="00A1032E">
            <w:pPr>
              <w:keepNext/>
              <w:jc w:val="center"/>
              <w:rPr>
                <w:rFonts w:ascii="Arial Narrow" w:eastAsiaTheme="majorEastAsia" w:hAnsi="Arial Narrow" w:cstheme="majorBidi"/>
                <w:bCs/>
                <w:sz w:val="20"/>
              </w:rPr>
            </w:pPr>
            <w:r w:rsidRPr="00E86AD5">
              <w:rPr>
                <w:rFonts w:ascii="Arial Narrow" w:eastAsiaTheme="majorEastAsia" w:hAnsi="Arial Narrow" w:cstheme="majorBidi"/>
                <w:bCs/>
                <w:sz w:val="20"/>
              </w:rPr>
              <w:t>-</w:t>
            </w:r>
          </w:p>
        </w:tc>
        <w:tc>
          <w:tcPr>
            <w:tcW w:w="1515" w:type="dxa"/>
            <w:vMerge/>
            <w:vAlign w:val="center"/>
          </w:tcPr>
          <w:p w14:paraId="3FD36E90" w14:textId="77777777" w:rsidR="005E00E1" w:rsidRPr="00E86AD5" w:rsidRDefault="005E00E1" w:rsidP="00A1032E">
            <w:pPr>
              <w:keepNext/>
              <w:jc w:val="center"/>
              <w:rPr>
                <w:rFonts w:ascii="Arial Narrow" w:eastAsiaTheme="majorEastAsia" w:hAnsi="Arial Narrow" w:cstheme="majorBidi"/>
                <w:bCs/>
                <w:sz w:val="20"/>
              </w:rPr>
            </w:pPr>
          </w:p>
        </w:tc>
      </w:tr>
      <w:tr w:rsidR="005E00E1" w:rsidRPr="003D12F4" w14:paraId="15B0C3C4" w14:textId="77777777" w:rsidTr="00A1032E">
        <w:tc>
          <w:tcPr>
            <w:tcW w:w="1139" w:type="dxa"/>
            <w:vMerge w:val="restart"/>
            <w:vAlign w:val="center"/>
          </w:tcPr>
          <w:p w14:paraId="5AFA7402" w14:textId="294E4490"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1B5756">
              <w:rPr>
                <w:rFonts w:ascii="Arial Narrow" w:eastAsiaTheme="majorEastAsia" w:hAnsi="Arial Narrow" w:cstheme="majorBidi"/>
                <w:bCs/>
                <w:sz w:val="20"/>
                <w:vertAlign w:val="superscript"/>
              </w:rPr>
              <w:t xml:space="preserve"> b</w:t>
            </w:r>
          </w:p>
        </w:tc>
        <w:tc>
          <w:tcPr>
            <w:tcW w:w="1894" w:type="dxa"/>
          </w:tcPr>
          <w:p w14:paraId="55416A2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499377C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153</w:t>
            </w:r>
          </w:p>
        </w:tc>
        <w:tc>
          <w:tcPr>
            <w:tcW w:w="1400" w:type="dxa"/>
          </w:tcPr>
          <w:p w14:paraId="3966B395"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-1.88 </w:t>
            </w:r>
            <w:r w:rsidRPr="003D12F4">
              <w:rPr>
                <w:rFonts w:ascii="Arial Narrow" w:eastAsiaTheme="majorEastAsia" w:hAnsi="Arial Narrow" w:cstheme="majorBidi"/>
                <w:bCs/>
                <w:sz w:val="20"/>
                <w:vertAlign w:val="superscript"/>
              </w:rPr>
              <w:t>a</w:t>
            </w:r>
          </w:p>
        </w:tc>
        <w:tc>
          <w:tcPr>
            <w:tcW w:w="2201" w:type="dxa"/>
          </w:tcPr>
          <w:p w14:paraId="34042E0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-0.05 (-0.24, 0.15)</w:t>
            </w:r>
          </w:p>
        </w:tc>
        <w:tc>
          <w:tcPr>
            <w:tcW w:w="1515" w:type="dxa"/>
            <w:vMerge w:val="restart"/>
            <w:vAlign w:val="center"/>
          </w:tcPr>
          <w:p w14:paraId="1F658BC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r>
      <w:tr w:rsidR="005E00E1" w:rsidRPr="003D12F4" w14:paraId="456E298E" w14:textId="77777777" w:rsidTr="00A1032E">
        <w:tc>
          <w:tcPr>
            <w:tcW w:w="1139" w:type="dxa"/>
            <w:vMerge/>
            <w:vAlign w:val="center"/>
          </w:tcPr>
          <w:p w14:paraId="3952E196"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3BA517DA"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4790D04D"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1993E61A"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-2.25 </w:t>
            </w:r>
            <w:r w:rsidRPr="003D12F4">
              <w:rPr>
                <w:rFonts w:ascii="Arial Narrow" w:eastAsiaTheme="majorEastAsia" w:hAnsi="Arial Narrow" w:cstheme="majorBidi"/>
                <w:bCs/>
                <w:sz w:val="20"/>
                <w:vertAlign w:val="superscript"/>
              </w:rPr>
              <w:t>a</w:t>
            </w:r>
          </w:p>
        </w:tc>
        <w:tc>
          <w:tcPr>
            <w:tcW w:w="2201" w:type="dxa"/>
          </w:tcPr>
          <w:p w14:paraId="59EF3BE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-0.42 (-0.61, -0.23)</w:t>
            </w:r>
          </w:p>
        </w:tc>
        <w:tc>
          <w:tcPr>
            <w:tcW w:w="1515" w:type="dxa"/>
            <w:vMerge/>
            <w:vAlign w:val="center"/>
          </w:tcPr>
          <w:p w14:paraId="49D9D93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3F24BB6E" w14:textId="77777777" w:rsidTr="00A1032E">
        <w:tc>
          <w:tcPr>
            <w:tcW w:w="1139" w:type="dxa"/>
            <w:vMerge/>
            <w:vAlign w:val="center"/>
          </w:tcPr>
          <w:p w14:paraId="2E3D16FC"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78A798A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50997B4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2B1BC0B1"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-2.36 </w:t>
            </w:r>
            <w:r w:rsidRPr="003D12F4">
              <w:rPr>
                <w:rFonts w:ascii="Arial Narrow" w:eastAsiaTheme="majorEastAsia" w:hAnsi="Arial Narrow" w:cstheme="majorBidi"/>
                <w:bCs/>
                <w:sz w:val="20"/>
                <w:vertAlign w:val="superscript"/>
              </w:rPr>
              <w:t>a</w:t>
            </w:r>
          </w:p>
        </w:tc>
        <w:tc>
          <w:tcPr>
            <w:tcW w:w="2201" w:type="dxa"/>
          </w:tcPr>
          <w:p w14:paraId="62BC14F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-0.53 (-0.72, -0.34)</w:t>
            </w:r>
          </w:p>
        </w:tc>
        <w:tc>
          <w:tcPr>
            <w:tcW w:w="1515" w:type="dxa"/>
            <w:vMerge/>
            <w:vAlign w:val="center"/>
          </w:tcPr>
          <w:p w14:paraId="647D8A05"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45EF1228" w14:textId="77777777" w:rsidTr="00A1032E">
        <w:tc>
          <w:tcPr>
            <w:tcW w:w="1139" w:type="dxa"/>
            <w:vMerge/>
            <w:vAlign w:val="center"/>
          </w:tcPr>
          <w:p w14:paraId="7F374E16"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7BBAE1D"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4613356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158</w:t>
            </w:r>
          </w:p>
        </w:tc>
        <w:tc>
          <w:tcPr>
            <w:tcW w:w="1400" w:type="dxa"/>
          </w:tcPr>
          <w:p w14:paraId="69F5547C" w14:textId="77777777" w:rsidR="005E00E1" w:rsidRPr="003D12F4" w:rsidRDefault="005E00E1" w:rsidP="00A1032E">
            <w:pPr>
              <w:keepNext/>
              <w:jc w:val="center"/>
              <w:rPr>
                <w:rFonts w:ascii="Arial Narrow" w:eastAsiaTheme="majorEastAsia" w:hAnsi="Arial Narrow" w:cstheme="majorBidi"/>
                <w:bCs/>
                <w:sz w:val="20"/>
                <w:vertAlign w:val="superscript"/>
              </w:rPr>
            </w:pPr>
            <w:r w:rsidRPr="003D12F4">
              <w:rPr>
                <w:rFonts w:ascii="Arial Narrow" w:eastAsiaTheme="majorEastAsia" w:hAnsi="Arial Narrow" w:cstheme="majorBidi"/>
                <w:bCs/>
                <w:sz w:val="20"/>
              </w:rPr>
              <w:t xml:space="preserve">-1.83 </w:t>
            </w:r>
            <w:r w:rsidRPr="003D12F4">
              <w:rPr>
                <w:rFonts w:ascii="Arial Narrow" w:eastAsiaTheme="majorEastAsia" w:hAnsi="Arial Narrow" w:cstheme="majorBidi"/>
                <w:bCs/>
                <w:sz w:val="20"/>
                <w:vertAlign w:val="superscript"/>
              </w:rPr>
              <w:t>a</w:t>
            </w:r>
          </w:p>
        </w:tc>
        <w:tc>
          <w:tcPr>
            <w:tcW w:w="2201" w:type="dxa"/>
          </w:tcPr>
          <w:p w14:paraId="03B71A9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22843B99"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758E0DB" w14:textId="77777777" w:rsidTr="00A1032E">
        <w:tc>
          <w:tcPr>
            <w:tcW w:w="1139" w:type="dxa"/>
            <w:vMerge w:val="restart"/>
            <w:vAlign w:val="center"/>
          </w:tcPr>
          <w:p w14:paraId="7F985D7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Pr="003D12F4">
              <w:rPr>
                <w:rFonts w:ascii="Arial Narrow" w:eastAsiaTheme="majorEastAsia" w:hAnsi="Arial Narrow" w:cstheme="majorBidi"/>
                <w:bCs/>
                <w:sz w:val="20"/>
              </w:rPr>
              <w:t xml:space="preserve"> </w:t>
            </w:r>
          </w:p>
        </w:tc>
        <w:tc>
          <w:tcPr>
            <w:tcW w:w="1894" w:type="dxa"/>
          </w:tcPr>
          <w:p w14:paraId="1347D098"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451A09A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12F0E22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3E20922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02941E3E"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26623466" w14:textId="77777777" w:rsidTr="00A1032E">
        <w:tc>
          <w:tcPr>
            <w:tcW w:w="1139" w:type="dxa"/>
            <w:vMerge/>
            <w:vAlign w:val="center"/>
          </w:tcPr>
          <w:p w14:paraId="77B6EB1A"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3F664876"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51F6A38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7DEBF82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609D1F3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06C3F387"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7817918B" w14:textId="77777777" w:rsidTr="00A1032E">
        <w:tc>
          <w:tcPr>
            <w:tcW w:w="1139" w:type="dxa"/>
            <w:vMerge/>
            <w:vAlign w:val="center"/>
          </w:tcPr>
          <w:p w14:paraId="2080E2EE"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B8E8EF1"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70E7C2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01BDE4C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6CFD418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4AC80FEB"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6790EC25" w14:textId="77777777" w:rsidTr="00A1032E">
        <w:tc>
          <w:tcPr>
            <w:tcW w:w="1139" w:type="dxa"/>
            <w:vMerge/>
            <w:vAlign w:val="center"/>
          </w:tcPr>
          <w:p w14:paraId="3B378645"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C26D9C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597EC4B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6F4EB876"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3A078858"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4E066D03"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3C01FAB" w14:textId="77777777" w:rsidTr="00A1032E">
        <w:tc>
          <w:tcPr>
            <w:tcW w:w="9017" w:type="dxa"/>
            <w:gridSpan w:val="6"/>
            <w:vAlign w:val="center"/>
          </w:tcPr>
          <w:p w14:paraId="3DC04266" w14:textId="77777777" w:rsidR="005E00E1" w:rsidRPr="003D12F4" w:rsidRDefault="005E00E1" w:rsidP="00A1032E">
            <w:pPr>
              <w:pStyle w:val="COMTableheadingrow"/>
            </w:pPr>
            <w:r w:rsidRPr="003D12F4">
              <w:t xml:space="preserve">Efficacy </w:t>
            </w:r>
            <w:proofErr w:type="spellStart"/>
            <w:r w:rsidRPr="003D12F4">
              <w:t>estimand</w:t>
            </w:r>
            <w:proofErr w:type="spellEnd"/>
          </w:p>
        </w:tc>
      </w:tr>
      <w:tr w:rsidR="005E00E1" w:rsidRPr="003D12F4" w14:paraId="3A61357F" w14:textId="77777777" w:rsidTr="00A1032E">
        <w:tc>
          <w:tcPr>
            <w:tcW w:w="1139" w:type="dxa"/>
            <w:vMerge w:val="restart"/>
            <w:vAlign w:val="center"/>
          </w:tcPr>
          <w:p w14:paraId="4C8BAA14"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25089BA2"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56474B93"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082B295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-2.09 (0.05)</w:t>
            </w:r>
          </w:p>
        </w:tc>
        <w:tc>
          <w:tcPr>
            <w:tcW w:w="2201" w:type="dxa"/>
          </w:tcPr>
          <w:p w14:paraId="7ADC8C8B"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-0.23 (-0.36, -0.10)</w:t>
            </w:r>
          </w:p>
        </w:tc>
        <w:tc>
          <w:tcPr>
            <w:tcW w:w="1515" w:type="dxa"/>
            <w:vMerge w:val="restart"/>
            <w:vAlign w:val="center"/>
          </w:tcPr>
          <w:p w14:paraId="7A08B05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5E00E1" w:rsidRPr="003D12F4" w14:paraId="353A69E2" w14:textId="77777777" w:rsidTr="00A1032E">
        <w:tc>
          <w:tcPr>
            <w:tcW w:w="1139" w:type="dxa"/>
            <w:vMerge/>
            <w:vAlign w:val="center"/>
          </w:tcPr>
          <w:p w14:paraId="3E4E1EC8"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5FFA9BC"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4C1F6B4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459</w:t>
            </w:r>
          </w:p>
        </w:tc>
        <w:tc>
          <w:tcPr>
            <w:tcW w:w="1400" w:type="dxa"/>
          </w:tcPr>
          <w:p w14:paraId="6C63AF2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-2.37 (0.05)</w:t>
            </w:r>
          </w:p>
        </w:tc>
        <w:tc>
          <w:tcPr>
            <w:tcW w:w="2201" w:type="dxa"/>
          </w:tcPr>
          <w:p w14:paraId="47425623"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-0.51 (-0.64, -0.38)</w:t>
            </w:r>
          </w:p>
        </w:tc>
        <w:tc>
          <w:tcPr>
            <w:tcW w:w="1515" w:type="dxa"/>
            <w:vMerge/>
            <w:vAlign w:val="center"/>
          </w:tcPr>
          <w:p w14:paraId="56EF4BC3"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20B4C0D8" w14:textId="77777777" w:rsidTr="00A1032E">
        <w:tc>
          <w:tcPr>
            <w:tcW w:w="1139" w:type="dxa"/>
            <w:vMerge/>
            <w:vAlign w:val="center"/>
          </w:tcPr>
          <w:p w14:paraId="1CFCC81D"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895BF2D"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13D3F57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464</w:t>
            </w:r>
          </w:p>
        </w:tc>
        <w:tc>
          <w:tcPr>
            <w:tcW w:w="1400" w:type="dxa"/>
          </w:tcPr>
          <w:p w14:paraId="457DBBF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-2.46 (0.05)</w:t>
            </w:r>
          </w:p>
        </w:tc>
        <w:tc>
          <w:tcPr>
            <w:tcW w:w="2201" w:type="dxa"/>
          </w:tcPr>
          <w:p w14:paraId="039FC5E0" w14:textId="77777777" w:rsidR="005E00E1" w:rsidRPr="003D12F4" w:rsidRDefault="005E00E1"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-0.60 (-0.73, -0.47)</w:t>
            </w:r>
          </w:p>
        </w:tc>
        <w:tc>
          <w:tcPr>
            <w:tcW w:w="1515" w:type="dxa"/>
            <w:vMerge/>
            <w:vAlign w:val="center"/>
          </w:tcPr>
          <w:p w14:paraId="2376D421"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EA88D41" w14:textId="77777777" w:rsidTr="00A1032E">
        <w:tc>
          <w:tcPr>
            <w:tcW w:w="1139" w:type="dxa"/>
            <w:vMerge/>
            <w:vAlign w:val="center"/>
          </w:tcPr>
          <w:p w14:paraId="5156E38D"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0D648433"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6430423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2A6804F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-1.86 (0.05)</w:t>
            </w:r>
          </w:p>
        </w:tc>
        <w:tc>
          <w:tcPr>
            <w:tcW w:w="2201" w:type="dxa"/>
          </w:tcPr>
          <w:p w14:paraId="7393C6F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07457510"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9A74A6E" w14:textId="77777777" w:rsidTr="00A1032E">
        <w:tc>
          <w:tcPr>
            <w:tcW w:w="1139" w:type="dxa"/>
            <w:vMerge w:val="restart"/>
            <w:vAlign w:val="center"/>
          </w:tcPr>
          <w:p w14:paraId="733FB10E" w14:textId="69685715"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3F03B1">
              <w:rPr>
                <w:rFonts w:ascii="Arial Narrow" w:eastAsiaTheme="majorEastAsia" w:hAnsi="Arial Narrow" w:cstheme="majorBidi"/>
                <w:bCs/>
                <w:sz w:val="20"/>
                <w:vertAlign w:val="superscript"/>
              </w:rPr>
              <w:t xml:space="preserve"> b</w:t>
            </w:r>
          </w:p>
        </w:tc>
        <w:tc>
          <w:tcPr>
            <w:tcW w:w="1894" w:type="dxa"/>
          </w:tcPr>
          <w:p w14:paraId="6D7859F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3D218BD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161</w:t>
            </w:r>
          </w:p>
        </w:tc>
        <w:tc>
          <w:tcPr>
            <w:tcW w:w="1400" w:type="dxa"/>
            <w:vAlign w:val="center"/>
          </w:tcPr>
          <w:p w14:paraId="4AFE88DA"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-1.89 (0.08)</w:t>
            </w:r>
          </w:p>
        </w:tc>
        <w:tc>
          <w:tcPr>
            <w:tcW w:w="2201" w:type="dxa"/>
            <w:vAlign w:val="center"/>
          </w:tcPr>
          <w:p w14:paraId="21D4F38E"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-0.10 (-0.32, 0.12)</w:t>
            </w:r>
          </w:p>
        </w:tc>
        <w:tc>
          <w:tcPr>
            <w:tcW w:w="1515" w:type="dxa"/>
            <w:vMerge w:val="restart"/>
            <w:vAlign w:val="center"/>
          </w:tcPr>
          <w:p w14:paraId="019058B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0.051</w:t>
            </w:r>
          </w:p>
        </w:tc>
      </w:tr>
      <w:tr w:rsidR="005E00E1" w:rsidRPr="003D12F4" w14:paraId="2CA999E3" w14:textId="77777777" w:rsidTr="00A1032E">
        <w:tc>
          <w:tcPr>
            <w:tcW w:w="1139" w:type="dxa"/>
            <w:vMerge/>
            <w:vAlign w:val="center"/>
          </w:tcPr>
          <w:p w14:paraId="41DF266B"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8D1AEA7"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0F25FB5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3F26D9D8"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-2.35 (0.08)</w:t>
            </w:r>
          </w:p>
        </w:tc>
        <w:tc>
          <w:tcPr>
            <w:tcW w:w="2201" w:type="dxa"/>
            <w:vAlign w:val="center"/>
          </w:tcPr>
          <w:p w14:paraId="50800CA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-0.57 (-0.78, -0.35)</w:t>
            </w:r>
          </w:p>
        </w:tc>
        <w:tc>
          <w:tcPr>
            <w:tcW w:w="1515" w:type="dxa"/>
            <w:vMerge/>
            <w:vAlign w:val="center"/>
          </w:tcPr>
          <w:p w14:paraId="5B718289"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4D58E4E3" w14:textId="77777777" w:rsidTr="00A1032E">
        <w:tc>
          <w:tcPr>
            <w:tcW w:w="1139" w:type="dxa"/>
            <w:vMerge/>
            <w:vAlign w:val="center"/>
          </w:tcPr>
          <w:p w14:paraId="01816453"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BF262D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CC7F0FB"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1D74CF0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-2.51 (0.08)</w:t>
            </w:r>
          </w:p>
        </w:tc>
        <w:tc>
          <w:tcPr>
            <w:tcW w:w="2201" w:type="dxa"/>
            <w:vAlign w:val="center"/>
          </w:tcPr>
          <w:p w14:paraId="25375DDE"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-0.73 (-0.94, -0.52)</w:t>
            </w:r>
          </w:p>
        </w:tc>
        <w:tc>
          <w:tcPr>
            <w:tcW w:w="1515" w:type="dxa"/>
            <w:vMerge/>
            <w:vAlign w:val="center"/>
          </w:tcPr>
          <w:p w14:paraId="5818E01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A8DF40E" w14:textId="77777777" w:rsidTr="00A1032E">
        <w:tc>
          <w:tcPr>
            <w:tcW w:w="1139" w:type="dxa"/>
            <w:vMerge/>
            <w:vAlign w:val="center"/>
          </w:tcPr>
          <w:p w14:paraId="6651A3D7"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650764F7"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67B94D37"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166</w:t>
            </w:r>
          </w:p>
        </w:tc>
        <w:tc>
          <w:tcPr>
            <w:tcW w:w="1400" w:type="dxa"/>
            <w:vAlign w:val="center"/>
          </w:tcPr>
          <w:p w14:paraId="4AD42FFD"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-1.78 (0.08)</w:t>
            </w:r>
          </w:p>
        </w:tc>
        <w:tc>
          <w:tcPr>
            <w:tcW w:w="2201" w:type="dxa"/>
            <w:vAlign w:val="center"/>
          </w:tcPr>
          <w:p w14:paraId="4941E42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7FDADE45"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1C401784" w14:textId="77777777" w:rsidTr="00A1032E">
        <w:tc>
          <w:tcPr>
            <w:tcW w:w="1139" w:type="dxa"/>
            <w:vMerge w:val="restart"/>
            <w:vAlign w:val="center"/>
          </w:tcPr>
          <w:p w14:paraId="02D881A6" w14:textId="04F8335F"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003F03B1">
              <w:rPr>
                <w:rFonts w:ascii="Arial Narrow" w:eastAsiaTheme="majorEastAsia" w:hAnsi="Arial Narrow" w:cstheme="majorBidi"/>
                <w:bCs/>
                <w:sz w:val="20"/>
                <w:vertAlign w:val="superscript"/>
              </w:rPr>
              <w:t xml:space="preserve"> b</w:t>
            </w:r>
            <w:r w:rsidRPr="003D12F4">
              <w:rPr>
                <w:rFonts w:ascii="Arial Narrow" w:eastAsiaTheme="majorEastAsia" w:hAnsi="Arial Narrow" w:cstheme="majorBidi"/>
                <w:bCs/>
                <w:sz w:val="20"/>
              </w:rPr>
              <w:t xml:space="preserve"> </w:t>
            </w:r>
          </w:p>
        </w:tc>
        <w:tc>
          <w:tcPr>
            <w:tcW w:w="1894" w:type="dxa"/>
          </w:tcPr>
          <w:p w14:paraId="46F2787F"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5F058D0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300</w:t>
            </w:r>
          </w:p>
        </w:tc>
        <w:tc>
          <w:tcPr>
            <w:tcW w:w="1400" w:type="dxa"/>
            <w:vAlign w:val="center"/>
          </w:tcPr>
          <w:p w14:paraId="72FF73A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-2.19 (0.06)</w:t>
            </w:r>
          </w:p>
        </w:tc>
        <w:tc>
          <w:tcPr>
            <w:tcW w:w="2201" w:type="dxa"/>
            <w:vAlign w:val="center"/>
          </w:tcPr>
          <w:p w14:paraId="4D046CB0"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-0.30 (-0.47, -0.13)</w:t>
            </w:r>
          </w:p>
        </w:tc>
        <w:tc>
          <w:tcPr>
            <w:tcW w:w="1515" w:type="dxa"/>
            <w:vMerge/>
            <w:vAlign w:val="center"/>
          </w:tcPr>
          <w:p w14:paraId="3DCA7D92"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03DD3CC" w14:textId="77777777" w:rsidTr="00A1032E">
        <w:tc>
          <w:tcPr>
            <w:tcW w:w="1139" w:type="dxa"/>
            <w:vMerge/>
            <w:vAlign w:val="center"/>
          </w:tcPr>
          <w:p w14:paraId="61D2F5BF"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752A9592"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7DB9058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283</w:t>
            </w:r>
          </w:p>
        </w:tc>
        <w:tc>
          <w:tcPr>
            <w:tcW w:w="1400" w:type="dxa"/>
            <w:vAlign w:val="center"/>
          </w:tcPr>
          <w:p w14:paraId="3E16509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-2.38 (0.06)</w:t>
            </w:r>
          </w:p>
        </w:tc>
        <w:tc>
          <w:tcPr>
            <w:tcW w:w="2201" w:type="dxa"/>
            <w:vAlign w:val="center"/>
          </w:tcPr>
          <w:p w14:paraId="791E28AF"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-0.49 (-0.67, -0.32)</w:t>
            </w:r>
          </w:p>
        </w:tc>
        <w:tc>
          <w:tcPr>
            <w:tcW w:w="1515" w:type="dxa"/>
            <w:vMerge/>
            <w:vAlign w:val="center"/>
          </w:tcPr>
          <w:p w14:paraId="150BC97F"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57864A56" w14:textId="77777777" w:rsidTr="00A1032E">
        <w:tc>
          <w:tcPr>
            <w:tcW w:w="1139" w:type="dxa"/>
            <w:vMerge/>
            <w:vAlign w:val="center"/>
          </w:tcPr>
          <w:p w14:paraId="5EF2F799"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2A119528"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7F93E8F5"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288</w:t>
            </w:r>
          </w:p>
        </w:tc>
        <w:tc>
          <w:tcPr>
            <w:tcW w:w="1400" w:type="dxa"/>
            <w:vAlign w:val="center"/>
          </w:tcPr>
          <w:p w14:paraId="685CFF81"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-2.43 (0.06)</w:t>
            </w:r>
          </w:p>
        </w:tc>
        <w:tc>
          <w:tcPr>
            <w:tcW w:w="2201" w:type="dxa"/>
            <w:vAlign w:val="center"/>
          </w:tcPr>
          <w:p w14:paraId="52C2E57C"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-0.54 (-0.71, -0.37)</w:t>
            </w:r>
          </w:p>
        </w:tc>
        <w:tc>
          <w:tcPr>
            <w:tcW w:w="1515" w:type="dxa"/>
            <w:vMerge/>
            <w:vAlign w:val="center"/>
          </w:tcPr>
          <w:p w14:paraId="19EA95EC" w14:textId="77777777" w:rsidR="005E00E1" w:rsidRPr="003D12F4" w:rsidRDefault="005E00E1" w:rsidP="00A1032E">
            <w:pPr>
              <w:keepNext/>
              <w:jc w:val="center"/>
              <w:rPr>
                <w:rFonts w:ascii="Arial Narrow" w:eastAsiaTheme="majorEastAsia" w:hAnsi="Arial Narrow" w:cstheme="majorBidi"/>
                <w:bCs/>
                <w:sz w:val="20"/>
              </w:rPr>
            </w:pPr>
          </w:p>
        </w:tc>
      </w:tr>
      <w:tr w:rsidR="005E00E1" w:rsidRPr="003D12F4" w14:paraId="0A6EE0F8" w14:textId="77777777" w:rsidTr="00A1032E">
        <w:tc>
          <w:tcPr>
            <w:tcW w:w="1139" w:type="dxa"/>
            <w:vMerge/>
            <w:vAlign w:val="center"/>
          </w:tcPr>
          <w:p w14:paraId="55DEA9A5" w14:textId="77777777" w:rsidR="005E00E1" w:rsidRPr="003D12F4" w:rsidRDefault="005E00E1" w:rsidP="00A1032E">
            <w:pPr>
              <w:keepNext/>
              <w:jc w:val="left"/>
              <w:rPr>
                <w:rFonts w:ascii="Arial Narrow" w:eastAsiaTheme="majorEastAsia" w:hAnsi="Arial Narrow" w:cstheme="majorBidi"/>
                <w:bCs/>
                <w:sz w:val="20"/>
              </w:rPr>
            </w:pPr>
          </w:p>
        </w:tc>
        <w:tc>
          <w:tcPr>
            <w:tcW w:w="1894" w:type="dxa"/>
          </w:tcPr>
          <w:p w14:paraId="5A1F0811" w14:textId="77777777" w:rsidR="005E00E1" w:rsidRPr="003D12F4" w:rsidRDefault="005E00E1"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738547F1"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295</w:t>
            </w:r>
          </w:p>
        </w:tc>
        <w:tc>
          <w:tcPr>
            <w:tcW w:w="1400" w:type="dxa"/>
            <w:vAlign w:val="center"/>
          </w:tcPr>
          <w:p w14:paraId="5B25EB99"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-1.89 (0.06)</w:t>
            </w:r>
          </w:p>
        </w:tc>
        <w:tc>
          <w:tcPr>
            <w:tcW w:w="2201" w:type="dxa"/>
            <w:vAlign w:val="center"/>
          </w:tcPr>
          <w:p w14:paraId="58CC40F2" w14:textId="77777777" w:rsidR="005E00E1" w:rsidRPr="003D12F4" w:rsidRDefault="005E00E1"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2EE46120" w14:textId="77777777" w:rsidR="005E00E1" w:rsidRPr="003D12F4" w:rsidRDefault="005E00E1" w:rsidP="00A1032E">
            <w:pPr>
              <w:keepNext/>
              <w:jc w:val="center"/>
              <w:rPr>
                <w:rFonts w:ascii="Arial Narrow" w:eastAsiaTheme="majorEastAsia" w:hAnsi="Arial Narrow" w:cstheme="majorBidi"/>
                <w:bCs/>
                <w:sz w:val="20"/>
              </w:rPr>
            </w:pPr>
          </w:p>
        </w:tc>
      </w:tr>
    </w:tbl>
    <w:p w14:paraId="5AB9437D" w14:textId="77777777" w:rsidR="005E00E1" w:rsidRPr="003D12F4" w:rsidRDefault="005E00E1" w:rsidP="005E00E1">
      <w:pPr>
        <w:pStyle w:val="COMTablefooter"/>
      </w:pPr>
      <w:r w:rsidRPr="003D12F4">
        <w:t>Source: Table 2.6-11, p137; Table 2.6-12, p139 of the resubmission; Table GPGL.8.64, p1722 of the SURPASS-2 trial report</w:t>
      </w:r>
    </w:p>
    <w:p w14:paraId="105EF17F" w14:textId="77777777" w:rsidR="005E00E1" w:rsidRDefault="005E00E1" w:rsidP="005E00E1">
      <w:pPr>
        <w:pStyle w:val="COMTablefooter"/>
      </w:pPr>
      <w:r w:rsidRPr="003D12F4">
        <w:t>Abbreviations: CI, confidence interval; LSM, least squares mean; NE, not estimated; SE, standard error</w:t>
      </w:r>
    </w:p>
    <w:p w14:paraId="25635BDF" w14:textId="4547FDC3" w:rsidR="005E00E1" w:rsidRDefault="005E00E1" w:rsidP="00DA6184">
      <w:pPr>
        <w:pStyle w:val="COMTablefooter"/>
        <w:spacing w:after="0"/>
      </w:pPr>
      <w:r w:rsidRPr="00E17BB6">
        <w:rPr>
          <w:vertAlign w:val="superscript"/>
        </w:rPr>
        <w:t>a</w:t>
      </w:r>
      <w:r w:rsidRPr="00E17BB6">
        <w:t xml:space="preserve"> Standard error was not presented in the trial </w:t>
      </w:r>
      <w:r w:rsidR="004F76AC" w:rsidRPr="00E17BB6">
        <w:t>report.</w:t>
      </w:r>
    </w:p>
    <w:p w14:paraId="2CD840F3" w14:textId="060F7E6D" w:rsidR="00DA6184" w:rsidRPr="00DA6184" w:rsidRDefault="00DA6184" w:rsidP="00DA6184">
      <w:r w:rsidRPr="00DA6184">
        <w:rPr>
          <w:rFonts w:ascii="Arial Narrow" w:hAnsi="Arial Narrow"/>
          <w:sz w:val="18"/>
          <w:szCs w:val="18"/>
          <w:vertAlign w:val="superscript"/>
        </w:rPr>
        <w:t>b</w:t>
      </w:r>
      <w:r>
        <w:rPr>
          <w:vertAlign w:val="superscript"/>
        </w:rPr>
        <w:t xml:space="preserve"> </w:t>
      </w:r>
      <w:r w:rsidRPr="00DA6184">
        <w:rPr>
          <w:rFonts w:ascii="Arial Narrow" w:hAnsi="Arial Narrow"/>
          <w:i/>
          <w:iCs/>
          <w:snapToGrid w:val="0"/>
          <w:sz w:val="18"/>
          <w:szCs w:val="22"/>
        </w:rPr>
        <w:t>Note that the results presented in Table 5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6FC83F78" w14:textId="4D17E0F2" w:rsidR="005E00E1" w:rsidRPr="004C1D07" w:rsidRDefault="005E00E1" w:rsidP="005E00E1">
      <w:pPr>
        <w:pStyle w:val="COMTablefooter"/>
        <w:rPr>
          <w:b/>
          <w:bCs/>
        </w:rPr>
      </w:pPr>
      <w:r w:rsidRPr="004C1D07">
        <w:rPr>
          <w:b/>
          <w:bCs/>
        </w:rPr>
        <w:t xml:space="preserve">Bolded estimates indicate statistically significant results based on graphical multiple-testing results controlled for Type I </w:t>
      </w:r>
      <w:r w:rsidR="004F76AC" w:rsidRPr="004C1D07">
        <w:rPr>
          <w:b/>
          <w:bCs/>
        </w:rPr>
        <w:t>error.</w:t>
      </w:r>
    </w:p>
    <w:p w14:paraId="6B109DA3" w14:textId="034F0CB7" w:rsidR="00096338" w:rsidRDefault="004F0557" w:rsidP="00096338">
      <w:pPr>
        <w:pStyle w:val="COMexecsummnumbered"/>
      </w:pPr>
      <w:r w:rsidRPr="00096338">
        <w:t xml:space="preserve">In the </w:t>
      </w:r>
      <w:r w:rsidR="00096338">
        <w:t>whole trial</w:t>
      </w:r>
      <w:r w:rsidRPr="00096338">
        <w:t xml:space="preserve"> population, </w:t>
      </w:r>
      <w:r w:rsidR="00096338" w:rsidRPr="00096338">
        <w:t xml:space="preserve">treatment with tirzepatide 5 mg, 10 mg and 15 mg was associated with statistically significant reductions in HbA1c from baseline to Week 40 compared with semaglutide 1 mg. The improvements were greater with increasing tirzepatide doses. </w:t>
      </w:r>
    </w:p>
    <w:p w14:paraId="4E80C1DB" w14:textId="6A50442C" w:rsidR="00C40821" w:rsidRPr="00E96CBF" w:rsidRDefault="00C40821" w:rsidP="00096338">
      <w:pPr>
        <w:pStyle w:val="COMexecsummnumbered"/>
      </w:pPr>
      <w:r w:rsidRPr="00C40821">
        <w:t xml:space="preserve">The </w:t>
      </w:r>
      <w:r>
        <w:t>re</w:t>
      </w:r>
      <w:r w:rsidRPr="00C40821">
        <w:t>submission claimed the results demonstrated superiority for all three doses of tirzepatide compared to semaglutide 1</w:t>
      </w:r>
      <w:r>
        <w:t xml:space="preserve"> </w:t>
      </w:r>
      <w:r w:rsidRPr="00C40821">
        <w:t xml:space="preserve">mg. The results met the primary outcome of non-inferiority and secondary outcome of superiority in terms of statistical significance; however, only the point estimates for tirzepatide 10 mg and 15 mg based on the efficacy estimand exceed the nominated MCID of 0.5%. </w:t>
      </w:r>
      <w:r w:rsidRPr="00E96CBF">
        <w:t>The PBAC previously considered that the clinical relevance of change in HbA1c may shift in the context of changing treatment algorithms based on patient-centred outcomes (para 7.10, tirzepatide PSD, July 2023 PBAC meeting).</w:t>
      </w:r>
    </w:p>
    <w:p w14:paraId="71D33DD2" w14:textId="0C9FE50A" w:rsidR="00A72505" w:rsidRDefault="00A42943" w:rsidP="003C4908">
      <w:pPr>
        <w:pStyle w:val="COMexecsummnumbered"/>
      </w:pPr>
      <w:r>
        <w:lastRenderedPageBreak/>
        <w:t xml:space="preserve">Pre-specified subgroup analyses of HbA1c results indicated that race and baseline BMI </w:t>
      </w:r>
      <w:r w:rsidR="005F0F7A">
        <w:t xml:space="preserve">(BMI </w:t>
      </w:r>
      <w:r w:rsidR="006B4029">
        <w:t>categories using</w:t>
      </w:r>
      <w:r w:rsidR="005F0F7A">
        <w:t xml:space="preserve"> 27 kg/m</w:t>
      </w:r>
      <w:r w:rsidR="005F0F7A">
        <w:rPr>
          <w:vertAlign w:val="superscript"/>
        </w:rPr>
        <w:t>2</w:t>
      </w:r>
      <w:r w:rsidR="005F0F7A">
        <w:t xml:space="preserve">, </w:t>
      </w:r>
      <w:r w:rsidR="007C4E3F">
        <w:t>30 kg/m</w:t>
      </w:r>
      <w:r w:rsidR="007C4E3F">
        <w:rPr>
          <w:vertAlign w:val="superscript"/>
        </w:rPr>
        <w:t>2</w:t>
      </w:r>
      <w:r w:rsidR="007C4E3F">
        <w:t>, 30-35 kg/m</w:t>
      </w:r>
      <w:r w:rsidR="007C4E3F">
        <w:rPr>
          <w:vertAlign w:val="superscript"/>
        </w:rPr>
        <w:t>2</w:t>
      </w:r>
      <w:r w:rsidR="007C4E3F">
        <w:t xml:space="preserve"> and </w:t>
      </w:r>
      <w:r w:rsidR="007C4E3F">
        <w:rPr>
          <w:rFonts w:cstheme="minorHAnsi"/>
        </w:rPr>
        <w:t>≥</w:t>
      </w:r>
      <w:r w:rsidR="007C4E3F">
        <w:t>35 kg/m</w:t>
      </w:r>
      <w:r w:rsidR="007C4E3F">
        <w:rPr>
          <w:vertAlign w:val="superscript"/>
        </w:rPr>
        <w:t>2</w:t>
      </w:r>
      <w:r w:rsidR="006B4029">
        <w:rPr>
          <w:vertAlign w:val="superscript"/>
        </w:rPr>
        <w:t xml:space="preserve"> </w:t>
      </w:r>
      <w:r w:rsidR="006B4029">
        <w:t>thresholds</w:t>
      </w:r>
      <w:r w:rsidR="007C4E3F">
        <w:t>)</w:t>
      </w:r>
      <w:r w:rsidR="005F0F7A">
        <w:t xml:space="preserve"> </w:t>
      </w:r>
      <w:r>
        <w:t xml:space="preserve">may be potential treatment effect modifiers. </w:t>
      </w:r>
    </w:p>
    <w:p w14:paraId="53261D73" w14:textId="16994CCE" w:rsidR="00846F5E" w:rsidRDefault="00A42943" w:rsidP="00A72505">
      <w:pPr>
        <w:pStyle w:val="COMexecsummnumbered"/>
      </w:pPr>
      <w:r w:rsidRPr="003C4908">
        <w:rPr>
          <w:i/>
          <w:iCs/>
        </w:rPr>
        <w:t xml:space="preserve">Post hoc </w:t>
      </w:r>
      <w:r>
        <w:t xml:space="preserve">subgroup analyses </w:t>
      </w:r>
      <w:r w:rsidR="00D93A04" w:rsidRPr="00A42943">
        <w:t>based</w:t>
      </w:r>
      <w:r w:rsidR="00D93A04" w:rsidRPr="00D93A04">
        <w:t xml:space="preserve"> on the efficacy estimand</w:t>
      </w:r>
      <w:r w:rsidR="003C4908">
        <w:t xml:space="preserve"> also </w:t>
      </w:r>
      <w:r w:rsidR="003C4908" w:rsidRPr="00D93A04">
        <w:t>indicated</w:t>
      </w:r>
      <w:r w:rsidR="00D93A04" w:rsidRPr="00D93A04">
        <w:t xml:space="preserve"> that baseline BMI category</w:t>
      </w:r>
      <w:r w:rsidR="003C4908">
        <w:t xml:space="preserve"> (</w:t>
      </w:r>
      <w:r w:rsidR="003C4908" w:rsidRPr="003C4908">
        <w:t>≥35 kg/m</w:t>
      </w:r>
      <w:r w:rsidR="003C4908" w:rsidRPr="003C4908">
        <w:rPr>
          <w:vertAlign w:val="superscript"/>
        </w:rPr>
        <w:t>2</w:t>
      </w:r>
      <w:r w:rsidR="003C4908">
        <w:t xml:space="preserve"> </w:t>
      </w:r>
      <w:r w:rsidR="003C4908" w:rsidRPr="003C4908">
        <w:t>and &lt;35 kg/m</w:t>
      </w:r>
      <w:r w:rsidR="003C4908" w:rsidRPr="003C4908">
        <w:rPr>
          <w:vertAlign w:val="superscript"/>
        </w:rPr>
        <w:t>2</w:t>
      </w:r>
      <w:r w:rsidR="003C4908">
        <w:t>)</w:t>
      </w:r>
      <w:r w:rsidR="00D93A04" w:rsidRPr="00D93A04">
        <w:t xml:space="preserve"> was a potential treatment effect modifier</w:t>
      </w:r>
      <w:r w:rsidR="00994D3E">
        <w:t xml:space="preserve"> for change in HbA1c</w:t>
      </w:r>
      <w:r w:rsidR="00D93A04" w:rsidRPr="00D93A04">
        <w:t>. Results in both subgroups were in favour of tirzepatide compared to semaglutide 1 mg except for the comparison between tirzepatide 5</w:t>
      </w:r>
      <w:r w:rsidR="003507FB">
        <w:t> </w:t>
      </w:r>
      <w:r w:rsidR="00D93A04" w:rsidRPr="00D93A04">
        <w:t>mg and semaglutide 1 mg in the subgroup with BMI ≥35 kg/m</w:t>
      </w:r>
      <w:r w:rsidR="00D93A04" w:rsidRPr="00A72505">
        <w:rPr>
          <w:vertAlign w:val="superscript"/>
        </w:rPr>
        <w:t>2</w:t>
      </w:r>
      <w:r w:rsidR="00D93A04" w:rsidRPr="00D93A04">
        <w:t>, which indicated no apparent differences in treatment effect.</w:t>
      </w:r>
      <w:r w:rsidR="000F4C04">
        <w:t xml:space="preserve"> </w:t>
      </w:r>
    </w:p>
    <w:p w14:paraId="5950AFE6" w14:textId="21DB09F7" w:rsidR="006B4029" w:rsidRDefault="001D0B2C" w:rsidP="00EC5836">
      <w:pPr>
        <w:pStyle w:val="COMexecsummnumbered"/>
      </w:pPr>
      <w:r w:rsidRPr="00846F5E">
        <w:t xml:space="preserve">Results based on the proportion of patients achieving HbA1c targets of &lt;7.0%, </w:t>
      </w:r>
      <w:r w:rsidRPr="00846F5E">
        <w:rPr>
          <w:rFonts w:cstheme="minorHAnsi"/>
        </w:rPr>
        <w:t>≤</w:t>
      </w:r>
      <w:r w:rsidRPr="00846F5E">
        <w:t xml:space="preserve">6.5% and &lt;5.7% at Week 40 of the SURPASS-2 </w:t>
      </w:r>
      <w:r w:rsidRPr="0098602B">
        <w:t xml:space="preserve">trial were previously considered by the PBAC. </w:t>
      </w:r>
      <w:r w:rsidR="00F70760">
        <w:t xml:space="preserve">Treatment with </w:t>
      </w:r>
      <w:r w:rsidR="00F70760" w:rsidRPr="00F70760">
        <w:t>tirzepatide 10 mg or 15 mg weekly was associated with a statistically significant increase in the proportion of patients achieving glycaemic targets compared to semaglutide</w:t>
      </w:r>
      <w:r w:rsidR="00C925A8">
        <w:t xml:space="preserve"> 1 mg</w:t>
      </w:r>
      <w:r w:rsidR="00F70760" w:rsidRPr="00F70760">
        <w:t xml:space="preserve">. There were no statistically significant differences between tirzepatide 5 mg and semaglutide </w:t>
      </w:r>
      <w:r w:rsidR="005813C2">
        <w:t xml:space="preserve">1 mg </w:t>
      </w:r>
      <w:r w:rsidR="00F70760" w:rsidRPr="00F70760">
        <w:t>after adjustment for multiplicity.</w:t>
      </w:r>
      <w:r w:rsidR="00F70760">
        <w:t xml:space="preserve"> </w:t>
      </w:r>
    </w:p>
    <w:p w14:paraId="572E39AD" w14:textId="77777777" w:rsidR="001F51FE" w:rsidRDefault="00994D3E" w:rsidP="001F51FE">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w:t>
      </w:r>
      <w:r>
        <w:t xml:space="preserve">not </w:t>
      </w:r>
      <w:r w:rsidRPr="00D93A04">
        <w:t>a potential treatment effect modifier</w:t>
      </w:r>
      <w:r>
        <w:t xml:space="preserve"> in terms of achievement of </w:t>
      </w:r>
      <w:r w:rsidR="005755AC">
        <w:t>HbA1c targets. The results</w:t>
      </w:r>
      <w:r w:rsidR="00404D26" w:rsidRPr="005755AC">
        <w:rPr>
          <w:vertAlign w:val="superscript"/>
        </w:rPr>
        <w:t xml:space="preserve"> </w:t>
      </w:r>
      <w:r w:rsidR="00404D26">
        <w:t xml:space="preserve">were </w:t>
      </w:r>
      <w:r w:rsidR="00196075">
        <w:t xml:space="preserve">generally </w:t>
      </w:r>
      <w:r w:rsidR="00404D26">
        <w:t xml:space="preserve">consistent with </w:t>
      </w:r>
      <w:r w:rsidR="00B92716">
        <w:t>the whole trial population that</w:t>
      </w:r>
      <w:r w:rsidR="00196075">
        <w:t xml:space="preserve"> favoured the higher doses of</w:t>
      </w:r>
      <w:r w:rsidR="00022E2E">
        <w:t xml:space="preserve"> tirzepatide, with no apparent differences for the comparison between tirzepatide 5 mg</w:t>
      </w:r>
      <w:r w:rsidR="00C925A8">
        <w:t xml:space="preserve"> compared to semaglutide 1 mg</w:t>
      </w:r>
      <w:r w:rsidR="00022E2E">
        <w:t>.</w:t>
      </w:r>
      <w:r w:rsidR="00B92716">
        <w:t xml:space="preserve"> </w:t>
      </w:r>
    </w:p>
    <w:p w14:paraId="45B637F6" w14:textId="350069D2" w:rsidR="00A971DD" w:rsidRDefault="00A971DD" w:rsidP="00A971DD">
      <w:pPr>
        <w:pStyle w:val="COMexecsummnumbered"/>
      </w:pPr>
      <w:r>
        <w:t xml:space="preserve">The PBAC previously considered </w:t>
      </w:r>
      <w:r w:rsidRPr="00EF7798">
        <w:t>results of Bucher method indirect comparisons of tirzepatide 5 mg (based on the SURPASS-2 trial) versus semaglutide 0.5 mg (based on the SUSTAIN-7 trial) using semaglutide 1 mg as a common reference for change in HbA1c</w:t>
      </w:r>
      <w:r>
        <w:t xml:space="preserve"> (%). In the whole trial population, treatment with tirzepatide 5 mg was associated with a statistically significant reduction in HbA1c compared to semaglutide 0.5</w:t>
      </w:r>
      <w:r w:rsidR="003D50EF">
        <w:t> </w:t>
      </w:r>
      <w:r>
        <w:t xml:space="preserve">mg. The point estimate exceeded the nominated MCID of 0.5%. The point estimate also favoured tirzepatide 5 mg compared to semaglutide 0.5 mg in the </w:t>
      </w:r>
      <w:r w:rsidRPr="00952086">
        <w:rPr>
          <w:i/>
          <w:iCs/>
        </w:rPr>
        <w:t xml:space="preserve">post hoc </w:t>
      </w:r>
      <w:r>
        <w:t>subgroup with BMI ≥35 kg/m</w:t>
      </w:r>
      <w:r w:rsidRPr="00952086">
        <w:rPr>
          <w:vertAlign w:val="superscript"/>
        </w:rPr>
        <w:t>2</w:t>
      </w:r>
      <w:r>
        <w:t>, but the result did not achieve statistical significance or exceed the nominated MCID.</w:t>
      </w:r>
    </w:p>
    <w:p w14:paraId="7BCB12AB" w14:textId="7F212DA9" w:rsidR="001F51FE" w:rsidRDefault="000843BA" w:rsidP="001F51FE">
      <w:pPr>
        <w:pStyle w:val="COMexecsummnumbered"/>
      </w:pPr>
      <w:r>
        <w:fldChar w:fldCharType="begin" w:fldLock="1"/>
      </w:r>
      <w:r>
        <w:instrText xml:space="preserve"> REF _Ref175745426 \h </w:instrText>
      </w:r>
      <w:r>
        <w:fldChar w:fldCharType="separate"/>
      </w:r>
      <w:r w:rsidR="00EE035D" w:rsidRPr="00E86AD5">
        <w:t xml:space="preserve">Table </w:t>
      </w:r>
      <w:r w:rsidR="00EE035D">
        <w:rPr>
          <w:noProof/>
        </w:rPr>
        <w:t>6</w:t>
      </w:r>
      <w:r>
        <w:fldChar w:fldCharType="end"/>
      </w:r>
      <w:r w:rsidR="001F51FE">
        <w:t xml:space="preserve"> presents </w:t>
      </w:r>
      <w:r w:rsidR="001F51FE" w:rsidRPr="001F51FE">
        <w:rPr>
          <w:i/>
          <w:iCs/>
        </w:rPr>
        <w:t xml:space="preserve">post hoc </w:t>
      </w:r>
      <w:r w:rsidR="001F51FE">
        <w:t xml:space="preserve">subgroup analyses of change in body weight (kg) at 40 weeks according to baseline BMI category </w:t>
      </w:r>
      <w:r w:rsidR="001F51FE" w:rsidRPr="001F51FE">
        <w:rPr>
          <w:rFonts w:cs="Calibri"/>
        </w:rPr>
        <w:t>≥</w:t>
      </w:r>
      <w:r w:rsidR="001F51FE">
        <w:t>35 kg/m</w:t>
      </w:r>
      <w:r w:rsidR="001F51FE" w:rsidRPr="001F51FE">
        <w:rPr>
          <w:vertAlign w:val="superscript"/>
        </w:rPr>
        <w:t>2</w:t>
      </w:r>
      <w:r w:rsidR="001F51FE">
        <w:t xml:space="preserve"> and &lt;35 kg/m</w:t>
      </w:r>
      <w:r w:rsidR="001F51FE" w:rsidRPr="001F51FE">
        <w:rPr>
          <w:vertAlign w:val="superscript"/>
        </w:rPr>
        <w:t>2</w:t>
      </w:r>
      <w:r w:rsidR="001F51FE">
        <w:t>.</w:t>
      </w:r>
    </w:p>
    <w:p w14:paraId="1F2AFE93" w14:textId="4DCF6618" w:rsidR="001F51FE" w:rsidRPr="00782E57" w:rsidRDefault="001F51FE" w:rsidP="000843BA">
      <w:pPr>
        <w:pStyle w:val="Caption"/>
      </w:pPr>
      <w:bookmarkStart w:id="30" w:name="_Ref175745426"/>
      <w:r w:rsidRPr="00E86AD5">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6</w:t>
      </w:r>
      <w:r w:rsidR="00EE035D">
        <w:rPr>
          <w:noProof/>
        </w:rPr>
        <w:fldChar w:fldCharType="end"/>
      </w:r>
      <w:bookmarkEnd w:id="30"/>
      <w:r w:rsidRPr="00E86AD5">
        <w:t xml:space="preserve">: </w:t>
      </w:r>
      <w:r>
        <w:t>C</w:t>
      </w:r>
      <w:r w:rsidRPr="00E86AD5">
        <w:t xml:space="preserve">hange in </w:t>
      </w:r>
      <w:r>
        <w:t>body weight (kg)</w:t>
      </w:r>
      <w:r w:rsidRPr="00E86AD5">
        <w:t xml:space="preserve"> at 40 weeks </w:t>
      </w:r>
      <w:r>
        <w:t>by baseline BMI ≥35 kg/m</w:t>
      </w:r>
      <w:r>
        <w:rPr>
          <w:vertAlign w:val="superscript"/>
        </w:rPr>
        <w:t>2</w:t>
      </w:r>
      <w:r>
        <w:t xml:space="preserve"> and BMI &lt;35 kg/m</w:t>
      </w:r>
      <w:r>
        <w:rPr>
          <w:vertAlign w:val="superscript"/>
        </w:rPr>
        <w:t>2</w:t>
      </w:r>
    </w:p>
    <w:tbl>
      <w:tblPr>
        <w:tblStyle w:val="TableGrid"/>
        <w:tblW w:w="0" w:type="auto"/>
        <w:tblCellMar>
          <w:left w:w="28" w:type="dxa"/>
          <w:right w:w="28" w:type="dxa"/>
        </w:tblCellMar>
        <w:tblLook w:val="04A0" w:firstRow="1" w:lastRow="0" w:firstColumn="1" w:lastColumn="0" w:noHBand="0" w:noVBand="1"/>
        <w:tblCaption w:val="Table 6: Change in body weight (kg) at 40 weeks by baseline BMI ≥35 kg/m2 and BMI &lt;35 kg/m2"/>
      </w:tblPr>
      <w:tblGrid>
        <w:gridCol w:w="1139"/>
        <w:gridCol w:w="1894"/>
        <w:gridCol w:w="868"/>
        <w:gridCol w:w="1400"/>
        <w:gridCol w:w="2201"/>
        <w:gridCol w:w="1515"/>
      </w:tblGrid>
      <w:tr w:rsidR="001F51FE" w:rsidRPr="003D12F4" w14:paraId="101123F9" w14:textId="77777777" w:rsidTr="00A1032E">
        <w:tc>
          <w:tcPr>
            <w:tcW w:w="1139" w:type="dxa"/>
            <w:vAlign w:val="center"/>
          </w:tcPr>
          <w:p w14:paraId="4F751AF4" w14:textId="28C2C6EC" w:rsidR="001F51FE" w:rsidRPr="003D12F4" w:rsidRDefault="001F51FE" w:rsidP="00A1032E">
            <w:pPr>
              <w:keepNext/>
              <w:jc w:val="left"/>
              <w:rPr>
                <w:rFonts w:ascii="Arial Narrow" w:eastAsiaTheme="majorEastAsia" w:hAnsi="Arial Narrow" w:cs="Times New Roman"/>
                <w:b/>
                <w:sz w:val="20"/>
              </w:rPr>
            </w:pPr>
            <w:r w:rsidRPr="003D12F4">
              <w:rPr>
                <w:rFonts w:ascii="Arial Narrow" w:eastAsiaTheme="majorEastAsia" w:hAnsi="Arial Narrow" w:cs="Times New Roman"/>
                <w:b/>
                <w:sz w:val="20"/>
              </w:rPr>
              <w:t>Body weight, kg</w:t>
            </w:r>
          </w:p>
        </w:tc>
        <w:tc>
          <w:tcPr>
            <w:tcW w:w="1894" w:type="dxa"/>
            <w:vAlign w:val="center"/>
          </w:tcPr>
          <w:p w14:paraId="5A97DC67" w14:textId="77777777" w:rsidR="001F51FE" w:rsidRPr="003D12F4" w:rsidRDefault="001F51FE" w:rsidP="00A1032E">
            <w:pPr>
              <w:keepNext/>
              <w:jc w:val="left"/>
              <w:rPr>
                <w:rFonts w:ascii="Arial Narrow" w:eastAsiaTheme="majorEastAsia" w:hAnsi="Arial Narrow" w:cs="Times New Roman"/>
                <w:b/>
                <w:sz w:val="20"/>
              </w:rPr>
            </w:pPr>
            <w:r w:rsidRPr="003D12F4">
              <w:rPr>
                <w:rFonts w:ascii="Arial Narrow" w:eastAsiaTheme="majorEastAsia" w:hAnsi="Arial Narrow" w:cs="Times New Roman"/>
                <w:b/>
                <w:sz w:val="20"/>
              </w:rPr>
              <w:t>Treatment arm</w:t>
            </w:r>
          </w:p>
        </w:tc>
        <w:tc>
          <w:tcPr>
            <w:tcW w:w="868" w:type="dxa"/>
            <w:vAlign w:val="center"/>
          </w:tcPr>
          <w:p w14:paraId="0EEF4C7D" w14:textId="77777777"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n</w:t>
            </w:r>
          </w:p>
        </w:tc>
        <w:tc>
          <w:tcPr>
            <w:tcW w:w="1400" w:type="dxa"/>
            <w:vAlign w:val="center"/>
          </w:tcPr>
          <w:p w14:paraId="0D560E90" w14:textId="320046BF" w:rsidR="001F51FE" w:rsidRPr="003D12F4" w:rsidRDefault="001F51FE" w:rsidP="00A1032E">
            <w:pPr>
              <w:keepNext/>
              <w:jc w:val="center"/>
              <w:rPr>
                <w:rFonts w:ascii="Arial Narrow" w:eastAsiaTheme="majorEastAsia" w:hAnsi="Arial Narrow" w:cs="Times New Roman"/>
                <w:b/>
                <w:sz w:val="20"/>
                <w:vertAlign w:val="superscript"/>
              </w:rPr>
            </w:pPr>
            <w:r w:rsidRPr="003D12F4">
              <w:rPr>
                <w:rFonts w:ascii="Arial Narrow" w:eastAsiaTheme="majorEastAsia" w:hAnsi="Arial Narrow" w:cs="Times New Roman"/>
                <w:b/>
                <w:sz w:val="20"/>
              </w:rPr>
              <w:t>Change from baseline, LSM (SE)</w:t>
            </w:r>
          </w:p>
        </w:tc>
        <w:tc>
          <w:tcPr>
            <w:tcW w:w="2201" w:type="dxa"/>
            <w:vAlign w:val="center"/>
          </w:tcPr>
          <w:p w14:paraId="397951CD" w14:textId="513AEB28"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Tirzepatide vs semaglutide, LSM difference (95% CI)</w:t>
            </w:r>
          </w:p>
        </w:tc>
        <w:tc>
          <w:tcPr>
            <w:tcW w:w="1515" w:type="dxa"/>
            <w:vAlign w:val="center"/>
          </w:tcPr>
          <w:p w14:paraId="7E43F4BE" w14:textId="77777777" w:rsidR="001F51FE" w:rsidRPr="003D12F4" w:rsidRDefault="001F51FE" w:rsidP="00A1032E">
            <w:pPr>
              <w:keepNext/>
              <w:jc w:val="center"/>
              <w:rPr>
                <w:rFonts w:ascii="Arial Narrow" w:eastAsiaTheme="majorEastAsia" w:hAnsi="Arial Narrow" w:cs="Times New Roman"/>
                <w:b/>
                <w:sz w:val="20"/>
              </w:rPr>
            </w:pPr>
            <w:r w:rsidRPr="003D12F4">
              <w:rPr>
                <w:rFonts w:ascii="Arial Narrow" w:eastAsiaTheme="majorEastAsia" w:hAnsi="Arial Narrow" w:cs="Times New Roman"/>
                <w:b/>
                <w:sz w:val="20"/>
              </w:rPr>
              <w:t>Interaction p-value</w:t>
            </w:r>
          </w:p>
        </w:tc>
      </w:tr>
      <w:tr w:rsidR="001F51FE" w:rsidRPr="003D12F4" w14:paraId="4AE26B71" w14:textId="77777777" w:rsidTr="00A1032E">
        <w:tc>
          <w:tcPr>
            <w:tcW w:w="9017" w:type="dxa"/>
            <w:gridSpan w:val="6"/>
            <w:vAlign w:val="center"/>
          </w:tcPr>
          <w:p w14:paraId="7C9DC02D" w14:textId="77777777" w:rsidR="001F51FE" w:rsidRPr="003D12F4" w:rsidRDefault="001F51FE" w:rsidP="00A1032E">
            <w:pPr>
              <w:pStyle w:val="COMTableheadingrow"/>
            </w:pPr>
            <w:r w:rsidRPr="003D12F4">
              <w:t xml:space="preserve">Treatment regimen </w:t>
            </w:r>
            <w:proofErr w:type="spellStart"/>
            <w:r w:rsidRPr="003D12F4">
              <w:t>estimand</w:t>
            </w:r>
            <w:proofErr w:type="spellEnd"/>
          </w:p>
        </w:tc>
      </w:tr>
      <w:tr w:rsidR="001F51FE" w:rsidRPr="003D12F4" w14:paraId="07B68153" w14:textId="77777777" w:rsidTr="00A1032E">
        <w:tc>
          <w:tcPr>
            <w:tcW w:w="1139" w:type="dxa"/>
            <w:vMerge w:val="restart"/>
            <w:vAlign w:val="center"/>
          </w:tcPr>
          <w:p w14:paraId="6B40B9D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2D278877"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60AAF8C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470</w:t>
            </w:r>
          </w:p>
        </w:tc>
        <w:tc>
          <w:tcPr>
            <w:tcW w:w="1400" w:type="dxa"/>
          </w:tcPr>
          <w:p w14:paraId="1A17937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-7.6 (0.33)</w:t>
            </w:r>
          </w:p>
        </w:tc>
        <w:tc>
          <w:tcPr>
            <w:tcW w:w="2201" w:type="dxa"/>
          </w:tcPr>
          <w:p w14:paraId="1580D82F"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-1.9 (-2.8, -1.0)</w:t>
            </w:r>
          </w:p>
        </w:tc>
        <w:tc>
          <w:tcPr>
            <w:tcW w:w="1515" w:type="dxa"/>
            <w:vMerge w:val="restart"/>
            <w:vAlign w:val="center"/>
          </w:tcPr>
          <w:p w14:paraId="0AF22D0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1F51FE" w:rsidRPr="003D12F4" w14:paraId="28F5E226" w14:textId="77777777" w:rsidTr="00A1032E">
        <w:tc>
          <w:tcPr>
            <w:tcW w:w="1139" w:type="dxa"/>
            <w:vMerge/>
            <w:vAlign w:val="center"/>
          </w:tcPr>
          <w:p w14:paraId="7F8BF27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6E1AA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0A5ABB0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469</w:t>
            </w:r>
          </w:p>
        </w:tc>
        <w:tc>
          <w:tcPr>
            <w:tcW w:w="1400" w:type="dxa"/>
          </w:tcPr>
          <w:p w14:paraId="55C5B04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-9.3 (0.32)</w:t>
            </w:r>
          </w:p>
        </w:tc>
        <w:tc>
          <w:tcPr>
            <w:tcW w:w="2201" w:type="dxa"/>
          </w:tcPr>
          <w:p w14:paraId="1C09024B"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-3.6 (-4.5, -2.7)</w:t>
            </w:r>
          </w:p>
        </w:tc>
        <w:tc>
          <w:tcPr>
            <w:tcW w:w="1515" w:type="dxa"/>
            <w:vMerge/>
            <w:vAlign w:val="center"/>
          </w:tcPr>
          <w:p w14:paraId="20A9B0F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5227E390" w14:textId="77777777" w:rsidTr="00A1032E">
        <w:tc>
          <w:tcPr>
            <w:tcW w:w="1139" w:type="dxa"/>
            <w:vMerge/>
            <w:vAlign w:val="center"/>
          </w:tcPr>
          <w:p w14:paraId="7BF1820D"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7B171A0A"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404EF26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469</w:t>
            </w:r>
          </w:p>
        </w:tc>
        <w:tc>
          <w:tcPr>
            <w:tcW w:w="1400" w:type="dxa"/>
          </w:tcPr>
          <w:p w14:paraId="2FB76F7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-11.2 (0.32)</w:t>
            </w:r>
          </w:p>
        </w:tc>
        <w:tc>
          <w:tcPr>
            <w:tcW w:w="2201" w:type="dxa"/>
          </w:tcPr>
          <w:p w14:paraId="2B3B9AE5"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-5.5 (-6.4, -4.6)</w:t>
            </w:r>
          </w:p>
        </w:tc>
        <w:tc>
          <w:tcPr>
            <w:tcW w:w="1515" w:type="dxa"/>
            <w:vMerge/>
            <w:vAlign w:val="center"/>
          </w:tcPr>
          <w:p w14:paraId="28B2104B"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325E68F9" w14:textId="77777777" w:rsidTr="00A1032E">
        <w:tc>
          <w:tcPr>
            <w:tcW w:w="1139" w:type="dxa"/>
            <w:vMerge/>
            <w:vAlign w:val="center"/>
          </w:tcPr>
          <w:p w14:paraId="5F51EEBE"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540CA4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019D358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468</w:t>
            </w:r>
          </w:p>
        </w:tc>
        <w:tc>
          <w:tcPr>
            <w:tcW w:w="1400" w:type="dxa"/>
          </w:tcPr>
          <w:p w14:paraId="071A4752"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-5.7 (0.32)</w:t>
            </w:r>
          </w:p>
        </w:tc>
        <w:tc>
          <w:tcPr>
            <w:tcW w:w="2201" w:type="dxa"/>
          </w:tcPr>
          <w:p w14:paraId="162EC3C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1B193DA3"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9EB9E85" w14:textId="77777777" w:rsidTr="00A1032E">
        <w:tc>
          <w:tcPr>
            <w:tcW w:w="1139" w:type="dxa"/>
            <w:vMerge w:val="restart"/>
            <w:vAlign w:val="center"/>
          </w:tcPr>
          <w:p w14:paraId="6AEDF6FA" w14:textId="208C37ED"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p>
        </w:tc>
        <w:tc>
          <w:tcPr>
            <w:tcW w:w="1894" w:type="dxa"/>
          </w:tcPr>
          <w:p w14:paraId="4628C733"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256EC0D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153</w:t>
            </w:r>
          </w:p>
        </w:tc>
        <w:tc>
          <w:tcPr>
            <w:tcW w:w="1400" w:type="dxa"/>
          </w:tcPr>
          <w:p w14:paraId="24E83B9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-9.04</w:t>
            </w:r>
          </w:p>
        </w:tc>
        <w:tc>
          <w:tcPr>
            <w:tcW w:w="2201" w:type="dxa"/>
          </w:tcPr>
          <w:p w14:paraId="7C41E62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-2.6 (-4.4, -0.8)</w:t>
            </w:r>
          </w:p>
        </w:tc>
        <w:tc>
          <w:tcPr>
            <w:tcW w:w="1515" w:type="dxa"/>
            <w:vMerge w:val="restart"/>
            <w:vAlign w:val="center"/>
          </w:tcPr>
          <w:p w14:paraId="0726E35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r>
      <w:tr w:rsidR="001F51FE" w:rsidRPr="003D12F4" w14:paraId="66BD9B51" w14:textId="77777777" w:rsidTr="00A1032E">
        <w:tc>
          <w:tcPr>
            <w:tcW w:w="1139" w:type="dxa"/>
            <w:vMerge/>
            <w:vAlign w:val="center"/>
          </w:tcPr>
          <w:p w14:paraId="5F2D5D6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A6654B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72CE130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171</w:t>
            </w:r>
          </w:p>
        </w:tc>
        <w:tc>
          <w:tcPr>
            <w:tcW w:w="1400" w:type="dxa"/>
          </w:tcPr>
          <w:p w14:paraId="66BCE61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-11.32</w:t>
            </w:r>
          </w:p>
        </w:tc>
        <w:tc>
          <w:tcPr>
            <w:tcW w:w="2201" w:type="dxa"/>
          </w:tcPr>
          <w:p w14:paraId="77D48FA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-4.9 (-6.6, -3.1)</w:t>
            </w:r>
          </w:p>
        </w:tc>
        <w:tc>
          <w:tcPr>
            <w:tcW w:w="1515" w:type="dxa"/>
            <w:vMerge/>
            <w:vAlign w:val="center"/>
          </w:tcPr>
          <w:p w14:paraId="3098889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63441688" w14:textId="77777777" w:rsidTr="00A1032E">
        <w:tc>
          <w:tcPr>
            <w:tcW w:w="1139" w:type="dxa"/>
            <w:vMerge/>
            <w:vAlign w:val="center"/>
          </w:tcPr>
          <w:p w14:paraId="12FC59AE"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7609273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5832ACB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172</w:t>
            </w:r>
          </w:p>
        </w:tc>
        <w:tc>
          <w:tcPr>
            <w:tcW w:w="1400" w:type="dxa"/>
          </w:tcPr>
          <w:p w14:paraId="2B17ED3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-14.09</w:t>
            </w:r>
          </w:p>
        </w:tc>
        <w:tc>
          <w:tcPr>
            <w:tcW w:w="2201" w:type="dxa"/>
          </w:tcPr>
          <w:p w14:paraId="4FF4854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-7.6 (-9.4, -5.9)</w:t>
            </w:r>
          </w:p>
        </w:tc>
        <w:tc>
          <w:tcPr>
            <w:tcW w:w="1515" w:type="dxa"/>
            <w:vMerge/>
            <w:vAlign w:val="center"/>
          </w:tcPr>
          <w:p w14:paraId="72A94835"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A80E6E0" w14:textId="77777777" w:rsidTr="00A1032E">
        <w:tc>
          <w:tcPr>
            <w:tcW w:w="1139" w:type="dxa"/>
            <w:vMerge/>
            <w:vAlign w:val="center"/>
          </w:tcPr>
          <w:p w14:paraId="46215438"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7A8C901"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7133EAF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159</w:t>
            </w:r>
          </w:p>
        </w:tc>
        <w:tc>
          <w:tcPr>
            <w:tcW w:w="1400" w:type="dxa"/>
          </w:tcPr>
          <w:p w14:paraId="6FCA5AD3"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-6.46</w:t>
            </w:r>
          </w:p>
        </w:tc>
        <w:tc>
          <w:tcPr>
            <w:tcW w:w="2201" w:type="dxa"/>
          </w:tcPr>
          <w:p w14:paraId="410B40F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67C84EB8"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6FA7689E" w14:textId="77777777" w:rsidTr="00A1032E">
        <w:tc>
          <w:tcPr>
            <w:tcW w:w="1139" w:type="dxa"/>
            <w:vMerge w:val="restart"/>
            <w:vAlign w:val="center"/>
          </w:tcPr>
          <w:p w14:paraId="0E25E6C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Pr="003D12F4">
              <w:rPr>
                <w:rFonts w:ascii="Arial Narrow" w:eastAsiaTheme="majorEastAsia" w:hAnsi="Arial Narrow" w:cstheme="majorBidi"/>
                <w:bCs/>
                <w:sz w:val="20"/>
              </w:rPr>
              <w:t xml:space="preserve"> </w:t>
            </w:r>
          </w:p>
        </w:tc>
        <w:tc>
          <w:tcPr>
            <w:tcW w:w="1894" w:type="dxa"/>
          </w:tcPr>
          <w:p w14:paraId="5F136477"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060212F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189DFFC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006AF0D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21A5C5F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AF32B61" w14:textId="77777777" w:rsidTr="00A1032E">
        <w:tc>
          <w:tcPr>
            <w:tcW w:w="1139" w:type="dxa"/>
            <w:vMerge/>
            <w:vAlign w:val="center"/>
          </w:tcPr>
          <w:p w14:paraId="0465785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43C651EF"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2A421DB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457B7BF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2D4F247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5037E258"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39E379E" w14:textId="77777777" w:rsidTr="00A1032E">
        <w:tc>
          <w:tcPr>
            <w:tcW w:w="1139" w:type="dxa"/>
            <w:vMerge/>
            <w:vAlign w:val="center"/>
          </w:tcPr>
          <w:p w14:paraId="2DD3E0D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464445C"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059F4B2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4B11CBF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04CA8532"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6864870F"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47E843B6" w14:textId="77777777" w:rsidTr="00A1032E">
        <w:tc>
          <w:tcPr>
            <w:tcW w:w="1139" w:type="dxa"/>
            <w:vMerge/>
            <w:vAlign w:val="center"/>
          </w:tcPr>
          <w:p w14:paraId="17C89B31"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5F664C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5884955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400" w:type="dxa"/>
            <w:vAlign w:val="center"/>
          </w:tcPr>
          <w:p w14:paraId="7162C24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2201" w:type="dxa"/>
            <w:vAlign w:val="center"/>
          </w:tcPr>
          <w:p w14:paraId="74C5535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NE</w:t>
            </w:r>
          </w:p>
        </w:tc>
        <w:tc>
          <w:tcPr>
            <w:tcW w:w="1515" w:type="dxa"/>
            <w:vMerge/>
            <w:vAlign w:val="center"/>
          </w:tcPr>
          <w:p w14:paraId="511C5B52"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5A5A795B" w14:textId="77777777" w:rsidTr="00A1032E">
        <w:tc>
          <w:tcPr>
            <w:tcW w:w="9017" w:type="dxa"/>
            <w:gridSpan w:val="6"/>
            <w:vAlign w:val="center"/>
          </w:tcPr>
          <w:p w14:paraId="347A7EAD" w14:textId="77777777" w:rsidR="001F51FE" w:rsidRPr="003D12F4" w:rsidRDefault="001F51FE" w:rsidP="00A1032E">
            <w:pPr>
              <w:pStyle w:val="COMTableheadingrow"/>
            </w:pPr>
            <w:r w:rsidRPr="003D12F4">
              <w:t xml:space="preserve">Efficacy </w:t>
            </w:r>
            <w:proofErr w:type="spellStart"/>
            <w:r w:rsidRPr="003D12F4">
              <w:t>estimand</w:t>
            </w:r>
            <w:proofErr w:type="spellEnd"/>
          </w:p>
        </w:tc>
      </w:tr>
      <w:tr w:rsidR="001F51FE" w:rsidRPr="003D12F4" w14:paraId="16FBC1AF" w14:textId="77777777" w:rsidTr="00A1032E">
        <w:tc>
          <w:tcPr>
            <w:tcW w:w="1139" w:type="dxa"/>
            <w:vMerge w:val="restart"/>
            <w:vAlign w:val="center"/>
          </w:tcPr>
          <w:p w14:paraId="5BEE6EF9"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ITT</w:t>
            </w:r>
          </w:p>
        </w:tc>
        <w:tc>
          <w:tcPr>
            <w:tcW w:w="1894" w:type="dxa"/>
          </w:tcPr>
          <w:p w14:paraId="65243B4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tcPr>
          <w:p w14:paraId="3A02A6B9"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461</w:t>
            </w:r>
          </w:p>
        </w:tc>
        <w:tc>
          <w:tcPr>
            <w:tcW w:w="1400" w:type="dxa"/>
          </w:tcPr>
          <w:p w14:paraId="12C2ED3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-7.8 (0.33)</w:t>
            </w:r>
          </w:p>
        </w:tc>
        <w:tc>
          <w:tcPr>
            <w:tcW w:w="2201" w:type="dxa"/>
          </w:tcPr>
          <w:p w14:paraId="5B120614"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-1.7 (-2.6, -0.7)</w:t>
            </w:r>
          </w:p>
        </w:tc>
        <w:tc>
          <w:tcPr>
            <w:tcW w:w="1515" w:type="dxa"/>
            <w:vMerge w:val="restart"/>
            <w:vAlign w:val="center"/>
          </w:tcPr>
          <w:p w14:paraId="5D801D9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r>
      <w:tr w:rsidR="001F51FE" w:rsidRPr="003D12F4" w14:paraId="0BD12FA1" w14:textId="77777777" w:rsidTr="00A1032E">
        <w:tc>
          <w:tcPr>
            <w:tcW w:w="1139" w:type="dxa"/>
            <w:vMerge/>
            <w:vAlign w:val="center"/>
          </w:tcPr>
          <w:p w14:paraId="53422745"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2BE973F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tcPr>
          <w:p w14:paraId="36125B7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459</w:t>
            </w:r>
          </w:p>
        </w:tc>
        <w:tc>
          <w:tcPr>
            <w:tcW w:w="1400" w:type="dxa"/>
          </w:tcPr>
          <w:p w14:paraId="794AC4EE"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-10.3 (0.34)</w:t>
            </w:r>
          </w:p>
        </w:tc>
        <w:tc>
          <w:tcPr>
            <w:tcW w:w="2201" w:type="dxa"/>
          </w:tcPr>
          <w:p w14:paraId="4471D838"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-4.1 (-5.0, -3.2)</w:t>
            </w:r>
          </w:p>
        </w:tc>
        <w:tc>
          <w:tcPr>
            <w:tcW w:w="1515" w:type="dxa"/>
            <w:vMerge/>
            <w:vAlign w:val="center"/>
          </w:tcPr>
          <w:p w14:paraId="5E80BCA0"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3A85C135" w14:textId="77777777" w:rsidTr="00A1032E">
        <w:tc>
          <w:tcPr>
            <w:tcW w:w="1139" w:type="dxa"/>
            <w:vMerge/>
            <w:vAlign w:val="center"/>
          </w:tcPr>
          <w:p w14:paraId="731CDD5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56573F5"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tcPr>
          <w:p w14:paraId="101E4DF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464</w:t>
            </w:r>
          </w:p>
        </w:tc>
        <w:tc>
          <w:tcPr>
            <w:tcW w:w="1400" w:type="dxa"/>
          </w:tcPr>
          <w:p w14:paraId="75A15C3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-12.4 (0.34)</w:t>
            </w:r>
          </w:p>
        </w:tc>
        <w:tc>
          <w:tcPr>
            <w:tcW w:w="2201" w:type="dxa"/>
          </w:tcPr>
          <w:p w14:paraId="4A5B63E6" w14:textId="77777777" w:rsidR="001F51FE" w:rsidRPr="003D12F4" w:rsidRDefault="001F51FE" w:rsidP="00A1032E">
            <w:pPr>
              <w:keepNext/>
              <w:jc w:val="center"/>
              <w:rPr>
                <w:rFonts w:ascii="Arial Narrow" w:eastAsiaTheme="majorEastAsia" w:hAnsi="Arial Narrow" w:cstheme="majorBidi"/>
                <w:b/>
                <w:sz w:val="20"/>
              </w:rPr>
            </w:pPr>
            <w:r w:rsidRPr="003D12F4">
              <w:rPr>
                <w:rFonts w:ascii="Arial Narrow" w:eastAsiaTheme="majorEastAsia" w:hAnsi="Arial Narrow" w:cstheme="majorBidi"/>
                <w:b/>
                <w:sz w:val="20"/>
              </w:rPr>
              <w:t>-6.2 (-7.1, -5.3)</w:t>
            </w:r>
          </w:p>
        </w:tc>
        <w:tc>
          <w:tcPr>
            <w:tcW w:w="1515" w:type="dxa"/>
            <w:vMerge/>
            <w:vAlign w:val="center"/>
          </w:tcPr>
          <w:p w14:paraId="2F14582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933057E" w14:textId="77777777" w:rsidTr="00A1032E">
        <w:tc>
          <w:tcPr>
            <w:tcW w:w="1139" w:type="dxa"/>
            <w:vMerge/>
            <w:vAlign w:val="center"/>
          </w:tcPr>
          <w:p w14:paraId="3851D237"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5FA5828"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tcPr>
          <w:p w14:paraId="6014B7A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462</w:t>
            </w:r>
          </w:p>
        </w:tc>
        <w:tc>
          <w:tcPr>
            <w:tcW w:w="1400" w:type="dxa"/>
          </w:tcPr>
          <w:p w14:paraId="15D608DD"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-6.2 (0.33)</w:t>
            </w:r>
          </w:p>
        </w:tc>
        <w:tc>
          <w:tcPr>
            <w:tcW w:w="2201" w:type="dxa"/>
          </w:tcPr>
          <w:p w14:paraId="4F1ECA8B"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6B4D228A"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22765B69" w14:textId="77777777" w:rsidTr="00A1032E">
        <w:tc>
          <w:tcPr>
            <w:tcW w:w="1139" w:type="dxa"/>
            <w:vMerge w:val="restart"/>
            <w:vAlign w:val="center"/>
          </w:tcPr>
          <w:p w14:paraId="056661E8" w14:textId="44684AB0"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p>
        </w:tc>
        <w:tc>
          <w:tcPr>
            <w:tcW w:w="1894" w:type="dxa"/>
          </w:tcPr>
          <w:p w14:paraId="43C6BE6C"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3A841777"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161</w:t>
            </w:r>
          </w:p>
        </w:tc>
        <w:tc>
          <w:tcPr>
            <w:tcW w:w="1400" w:type="dxa"/>
            <w:vAlign w:val="center"/>
          </w:tcPr>
          <w:p w14:paraId="78850F1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-9.3 (0.66)</w:t>
            </w:r>
          </w:p>
        </w:tc>
        <w:tc>
          <w:tcPr>
            <w:tcW w:w="2201" w:type="dxa"/>
            <w:vAlign w:val="center"/>
          </w:tcPr>
          <w:p w14:paraId="23A0BD8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-2.3 (-4.2, -0.5)</w:t>
            </w:r>
          </w:p>
        </w:tc>
        <w:tc>
          <w:tcPr>
            <w:tcW w:w="1515" w:type="dxa"/>
            <w:vMerge w:val="restart"/>
            <w:vAlign w:val="center"/>
          </w:tcPr>
          <w:p w14:paraId="689475C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&lt;0.001</w:t>
            </w:r>
          </w:p>
        </w:tc>
      </w:tr>
      <w:tr w:rsidR="001F51FE" w:rsidRPr="003D12F4" w14:paraId="4740B36E" w14:textId="77777777" w:rsidTr="00A1032E">
        <w:tc>
          <w:tcPr>
            <w:tcW w:w="1139" w:type="dxa"/>
            <w:vMerge/>
            <w:vAlign w:val="center"/>
          </w:tcPr>
          <w:p w14:paraId="319D8D02"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043752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5968C5B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237613A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-12.2 (0.63)</w:t>
            </w:r>
          </w:p>
        </w:tc>
        <w:tc>
          <w:tcPr>
            <w:tcW w:w="2201" w:type="dxa"/>
            <w:vAlign w:val="center"/>
          </w:tcPr>
          <w:p w14:paraId="03DC2E5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-5.3 (-7.0, -3.5)</w:t>
            </w:r>
          </w:p>
        </w:tc>
        <w:tc>
          <w:tcPr>
            <w:tcW w:w="1515" w:type="dxa"/>
            <w:vMerge/>
            <w:vAlign w:val="center"/>
          </w:tcPr>
          <w:p w14:paraId="30EB203E"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7E825369" w14:textId="77777777" w:rsidTr="00A1032E">
        <w:tc>
          <w:tcPr>
            <w:tcW w:w="1139" w:type="dxa"/>
            <w:vMerge/>
            <w:vAlign w:val="center"/>
          </w:tcPr>
          <w:p w14:paraId="183052B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10E0E79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1F21EB9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176</w:t>
            </w:r>
          </w:p>
        </w:tc>
        <w:tc>
          <w:tcPr>
            <w:tcW w:w="1400" w:type="dxa"/>
            <w:vAlign w:val="center"/>
          </w:tcPr>
          <w:p w14:paraId="7357E83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-15.5 (0.63)</w:t>
            </w:r>
          </w:p>
        </w:tc>
        <w:tc>
          <w:tcPr>
            <w:tcW w:w="2201" w:type="dxa"/>
            <w:vAlign w:val="center"/>
          </w:tcPr>
          <w:p w14:paraId="0E74FA4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-8.6 (-10.3, -6.8)</w:t>
            </w:r>
          </w:p>
        </w:tc>
        <w:tc>
          <w:tcPr>
            <w:tcW w:w="1515" w:type="dxa"/>
            <w:vMerge/>
            <w:vAlign w:val="center"/>
          </w:tcPr>
          <w:p w14:paraId="38B1226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0C4F40F2" w14:textId="77777777" w:rsidTr="00A1032E">
        <w:tc>
          <w:tcPr>
            <w:tcW w:w="1139" w:type="dxa"/>
            <w:vMerge/>
            <w:vAlign w:val="center"/>
          </w:tcPr>
          <w:p w14:paraId="68C6DC9A"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3009EAB8"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077E687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166</w:t>
            </w:r>
          </w:p>
        </w:tc>
        <w:tc>
          <w:tcPr>
            <w:tcW w:w="1400" w:type="dxa"/>
            <w:vAlign w:val="center"/>
          </w:tcPr>
          <w:p w14:paraId="177A6BF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-6.9 (0.65)</w:t>
            </w:r>
          </w:p>
        </w:tc>
        <w:tc>
          <w:tcPr>
            <w:tcW w:w="2201" w:type="dxa"/>
            <w:vAlign w:val="center"/>
          </w:tcPr>
          <w:p w14:paraId="4E8D525A"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1E9D1C31"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23E4C250" w14:textId="77777777" w:rsidTr="00A1032E">
        <w:tc>
          <w:tcPr>
            <w:tcW w:w="1139" w:type="dxa"/>
            <w:vMerge w:val="restart"/>
            <w:vAlign w:val="center"/>
          </w:tcPr>
          <w:p w14:paraId="577B3FC8" w14:textId="3644A8E1"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BMI &lt;35 kg/m</w:t>
            </w:r>
            <w:r w:rsidRPr="003D12F4">
              <w:rPr>
                <w:rFonts w:ascii="Arial Narrow" w:eastAsiaTheme="majorEastAsia" w:hAnsi="Arial Narrow" w:cstheme="majorBidi"/>
                <w:bCs/>
                <w:sz w:val="20"/>
                <w:vertAlign w:val="superscript"/>
              </w:rPr>
              <w:t>2</w:t>
            </w:r>
            <w:r w:rsidR="0080238A">
              <w:rPr>
                <w:rFonts w:ascii="Arial Narrow" w:eastAsiaTheme="majorEastAsia" w:hAnsi="Arial Narrow" w:cstheme="majorBidi"/>
                <w:bCs/>
                <w:sz w:val="20"/>
                <w:vertAlign w:val="superscript"/>
              </w:rPr>
              <w:t xml:space="preserve"> a</w:t>
            </w:r>
            <w:r w:rsidRPr="003D12F4">
              <w:rPr>
                <w:rFonts w:ascii="Arial Narrow" w:eastAsiaTheme="majorEastAsia" w:hAnsi="Arial Narrow" w:cstheme="majorBidi"/>
                <w:bCs/>
                <w:sz w:val="20"/>
              </w:rPr>
              <w:t xml:space="preserve"> </w:t>
            </w:r>
          </w:p>
        </w:tc>
        <w:tc>
          <w:tcPr>
            <w:tcW w:w="1894" w:type="dxa"/>
          </w:tcPr>
          <w:p w14:paraId="2E4ABA84"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5 mg </w:t>
            </w:r>
          </w:p>
        </w:tc>
        <w:tc>
          <w:tcPr>
            <w:tcW w:w="868" w:type="dxa"/>
            <w:vAlign w:val="center"/>
          </w:tcPr>
          <w:p w14:paraId="03E23226"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308</w:t>
            </w:r>
          </w:p>
        </w:tc>
        <w:tc>
          <w:tcPr>
            <w:tcW w:w="1400" w:type="dxa"/>
            <w:vAlign w:val="center"/>
          </w:tcPr>
          <w:p w14:paraId="17AA8744"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-7.1 (0.35)</w:t>
            </w:r>
          </w:p>
        </w:tc>
        <w:tc>
          <w:tcPr>
            <w:tcW w:w="2201" w:type="dxa"/>
            <w:vAlign w:val="center"/>
          </w:tcPr>
          <w:p w14:paraId="0413FCAC"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-1.3 (-2.3, -0.4)</w:t>
            </w:r>
          </w:p>
        </w:tc>
        <w:tc>
          <w:tcPr>
            <w:tcW w:w="1515" w:type="dxa"/>
            <w:vMerge/>
            <w:vAlign w:val="center"/>
          </w:tcPr>
          <w:p w14:paraId="0DD0F21C"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14C23E03" w14:textId="77777777" w:rsidTr="00A1032E">
        <w:tc>
          <w:tcPr>
            <w:tcW w:w="1139" w:type="dxa"/>
            <w:vMerge/>
            <w:vAlign w:val="center"/>
          </w:tcPr>
          <w:p w14:paraId="19FF3C00"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6FAD83AB"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10 mg </w:t>
            </w:r>
          </w:p>
        </w:tc>
        <w:tc>
          <w:tcPr>
            <w:tcW w:w="868" w:type="dxa"/>
            <w:vAlign w:val="center"/>
          </w:tcPr>
          <w:p w14:paraId="6EA135B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288</w:t>
            </w:r>
          </w:p>
        </w:tc>
        <w:tc>
          <w:tcPr>
            <w:tcW w:w="1400" w:type="dxa"/>
            <w:vAlign w:val="center"/>
          </w:tcPr>
          <w:p w14:paraId="3997DFB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-9.0 (0.36)</w:t>
            </w:r>
          </w:p>
        </w:tc>
        <w:tc>
          <w:tcPr>
            <w:tcW w:w="2201" w:type="dxa"/>
            <w:vAlign w:val="center"/>
          </w:tcPr>
          <w:p w14:paraId="126D5428"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-3.3 (-4.3, -2.3)</w:t>
            </w:r>
          </w:p>
        </w:tc>
        <w:tc>
          <w:tcPr>
            <w:tcW w:w="1515" w:type="dxa"/>
            <w:vMerge/>
            <w:vAlign w:val="center"/>
          </w:tcPr>
          <w:p w14:paraId="0742479E"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3D12F4" w14:paraId="44DA358A" w14:textId="77777777" w:rsidTr="00A1032E">
        <w:tc>
          <w:tcPr>
            <w:tcW w:w="1139" w:type="dxa"/>
            <w:vMerge/>
            <w:vAlign w:val="center"/>
          </w:tcPr>
          <w:p w14:paraId="7AD1A2BF"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575D794A"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 xml:space="preserve">Tirzepatide 15 mg </w:t>
            </w:r>
          </w:p>
        </w:tc>
        <w:tc>
          <w:tcPr>
            <w:tcW w:w="868" w:type="dxa"/>
            <w:vAlign w:val="center"/>
          </w:tcPr>
          <w:p w14:paraId="3802E81F"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291</w:t>
            </w:r>
          </w:p>
        </w:tc>
        <w:tc>
          <w:tcPr>
            <w:tcW w:w="1400" w:type="dxa"/>
            <w:vAlign w:val="center"/>
          </w:tcPr>
          <w:p w14:paraId="628FB7BD"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-10.4 (0.36)</w:t>
            </w:r>
          </w:p>
        </w:tc>
        <w:tc>
          <w:tcPr>
            <w:tcW w:w="2201" w:type="dxa"/>
            <w:vAlign w:val="center"/>
          </w:tcPr>
          <w:p w14:paraId="3E88BCA1"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-4.6 (-5.6, -3.7)</w:t>
            </w:r>
          </w:p>
        </w:tc>
        <w:tc>
          <w:tcPr>
            <w:tcW w:w="1515" w:type="dxa"/>
            <w:vMerge/>
            <w:vAlign w:val="center"/>
          </w:tcPr>
          <w:p w14:paraId="1EB946B4" w14:textId="77777777" w:rsidR="001F51FE" w:rsidRPr="003D12F4" w:rsidRDefault="001F51FE" w:rsidP="00A1032E">
            <w:pPr>
              <w:keepNext/>
              <w:jc w:val="center"/>
              <w:rPr>
                <w:rFonts w:ascii="Arial Narrow" w:eastAsiaTheme="majorEastAsia" w:hAnsi="Arial Narrow" w:cstheme="majorBidi"/>
                <w:bCs/>
                <w:sz w:val="20"/>
              </w:rPr>
            </w:pPr>
          </w:p>
        </w:tc>
      </w:tr>
      <w:tr w:rsidR="001F51FE" w:rsidRPr="00E86AD5" w14:paraId="216F8A7E" w14:textId="77777777" w:rsidTr="00A1032E">
        <w:tc>
          <w:tcPr>
            <w:tcW w:w="1139" w:type="dxa"/>
            <w:vMerge/>
            <w:vAlign w:val="center"/>
          </w:tcPr>
          <w:p w14:paraId="0244DA49" w14:textId="77777777" w:rsidR="001F51FE" w:rsidRPr="003D12F4" w:rsidRDefault="001F51FE" w:rsidP="00A1032E">
            <w:pPr>
              <w:keepNext/>
              <w:jc w:val="left"/>
              <w:rPr>
                <w:rFonts w:ascii="Arial Narrow" w:eastAsiaTheme="majorEastAsia" w:hAnsi="Arial Narrow" w:cstheme="majorBidi"/>
                <w:bCs/>
                <w:sz w:val="20"/>
              </w:rPr>
            </w:pPr>
          </w:p>
        </w:tc>
        <w:tc>
          <w:tcPr>
            <w:tcW w:w="1894" w:type="dxa"/>
          </w:tcPr>
          <w:p w14:paraId="2676CC42" w14:textId="77777777" w:rsidR="001F51FE" w:rsidRPr="003D12F4" w:rsidRDefault="001F51FE" w:rsidP="00A1032E">
            <w:pPr>
              <w:keepNext/>
              <w:jc w:val="left"/>
              <w:rPr>
                <w:rFonts w:ascii="Arial Narrow" w:eastAsiaTheme="majorEastAsia" w:hAnsi="Arial Narrow" w:cstheme="majorBidi"/>
                <w:bCs/>
                <w:sz w:val="20"/>
              </w:rPr>
            </w:pPr>
            <w:r w:rsidRPr="003D12F4">
              <w:rPr>
                <w:rFonts w:ascii="Arial Narrow" w:eastAsiaTheme="majorEastAsia" w:hAnsi="Arial Narrow" w:cstheme="majorBidi"/>
                <w:bCs/>
                <w:sz w:val="20"/>
              </w:rPr>
              <w:t>Semaglutide 1 mg</w:t>
            </w:r>
          </w:p>
        </w:tc>
        <w:tc>
          <w:tcPr>
            <w:tcW w:w="868" w:type="dxa"/>
            <w:vAlign w:val="center"/>
          </w:tcPr>
          <w:p w14:paraId="3686BA20"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301</w:t>
            </w:r>
          </w:p>
        </w:tc>
        <w:tc>
          <w:tcPr>
            <w:tcW w:w="1400" w:type="dxa"/>
            <w:vAlign w:val="center"/>
          </w:tcPr>
          <w:p w14:paraId="699F264E"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-5.7 (0.35)</w:t>
            </w:r>
          </w:p>
        </w:tc>
        <w:tc>
          <w:tcPr>
            <w:tcW w:w="2201" w:type="dxa"/>
            <w:vAlign w:val="center"/>
          </w:tcPr>
          <w:p w14:paraId="198D5F85" w14:textId="77777777" w:rsidR="001F51FE" w:rsidRPr="003D12F4" w:rsidRDefault="001F51FE" w:rsidP="00A1032E">
            <w:pPr>
              <w:keepNext/>
              <w:jc w:val="center"/>
              <w:rPr>
                <w:rFonts w:ascii="Arial Narrow" w:eastAsiaTheme="majorEastAsia" w:hAnsi="Arial Narrow" w:cstheme="majorBidi"/>
                <w:bCs/>
                <w:sz w:val="20"/>
              </w:rPr>
            </w:pPr>
            <w:r w:rsidRPr="003D12F4">
              <w:rPr>
                <w:rFonts w:ascii="Arial Narrow" w:eastAsiaTheme="majorEastAsia" w:hAnsi="Arial Narrow" w:cstheme="majorBidi"/>
                <w:bCs/>
                <w:sz w:val="20"/>
              </w:rPr>
              <w:t>-</w:t>
            </w:r>
          </w:p>
        </w:tc>
        <w:tc>
          <w:tcPr>
            <w:tcW w:w="1515" w:type="dxa"/>
            <w:vMerge/>
            <w:vAlign w:val="center"/>
          </w:tcPr>
          <w:p w14:paraId="5F963B58" w14:textId="77777777" w:rsidR="001F51FE" w:rsidRPr="00E86AD5" w:rsidRDefault="001F51FE" w:rsidP="00A1032E">
            <w:pPr>
              <w:keepNext/>
              <w:jc w:val="center"/>
              <w:rPr>
                <w:rFonts w:ascii="Arial Narrow" w:eastAsiaTheme="majorEastAsia" w:hAnsi="Arial Narrow" w:cstheme="majorBidi"/>
                <w:bCs/>
                <w:sz w:val="20"/>
              </w:rPr>
            </w:pPr>
          </w:p>
        </w:tc>
      </w:tr>
    </w:tbl>
    <w:p w14:paraId="4F20D059" w14:textId="77777777" w:rsidR="001F51FE" w:rsidRPr="008623D7" w:rsidRDefault="001F51FE" w:rsidP="001F51FE">
      <w:pPr>
        <w:pStyle w:val="COMTablefooter"/>
      </w:pPr>
      <w:r w:rsidRPr="00286349">
        <w:t xml:space="preserve">Source: </w:t>
      </w:r>
      <w:r>
        <w:t xml:space="preserve">Table 2.5-3, p103; Table 2.6-14, p143; p56, Attachment A2.15 of the resubmission; </w:t>
      </w:r>
      <w:r w:rsidRPr="008623D7">
        <w:t>Table GPGL.8.89, p2203 of the SURPASS-2 trial report</w:t>
      </w:r>
    </w:p>
    <w:p w14:paraId="38E5D899" w14:textId="77777777" w:rsidR="001F51FE" w:rsidRDefault="001F51FE" w:rsidP="007F3974">
      <w:pPr>
        <w:pStyle w:val="COMTablefooter"/>
        <w:spacing w:after="0"/>
      </w:pPr>
      <w:r w:rsidRPr="00286349">
        <w:t>Abbreviations: CI, confidence interval; LSM, least squares mean</w:t>
      </w:r>
      <w:r>
        <w:t>; NE, not estimated; SE, standard error</w:t>
      </w:r>
    </w:p>
    <w:p w14:paraId="5F2DCBA7" w14:textId="6BE87AB9" w:rsidR="0067287A" w:rsidRPr="007F3974" w:rsidRDefault="0067287A" w:rsidP="0067287A">
      <w:r w:rsidRPr="00762277">
        <w:rPr>
          <w:rFonts w:ascii="Arial Narrow" w:hAnsi="Arial Narrow"/>
          <w:sz w:val="18"/>
          <w:szCs w:val="18"/>
          <w:vertAlign w:val="superscript"/>
        </w:rPr>
        <w:t>a</w:t>
      </w:r>
      <w:r w:rsidR="007F3974">
        <w:rPr>
          <w:vertAlign w:val="superscript"/>
        </w:rPr>
        <w:t xml:space="preserve"> </w:t>
      </w:r>
      <w:r w:rsidR="007F3974" w:rsidRPr="00762277">
        <w:rPr>
          <w:rFonts w:ascii="Arial Narrow" w:hAnsi="Arial Narrow"/>
          <w:i/>
          <w:iCs/>
          <w:snapToGrid w:val="0"/>
          <w:sz w:val="18"/>
          <w:szCs w:val="22"/>
        </w:rPr>
        <w:t>Note</w:t>
      </w:r>
      <w:r w:rsidR="007F3974" w:rsidRPr="00762277">
        <w:rPr>
          <w:i/>
          <w:iCs/>
          <w:vertAlign w:val="superscript"/>
        </w:rPr>
        <w:t xml:space="preserve"> </w:t>
      </w:r>
      <w:r w:rsidR="007F3974" w:rsidRPr="00762277">
        <w:rPr>
          <w:rFonts w:ascii="Arial Narrow" w:hAnsi="Arial Narrow"/>
          <w:i/>
          <w:iCs/>
          <w:snapToGrid w:val="0"/>
          <w:sz w:val="18"/>
          <w:szCs w:val="22"/>
        </w:rPr>
        <w:t xml:space="preserve">that the results presented in Table </w:t>
      </w:r>
      <w:r w:rsidR="00762277">
        <w:rPr>
          <w:rFonts w:ascii="Arial Narrow" w:hAnsi="Arial Narrow"/>
          <w:i/>
          <w:iCs/>
          <w:snapToGrid w:val="0"/>
          <w:sz w:val="18"/>
          <w:szCs w:val="22"/>
        </w:rPr>
        <w:t>6</w:t>
      </w:r>
      <w:r w:rsidR="007F3974" w:rsidRPr="00762277">
        <w:rPr>
          <w:rFonts w:ascii="Arial Narrow" w:hAnsi="Arial Narrow"/>
          <w:i/>
          <w:iCs/>
          <w:snapToGrid w:val="0"/>
          <w:sz w:val="18"/>
          <w:szCs w:val="22"/>
        </w:rPr>
        <w:t xml:space="preserve">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64B33F7E" w14:textId="5626D585" w:rsidR="001F51FE" w:rsidRPr="004C1D07" w:rsidRDefault="001F51FE" w:rsidP="001F51FE">
      <w:pPr>
        <w:pStyle w:val="COMTablefooter"/>
        <w:rPr>
          <w:b/>
          <w:bCs/>
        </w:rPr>
      </w:pPr>
      <w:r w:rsidRPr="004C1D07">
        <w:rPr>
          <w:b/>
          <w:bCs/>
        </w:rPr>
        <w:t xml:space="preserve">Bolded estimates indicate statistically significant results based on graphical multiple-testing results controlled for Type I </w:t>
      </w:r>
      <w:r w:rsidR="004F76AC" w:rsidRPr="004C1D07">
        <w:rPr>
          <w:b/>
          <w:bCs/>
        </w:rPr>
        <w:t>error.</w:t>
      </w:r>
    </w:p>
    <w:p w14:paraId="14214920" w14:textId="29ECB753" w:rsidR="00DA3167" w:rsidRDefault="00C76EAF" w:rsidP="00EC5836">
      <w:pPr>
        <w:pStyle w:val="COMexecsummnumbered"/>
      </w:pPr>
      <w:r w:rsidRPr="009436B0">
        <w:t xml:space="preserve">In the whole trial population, </w:t>
      </w:r>
      <w:r w:rsidR="009436B0" w:rsidRPr="009436B0">
        <w:t xml:space="preserve">treatment with tirzepatide 5 mg, 10 mg and 15 mg was associated with statistically significant reductions in body weight at Week 40. The magnitude of effect increased with increasing tirzepatide dose. </w:t>
      </w:r>
    </w:p>
    <w:p w14:paraId="1B52984E" w14:textId="77777777" w:rsidR="00CF2794" w:rsidRDefault="009436B0" w:rsidP="00CF2794">
      <w:pPr>
        <w:pStyle w:val="COMexecsummnumbered"/>
      </w:pPr>
      <w:r>
        <w:t xml:space="preserve">Pre-specified subgroup analyses </w:t>
      </w:r>
      <w:r w:rsidR="001D444D">
        <w:t>of body weight results indicated that age, baseline BMI (BMI categories using 30 kg/m</w:t>
      </w:r>
      <w:r w:rsidR="001D444D">
        <w:rPr>
          <w:vertAlign w:val="superscript"/>
        </w:rPr>
        <w:t>2</w:t>
      </w:r>
      <w:r w:rsidR="001D444D">
        <w:t>, 30-35 kg/m</w:t>
      </w:r>
      <w:r w:rsidR="001D444D">
        <w:rPr>
          <w:vertAlign w:val="superscript"/>
        </w:rPr>
        <w:t>2</w:t>
      </w:r>
      <w:r w:rsidR="001D444D">
        <w:t xml:space="preserve"> and </w:t>
      </w:r>
      <w:r w:rsidR="001D444D">
        <w:rPr>
          <w:rFonts w:cstheme="minorHAnsi"/>
        </w:rPr>
        <w:t>≥</w:t>
      </w:r>
      <w:r w:rsidR="001D444D">
        <w:t>35 kg/m</w:t>
      </w:r>
      <w:r w:rsidR="001D444D">
        <w:rPr>
          <w:vertAlign w:val="superscript"/>
        </w:rPr>
        <w:t xml:space="preserve">2 </w:t>
      </w:r>
      <w:r w:rsidR="001D444D">
        <w:t>thresholds)</w:t>
      </w:r>
      <w:r w:rsidR="00554D55">
        <w:t xml:space="preserve">, duration of diabetes, geographic region and ethnicity may be potential treatment effect modifiers. </w:t>
      </w:r>
    </w:p>
    <w:p w14:paraId="6C9C74C0" w14:textId="4EA32EFD" w:rsidR="00CF2794" w:rsidRDefault="00BE78B0" w:rsidP="00CF2794">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also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a potential treatment effect modifier</w:t>
      </w:r>
      <w:r w:rsidR="00731329">
        <w:t xml:space="preserve"> for change in body weight</w:t>
      </w:r>
      <w:r w:rsidR="00180BA4">
        <w:t xml:space="preserve">. </w:t>
      </w:r>
      <w:r w:rsidR="00180BA4" w:rsidRPr="00180BA4">
        <w:t>Results in both subgroups were in favour of tirzepatide, with greater improvements observed in the subgroup with BMI ≥35</w:t>
      </w:r>
      <w:r w:rsidR="0098724E">
        <w:t> </w:t>
      </w:r>
      <w:r w:rsidR="00180BA4" w:rsidRPr="00180BA4">
        <w:t>kg/m</w:t>
      </w:r>
      <w:r w:rsidR="00180BA4" w:rsidRPr="00180BA4">
        <w:rPr>
          <w:vertAlign w:val="superscript"/>
        </w:rPr>
        <w:t>2</w:t>
      </w:r>
      <w:r w:rsidR="00180BA4" w:rsidRPr="00180BA4">
        <w:t xml:space="preserve"> which may be due to higher baseline mean body weight.</w:t>
      </w:r>
    </w:p>
    <w:p w14:paraId="4A1F0838" w14:textId="1B002796" w:rsidR="00180BA4" w:rsidRDefault="00962878" w:rsidP="00CF2794">
      <w:pPr>
        <w:pStyle w:val="COMexecsummnumbered"/>
      </w:pPr>
      <w:r>
        <w:lastRenderedPageBreak/>
        <w:t xml:space="preserve">Results based on the proportion of patients achieving </w:t>
      </w:r>
      <w:r w:rsidR="00731329">
        <w:t xml:space="preserve">weight loss targets of </w:t>
      </w:r>
      <w:r w:rsidR="00731329">
        <w:rPr>
          <w:rFonts w:cstheme="minorHAnsi"/>
        </w:rPr>
        <w:t>≥</w:t>
      </w:r>
      <w:r w:rsidR="00731329">
        <w:t xml:space="preserve">5%, </w:t>
      </w:r>
      <w:r w:rsidR="00731329">
        <w:rPr>
          <w:rFonts w:cstheme="minorHAnsi"/>
        </w:rPr>
        <w:t>≥</w:t>
      </w:r>
      <w:r w:rsidR="00731329">
        <w:t xml:space="preserve">10% </w:t>
      </w:r>
      <w:r w:rsidR="00731329" w:rsidRPr="0098602B">
        <w:t xml:space="preserve">and </w:t>
      </w:r>
      <w:r w:rsidR="00731329" w:rsidRPr="0098602B">
        <w:rPr>
          <w:rFonts w:cstheme="minorHAnsi"/>
        </w:rPr>
        <w:t>≥</w:t>
      </w:r>
      <w:r w:rsidR="00731329" w:rsidRPr="0098602B">
        <w:t>10% were previously considered by the PBAC</w:t>
      </w:r>
      <w:r w:rsidR="00731329">
        <w:rPr>
          <w:i/>
          <w:iCs/>
        </w:rPr>
        <w:t xml:space="preserve">. </w:t>
      </w:r>
      <w:r w:rsidR="00150BD0" w:rsidRPr="00150BD0">
        <w:t>Treatment with tirzepatide 5</w:t>
      </w:r>
      <w:r w:rsidR="0098724E">
        <w:t> </w:t>
      </w:r>
      <w:r w:rsidR="00150BD0" w:rsidRPr="00150BD0">
        <w:t>mg, 10 mg and 15 mg weekly were all associated with a numerical increase in the proportion of patients achieving weight loss targets compared to semaglutide</w:t>
      </w:r>
      <w:r w:rsidR="00150BD0">
        <w:t xml:space="preserve"> </w:t>
      </w:r>
      <w:r w:rsidR="0098724E">
        <w:t>1 </w:t>
      </w:r>
      <w:r w:rsidR="00150BD0">
        <w:t>mg (unadjusted for multiplicity)</w:t>
      </w:r>
      <w:r w:rsidR="00150BD0" w:rsidRPr="00150BD0">
        <w:t>.</w:t>
      </w:r>
    </w:p>
    <w:p w14:paraId="74417623" w14:textId="4CF37F74" w:rsidR="00CF2794" w:rsidRPr="0032185B" w:rsidRDefault="00CF2794" w:rsidP="00CF2794">
      <w:pPr>
        <w:pStyle w:val="COMexecsummnumbered"/>
      </w:pPr>
      <w:r w:rsidRPr="00673C9F">
        <w:t xml:space="preserve">The resubmission claimed that weight loss of 5% to 10% is clinically important and likely to provide both glycaemic and non-glycaemic benefits (e.g. blood pressure, lipids), and that intensive weight management with target weight loss of </w:t>
      </w:r>
      <w:r w:rsidRPr="00CF2794">
        <w:rPr>
          <w:rFonts w:cs="Calibri"/>
        </w:rPr>
        <w:t>≥</w:t>
      </w:r>
      <w:r w:rsidRPr="00673C9F">
        <w:t xml:space="preserve">10% is recommended in Australian guidelines (Australian Diabetes Society 2022). </w:t>
      </w:r>
      <w:r w:rsidRPr="00E96CBF">
        <w:t>In July</w:t>
      </w:r>
      <w:r w:rsidR="0098724E">
        <w:t> </w:t>
      </w:r>
      <w:r w:rsidRPr="00E96CBF">
        <w:t xml:space="preserve">2023, the PBAC reaffirmed previously raised concerns regarding the lack of long-term data supporting reductions in downstream complications for treatments claiming weight loss benefits (para 7.10, tirzepatide PSD, July 2023 PBAC meeting). </w:t>
      </w:r>
      <w:r w:rsidR="0032185B" w:rsidRPr="0032185B">
        <w:t xml:space="preserve">The </w:t>
      </w:r>
      <w:r w:rsidR="008170FD" w:rsidRPr="0032185B">
        <w:t xml:space="preserve">ESC noted there was </w:t>
      </w:r>
      <w:r w:rsidR="00863D26" w:rsidRPr="0032185B">
        <w:t xml:space="preserve">limited evidence </w:t>
      </w:r>
      <w:r w:rsidR="0007278C" w:rsidRPr="0032185B">
        <w:t xml:space="preserve">on </w:t>
      </w:r>
      <w:r w:rsidR="00863D26" w:rsidRPr="0032185B">
        <w:t xml:space="preserve">cardiovascular outcomes for people with type 2 diabetes using GLP-1 RAs. </w:t>
      </w:r>
      <w:r w:rsidR="005B128A" w:rsidRPr="0032185B">
        <w:t>The PSCR provided results from a retrospective cohort study in the US based on individuals with type 2 diabetes initiating tirzepatide or GLP-1 RA between June 2022 and June 2023 (Chuang 2024</w:t>
      </w:r>
      <w:r w:rsidR="00083418" w:rsidRPr="0032185B">
        <w:rPr>
          <w:rStyle w:val="FootnoteReference"/>
        </w:rPr>
        <w:footnoteReference w:id="4"/>
      </w:r>
      <w:r w:rsidR="005B128A" w:rsidRPr="0032185B">
        <w:t>). The PSCR noted that tirzepatide was associated with a lower risk of all-cause mortality (adjusted hazard ratio 0.58; 95% CI: 0.45, 0.75) and major adverse cardiovascular events (adjusted hazard ratio 0.80; 95% CI: 0.71, 0.91) compared to GLP-1 RAs. The</w:t>
      </w:r>
      <w:r w:rsidR="00A55994" w:rsidRPr="0032185B">
        <w:t xml:space="preserve"> ESC considered the</w:t>
      </w:r>
      <w:r w:rsidR="005B128A" w:rsidRPr="0032185B">
        <w:t xml:space="preserve"> validity of these results </w:t>
      </w:r>
      <w:r w:rsidR="00A55994" w:rsidRPr="0032185B">
        <w:t>wa</w:t>
      </w:r>
      <w:r w:rsidR="005B128A" w:rsidRPr="0032185B">
        <w:t>s uncertain as the study was not included in the resubmission and therefore was not evaluated.</w:t>
      </w:r>
    </w:p>
    <w:p w14:paraId="75E0AAD6" w14:textId="7930FF67" w:rsidR="009E4A44" w:rsidRPr="009436B0" w:rsidRDefault="00BC65E6" w:rsidP="00EC5836">
      <w:pPr>
        <w:pStyle w:val="COMexecsummnumbered"/>
      </w:pPr>
      <w:r w:rsidRPr="003C4908">
        <w:rPr>
          <w:i/>
          <w:iCs/>
        </w:rPr>
        <w:t xml:space="preserve">Post hoc </w:t>
      </w:r>
      <w:r>
        <w:t xml:space="preserve">subgroup analyses </w:t>
      </w:r>
      <w:r w:rsidRPr="00A42943">
        <w:t>based</w:t>
      </w:r>
      <w:r w:rsidRPr="00D93A04">
        <w:t xml:space="preserve"> on the efficacy estimand</w:t>
      </w:r>
      <w:r>
        <w:t xml:space="preserve"> </w:t>
      </w:r>
      <w:r w:rsidRPr="00D93A04">
        <w:t>indicated that baseline BMI category</w:t>
      </w:r>
      <w:r>
        <w:t xml:space="preserve"> (</w:t>
      </w:r>
      <w:r w:rsidRPr="003C4908">
        <w:t>≥35 kg/m</w:t>
      </w:r>
      <w:r w:rsidRPr="003C4908">
        <w:rPr>
          <w:vertAlign w:val="superscript"/>
        </w:rPr>
        <w:t>2</w:t>
      </w:r>
      <w:r>
        <w:t xml:space="preserve"> </w:t>
      </w:r>
      <w:r w:rsidRPr="003C4908">
        <w:t>and &lt;35 kg/m</w:t>
      </w:r>
      <w:r w:rsidRPr="003C4908">
        <w:rPr>
          <w:vertAlign w:val="superscript"/>
        </w:rPr>
        <w:t>2</w:t>
      </w:r>
      <w:r>
        <w:t>)</w:t>
      </w:r>
      <w:r w:rsidRPr="00D93A04">
        <w:t xml:space="preserve"> was </w:t>
      </w:r>
      <w:r>
        <w:t xml:space="preserve">not </w:t>
      </w:r>
      <w:r w:rsidRPr="00D93A04">
        <w:t>a potential treatment effect modifier</w:t>
      </w:r>
      <w:r w:rsidR="00A56415">
        <w:t xml:space="preserve"> in terms of achievement of weight loss targets. </w:t>
      </w:r>
      <w:r w:rsidR="00A56415" w:rsidRPr="00A33C90">
        <w:t xml:space="preserve">Results in both subgroups were consistent with results in the whole trial population that </w:t>
      </w:r>
      <w:r w:rsidR="00A56415">
        <w:t>favoured</w:t>
      </w:r>
      <w:r w:rsidR="00A56415" w:rsidRPr="00A33C90">
        <w:t xml:space="preserve"> tirzepatide compared to semaglutide 1 mg</w:t>
      </w:r>
      <w:r w:rsidR="00A56415">
        <w:t>, with greater proportions of patients achieving the weight loss target when using increasing doses of tirzepatide.</w:t>
      </w:r>
    </w:p>
    <w:p w14:paraId="7C265453" w14:textId="2F610E49" w:rsidR="00B52BA2" w:rsidRPr="009436B0" w:rsidRDefault="00B52BA2" w:rsidP="00B52BA2">
      <w:pPr>
        <w:pStyle w:val="COMexecsummnumbered"/>
      </w:pPr>
      <w:r>
        <w:t xml:space="preserve">The PBAC previously considered results of a </w:t>
      </w:r>
      <w:r w:rsidRPr="004152FF">
        <w:t>Bucher method indirect comparison of tirzepatide 5 mg (based on the SURPASS-2 trial) versus semaglutide 0.5</w:t>
      </w:r>
      <w:r>
        <w:t> </w:t>
      </w:r>
      <w:r w:rsidRPr="004152FF">
        <w:t>mg (based on the SUSTAIN-7 trial) using semaglutide 1 mg as a common reference for change in body weight (kg)</w:t>
      </w:r>
      <w:r>
        <w:t xml:space="preserve">. </w:t>
      </w:r>
      <w:r w:rsidRPr="004152FF">
        <w:t>Treatment with tirzepatide 5 mg was associated with a statistically significant reduction in mean body weight compared to semaglutide 0.5</w:t>
      </w:r>
      <w:r>
        <w:t> </w:t>
      </w:r>
      <w:r w:rsidRPr="004152FF">
        <w:t>mg</w:t>
      </w:r>
      <w:r>
        <w:t xml:space="preserve">. Results in the </w:t>
      </w:r>
      <w:r>
        <w:rPr>
          <w:i/>
          <w:iCs/>
        </w:rPr>
        <w:t>post hoc</w:t>
      </w:r>
      <w:r>
        <w:t xml:space="preserve"> </w:t>
      </w:r>
      <w:r w:rsidRPr="00FF1D85">
        <w:t>subgroup with BMI ≥35 kg/m</w:t>
      </w:r>
      <w:r w:rsidRPr="00FF1D85">
        <w:rPr>
          <w:vertAlign w:val="superscript"/>
        </w:rPr>
        <w:t>2</w:t>
      </w:r>
      <w:r>
        <w:t xml:space="preserve"> were consistent, with a numerically greater reduction in body weight based on the point estimate. </w:t>
      </w:r>
    </w:p>
    <w:p w14:paraId="61E0C602" w14:textId="294D8542" w:rsidR="00A9433F" w:rsidRDefault="00AD16CC" w:rsidP="00A9433F">
      <w:pPr>
        <w:pStyle w:val="COMexecsummnumbered"/>
        <w:rPr>
          <w:rFonts w:eastAsia="Calibri"/>
        </w:rPr>
      </w:pPr>
      <w:r w:rsidRPr="00AD16CC">
        <w:rPr>
          <w:rFonts w:eastAsia="Calibri"/>
        </w:rPr>
        <w:t xml:space="preserve">Additional analyses were conducted for changes in lipid parameters (HDL, LDL), vital signs (heart rate, systolic blood pressure) and estimated glomerular filtration rate for </w:t>
      </w:r>
      <w:r w:rsidRPr="00AD16CC">
        <w:rPr>
          <w:rFonts w:eastAsia="Calibri"/>
        </w:rPr>
        <w:lastRenderedPageBreak/>
        <w:t>the subgroup with BMI ≥35 kg/m</w:t>
      </w:r>
      <w:r w:rsidRPr="000E2103">
        <w:rPr>
          <w:rFonts w:eastAsia="Calibri"/>
          <w:vertAlign w:val="superscript"/>
        </w:rPr>
        <w:t>2</w:t>
      </w:r>
      <w:r w:rsidRPr="00AD16CC">
        <w:rPr>
          <w:rFonts w:eastAsia="Calibri"/>
        </w:rPr>
        <w:t>, used to inform the economic analysis</w:t>
      </w:r>
      <w:r>
        <w:rPr>
          <w:rFonts w:eastAsia="Calibri"/>
        </w:rPr>
        <w:t xml:space="preserve">. </w:t>
      </w:r>
      <w:r w:rsidRPr="00AD16CC">
        <w:rPr>
          <w:rFonts w:eastAsia="Calibri"/>
        </w:rPr>
        <w:t>The results were consistent with primary analyses in the ITT population that indicated no apparent differences in these measures between tirzepatide and semaglutide 1 mg.</w:t>
      </w:r>
    </w:p>
    <w:p w14:paraId="12ABA9C7" w14:textId="512590C7" w:rsidR="00A23A89" w:rsidRPr="00A23A89" w:rsidRDefault="00A23A89" w:rsidP="00A23A89">
      <w:pPr>
        <w:pStyle w:val="COMexecsummnumbered"/>
        <w:rPr>
          <w:rFonts w:eastAsia="Calibri" w:cstheme="minorHAnsi"/>
        </w:rPr>
      </w:pPr>
      <w:r w:rsidRPr="00A23A89">
        <w:rPr>
          <w:rFonts w:eastAsia="Calibri"/>
        </w:rPr>
        <w:t>The PBAC previously considered results based on quality of life measures in the SURPASS-2 whole trial population. There were no apparent differences between all doses of tirzepatide and semaglutide in terms of generic quality of life outcomes (EQ-5D VAS and EQ-5D-5L). Treatment with tirzepatide 15 mg was associated with a relatively small improvement in IWQOL-Lite-CT scores (total score, physical and psychosocial composite subscores) compared to semaglutide 1 mg. There were no apparent differences between tirzepatide 5 mg and 10 mg compared with semaglutide in terms of the IWQOL-Lite-CT total score and psychosocial composite score, with relatively small improvements in the IWQOL-Lite-CT physical composite subscore. Results based on quality of life measures in the subgroup with BMI ≥35</w:t>
      </w:r>
      <w:r w:rsidR="00B93E19">
        <w:rPr>
          <w:rFonts w:eastAsia="Calibri"/>
        </w:rPr>
        <w:t> </w:t>
      </w:r>
      <w:r w:rsidRPr="00A23A89">
        <w:rPr>
          <w:rFonts w:eastAsia="Calibri"/>
        </w:rPr>
        <w:t>kg/m</w:t>
      </w:r>
      <w:r w:rsidRPr="00A23A89">
        <w:rPr>
          <w:rFonts w:eastAsia="Calibri"/>
          <w:vertAlign w:val="superscript"/>
        </w:rPr>
        <w:t>2</w:t>
      </w:r>
      <w:r w:rsidRPr="00A23A89">
        <w:rPr>
          <w:rFonts w:eastAsia="Calibri"/>
        </w:rPr>
        <w:t xml:space="preserve"> were broadly consistent with results in the whole trial population</w:t>
      </w:r>
      <w:r>
        <w:rPr>
          <w:rFonts w:eastAsia="Calibri"/>
        </w:rPr>
        <w:t>.</w:t>
      </w:r>
    </w:p>
    <w:p w14:paraId="1452C351" w14:textId="57A91171" w:rsidR="00B60939" w:rsidRPr="0076762E" w:rsidRDefault="00B60939" w:rsidP="003D5DE7">
      <w:pPr>
        <w:pStyle w:val="COMH2-non-numbered"/>
      </w:pPr>
      <w:bookmarkStart w:id="31" w:name="_Toc22897642"/>
      <w:bookmarkStart w:id="32" w:name="_Toc176618568"/>
      <w:r w:rsidRPr="0076762E">
        <w:t>Comparative harms</w:t>
      </w:r>
      <w:bookmarkEnd w:id="31"/>
      <w:bookmarkEnd w:id="32"/>
    </w:p>
    <w:p w14:paraId="181DBF4E" w14:textId="59AF2E53" w:rsidR="00586988" w:rsidRPr="00846472" w:rsidRDefault="000843BA" w:rsidP="00D86231">
      <w:pPr>
        <w:pStyle w:val="COMexecsummnumbered"/>
      </w:pPr>
      <w:r>
        <w:fldChar w:fldCharType="begin" w:fldLock="1"/>
      </w:r>
      <w:r>
        <w:instrText xml:space="preserve"> REF _Ref175745488 \h </w:instrText>
      </w:r>
      <w:r>
        <w:fldChar w:fldCharType="separate"/>
      </w:r>
      <w:r w:rsidR="00EE035D" w:rsidRPr="00FA1E86">
        <w:t xml:space="preserve">Table </w:t>
      </w:r>
      <w:r w:rsidR="00EE035D">
        <w:rPr>
          <w:noProof/>
        </w:rPr>
        <w:t>7</w:t>
      </w:r>
      <w:r>
        <w:fldChar w:fldCharType="end"/>
      </w:r>
      <w:r w:rsidR="00586988" w:rsidRPr="00846472">
        <w:t xml:space="preserve"> presents an overall summary of adverse events reported with tirzepatide and semaglutide in the SURPASS-2 trial</w:t>
      </w:r>
      <w:r w:rsidR="0083460B" w:rsidRPr="00846472">
        <w:t xml:space="preserve">, including a </w:t>
      </w:r>
      <w:r w:rsidR="0083460B" w:rsidRPr="00846472">
        <w:rPr>
          <w:i/>
          <w:iCs/>
        </w:rPr>
        <w:t>post hoc</w:t>
      </w:r>
      <w:r w:rsidR="0083460B" w:rsidRPr="00846472">
        <w:t xml:space="preserve"> analysis </w:t>
      </w:r>
      <w:r w:rsidR="00313C28" w:rsidRPr="00846472">
        <w:t>of adverse events in the</w:t>
      </w:r>
      <w:r w:rsidR="0083460B" w:rsidRPr="00846472">
        <w:t xml:space="preserve"> subgroup with BMI </w:t>
      </w:r>
      <w:r w:rsidR="0083460B" w:rsidRPr="00846472">
        <w:rPr>
          <w:rFonts w:cstheme="minorHAnsi"/>
        </w:rPr>
        <w:t>≥</w:t>
      </w:r>
      <w:r w:rsidR="0083460B" w:rsidRPr="00846472">
        <w:t>35 kg/m</w:t>
      </w:r>
      <w:r w:rsidR="0083460B" w:rsidRPr="00846472">
        <w:rPr>
          <w:vertAlign w:val="superscript"/>
        </w:rPr>
        <w:t>2</w:t>
      </w:r>
      <w:r w:rsidR="0083460B" w:rsidRPr="00846472">
        <w:t>.</w:t>
      </w:r>
    </w:p>
    <w:p w14:paraId="733D2F6A" w14:textId="507BC0E8" w:rsidR="00846472" w:rsidRPr="00FA1E86" w:rsidRDefault="00846472" w:rsidP="00ED34D3">
      <w:pPr>
        <w:pStyle w:val="Caption"/>
        <w:keepLines/>
      </w:pPr>
      <w:bookmarkStart w:id="33" w:name="_Ref134096207"/>
      <w:bookmarkStart w:id="34" w:name="_Ref175745488"/>
      <w:r w:rsidRPr="00FA1E86">
        <w:lastRenderedPageBreak/>
        <w:t xml:space="preserve">Table </w:t>
      </w:r>
      <w:bookmarkEnd w:id="33"/>
      <w:r w:rsidR="000843BA">
        <w:fldChar w:fldCharType="begin" w:fldLock="1"/>
      </w:r>
      <w:r w:rsidR="000843BA">
        <w:instrText xml:space="preserve"> SEQ Table \* ARABIC </w:instrText>
      </w:r>
      <w:r w:rsidR="000843BA">
        <w:fldChar w:fldCharType="separate"/>
      </w:r>
      <w:r w:rsidR="00EE035D">
        <w:rPr>
          <w:noProof/>
        </w:rPr>
        <w:t>7</w:t>
      </w:r>
      <w:r w:rsidR="000843BA">
        <w:fldChar w:fldCharType="end"/>
      </w:r>
      <w:bookmarkEnd w:id="34"/>
      <w:r w:rsidRPr="00FA1E86">
        <w:t>: Summary of key adverse events in the SURPASS-2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ummary of key adverse events in the SURPASS-2 trial"/>
      </w:tblPr>
      <w:tblGrid>
        <w:gridCol w:w="1206"/>
        <w:gridCol w:w="976"/>
        <w:gridCol w:w="976"/>
        <w:gridCol w:w="977"/>
        <w:gridCol w:w="976"/>
        <w:gridCol w:w="976"/>
        <w:gridCol w:w="977"/>
        <w:gridCol w:w="976"/>
        <w:gridCol w:w="977"/>
      </w:tblGrid>
      <w:tr w:rsidR="00B84A1D" w:rsidRPr="00FA1E86" w14:paraId="45EC7A9E" w14:textId="77777777" w:rsidTr="00A1032E">
        <w:trPr>
          <w:tblHeader/>
        </w:trPr>
        <w:tc>
          <w:tcPr>
            <w:tcW w:w="1206" w:type="dxa"/>
            <w:vMerge w:val="restart"/>
            <w:vAlign w:val="center"/>
          </w:tcPr>
          <w:p w14:paraId="1CB7A45A" w14:textId="4F233869" w:rsidR="00B84A1D" w:rsidRPr="003D0DB6" w:rsidRDefault="00B84A1D" w:rsidP="00ED34D3">
            <w:pPr>
              <w:pStyle w:val="COMTableheadingrow"/>
              <w:keepLines/>
              <w:rPr>
                <w:lang w:val="en-AU"/>
              </w:rPr>
            </w:pPr>
            <w:r w:rsidRPr="003D0DB6">
              <w:rPr>
                <w:lang w:val="en-AU"/>
              </w:rPr>
              <w:t>Patients, n (%)</w:t>
            </w:r>
          </w:p>
        </w:tc>
        <w:tc>
          <w:tcPr>
            <w:tcW w:w="3905" w:type="dxa"/>
            <w:gridSpan w:val="4"/>
            <w:vAlign w:val="center"/>
          </w:tcPr>
          <w:p w14:paraId="668707F6" w14:textId="455DC467" w:rsidR="00B84A1D" w:rsidRPr="003D0DB6" w:rsidRDefault="00B84A1D" w:rsidP="00ED34D3">
            <w:pPr>
              <w:pStyle w:val="COMTableheadingrow"/>
              <w:keepLines/>
              <w:jc w:val="center"/>
              <w:rPr>
                <w:lang w:val="en-AU"/>
              </w:rPr>
            </w:pPr>
            <w:r w:rsidRPr="003D0DB6">
              <w:rPr>
                <w:lang w:val="en-AU"/>
              </w:rPr>
              <w:t>ITT</w:t>
            </w:r>
          </w:p>
        </w:tc>
        <w:tc>
          <w:tcPr>
            <w:tcW w:w="3906" w:type="dxa"/>
            <w:gridSpan w:val="4"/>
          </w:tcPr>
          <w:p w14:paraId="2915D72C" w14:textId="25FE9481" w:rsidR="00B84A1D" w:rsidRPr="003D0DB6" w:rsidRDefault="00B84A1D" w:rsidP="00ED34D3">
            <w:pPr>
              <w:pStyle w:val="COMTableheadingrow"/>
              <w:keepLines/>
              <w:jc w:val="center"/>
              <w:rPr>
                <w:lang w:val="en-AU"/>
              </w:rPr>
            </w:pPr>
            <w:r w:rsidRPr="003D0DB6">
              <w:t>BMI ≥35 kg/m</w:t>
            </w:r>
            <w:r w:rsidRPr="003D0DB6">
              <w:rPr>
                <w:vertAlign w:val="superscript"/>
              </w:rPr>
              <w:t xml:space="preserve">2 </w:t>
            </w:r>
            <w:r w:rsidR="00030FF3">
              <w:rPr>
                <w:vertAlign w:val="superscript"/>
              </w:rPr>
              <w:t>a</w:t>
            </w:r>
          </w:p>
        </w:tc>
      </w:tr>
      <w:tr w:rsidR="00B84A1D" w:rsidRPr="00FA1E86" w14:paraId="60FC7312" w14:textId="580A9055" w:rsidTr="00A1032E">
        <w:trPr>
          <w:tblHeader/>
        </w:trPr>
        <w:tc>
          <w:tcPr>
            <w:tcW w:w="1206" w:type="dxa"/>
            <w:vMerge/>
            <w:vAlign w:val="center"/>
          </w:tcPr>
          <w:p w14:paraId="0D50F424" w14:textId="0B2C4F84" w:rsidR="00B84A1D" w:rsidRPr="003D0DB6" w:rsidRDefault="00B84A1D" w:rsidP="00ED34D3">
            <w:pPr>
              <w:pStyle w:val="COMTableheadingrow"/>
              <w:keepLines/>
              <w:rPr>
                <w:lang w:val="en-AU"/>
              </w:rPr>
            </w:pPr>
          </w:p>
        </w:tc>
        <w:tc>
          <w:tcPr>
            <w:tcW w:w="976" w:type="dxa"/>
            <w:vAlign w:val="center"/>
          </w:tcPr>
          <w:p w14:paraId="75B2BBA7" w14:textId="0A243772" w:rsidR="00B84A1D" w:rsidRPr="003D0DB6" w:rsidRDefault="00B84A1D" w:rsidP="00ED34D3">
            <w:pPr>
              <w:pStyle w:val="COMTableheadingrow"/>
              <w:keepLines/>
              <w:jc w:val="center"/>
              <w:rPr>
                <w:lang w:val="en-AU"/>
              </w:rPr>
            </w:pPr>
            <w:r w:rsidRPr="003D0DB6">
              <w:rPr>
                <w:lang w:val="en-AU"/>
              </w:rPr>
              <w:t>TZP 5 mg</w:t>
            </w:r>
          </w:p>
          <w:p w14:paraId="64D5E6CF" w14:textId="77777777" w:rsidR="00B84A1D" w:rsidRPr="003D0DB6" w:rsidRDefault="00B84A1D" w:rsidP="00ED34D3">
            <w:pPr>
              <w:pStyle w:val="COMTableheadingrow"/>
              <w:keepLines/>
              <w:jc w:val="center"/>
              <w:rPr>
                <w:lang w:val="en-AU"/>
              </w:rPr>
            </w:pPr>
            <w:r w:rsidRPr="003D0DB6">
              <w:rPr>
                <w:lang w:val="en-AU"/>
              </w:rPr>
              <w:t>N=470</w:t>
            </w:r>
          </w:p>
        </w:tc>
        <w:tc>
          <w:tcPr>
            <w:tcW w:w="976" w:type="dxa"/>
            <w:vAlign w:val="center"/>
          </w:tcPr>
          <w:p w14:paraId="7D0477D3" w14:textId="5E30B255" w:rsidR="00B84A1D" w:rsidRPr="003D0DB6" w:rsidRDefault="00B84A1D" w:rsidP="00ED34D3">
            <w:pPr>
              <w:pStyle w:val="COMTableheadingrow"/>
              <w:keepLines/>
              <w:jc w:val="center"/>
              <w:rPr>
                <w:lang w:val="en-AU"/>
              </w:rPr>
            </w:pPr>
            <w:r w:rsidRPr="003D0DB6">
              <w:rPr>
                <w:lang w:val="en-AU"/>
              </w:rPr>
              <w:t>TZP 10 mg</w:t>
            </w:r>
          </w:p>
          <w:p w14:paraId="2F75D7AF" w14:textId="77777777" w:rsidR="00B84A1D" w:rsidRPr="003D0DB6" w:rsidRDefault="00B84A1D" w:rsidP="00ED34D3">
            <w:pPr>
              <w:pStyle w:val="COMTableheadingrow"/>
              <w:keepLines/>
              <w:jc w:val="center"/>
              <w:rPr>
                <w:lang w:val="en-AU"/>
              </w:rPr>
            </w:pPr>
            <w:r w:rsidRPr="003D0DB6">
              <w:rPr>
                <w:lang w:val="en-AU"/>
              </w:rPr>
              <w:t>N=469</w:t>
            </w:r>
          </w:p>
        </w:tc>
        <w:tc>
          <w:tcPr>
            <w:tcW w:w="977" w:type="dxa"/>
            <w:vAlign w:val="center"/>
          </w:tcPr>
          <w:p w14:paraId="56E01C21" w14:textId="31086782" w:rsidR="00B84A1D" w:rsidRPr="003D0DB6" w:rsidRDefault="00B84A1D" w:rsidP="00ED34D3">
            <w:pPr>
              <w:pStyle w:val="COMTableheadingrow"/>
              <w:keepLines/>
              <w:jc w:val="center"/>
              <w:rPr>
                <w:lang w:val="en-AU"/>
              </w:rPr>
            </w:pPr>
            <w:r w:rsidRPr="003D0DB6">
              <w:rPr>
                <w:lang w:val="en-AU"/>
              </w:rPr>
              <w:t>TZP 15 mg</w:t>
            </w:r>
          </w:p>
          <w:p w14:paraId="6EA409BC" w14:textId="77777777" w:rsidR="00B84A1D" w:rsidRPr="003D0DB6" w:rsidRDefault="00B84A1D" w:rsidP="00ED34D3">
            <w:pPr>
              <w:pStyle w:val="COMTableheadingrow"/>
              <w:keepLines/>
              <w:jc w:val="center"/>
              <w:rPr>
                <w:lang w:val="en-AU"/>
              </w:rPr>
            </w:pPr>
            <w:r w:rsidRPr="003D0DB6">
              <w:rPr>
                <w:lang w:val="en-AU"/>
              </w:rPr>
              <w:t>N=470</w:t>
            </w:r>
          </w:p>
        </w:tc>
        <w:tc>
          <w:tcPr>
            <w:tcW w:w="976" w:type="dxa"/>
          </w:tcPr>
          <w:p w14:paraId="261652C8" w14:textId="0FEB18FB" w:rsidR="00B84A1D" w:rsidRPr="003D0DB6" w:rsidRDefault="00B84A1D" w:rsidP="00ED34D3">
            <w:pPr>
              <w:pStyle w:val="COMTableheadingrow"/>
              <w:keepLines/>
              <w:jc w:val="center"/>
              <w:rPr>
                <w:lang w:val="en-AU"/>
              </w:rPr>
            </w:pPr>
            <w:r w:rsidRPr="003D0DB6">
              <w:rPr>
                <w:lang w:val="en-AU"/>
              </w:rPr>
              <w:t>SEMA 1 mg</w:t>
            </w:r>
          </w:p>
          <w:p w14:paraId="41728245" w14:textId="77777777" w:rsidR="00B84A1D" w:rsidRPr="003D0DB6" w:rsidRDefault="00B84A1D" w:rsidP="00ED34D3">
            <w:pPr>
              <w:pStyle w:val="COMTableheadingrow"/>
              <w:keepLines/>
              <w:jc w:val="center"/>
              <w:rPr>
                <w:lang w:val="en-AU"/>
              </w:rPr>
            </w:pPr>
            <w:r w:rsidRPr="003D0DB6">
              <w:rPr>
                <w:lang w:val="en-AU"/>
              </w:rPr>
              <w:t>N=469</w:t>
            </w:r>
          </w:p>
        </w:tc>
        <w:tc>
          <w:tcPr>
            <w:tcW w:w="976" w:type="dxa"/>
            <w:vAlign w:val="center"/>
          </w:tcPr>
          <w:p w14:paraId="31F0B167" w14:textId="77777777" w:rsidR="00B84A1D" w:rsidRPr="003D0DB6" w:rsidRDefault="00B84A1D" w:rsidP="00ED34D3">
            <w:pPr>
              <w:pStyle w:val="COMTableheadingrow"/>
              <w:keepLines/>
              <w:jc w:val="center"/>
            </w:pPr>
            <w:r w:rsidRPr="003D0DB6">
              <w:t>TZP 5 mg</w:t>
            </w:r>
          </w:p>
          <w:p w14:paraId="5E63FCB8" w14:textId="79D287B8" w:rsidR="00B84A1D" w:rsidRPr="003D0DB6" w:rsidRDefault="00B84A1D" w:rsidP="00ED34D3">
            <w:pPr>
              <w:pStyle w:val="COMTableheadingrow"/>
              <w:keepLines/>
              <w:jc w:val="center"/>
              <w:rPr>
                <w:lang w:val="en-AU"/>
              </w:rPr>
            </w:pPr>
            <w:r w:rsidRPr="003D0DB6">
              <w:t>N=162</w:t>
            </w:r>
          </w:p>
        </w:tc>
        <w:tc>
          <w:tcPr>
            <w:tcW w:w="977" w:type="dxa"/>
            <w:vAlign w:val="center"/>
          </w:tcPr>
          <w:p w14:paraId="1CAD8CBD" w14:textId="77777777" w:rsidR="00B84A1D" w:rsidRPr="003D0DB6" w:rsidRDefault="00B84A1D" w:rsidP="00ED34D3">
            <w:pPr>
              <w:pStyle w:val="COMTableheadingrow"/>
              <w:keepLines/>
              <w:jc w:val="center"/>
            </w:pPr>
            <w:r w:rsidRPr="003D0DB6">
              <w:t>TZP 10 mg</w:t>
            </w:r>
          </w:p>
          <w:p w14:paraId="284E8AC1" w14:textId="48FD01E8" w:rsidR="00B84A1D" w:rsidRPr="003D0DB6" w:rsidRDefault="00B84A1D" w:rsidP="00ED34D3">
            <w:pPr>
              <w:pStyle w:val="COMTableheadingrow"/>
              <w:keepLines/>
              <w:jc w:val="center"/>
              <w:rPr>
                <w:lang w:val="en-AU"/>
              </w:rPr>
            </w:pPr>
            <w:r w:rsidRPr="003D0DB6">
              <w:t>N=181</w:t>
            </w:r>
          </w:p>
        </w:tc>
        <w:tc>
          <w:tcPr>
            <w:tcW w:w="976" w:type="dxa"/>
            <w:vAlign w:val="center"/>
          </w:tcPr>
          <w:p w14:paraId="2D3EF38E" w14:textId="77777777" w:rsidR="00B84A1D" w:rsidRPr="003D0DB6" w:rsidRDefault="00B84A1D" w:rsidP="00ED34D3">
            <w:pPr>
              <w:pStyle w:val="COMTableheadingrow"/>
              <w:keepLines/>
              <w:jc w:val="center"/>
            </w:pPr>
            <w:r w:rsidRPr="003D0DB6">
              <w:t>TZP 15 mg</w:t>
            </w:r>
          </w:p>
          <w:p w14:paraId="2D5AA9CE" w14:textId="631252FE" w:rsidR="00B84A1D" w:rsidRPr="003D0DB6" w:rsidRDefault="00B84A1D" w:rsidP="00ED34D3">
            <w:pPr>
              <w:pStyle w:val="COMTableheadingrow"/>
              <w:keepLines/>
              <w:jc w:val="center"/>
              <w:rPr>
                <w:lang w:val="en-AU"/>
              </w:rPr>
            </w:pPr>
            <w:r w:rsidRPr="003D0DB6">
              <w:t>N=179</w:t>
            </w:r>
          </w:p>
        </w:tc>
        <w:tc>
          <w:tcPr>
            <w:tcW w:w="977" w:type="dxa"/>
            <w:vAlign w:val="center"/>
          </w:tcPr>
          <w:p w14:paraId="5106D442" w14:textId="77777777" w:rsidR="00B84A1D" w:rsidRPr="003D0DB6" w:rsidRDefault="00B84A1D" w:rsidP="00ED34D3">
            <w:pPr>
              <w:pStyle w:val="COMTableheadingrow"/>
              <w:keepLines/>
              <w:jc w:val="center"/>
            </w:pPr>
            <w:r w:rsidRPr="003D0DB6">
              <w:t>SEMA 1 mg</w:t>
            </w:r>
          </w:p>
          <w:p w14:paraId="2850025E" w14:textId="0E09B6BB" w:rsidR="00B84A1D" w:rsidRPr="003D0DB6" w:rsidRDefault="00B84A1D" w:rsidP="00ED34D3">
            <w:pPr>
              <w:pStyle w:val="COMTableheadingrow"/>
              <w:keepLines/>
              <w:jc w:val="center"/>
              <w:rPr>
                <w:lang w:val="en-AU"/>
              </w:rPr>
            </w:pPr>
            <w:r w:rsidRPr="003D0DB6">
              <w:t>N=168</w:t>
            </w:r>
          </w:p>
        </w:tc>
      </w:tr>
      <w:tr w:rsidR="00B84A1D" w:rsidRPr="00FA1E86" w14:paraId="0DB3C9BE" w14:textId="16A41804" w:rsidTr="00A1032E">
        <w:tc>
          <w:tcPr>
            <w:tcW w:w="1206" w:type="dxa"/>
            <w:vAlign w:val="center"/>
          </w:tcPr>
          <w:p w14:paraId="4FD769DB" w14:textId="0D7EA2EA" w:rsidR="00B84A1D" w:rsidRPr="003D0DB6" w:rsidRDefault="00B84A1D" w:rsidP="00ED34D3">
            <w:pPr>
              <w:pStyle w:val="COMTabletext"/>
              <w:keepLines/>
            </w:pPr>
            <w:r w:rsidRPr="003D0DB6">
              <w:t>Any AE</w:t>
            </w:r>
          </w:p>
        </w:tc>
        <w:tc>
          <w:tcPr>
            <w:tcW w:w="976" w:type="dxa"/>
            <w:vAlign w:val="center"/>
          </w:tcPr>
          <w:p w14:paraId="1604DB1E" w14:textId="77777777" w:rsidR="00B84A1D" w:rsidRPr="003D0DB6" w:rsidRDefault="00B84A1D" w:rsidP="00ED34D3">
            <w:pPr>
              <w:pStyle w:val="COMTabletext"/>
              <w:keepLines/>
              <w:jc w:val="center"/>
            </w:pPr>
            <w:r w:rsidRPr="003D0DB6">
              <w:t>299 (63.6)</w:t>
            </w:r>
          </w:p>
        </w:tc>
        <w:tc>
          <w:tcPr>
            <w:tcW w:w="976" w:type="dxa"/>
            <w:vAlign w:val="center"/>
          </w:tcPr>
          <w:p w14:paraId="5356B83B" w14:textId="77777777" w:rsidR="00B84A1D" w:rsidRPr="003D0DB6" w:rsidRDefault="00B84A1D" w:rsidP="00ED34D3">
            <w:pPr>
              <w:pStyle w:val="COMTabletext"/>
              <w:keepLines/>
              <w:jc w:val="center"/>
            </w:pPr>
            <w:r w:rsidRPr="003D0DB6">
              <w:t>322 (68.7)</w:t>
            </w:r>
          </w:p>
        </w:tc>
        <w:tc>
          <w:tcPr>
            <w:tcW w:w="977" w:type="dxa"/>
            <w:vAlign w:val="center"/>
          </w:tcPr>
          <w:p w14:paraId="40E6A153" w14:textId="77777777" w:rsidR="00B84A1D" w:rsidRPr="003D0DB6" w:rsidRDefault="00B84A1D" w:rsidP="00ED34D3">
            <w:pPr>
              <w:pStyle w:val="COMTabletext"/>
              <w:keepLines/>
              <w:jc w:val="center"/>
            </w:pPr>
            <w:r w:rsidRPr="003D0DB6">
              <w:t>324 (68.9)</w:t>
            </w:r>
          </w:p>
        </w:tc>
        <w:tc>
          <w:tcPr>
            <w:tcW w:w="976" w:type="dxa"/>
            <w:vAlign w:val="center"/>
          </w:tcPr>
          <w:p w14:paraId="6AC7CA96" w14:textId="77777777" w:rsidR="00B84A1D" w:rsidRPr="003D0DB6" w:rsidRDefault="00B84A1D" w:rsidP="00ED34D3">
            <w:pPr>
              <w:pStyle w:val="COMTabletext"/>
              <w:keepLines/>
              <w:jc w:val="center"/>
            </w:pPr>
            <w:r w:rsidRPr="003D0DB6">
              <w:t>301 (64.2)</w:t>
            </w:r>
          </w:p>
        </w:tc>
        <w:tc>
          <w:tcPr>
            <w:tcW w:w="976" w:type="dxa"/>
            <w:vAlign w:val="center"/>
          </w:tcPr>
          <w:p w14:paraId="4375518B" w14:textId="32A564A8" w:rsidR="00B84A1D" w:rsidRPr="003D0DB6" w:rsidRDefault="00B84A1D" w:rsidP="00ED34D3">
            <w:pPr>
              <w:pStyle w:val="COMTabletext"/>
              <w:keepLines/>
              <w:jc w:val="center"/>
            </w:pPr>
            <w:r w:rsidRPr="003D0DB6">
              <w:t>112 (69.1)</w:t>
            </w:r>
          </w:p>
        </w:tc>
        <w:tc>
          <w:tcPr>
            <w:tcW w:w="977" w:type="dxa"/>
            <w:vAlign w:val="center"/>
          </w:tcPr>
          <w:p w14:paraId="3D82021D" w14:textId="0E1344EB" w:rsidR="00B84A1D" w:rsidRPr="003D0DB6" w:rsidRDefault="00B84A1D" w:rsidP="00ED34D3">
            <w:pPr>
              <w:pStyle w:val="COMTabletext"/>
              <w:keepLines/>
              <w:jc w:val="center"/>
            </w:pPr>
            <w:r w:rsidRPr="003D0DB6">
              <w:t>126 (69.6)</w:t>
            </w:r>
          </w:p>
        </w:tc>
        <w:tc>
          <w:tcPr>
            <w:tcW w:w="976" w:type="dxa"/>
            <w:vAlign w:val="center"/>
          </w:tcPr>
          <w:p w14:paraId="63C96FCB" w14:textId="1447B494" w:rsidR="00B84A1D" w:rsidRPr="003D0DB6" w:rsidRDefault="00B84A1D" w:rsidP="00ED34D3">
            <w:pPr>
              <w:pStyle w:val="COMTabletext"/>
              <w:keepLines/>
              <w:jc w:val="center"/>
            </w:pPr>
            <w:r w:rsidRPr="003D0DB6">
              <w:t>127 (70.9)</w:t>
            </w:r>
          </w:p>
        </w:tc>
        <w:tc>
          <w:tcPr>
            <w:tcW w:w="977" w:type="dxa"/>
            <w:vAlign w:val="center"/>
          </w:tcPr>
          <w:p w14:paraId="303A2214" w14:textId="1DE75700" w:rsidR="00B84A1D" w:rsidRPr="003D0DB6" w:rsidRDefault="00B84A1D" w:rsidP="00ED34D3">
            <w:pPr>
              <w:pStyle w:val="COMTabletext"/>
              <w:keepLines/>
              <w:jc w:val="center"/>
            </w:pPr>
            <w:r w:rsidRPr="003D0DB6">
              <w:t>114 (67.9)</w:t>
            </w:r>
          </w:p>
        </w:tc>
      </w:tr>
      <w:tr w:rsidR="00B84A1D" w:rsidRPr="00FA1E86" w14:paraId="1378D45E" w14:textId="56492320" w:rsidTr="00A1032E">
        <w:tc>
          <w:tcPr>
            <w:tcW w:w="1206" w:type="dxa"/>
            <w:vAlign w:val="center"/>
          </w:tcPr>
          <w:p w14:paraId="454F2B35" w14:textId="09368E97" w:rsidR="00B84A1D" w:rsidRPr="003D0DB6" w:rsidRDefault="00B84A1D" w:rsidP="00ED34D3">
            <w:pPr>
              <w:pStyle w:val="COMTabletext"/>
              <w:keepLines/>
            </w:pPr>
            <w:r w:rsidRPr="003D0DB6">
              <w:t>Treatment-related AE</w:t>
            </w:r>
          </w:p>
        </w:tc>
        <w:tc>
          <w:tcPr>
            <w:tcW w:w="976" w:type="dxa"/>
            <w:vAlign w:val="center"/>
          </w:tcPr>
          <w:p w14:paraId="0939580A" w14:textId="77777777" w:rsidR="00B84A1D" w:rsidRPr="003D0DB6" w:rsidRDefault="00B84A1D" w:rsidP="00ED34D3">
            <w:pPr>
              <w:pStyle w:val="COMTabletext"/>
              <w:keepLines/>
              <w:jc w:val="center"/>
            </w:pPr>
            <w:r w:rsidRPr="003D0DB6">
              <w:t>188 (40.0)</w:t>
            </w:r>
          </w:p>
        </w:tc>
        <w:tc>
          <w:tcPr>
            <w:tcW w:w="976" w:type="dxa"/>
            <w:vAlign w:val="center"/>
          </w:tcPr>
          <w:p w14:paraId="77F32B8E" w14:textId="77777777" w:rsidR="00B84A1D" w:rsidRPr="003D0DB6" w:rsidRDefault="00B84A1D" w:rsidP="00ED34D3">
            <w:pPr>
              <w:pStyle w:val="COMTabletext"/>
              <w:keepLines/>
              <w:jc w:val="center"/>
            </w:pPr>
            <w:r w:rsidRPr="003D0DB6">
              <w:t>221 (47.1)</w:t>
            </w:r>
          </w:p>
        </w:tc>
        <w:tc>
          <w:tcPr>
            <w:tcW w:w="977" w:type="dxa"/>
            <w:vAlign w:val="center"/>
          </w:tcPr>
          <w:p w14:paraId="46DAE211" w14:textId="77777777" w:rsidR="00B84A1D" w:rsidRPr="003D0DB6" w:rsidRDefault="00B84A1D" w:rsidP="00ED34D3">
            <w:pPr>
              <w:pStyle w:val="COMTabletext"/>
              <w:keepLines/>
              <w:jc w:val="center"/>
            </w:pPr>
            <w:r w:rsidRPr="003D0DB6">
              <w:t>225 (47.9)</w:t>
            </w:r>
          </w:p>
        </w:tc>
        <w:tc>
          <w:tcPr>
            <w:tcW w:w="976" w:type="dxa"/>
            <w:vAlign w:val="center"/>
          </w:tcPr>
          <w:p w14:paraId="561F8D33" w14:textId="77777777" w:rsidR="00B84A1D" w:rsidRPr="003D0DB6" w:rsidRDefault="00B84A1D" w:rsidP="00ED34D3">
            <w:pPr>
              <w:pStyle w:val="COMTabletext"/>
              <w:keepLines/>
              <w:jc w:val="center"/>
            </w:pPr>
            <w:r w:rsidRPr="003D0DB6">
              <w:t>194 (41.4)</w:t>
            </w:r>
          </w:p>
        </w:tc>
        <w:tc>
          <w:tcPr>
            <w:tcW w:w="976" w:type="dxa"/>
            <w:vAlign w:val="center"/>
          </w:tcPr>
          <w:p w14:paraId="1B04D0BF" w14:textId="4F016E8B" w:rsidR="00B84A1D" w:rsidRPr="003D0DB6" w:rsidRDefault="00B84A1D" w:rsidP="00ED34D3">
            <w:pPr>
              <w:pStyle w:val="COMTabletext"/>
              <w:keepLines/>
              <w:jc w:val="center"/>
            </w:pPr>
            <w:r w:rsidRPr="003D0DB6">
              <w:t>64 (39.5)</w:t>
            </w:r>
          </w:p>
        </w:tc>
        <w:tc>
          <w:tcPr>
            <w:tcW w:w="977" w:type="dxa"/>
            <w:vAlign w:val="center"/>
          </w:tcPr>
          <w:p w14:paraId="083DB909" w14:textId="04FAB8A5" w:rsidR="00B84A1D" w:rsidRPr="003D0DB6" w:rsidRDefault="00B84A1D" w:rsidP="00ED34D3">
            <w:pPr>
              <w:pStyle w:val="COMTabletext"/>
              <w:keepLines/>
              <w:jc w:val="center"/>
            </w:pPr>
            <w:r w:rsidRPr="003D0DB6">
              <w:t>88 (48.6)</w:t>
            </w:r>
          </w:p>
        </w:tc>
        <w:tc>
          <w:tcPr>
            <w:tcW w:w="976" w:type="dxa"/>
            <w:vAlign w:val="center"/>
          </w:tcPr>
          <w:p w14:paraId="01D386FA" w14:textId="218A45DE" w:rsidR="00B84A1D" w:rsidRPr="003D0DB6" w:rsidRDefault="00B84A1D" w:rsidP="00ED34D3">
            <w:pPr>
              <w:pStyle w:val="COMTabletext"/>
              <w:keepLines/>
              <w:jc w:val="center"/>
            </w:pPr>
            <w:r w:rsidRPr="003D0DB6">
              <w:t>88 (49.2)</w:t>
            </w:r>
          </w:p>
        </w:tc>
        <w:tc>
          <w:tcPr>
            <w:tcW w:w="977" w:type="dxa"/>
            <w:vAlign w:val="center"/>
          </w:tcPr>
          <w:p w14:paraId="4ED5599E" w14:textId="50A72AC4" w:rsidR="00B84A1D" w:rsidRPr="003D0DB6" w:rsidRDefault="00B84A1D" w:rsidP="00ED34D3">
            <w:pPr>
              <w:pStyle w:val="COMTabletext"/>
              <w:keepLines/>
              <w:jc w:val="center"/>
            </w:pPr>
            <w:r w:rsidRPr="003D0DB6">
              <w:t>71 (42.3)</w:t>
            </w:r>
          </w:p>
        </w:tc>
      </w:tr>
      <w:tr w:rsidR="00B84A1D" w:rsidRPr="00FA1E86" w14:paraId="63CDCC33" w14:textId="5D561A38" w:rsidTr="00A1032E">
        <w:tc>
          <w:tcPr>
            <w:tcW w:w="1206" w:type="dxa"/>
            <w:vAlign w:val="center"/>
          </w:tcPr>
          <w:p w14:paraId="1D77D0C6" w14:textId="29D63345" w:rsidR="00B84A1D" w:rsidRPr="003D0DB6" w:rsidRDefault="00B84A1D" w:rsidP="00ED34D3">
            <w:pPr>
              <w:pStyle w:val="COMTabletext"/>
              <w:keepLines/>
            </w:pPr>
            <w:r w:rsidRPr="003D0DB6">
              <w:t>Serious AE</w:t>
            </w:r>
          </w:p>
        </w:tc>
        <w:tc>
          <w:tcPr>
            <w:tcW w:w="976" w:type="dxa"/>
            <w:vAlign w:val="center"/>
          </w:tcPr>
          <w:p w14:paraId="1890FF5E" w14:textId="77777777" w:rsidR="00B84A1D" w:rsidRPr="003D0DB6" w:rsidRDefault="00B84A1D" w:rsidP="00ED34D3">
            <w:pPr>
              <w:pStyle w:val="COMTabletext"/>
              <w:keepLines/>
              <w:jc w:val="center"/>
            </w:pPr>
            <w:r w:rsidRPr="003D0DB6">
              <w:t>33 (7.0)</w:t>
            </w:r>
          </w:p>
        </w:tc>
        <w:tc>
          <w:tcPr>
            <w:tcW w:w="976" w:type="dxa"/>
            <w:vAlign w:val="center"/>
          </w:tcPr>
          <w:p w14:paraId="0DA17EE9" w14:textId="77777777" w:rsidR="00B84A1D" w:rsidRPr="003D0DB6" w:rsidRDefault="00B84A1D" w:rsidP="00ED34D3">
            <w:pPr>
              <w:pStyle w:val="COMTabletext"/>
              <w:keepLines/>
              <w:jc w:val="center"/>
            </w:pPr>
            <w:r w:rsidRPr="003D0DB6">
              <w:t>25 (5.3)</w:t>
            </w:r>
          </w:p>
        </w:tc>
        <w:tc>
          <w:tcPr>
            <w:tcW w:w="977" w:type="dxa"/>
            <w:vAlign w:val="center"/>
          </w:tcPr>
          <w:p w14:paraId="078E683F" w14:textId="77777777" w:rsidR="00B84A1D" w:rsidRPr="003D0DB6" w:rsidRDefault="00B84A1D" w:rsidP="00ED34D3">
            <w:pPr>
              <w:pStyle w:val="COMTabletext"/>
              <w:keepLines/>
              <w:jc w:val="center"/>
            </w:pPr>
            <w:r w:rsidRPr="003D0DB6">
              <w:t>27 (5.7)</w:t>
            </w:r>
          </w:p>
        </w:tc>
        <w:tc>
          <w:tcPr>
            <w:tcW w:w="976" w:type="dxa"/>
            <w:vAlign w:val="center"/>
          </w:tcPr>
          <w:p w14:paraId="7D41E3D1" w14:textId="77777777" w:rsidR="00B84A1D" w:rsidRPr="003D0DB6" w:rsidRDefault="00B84A1D" w:rsidP="00ED34D3">
            <w:pPr>
              <w:pStyle w:val="COMTabletext"/>
              <w:keepLines/>
              <w:jc w:val="center"/>
            </w:pPr>
            <w:r w:rsidRPr="003D0DB6">
              <w:t>13 (2.8)</w:t>
            </w:r>
          </w:p>
        </w:tc>
        <w:tc>
          <w:tcPr>
            <w:tcW w:w="976" w:type="dxa"/>
            <w:vAlign w:val="center"/>
          </w:tcPr>
          <w:p w14:paraId="0ED35E11" w14:textId="3820883B" w:rsidR="00B84A1D" w:rsidRPr="003D0DB6" w:rsidRDefault="00B84A1D" w:rsidP="00ED34D3">
            <w:pPr>
              <w:pStyle w:val="COMTabletext"/>
              <w:keepLines/>
              <w:jc w:val="center"/>
            </w:pPr>
            <w:r w:rsidRPr="003D0DB6">
              <w:t>13 (8.0)</w:t>
            </w:r>
          </w:p>
        </w:tc>
        <w:tc>
          <w:tcPr>
            <w:tcW w:w="977" w:type="dxa"/>
            <w:vAlign w:val="center"/>
          </w:tcPr>
          <w:p w14:paraId="198C1D96" w14:textId="53170FE8" w:rsidR="00B84A1D" w:rsidRPr="003D0DB6" w:rsidRDefault="00B84A1D" w:rsidP="00ED34D3">
            <w:pPr>
              <w:pStyle w:val="COMTabletext"/>
              <w:keepLines/>
              <w:jc w:val="center"/>
            </w:pPr>
            <w:r w:rsidRPr="003D0DB6">
              <w:t>14 (7.7)</w:t>
            </w:r>
          </w:p>
        </w:tc>
        <w:tc>
          <w:tcPr>
            <w:tcW w:w="976" w:type="dxa"/>
            <w:vAlign w:val="center"/>
          </w:tcPr>
          <w:p w14:paraId="7B8B87B4" w14:textId="36CA1445" w:rsidR="00B84A1D" w:rsidRPr="003D0DB6" w:rsidRDefault="00B84A1D" w:rsidP="00ED34D3">
            <w:pPr>
              <w:pStyle w:val="COMTabletext"/>
              <w:keepLines/>
              <w:jc w:val="center"/>
            </w:pPr>
            <w:r w:rsidRPr="003D0DB6">
              <w:t>12 (6.7)</w:t>
            </w:r>
          </w:p>
        </w:tc>
        <w:tc>
          <w:tcPr>
            <w:tcW w:w="977" w:type="dxa"/>
            <w:vAlign w:val="center"/>
          </w:tcPr>
          <w:p w14:paraId="4B38B4D4" w14:textId="01785E82" w:rsidR="00B84A1D" w:rsidRPr="003D0DB6" w:rsidRDefault="00B84A1D" w:rsidP="00ED34D3">
            <w:pPr>
              <w:pStyle w:val="COMTabletext"/>
              <w:keepLines/>
              <w:jc w:val="center"/>
            </w:pPr>
            <w:r w:rsidRPr="003D0DB6">
              <w:t>4 (2.4)</w:t>
            </w:r>
          </w:p>
        </w:tc>
      </w:tr>
      <w:tr w:rsidR="00B84A1D" w:rsidRPr="00FA1E86" w14:paraId="0D14ACB2" w14:textId="4F25D117" w:rsidTr="00A1032E">
        <w:tc>
          <w:tcPr>
            <w:tcW w:w="1206" w:type="dxa"/>
            <w:vAlign w:val="center"/>
          </w:tcPr>
          <w:p w14:paraId="691FA35B" w14:textId="6938A300" w:rsidR="00B84A1D" w:rsidRPr="003D0DB6" w:rsidRDefault="00B84A1D" w:rsidP="00ED34D3">
            <w:pPr>
              <w:pStyle w:val="COMTabletext"/>
              <w:keepLines/>
            </w:pPr>
            <w:r w:rsidRPr="003D0DB6">
              <w:t>AE leading to treatment discontinuation</w:t>
            </w:r>
          </w:p>
        </w:tc>
        <w:tc>
          <w:tcPr>
            <w:tcW w:w="976" w:type="dxa"/>
            <w:vAlign w:val="center"/>
          </w:tcPr>
          <w:p w14:paraId="7DCACA4C" w14:textId="77777777" w:rsidR="00B84A1D" w:rsidRPr="003D0DB6" w:rsidRDefault="00B84A1D" w:rsidP="00ED34D3">
            <w:pPr>
              <w:pStyle w:val="COMTabletext"/>
              <w:keepLines/>
              <w:jc w:val="center"/>
            </w:pPr>
            <w:r w:rsidRPr="003D0DB6">
              <w:t>28 (6.0)</w:t>
            </w:r>
          </w:p>
        </w:tc>
        <w:tc>
          <w:tcPr>
            <w:tcW w:w="976" w:type="dxa"/>
            <w:vAlign w:val="center"/>
          </w:tcPr>
          <w:p w14:paraId="67BFC98E" w14:textId="77777777" w:rsidR="00B84A1D" w:rsidRPr="003D0DB6" w:rsidRDefault="00B84A1D" w:rsidP="00ED34D3">
            <w:pPr>
              <w:pStyle w:val="COMTabletext"/>
              <w:keepLines/>
              <w:jc w:val="center"/>
            </w:pPr>
            <w:r w:rsidRPr="003D0DB6">
              <w:t>40 (8.5)</w:t>
            </w:r>
          </w:p>
        </w:tc>
        <w:tc>
          <w:tcPr>
            <w:tcW w:w="977" w:type="dxa"/>
            <w:vAlign w:val="center"/>
          </w:tcPr>
          <w:p w14:paraId="43A447D8" w14:textId="77777777" w:rsidR="00B84A1D" w:rsidRPr="003D0DB6" w:rsidRDefault="00B84A1D" w:rsidP="00ED34D3">
            <w:pPr>
              <w:pStyle w:val="COMTabletext"/>
              <w:keepLines/>
              <w:jc w:val="center"/>
            </w:pPr>
            <w:r w:rsidRPr="003D0DB6">
              <w:t>40 (8.5)</w:t>
            </w:r>
          </w:p>
        </w:tc>
        <w:tc>
          <w:tcPr>
            <w:tcW w:w="976" w:type="dxa"/>
            <w:vAlign w:val="center"/>
          </w:tcPr>
          <w:p w14:paraId="1064FB98" w14:textId="77777777" w:rsidR="00B84A1D" w:rsidRPr="003D0DB6" w:rsidRDefault="00B84A1D" w:rsidP="00ED34D3">
            <w:pPr>
              <w:pStyle w:val="COMTabletext"/>
              <w:keepLines/>
              <w:jc w:val="center"/>
            </w:pPr>
            <w:r w:rsidRPr="003D0DB6">
              <w:t>19 (4.1)</w:t>
            </w:r>
          </w:p>
        </w:tc>
        <w:tc>
          <w:tcPr>
            <w:tcW w:w="976" w:type="dxa"/>
            <w:vAlign w:val="center"/>
          </w:tcPr>
          <w:p w14:paraId="73C326FE" w14:textId="01CE40A0" w:rsidR="00B84A1D" w:rsidRPr="003D0DB6" w:rsidRDefault="00B84A1D" w:rsidP="00ED34D3">
            <w:pPr>
              <w:pStyle w:val="COMTabletext"/>
              <w:keepLines/>
              <w:jc w:val="center"/>
            </w:pPr>
            <w:r w:rsidRPr="003D0DB6">
              <w:t>11 (6.8)</w:t>
            </w:r>
          </w:p>
        </w:tc>
        <w:tc>
          <w:tcPr>
            <w:tcW w:w="977" w:type="dxa"/>
            <w:vAlign w:val="center"/>
          </w:tcPr>
          <w:p w14:paraId="087A4A77" w14:textId="6091F1B9" w:rsidR="00B84A1D" w:rsidRPr="003D0DB6" w:rsidRDefault="00B84A1D" w:rsidP="00ED34D3">
            <w:pPr>
              <w:pStyle w:val="COMTabletext"/>
              <w:keepLines/>
              <w:jc w:val="center"/>
            </w:pPr>
            <w:r w:rsidRPr="003D0DB6">
              <w:t>13 (7.2)</w:t>
            </w:r>
          </w:p>
        </w:tc>
        <w:tc>
          <w:tcPr>
            <w:tcW w:w="976" w:type="dxa"/>
            <w:vAlign w:val="center"/>
          </w:tcPr>
          <w:p w14:paraId="2198AB64" w14:textId="59F32301" w:rsidR="00B84A1D" w:rsidRPr="003D0DB6" w:rsidRDefault="00B84A1D" w:rsidP="00ED34D3">
            <w:pPr>
              <w:pStyle w:val="COMTabletext"/>
              <w:keepLines/>
              <w:jc w:val="center"/>
            </w:pPr>
            <w:r w:rsidRPr="003D0DB6">
              <w:t>11 (6.1)</w:t>
            </w:r>
          </w:p>
        </w:tc>
        <w:tc>
          <w:tcPr>
            <w:tcW w:w="977" w:type="dxa"/>
            <w:vAlign w:val="center"/>
          </w:tcPr>
          <w:p w14:paraId="78D336F2" w14:textId="5F92B1F5" w:rsidR="00B84A1D" w:rsidRPr="003D0DB6" w:rsidRDefault="00B84A1D" w:rsidP="00ED34D3">
            <w:pPr>
              <w:pStyle w:val="COMTabletext"/>
              <w:keepLines/>
              <w:jc w:val="center"/>
            </w:pPr>
            <w:r w:rsidRPr="003D0DB6">
              <w:t>7 (4.2)</w:t>
            </w:r>
          </w:p>
        </w:tc>
      </w:tr>
      <w:tr w:rsidR="00B84A1D" w:rsidRPr="00FA1E86" w14:paraId="7CBC9102" w14:textId="5041037E" w:rsidTr="00A1032E">
        <w:tc>
          <w:tcPr>
            <w:tcW w:w="1206" w:type="dxa"/>
            <w:vAlign w:val="center"/>
          </w:tcPr>
          <w:p w14:paraId="6D31DE29" w14:textId="6515D4A9" w:rsidR="00B84A1D" w:rsidRPr="003D0DB6" w:rsidRDefault="00B84A1D" w:rsidP="00ED34D3">
            <w:pPr>
              <w:pStyle w:val="COMTabletext"/>
              <w:keepLines/>
            </w:pPr>
            <w:r w:rsidRPr="003D0DB6">
              <w:t>AE leading to study discontinuation</w:t>
            </w:r>
          </w:p>
        </w:tc>
        <w:tc>
          <w:tcPr>
            <w:tcW w:w="976" w:type="dxa"/>
            <w:vAlign w:val="center"/>
          </w:tcPr>
          <w:p w14:paraId="2D24BF42" w14:textId="77777777" w:rsidR="00B84A1D" w:rsidRPr="003D0DB6" w:rsidRDefault="00B84A1D" w:rsidP="00ED34D3">
            <w:pPr>
              <w:pStyle w:val="COMTabletext"/>
              <w:keepLines/>
              <w:jc w:val="center"/>
            </w:pPr>
            <w:r w:rsidRPr="003D0DB6">
              <w:t>5 (1.1)</w:t>
            </w:r>
          </w:p>
        </w:tc>
        <w:tc>
          <w:tcPr>
            <w:tcW w:w="976" w:type="dxa"/>
            <w:vAlign w:val="center"/>
          </w:tcPr>
          <w:p w14:paraId="75CA2442" w14:textId="77777777" w:rsidR="00B84A1D" w:rsidRPr="003D0DB6" w:rsidRDefault="00B84A1D" w:rsidP="00ED34D3">
            <w:pPr>
              <w:pStyle w:val="COMTabletext"/>
              <w:keepLines/>
              <w:jc w:val="center"/>
            </w:pPr>
            <w:r w:rsidRPr="003D0DB6">
              <w:t>8 (1.7)</w:t>
            </w:r>
          </w:p>
        </w:tc>
        <w:tc>
          <w:tcPr>
            <w:tcW w:w="977" w:type="dxa"/>
            <w:vAlign w:val="center"/>
          </w:tcPr>
          <w:p w14:paraId="66DDFDA6" w14:textId="77777777" w:rsidR="00B84A1D" w:rsidRPr="003D0DB6" w:rsidRDefault="00B84A1D" w:rsidP="00ED34D3">
            <w:pPr>
              <w:pStyle w:val="COMTabletext"/>
              <w:keepLines/>
              <w:jc w:val="center"/>
            </w:pPr>
            <w:r w:rsidRPr="003D0DB6">
              <w:t>5 (1.1)</w:t>
            </w:r>
          </w:p>
        </w:tc>
        <w:tc>
          <w:tcPr>
            <w:tcW w:w="976" w:type="dxa"/>
            <w:vAlign w:val="center"/>
          </w:tcPr>
          <w:p w14:paraId="6D58A4F1" w14:textId="77777777" w:rsidR="00B84A1D" w:rsidRPr="003D0DB6" w:rsidRDefault="00B84A1D" w:rsidP="00ED34D3">
            <w:pPr>
              <w:pStyle w:val="COMTabletext"/>
              <w:keepLines/>
              <w:jc w:val="center"/>
            </w:pPr>
            <w:r w:rsidRPr="003D0DB6">
              <w:t>4 (0.9)</w:t>
            </w:r>
          </w:p>
        </w:tc>
        <w:tc>
          <w:tcPr>
            <w:tcW w:w="976" w:type="dxa"/>
            <w:vAlign w:val="center"/>
          </w:tcPr>
          <w:p w14:paraId="48646B44" w14:textId="19C1E09E" w:rsidR="00B84A1D" w:rsidRPr="003D0DB6" w:rsidRDefault="00B84A1D" w:rsidP="00ED34D3">
            <w:pPr>
              <w:pStyle w:val="COMTabletext"/>
              <w:keepLines/>
              <w:jc w:val="center"/>
            </w:pPr>
            <w:r w:rsidRPr="003D0DB6">
              <w:t>4 (2.5)</w:t>
            </w:r>
          </w:p>
        </w:tc>
        <w:tc>
          <w:tcPr>
            <w:tcW w:w="977" w:type="dxa"/>
            <w:vAlign w:val="center"/>
          </w:tcPr>
          <w:p w14:paraId="4BB8A8FD" w14:textId="3DD2D45B" w:rsidR="00B84A1D" w:rsidRPr="003D0DB6" w:rsidRDefault="00B84A1D" w:rsidP="00ED34D3">
            <w:pPr>
              <w:pStyle w:val="COMTabletext"/>
              <w:keepLines/>
              <w:jc w:val="center"/>
            </w:pPr>
            <w:r w:rsidRPr="003D0DB6">
              <w:t>4 (2.2)</w:t>
            </w:r>
          </w:p>
        </w:tc>
        <w:tc>
          <w:tcPr>
            <w:tcW w:w="976" w:type="dxa"/>
            <w:vAlign w:val="center"/>
          </w:tcPr>
          <w:p w14:paraId="702B9E82" w14:textId="5C29816C" w:rsidR="00B84A1D" w:rsidRPr="003D0DB6" w:rsidRDefault="00B84A1D" w:rsidP="00ED34D3">
            <w:pPr>
              <w:pStyle w:val="COMTabletext"/>
              <w:keepLines/>
              <w:jc w:val="center"/>
            </w:pPr>
            <w:r w:rsidRPr="003D0DB6">
              <w:t>1 (0.6)</w:t>
            </w:r>
          </w:p>
        </w:tc>
        <w:tc>
          <w:tcPr>
            <w:tcW w:w="977" w:type="dxa"/>
            <w:vAlign w:val="center"/>
          </w:tcPr>
          <w:p w14:paraId="692FE172" w14:textId="3F56E852" w:rsidR="00B84A1D" w:rsidRPr="003D0DB6" w:rsidRDefault="00B84A1D" w:rsidP="00ED34D3">
            <w:pPr>
              <w:pStyle w:val="COMTabletext"/>
              <w:keepLines/>
              <w:jc w:val="center"/>
            </w:pPr>
            <w:r w:rsidRPr="003D0DB6">
              <w:t>2 (1.2)</w:t>
            </w:r>
          </w:p>
        </w:tc>
      </w:tr>
      <w:tr w:rsidR="00B84A1D" w:rsidRPr="00FA1E86" w14:paraId="4CF66DA6" w14:textId="411408E4" w:rsidTr="00A1032E">
        <w:tc>
          <w:tcPr>
            <w:tcW w:w="1206" w:type="dxa"/>
            <w:vAlign w:val="center"/>
          </w:tcPr>
          <w:p w14:paraId="6913E373" w14:textId="4B3271FE" w:rsidR="00B84A1D" w:rsidRPr="003D0DB6" w:rsidRDefault="00B84A1D" w:rsidP="00ED34D3">
            <w:pPr>
              <w:pStyle w:val="COMTabletext"/>
              <w:keepLines/>
            </w:pPr>
            <w:r w:rsidRPr="003D0DB6">
              <w:t>Deaths</w:t>
            </w:r>
          </w:p>
        </w:tc>
        <w:tc>
          <w:tcPr>
            <w:tcW w:w="976" w:type="dxa"/>
            <w:vAlign w:val="center"/>
          </w:tcPr>
          <w:p w14:paraId="3B099802" w14:textId="77777777" w:rsidR="00B84A1D" w:rsidRPr="003D0DB6" w:rsidRDefault="00B84A1D" w:rsidP="00ED34D3">
            <w:pPr>
              <w:pStyle w:val="COMTabletext"/>
              <w:keepLines/>
              <w:jc w:val="center"/>
            </w:pPr>
            <w:r w:rsidRPr="003D0DB6">
              <w:t>4 (0.9)</w:t>
            </w:r>
          </w:p>
        </w:tc>
        <w:tc>
          <w:tcPr>
            <w:tcW w:w="976" w:type="dxa"/>
            <w:vAlign w:val="center"/>
          </w:tcPr>
          <w:p w14:paraId="7A194769" w14:textId="77777777" w:rsidR="00B84A1D" w:rsidRPr="003D0DB6" w:rsidRDefault="00B84A1D" w:rsidP="00ED34D3">
            <w:pPr>
              <w:pStyle w:val="COMTabletext"/>
              <w:keepLines/>
              <w:jc w:val="center"/>
            </w:pPr>
            <w:r w:rsidRPr="003D0DB6">
              <w:t>4 (0.9)</w:t>
            </w:r>
          </w:p>
        </w:tc>
        <w:tc>
          <w:tcPr>
            <w:tcW w:w="977" w:type="dxa"/>
            <w:vAlign w:val="center"/>
          </w:tcPr>
          <w:p w14:paraId="36D57A4F" w14:textId="77777777" w:rsidR="00B84A1D" w:rsidRPr="003D0DB6" w:rsidRDefault="00B84A1D" w:rsidP="00ED34D3">
            <w:pPr>
              <w:pStyle w:val="COMTabletext"/>
              <w:keepLines/>
              <w:jc w:val="center"/>
            </w:pPr>
            <w:r w:rsidRPr="003D0DB6">
              <w:t>4 (0.9)</w:t>
            </w:r>
          </w:p>
        </w:tc>
        <w:tc>
          <w:tcPr>
            <w:tcW w:w="976" w:type="dxa"/>
            <w:vAlign w:val="center"/>
          </w:tcPr>
          <w:p w14:paraId="36C20995" w14:textId="77777777" w:rsidR="00B84A1D" w:rsidRPr="003D0DB6" w:rsidRDefault="00B84A1D" w:rsidP="00ED34D3">
            <w:pPr>
              <w:pStyle w:val="COMTabletext"/>
              <w:keepLines/>
              <w:jc w:val="center"/>
            </w:pPr>
            <w:r w:rsidRPr="003D0DB6">
              <w:t>1 (0.2)</w:t>
            </w:r>
          </w:p>
        </w:tc>
        <w:tc>
          <w:tcPr>
            <w:tcW w:w="976" w:type="dxa"/>
            <w:vAlign w:val="center"/>
          </w:tcPr>
          <w:p w14:paraId="2E5F07B9" w14:textId="041B74B3" w:rsidR="00B84A1D" w:rsidRPr="003D0DB6" w:rsidRDefault="00B84A1D" w:rsidP="00ED34D3">
            <w:pPr>
              <w:pStyle w:val="COMTabletext"/>
              <w:keepLines/>
              <w:jc w:val="center"/>
            </w:pPr>
            <w:r w:rsidRPr="003D0DB6">
              <w:t>3 (1.9)</w:t>
            </w:r>
          </w:p>
        </w:tc>
        <w:tc>
          <w:tcPr>
            <w:tcW w:w="977" w:type="dxa"/>
            <w:vAlign w:val="center"/>
          </w:tcPr>
          <w:p w14:paraId="46ED331B" w14:textId="2C58A183" w:rsidR="00B84A1D" w:rsidRPr="003D0DB6" w:rsidRDefault="00B84A1D" w:rsidP="00ED34D3">
            <w:pPr>
              <w:pStyle w:val="COMTabletext"/>
              <w:keepLines/>
              <w:jc w:val="center"/>
            </w:pPr>
            <w:r w:rsidRPr="003D0DB6">
              <w:t>2 (1.1)</w:t>
            </w:r>
          </w:p>
        </w:tc>
        <w:tc>
          <w:tcPr>
            <w:tcW w:w="976" w:type="dxa"/>
            <w:vAlign w:val="center"/>
          </w:tcPr>
          <w:p w14:paraId="564FEC7E" w14:textId="5F38F80D" w:rsidR="00B84A1D" w:rsidRPr="003D0DB6" w:rsidRDefault="00B84A1D" w:rsidP="00ED34D3">
            <w:pPr>
              <w:pStyle w:val="COMTabletext"/>
              <w:keepLines/>
              <w:jc w:val="center"/>
            </w:pPr>
            <w:r w:rsidRPr="003D0DB6">
              <w:t>1 (0.6)</w:t>
            </w:r>
          </w:p>
        </w:tc>
        <w:tc>
          <w:tcPr>
            <w:tcW w:w="977" w:type="dxa"/>
            <w:vAlign w:val="center"/>
          </w:tcPr>
          <w:p w14:paraId="38A5DECE" w14:textId="27910648" w:rsidR="00B84A1D" w:rsidRPr="003D0DB6" w:rsidRDefault="00B84A1D" w:rsidP="00ED34D3">
            <w:pPr>
              <w:pStyle w:val="COMTabletext"/>
              <w:keepLines/>
              <w:jc w:val="center"/>
            </w:pPr>
            <w:r w:rsidRPr="003D0DB6">
              <w:t>1 (0.6)</w:t>
            </w:r>
          </w:p>
        </w:tc>
      </w:tr>
      <w:tr w:rsidR="00E51F16" w:rsidRPr="00FA1E86" w14:paraId="3FB68B5B" w14:textId="451B7D6E" w:rsidTr="00A1032E">
        <w:tc>
          <w:tcPr>
            <w:tcW w:w="9017" w:type="dxa"/>
            <w:gridSpan w:val="9"/>
            <w:vAlign w:val="center"/>
          </w:tcPr>
          <w:p w14:paraId="4AA7B00A" w14:textId="00B7ADF6" w:rsidR="00E51F16" w:rsidRPr="003D0DB6" w:rsidRDefault="00E51F16" w:rsidP="00ED34D3">
            <w:pPr>
              <w:pStyle w:val="COMTableheadingrow"/>
              <w:keepLines/>
              <w:rPr>
                <w:lang w:val="en-AU"/>
              </w:rPr>
            </w:pPr>
            <w:r w:rsidRPr="003D0DB6">
              <w:rPr>
                <w:lang w:val="en-AU"/>
              </w:rPr>
              <w:t>Adverse events of special interest</w:t>
            </w:r>
          </w:p>
        </w:tc>
      </w:tr>
      <w:tr w:rsidR="00B84A1D" w:rsidRPr="00FA1E86" w14:paraId="047E96C0" w14:textId="2DC165A9" w:rsidTr="00B84A1D">
        <w:tc>
          <w:tcPr>
            <w:tcW w:w="1206" w:type="dxa"/>
            <w:vAlign w:val="center"/>
          </w:tcPr>
          <w:p w14:paraId="590CFC0C" w14:textId="77777777" w:rsidR="00B84A1D" w:rsidRPr="003D0DB6" w:rsidRDefault="00B84A1D" w:rsidP="00ED34D3">
            <w:pPr>
              <w:pStyle w:val="COMTabletext"/>
              <w:keepLines/>
            </w:pPr>
            <w:r w:rsidRPr="003D0DB6">
              <w:t>Gastrointestinal events</w:t>
            </w:r>
          </w:p>
        </w:tc>
        <w:tc>
          <w:tcPr>
            <w:tcW w:w="976" w:type="dxa"/>
            <w:vAlign w:val="center"/>
          </w:tcPr>
          <w:p w14:paraId="622E37F7" w14:textId="77777777" w:rsidR="00B84A1D" w:rsidRPr="003D0DB6" w:rsidRDefault="00B84A1D" w:rsidP="00ED34D3">
            <w:pPr>
              <w:pStyle w:val="COMTabletext"/>
              <w:keepLines/>
              <w:jc w:val="center"/>
            </w:pPr>
            <w:r w:rsidRPr="003D0DB6">
              <w:t>188 (40.0)</w:t>
            </w:r>
          </w:p>
        </w:tc>
        <w:tc>
          <w:tcPr>
            <w:tcW w:w="976" w:type="dxa"/>
            <w:vAlign w:val="center"/>
          </w:tcPr>
          <w:p w14:paraId="2225F63E" w14:textId="77777777" w:rsidR="00B84A1D" w:rsidRPr="003D0DB6" w:rsidRDefault="00B84A1D" w:rsidP="00ED34D3">
            <w:pPr>
              <w:pStyle w:val="COMTabletext"/>
              <w:keepLines/>
              <w:jc w:val="center"/>
            </w:pPr>
            <w:r w:rsidRPr="003D0DB6">
              <w:t>216 (46.1)</w:t>
            </w:r>
          </w:p>
        </w:tc>
        <w:tc>
          <w:tcPr>
            <w:tcW w:w="977" w:type="dxa"/>
            <w:vAlign w:val="center"/>
          </w:tcPr>
          <w:p w14:paraId="25647780" w14:textId="77777777" w:rsidR="00B84A1D" w:rsidRPr="003D0DB6" w:rsidRDefault="00B84A1D" w:rsidP="00ED34D3">
            <w:pPr>
              <w:pStyle w:val="COMTabletext"/>
              <w:keepLines/>
              <w:jc w:val="center"/>
            </w:pPr>
            <w:r w:rsidRPr="003D0DB6">
              <w:t>211 (44.9)</w:t>
            </w:r>
          </w:p>
        </w:tc>
        <w:tc>
          <w:tcPr>
            <w:tcW w:w="976" w:type="dxa"/>
            <w:vAlign w:val="center"/>
          </w:tcPr>
          <w:p w14:paraId="1A492E36" w14:textId="77777777" w:rsidR="00B84A1D" w:rsidRPr="003D0DB6" w:rsidRDefault="00B84A1D" w:rsidP="00ED34D3">
            <w:pPr>
              <w:pStyle w:val="COMTabletext"/>
              <w:keepLines/>
              <w:jc w:val="center"/>
            </w:pPr>
            <w:r w:rsidRPr="003D0DB6">
              <w:t>193 (41.2)</w:t>
            </w:r>
          </w:p>
        </w:tc>
        <w:tc>
          <w:tcPr>
            <w:tcW w:w="976" w:type="dxa"/>
            <w:vAlign w:val="center"/>
          </w:tcPr>
          <w:p w14:paraId="1D892A3B" w14:textId="0A820CD6" w:rsidR="00B84A1D" w:rsidRPr="003D0DB6" w:rsidRDefault="00B84A1D" w:rsidP="00ED34D3">
            <w:pPr>
              <w:pStyle w:val="COMTabletext"/>
              <w:keepLines/>
              <w:jc w:val="center"/>
            </w:pPr>
            <w:r w:rsidRPr="003D0DB6">
              <w:t>NE</w:t>
            </w:r>
          </w:p>
        </w:tc>
        <w:tc>
          <w:tcPr>
            <w:tcW w:w="977" w:type="dxa"/>
            <w:vAlign w:val="center"/>
          </w:tcPr>
          <w:p w14:paraId="6A9B30D7" w14:textId="3A332650" w:rsidR="00B84A1D" w:rsidRPr="003D0DB6" w:rsidRDefault="00B84A1D" w:rsidP="00ED34D3">
            <w:pPr>
              <w:pStyle w:val="COMTabletext"/>
              <w:keepLines/>
              <w:jc w:val="center"/>
            </w:pPr>
            <w:r w:rsidRPr="003D0DB6">
              <w:t>NE</w:t>
            </w:r>
          </w:p>
        </w:tc>
        <w:tc>
          <w:tcPr>
            <w:tcW w:w="976" w:type="dxa"/>
            <w:vAlign w:val="center"/>
          </w:tcPr>
          <w:p w14:paraId="3D880D37" w14:textId="5751AA38" w:rsidR="00B84A1D" w:rsidRPr="003D0DB6" w:rsidRDefault="00B84A1D" w:rsidP="00ED34D3">
            <w:pPr>
              <w:pStyle w:val="COMTabletext"/>
              <w:keepLines/>
              <w:jc w:val="center"/>
            </w:pPr>
            <w:r w:rsidRPr="003D0DB6">
              <w:t>NE</w:t>
            </w:r>
          </w:p>
        </w:tc>
        <w:tc>
          <w:tcPr>
            <w:tcW w:w="977" w:type="dxa"/>
            <w:vAlign w:val="center"/>
          </w:tcPr>
          <w:p w14:paraId="6F65D35E" w14:textId="72FC1A68" w:rsidR="00B84A1D" w:rsidRPr="003D0DB6" w:rsidRDefault="00B84A1D" w:rsidP="00ED34D3">
            <w:pPr>
              <w:pStyle w:val="COMTabletext"/>
              <w:keepLines/>
              <w:jc w:val="center"/>
            </w:pPr>
            <w:r w:rsidRPr="003D0DB6">
              <w:t>NE</w:t>
            </w:r>
          </w:p>
        </w:tc>
      </w:tr>
      <w:tr w:rsidR="00B84A1D" w:rsidRPr="00FA1E86" w14:paraId="08F61BBC" w14:textId="3606E53E" w:rsidTr="00B84A1D">
        <w:tc>
          <w:tcPr>
            <w:tcW w:w="1206" w:type="dxa"/>
            <w:vAlign w:val="center"/>
          </w:tcPr>
          <w:p w14:paraId="076A0205" w14:textId="6F29898B" w:rsidR="00B84A1D" w:rsidRPr="003D0DB6" w:rsidRDefault="00B84A1D" w:rsidP="00ED34D3">
            <w:pPr>
              <w:pStyle w:val="COMTabletext"/>
              <w:keepLines/>
            </w:pPr>
            <w:r w:rsidRPr="003D0DB6">
              <w:t>Hypoglycaemia</w:t>
            </w:r>
          </w:p>
        </w:tc>
        <w:tc>
          <w:tcPr>
            <w:tcW w:w="976" w:type="dxa"/>
            <w:vAlign w:val="center"/>
          </w:tcPr>
          <w:p w14:paraId="08DC2B1F" w14:textId="77777777" w:rsidR="00B84A1D" w:rsidRPr="003D0DB6" w:rsidRDefault="00B84A1D" w:rsidP="00ED34D3">
            <w:pPr>
              <w:pStyle w:val="COMTabletext"/>
              <w:keepLines/>
              <w:jc w:val="center"/>
            </w:pPr>
            <w:r w:rsidRPr="003D0DB6">
              <w:t>3 (0.6)</w:t>
            </w:r>
          </w:p>
        </w:tc>
        <w:tc>
          <w:tcPr>
            <w:tcW w:w="976" w:type="dxa"/>
            <w:vAlign w:val="center"/>
          </w:tcPr>
          <w:p w14:paraId="016F0BAC" w14:textId="77777777" w:rsidR="00B84A1D" w:rsidRPr="003D0DB6" w:rsidRDefault="00B84A1D" w:rsidP="00ED34D3">
            <w:pPr>
              <w:pStyle w:val="COMTabletext"/>
              <w:keepLines/>
              <w:jc w:val="center"/>
            </w:pPr>
            <w:r w:rsidRPr="003D0DB6">
              <w:t>1 (0.2)</w:t>
            </w:r>
          </w:p>
        </w:tc>
        <w:tc>
          <w:tcPr>
            <w:tcW w:w="977" w:type="dxa"/>
            <w:vAlign w:val="center"/>
          </w:tcPr>
          <w:p w14:paraId="1C1F7CEF" w14:textId="77777777" w:rsidR="00B84A1D" w:rsidRPr="003D0DB6" w:rsidRDefault="00B84A1D" w:rsidP="00ED34D3">
            <w:pPr>
              <w:pStyle w:val="COMTabletext"/>
              <w:keepLines/>
              <w:jc w:val="center"/>
            </w:pPr>
            <w:r w:rsidRPr="003D0DB6">
              <w:t>8 (1.7)</w:t>
            </w:r>
          </w:p>
        </w:tc>
        <w:tc>
          <w:tcPr>
            <w:tcW w:w="976" w:type="dxa"/>
            <w:vAlign w:val="center"/>
          </w:tcPr>
          <w:p w14:paraId="7F08A02F" w14:textId="77777777" w:rsidR="00B84A1D" w:rsidRPr="003D0DB6" w:rsidRDefault="00B84A1D" w:rsidP="00ED34D3">
            <w:pPr>
              <w:pStyle w:val="COMTabletext"/>
              <w:keepLines/>
              <w:jc w:val="center"/>
            </w:pPr>
            <w:r w:rsidRPr="003D0DB6">
              <w:t>2 (0.4)</w:t>
            </w:r>
          </w:p>
        </w:tc>
        <w:tc>
          <w:tcPr>
            <w:tcW w:w="976" w:type="dxa"/>
            <w:vAlign w:val="center"/>
          </w:tcPr>
          <w:p w14:paraId="493AF5C2" w14:textId="4C8DEF7B" w:rsidR="00B84A1D" w:rsidRPr="003D0DB6" w:rsidRDefault="00B84A1D" w:rsidP="00ED34D3">
            <w:pPr>
              <w:pStyle w:val="COMTabletext"/>
              <w:keepLines/>
              <w:jc w:val="center"/>
            </w:pPr>
            <w:r w:rsidRPr="003D0DB6">
              <w:t>1 (0.6)</w:t>
            </w:r>
          </w:p>
        </w:tc>
        <w:tc>
          <w:tcPr>
            <w:tcW w:w="977" w:type="dxa"/>
            <w:vAlign w:val="center"/>
          </w:tcPr>
          <w:p w14:paraId="10715B07" w14:textId="7C292A81" w:rsidR="00B84A1D" w:rsidRPr="003D0DB6" w:rsidRDefault="00B84A1D" w:rsidP="00ED34D3">
            <w:pPr>
              <w:pStyle w:val="COMTabletext"/>
              <w:keepLines/>
              <w:jc w:val="center"/>
            </w:pPr>
            <w:r w:rsidRPr="003D0DB6">
              <w:t>0 (0.0)</w:t>
            </w:r>
          </w:p>
        </w:tc>
        <w:tc>
          <w:tcPr>
            <w:tcW w:w="976" w:type="dxa"/>
            <w:vAlign w:val="center"/>
          </w:tcPr>
          <w:p w14:paraId="326FD51A" w14:textId="52509B7C" w:rsidR="00B84A1D" w:rsidRPr="003D0DB6" w:rsidRDefault="00B84A1D" w:rsidP="00ED34D3">
            <w:pPr>
              <w:pStyle w:val="COMTabletext"/>
              <w:keepLines/>
              <w:jc w:val="center"/>
            </w:pPr>
            <w:r w:rsidRPr="003D0DB6">
              <w:t>5 (2.8)</w:t>
            </w:r>
          </w:p>
        </w:tc>
        <w:tc>
          <w:tcPr>
            <w:tcW w:w="977" w:type="dxa"/>
            <w:vAlign w:val="center"/>
          </w:tcPr>
          <w:p w14:paraId="41954F12" w14:textId="7969D15D" w:rsidR="00B84A1D" w:rsidRPr="003D0DB6" w:rsidRDefault="00B84A1D" w:rsidP="00ED34D3">
            <w:pPr>
              <w:pStyle w:val="COMTabletext"/>
              <w:keepLines/>
              <w:jc w:val="center"/>
            </w:pPr>
            <w:r w:rsidRPr="003D0DB6">
              <w:t>1 (0.6)</w:t>
            </w:r>
          </w:p>
        </w:tc>
      </w:tr>
      <w:tr w:rsidR="00B84A1D" w:rsidRPr="00FA1E86" w14:paraId="7FCB5394" w14:textId="6B653D62" w:rsidTr="00B84A1D">
        <w:tc>
          <w:tcPr>
            <w:tcW w:w="1206" w:type="dxa"/>
            <w:vAlign w:val="center"/>
          </w:tcPr>
          <w:p w14:paraId="64929F56" w14:textId="77777777" w:rsidR="00B84A1D" w:rsidRPr="00FA1E86" w:rsidRDefault="00B84A1D" w:rsidP="00ED34D3">
            <w:pPr>
              <w:pStyle w:val="COMTabletext"/>
              <w:keepLines/>
            </w:pPr>
            <w:r w:rsidRPr="00FA1E86">
              <w:t>Severe hypoglycaemia</w:t>
            </w:r>
          </w:p>
        </w:tc>
        <w:tc>
          <w:tcPr>
            <w:tcW w:w="976" w:type="dxa"/>
            <w:vAlign w:val="center"/>
          </w:tcPr>
          <w:p w14:paraId="67F78E3E" w14:textId="77777777" w:rsidR="00B84A1D" w:rsidRPr="00B84A1D" w:rsidRDefault="00B84A1D" w:rsidP="00ED34D3">
            <w:pPr>
              <w:pStyle w:val="COMTabletext"/>
              <w:keepLines/>
              <w:jc w:val="center"/>
            </w:pPr>
            <w:r w:rsidRPr="00B84A1D">
              <w:t>1 (0.2)</w:t>
            </w:r>
          </w:p>
        </w:tc>
        <w:tc>
          <w:tcPr>
            <w:tcW w:w="976" w:type="dxa"/>
            <w:vAlign w:val="center"/>
          </w:tcPr>
          <w:p w14:paraId="1F18BEDC" w14:textId="77777777" w:rsidR="00B84A1D" w:rsidRPr="00B84A1D" w:rsidRDefault="00B84A1D" w:rsidP="00ED34D3">
            <w:pPr>
              <w:pStyle w:val="COMTabletext"/>
              <w:keepLines/>
              <w:jc w:val="center"/>
            </w:pPr>
            <w:r w:rsidRPr="00B84A1D">
              <w:t>0</w:t>
            </w:r>
          </w:p>
        </w:tc>
        <w:tc>
          <w:tcPr>
            <w:tcW w:w="977" w:type="dxa"/>
            <w:vAlign w:val="center"/>
          </w:tcPr>
          <w:p w14:paraId="135ECBB3" w14:textId="77777777" w:rsidR="00B84A1D" w:rsidRPr="00B84A1D" w:rsidRDefault="00B84A1D" w:rsidP="00ED34D3">
            <w:pPr>
              <w:pStyle w:val="COMTabletext"/>
              <w:keepLines/>
              <w:jc w:val="center"/>
            </w:pPr>
            <w:r w:rsidRPr="00B84A1D">
              <w:t>1 (0.2)</w:t>
            </w:r>
          </w:p>
        </w:tc>
        <w:tc>
          <w:tcPr>
            <w:tcW w:w="976" w:type="dxa"/>
            <w:vAlign w:val="center"/>
          </w:tcPr>
          <w:p w14:paraId="36B95A56" w14:textId="77777777" w:rsidR="00B84A1D" w:rsidRPr="00B84A1D" w:rsidRDefault="00B84A1D" w:rsidP="00ED34D3">
            <w:pPr>
              <w:pStyle w:val="COMTabletext"/>
              <w:keepLines/>
              <w:jc w:val="center"/>
            </w:pPr>
            <w:r w:rsidRPr="00B84A1D">
              <w:t>0</w:t>
            </w:r>
          </w:p>
        </w:tc>
        <w:tc>
          <w:tcPr>
            <w:tcW w:w="976" w:type="dxa"/>
            <w:vAlign w:val="center"/>
          </w:tcPr>
          <w:p w14:paraId="5524E671" w14:textId="6B91DD82" w:rsidR="00B84A1D" w:rsidRPr="00FA1E86" w:rsidRDefault="00B84A1D" w:rsidP="00ED34D3">
            <w:pPr>
              <w:pStyle w:val="COMTabletext"/>
              <w:keepLines/>
              <w:jc w:val="center"/>
            </w:pPr>
            <w:r>
              <w:t>NE</w:t>
            </w:r>
          </w:p>
        </w:tc>
        <w:tc>
          <w:tcPr>
            <w:tcW w:w="977" w:type="dxa"/>
            <w:vAlign w:val="center"/>
          </w:tcPr>
          <w:p w14:paraId="43D2CB08" w14:textId="55EBC6D3" w:rsidR="00B84A1D" w:rsidRPr="00FA1E86" w:rsidRDefault="00B84A1D" w:rsidP="00ED34D3">
            <w:pPr>
              <w:pStyle w:val="COMTabletext"/>
              <w:keepLines/>
              <w:jc w:val="center"/>
            </w:pPr>
            <w:r>
              <w:t>NE</w:t>
            </w:r>
          </w:p>
        </w:tc>
        <w:tc>
          <w:tcPr>
            <w:tcW w:w="976" w:type="dxa"/>
            <w:vAlign w:val="center"/>
          </w:tcPr>
          <w:p w14:paraId="65DAE5DB" w14:textId="51377D92" w:rsidR="00B84A1D" w:rsidRPr="00FA1E86" w:rsidRDefault="00B84A1D" w:rsidP="00ED34D3">
            <w:pPr>
              <w:pStyle w:val="COMTabletext"/>
              <w:keepLines/>
              <w:jc w:val="center"/>
            </w:pPr>
            <w:r>
              <w:t>NE</w:t>
            </w:r>
          </w:p>
        </w:tc>
        <w:tc>
          <w:tcPr>
            <w:tcW w:w="977" w:type="dxa"/>
            <w:vAlign w:val="center"/>
          </w:tcPr>
          <w:p w14:paraId="25F0BFA1" w14:textId="58D9199D" w:rsidR="00B84A1D" w:rsidRPr="00FA1E86" w:rsidRDefault="00B84A1D" w:rsidP="00ED34D3">
            <w:pPr>
              <w:pStyle w:val="COMTabletext"/>
              <w:keepLines/>
              <w:jc w:val="center"/>
            </w:pPr>
            <w:r>
              <w:t>NE</w:t>
            </w:r>
          </w:p>
        </w:tc>
      </w:tr>
      <w:tr w:rsidR="00B84A1D" w:rsidRPr="00FA1E86" w14:paraId="76BC4FFA" w14:textId="31298D63" w:rsidTr="00B84A1D">
        <w:tc>
          <w:tcPr>
            <w:tcW w:w="1206" w:type="dxa"/>
            <w:vAlign w:val="center"/>
          </w:tcPr>
          <w:p w14:paraId="365259C4" w14:textId="77777777" w:rsidR="00B84A1D" w:rsidRPr="00FA1E86" w:rsidRDefault="00B84A1D" w:rsidP="00ED34D3">
            <w:pPr>
              <w:pStyle w:val="COMTabletext"/>
              <w:keepLines/>
            </w:pPr>
            <w:r w:rsidRPr="00FA1E86">
              <w:t>Injection site reaction</w:t>
            </w:r>
          </w:p>
        </w:tc>
        <w:tc>
          <w:tcPr>
            <w:tcW w:w="976" w:type="dxa"/>
            <w:vAlign w:val="center"/>
          </w:tcPr>
          <w:p w14:paraId="104A7791" w14:textId="77777777" w:rsidR="00B84A1D" w:rsidRPr="00B84A1D" w:rsidRDefault="00B84A1D" w:rsidP="00ED34D3">
            <w:pPr>
              <w:pStyle w:val="COMTabletext"/>
              <w:keepLines/>
              <w:jc w:val="center"/>
            </w:pPr>
            <w:r w:rsidRPr="00B84A1D">
              <w:t>9 (1.9)</w:t>
            </w:r>
          </w:p>
        </w:tc>
        <w:tc>
          <w:tcPr>
            <w:tcW w:w="976" w:type="dxa"/>
            <w:vAlign w:val="center"/>
          </w:tcPr>
          <w:p w14:paraId="13D9B478" w14:textId="77777777" w:rsidR="00B84A1D" w:rsidRPr="00B84A1D" w:rsidRDefault="00B84A1D" w:rsidP="00ED34D3">
            <w:pPr>
              <w:pStyle w:val="COMTabletext"/>
              <w:keepLines/>
              <w:jc w:val="center"/>
            </w:pPr>
            <w:r w:rsidRPr="00B84A1D">
              <w:t>13 (2.8)</w:t>
            </w:r>
          </w:p>
        </w:tc>
        <w:tc>
          <w:tcPr>
            <w:tcW w:w="977" w:type="dxa"/>
            <w:vAlign w:val="center"/>
          </w:tcPr>
          <w:p w14:paraId="21ED1B50" w14:textId="77777777" w:rsidR="00B84A1D" w:rsidRPr="00B84A1D" w:rsidRDefault="00B84A1D" w:rsidP="00ED34D3">
            <w:pPr>
              <w:pStyle w:val="COMTabletext"/>
              <w:keepLines/>
              <w:jc w:val="center"/>
            </w:pPr>
            <w:r w:rsidRPr="00B84A1D">
              <w:t>21 (4.5)</w:t>
            </w:r>
          </w:p>
        </w:tc>
        <w:tc>
          <w:tcPr>
            <w:tcW w:w="976" w:type="dxa"/>
            <w:vAlign w:val="center"/>
          </w:tcPr>
          <w:p w14:paraId="203D9CFD" w14:textId="77777777" w:rsidR="00B84A1D" w:rsidRPr="00B84A1D" w:rsidRDefault="00B84A1D" w:rsidP="00ED34D3">
            <w:pPr>
              <w:pStyle w:val="COMTabletext"/>
              <w:keepLines/>
              <w:jc w:val="center"/>
            </w:pPr>
            <w:r w:rsidRPr="00B84A1D">
              <w:t>1 (0.2)</w:t>
            </w:r>
          </w:p>
        </w:tc>
        <w:tc>
          <w:tcPr>
            <w:tcW w:w="976" w:type="dxa"/>
            <w:vAlign w:val="center"/>
          </w:tcPr>
          <w:p w14:paraId="48CD1220" w14:textId="1BB87221" w:rsidR="00B84A1D" w:rsidRPr="00FA1E86" w:rsidRDefault="00B84A1D" w:rsidP="00ED34D3">
            <w:pPr>
              <w:pStyle w:val="COMTabletext"/>
              <w:keepLines/>
              <w:jc w:val="center"/>
            </w:pPr>
            <w:r>
              <w:t>NE</w:t>
            </w:r>
          </w:p>
        </w:tc>
        <w:tc>
          <w:tcPr>
            <w:tcW w:w="977" w:type="dxa"/>
            <w:vAlign w:val="center"/>
          </w:tcPr>
          <w:p w14:paraId="4DF42E46" w14:textId="0DFF2A84" w:rsidR="00B84A1D" w:rsidRPr="00FA1E86" w:rsidRDefault="00B84A1D" w:rsidP="00ED34D3">
            <w:pPr>
              <w:pStyle w:val="COMTabletext"/>
              <w:keepLines/>
              <w:jc w:val="center"/>
            </w:pPr>
            <w:r>
              <w:t>NE</w:t>
            </w:r>
          </w:p>
        </w:tc>
        <w:tc>
          <w:tcPr>
            <w:tcW w:w="976" w:type="dxa"/>
            <w:vAlign w:val="center"/>
          </w:tcPr>
          <w:p w14:paraId="7E7D9942" w14:textId="110ECB38" w:rsidR="00B84A1D" w:rsidRPr="00FA1E86" w:rsidRDefault="00B84A1D" w:rsidP="00ED34D3">
            <w:pPr>
              <w:pStyle w:val="COMTabletext"/>
              <w:keepLines/>
              <w:jc w:val="center"/>
            </w:pPr>
            <w:r>
              <w:t>NE</w:t>
            </w:r>
          </w:p>
        </w:tc>
        <w:tc>
          <w:tcPr>
            <w:tcW w:w="977" w:type="dxa"/>
            <w:vAlign w:val="center"/>
          </w:tcPr>
          <w:p w14:paraId="2221D52D" w14:textId="7F96DED5" w:rsidR="00B84A1D" w:rsidRPr="00FA1E86" w:rsidRDefault="00B84A1D" w:rsidP="00ED34D3">
            <w:pPr>
              <w:pStyle w:val="COMTabletext"/>
              <w:keepLines/>
              <w:jc w:val="center"/>
            </w:pPr>
            <w:r>
              <w:t>NE</w:t>
            </w:r>
          </w:p>
        </w:tc>
      </w:tr>
      <w:tr w:rsidR="00B84A1D" w:rsidRPr="00FA1E86" w14:paraId="20A95F3F" w14:textId="2867A280" w:rsidTr="00B84A1D">
        <w:tc>
          <w:tcPr>
            <w:tcW w:w="1206" w:type="dxa"/>
            <w:vAlign w:val="center"/>
          </w:tcPr>
          <w:p w14:paraId="31552142" w14:textId="77777777" w:rsidR="00B84A1D" w:rsidRPr="00FA1E86" w:rsidRDefault="00B84A1D" w:rsidP="00ED34D3">
            <w:pPr>
              <w:pStyle w:val="COMTabletext"/>
              <w:keepLines/>
            </w:pPr>
            <w:r w:rsidRPr="00FA1E86">
              <w:t>Adjudicated pancreatitis</w:t>
            </w:r>
          </w:p>
        </w:tc>
        <w:tc>
          <w:tcPr>
            <w:tcW w:w="976" w:type="dxa"/>
            <w:vAlign w:val="center"/>
          </w:tcPr>
          <w:p w14:paraId="29E9A922" w14:textId="77777777" w:rsidR="00B84A1D" w:rsidRPr="00B84A1D" w:rsidRDefault="00B84A1D" w:rsidP="00ED34D3">
            <w:pPr>
              <w:pStyle w:val="COMTabletext"/>
              <w:keepLines/>
              <w:jc w:val="center"/>
            </w:pPr>
            <w:r w:rsidRPr="00B84A1D">
              <w:t>0</w:t>
            </w:r>
          </w:p>
        </w:tc>
        <w:tc>
          <w:tcPr>
            <w:tcW w:w="976" w:type="dxa"/>
            <w:vAlign w:val="center"/>
          </w:tcPr>
          <w:p w14:paraId="040A541F" w14:textId="77777777" w:rsidR="00B84A1D" w:rsidRPr="00B84A1D" w:rsidRDefault="00B84A1D" w:rsidP="00ED34D3">
            <w:pPr>
              <w:pStyle w:val="COMTabletext"/>
              <w:keepLines/>
              <w:jc w:val="center"/>
            </w:pPr>
            <w:r w:rsidRPr="00B84A1D">
              <w:t>2 (0.4)</w:t>
            </w:r>
          </w:p>
        </w:tc>
        <w:tc>
          <w:tcPr>
            <w:tcW w:w="977" w:type="dxa"/>
            <w:vAlign w:val="center"/>
          </w:tcPr>
          <w:p w14:paraId="1B49E9C7" w14:textId="77777777" w:rsidR="00B84A1D" w:rsidRPr="00B84A1D" w:rsidRDefault="00B84A1D" w:rsidP="00ED34D3">
            <w:pPr>
              <w:pStyle w:val="COMTabletext"/>
              <w:keepLines/>
              <w:jc w:val="center"/>
            </w:pPr>
            <w:r w:rsidRPr="00B84A1D">
              <w:t>2 (0.4)</w:t>
            </w:r>
          </w:p>
        </w:tc>
        <w:tc>
          <w:tcPr>
            <w:tcW w:w="976" w:type="dxa"/>
            <w:vAlign w:val="center"/>
          </w:tcPr>
          <w:p w14:paraId="7D9A39D3" w14:textId="77777777" w:rsidR="00B84A1D" w:rsidRPr="00B84A1D" w:rsidRDefault="00B84A1D" w:rsidP="00ED34D3">
            <w:pPr>
              <w:pStyle w:val="COMTabletext"/>
              <w:keepLines/>
              <w:jc w:val="center"/>
            </w:pPr>
            <w:r w:rsidRPr="00B84A1D">
              <w:t>3 (0.6)</w:t>
            </w:r>
          </w:p>
        </w:tc>
        <w:tc>
          <w:tcPr>
            <w:tcW w:w="976" w:type="dxa"/>
            <w:vAlign w:val="center"/>
          </w:tcPr>
          <w:p w14:paraId="65B7695D" w14:textId="59EF9A1F" w:rsidR="00B84A1D" w:rsidRPr="00FA1E86" w:rsidRDefault="00B84A1D" w:rsidP="00ED34D3">
            <w:pPr>
              <w:pStyle w:val="COMTabletext"/>
              <w:keepLines/>
              <w:jc w:val="center"/>
            </w:pPr>
            <w:r>
              <w:t>NE</w:t>
            </w:r>
          </w:p>
        </w:tc>
        <w:tc>
          <w:tcPr>
            <w:tcW w:w="977" w:type="dxa"/>
            <w:vAlign w:val="center"/>
          </w:tcPr>
          <w:p w14:paraId="7A290E7F" w14:textId="57F88422" w:rsidR="00B84A1D" w:rsidRPr="00FA1E86" w:rsidRDefault="00B84A1D" w:rsidP="00ED34D3">
            <w:pPr>
              <w:pStyle w:val="COMTabletext"/>
              <w:keepLines/>
              <w:jc w:val="center"/>
            </w:pPr>
            <w:r>
              <w:t>NE</w:t>
            </w:r>
          </w:p>
        </w:tc>
        <w:tc>
          <w:tcPr>
            <w:tcW w:w="976" w:type="dxa"/>
            <w:vAlign w:val="center"/>
          </w:tcPr>
          <w:p w14:paraId="11F63F85" w14:textId="73F1E344" w:rsidR="00B84A1D" w:rsidRPr="00FA1E86" w:rsidRDefault="00B84A1D" w:rsidP="00ED34D3">
            <w:pPr>
              <w:pStyle w:val="COMTabletext"/>
              <w:keepLines/>
              <w:jc w:val="center"/>
            </w:pPr>
            <w:r>
              <w:t>NE</w:t>
            </w:r>
          </w:p>
        </w:tc>
        <w:tc>
          <w:tcPr>
            <w:tcW w:w="977" w:type="dxa"/>
            <w:vAlign w:val="center"/>
          </w:tcPr>
          <w:p w14:paraId="2AD1D634" w14:textId="21A89C85" w:rsidR="00B84A1D" w:rsidRPr="00FA1E86" w:rsidRDefault="00B84A1D" w:rsidP="00ED34D3">
            <w:pPr>
              <w:pStyle w:val="COMTabletext"/>
              <w:keepLines/>
              <w:jc w:val="center"/>
            </w:pPr>
            <w:r>
              <w:t>NE</w:t>
            </w:r>
          </w:p>
        </w:tc>
      </w:tr>
      <w:tr w:rsidR="00B84A1D" w:rsidRPr="00FA1E86" w14:paraId="61FD8304" w14:textId="3084DE74" w:rsidTr="00B84A1D">
        <w:tc>
          <w:tcPr>
            <w:tcW w:w="1206" w:type="dxa"/>
            <w:vAlign w:val="center"/>
          </w:tcPr>
          <w:p w14:paraId="1CB7B6A6" w14:textId="77777777" w:rsidR="00B84A1D" w:rsidRPr="00FA1E86" w:rsidRDefault="00B84A1D" w:rsidP="00ED34D3">
            <w:pPr>
              <w:pStyle w:val="COMTabletext"/>
              <w:keepLines/>
            </w:pPr>
            <w:r w:rsidRPr="00FA1E86">
              <w:t>Cholelithiasis</w:t>
            </w:r>
          </w:p>
        </w:tc>
        <w:tc>
          <w:tcPr>
            <w:tcW w:w="976" w:type="dxa"/>
            <w:vAlign w:val="center"/>
          </w:tcPr>
          <w:p w14:paraId="4EE6D213" w14:textId="77777777" w:rsidR="00B84A1D" w:rsidRPr="00B84A1D" w:rsidRDefault="00B84A1D" w:rsidP="00ED34D3">
            <w:pPr>
              <w:pStyle w:val="COMTabletext"/>
              <w:keepLines/>
              <w:jc w:val="center"/>
            </w:pPr>
            <w:r w:rsidRPr="00B84A1D">
              <w:t>4 (0.9)</w:t>
            </w:r>
          </w:p>
        </w:tc>
        <w:tc>
          <w:tcPr>
            <w:tcW w:w="976" w:type="dxa"/>
            <w:vAlign w:val="center"/>
          </w:tcPr>
          <w:p w14:paraId="0815FF98" w14:textId="77777777" w:rsidR="00B84A1D" w:rsidRPr="00B84A1D" w:rsidRDefault="00B84A1D" w:rsidP="00ED34D3">
            <w:pPr>
              <w:pStyle w:val="COMTabletext"/>
              <w:keepLines/>
              <w:jc w:val="center"/>
            </w:pPr>
            <w:r w:rsidRPr="00B84A1D">
              <w:t>4 (0.9)</w:t>
            </w:r>
          </w:p>
        </w:tc>
        <w:tc>
          <w:tcPr>
            <w:tcW w:w="977" w:type="dxa"/>
            <w:vAlign w:val="center"/>
          </w:tcPr>
          <w:p w14:paraId="4EFB11C8" w14:textId="77777777" w:rsidR="00B84A1D" w:rsidRPr="00B84A1D" w:rsidRDefault="00B84A1D" w:rsidP="00ED34D3">
            <w:pPr>
              <w:pStyle w:val="COMTabletext"/>
              <w:keepLines/>
              <w:jc w:val="center"/>
            </w:pPr>
            <w:r w:rsidRPr="00B84A1D">
              <w:t>4 (0.9)</w:t>
            </w:r>
          </w:p>
        </w:tc>
        <w:tc>
          <w:tcPr>
            <w:tcW w:w="976" w:type="dxa"/>
            <w:vAlign w:val="center"/>
          </w:tcPr>
          <w:p w14:paraId="10E5FBE7" w14:textId="77777777" w:rsidR="00B84A1D" w:rsidRPr="00B84A1D" w:rsidRDefault="00B84A1D" w:rsidP="00ED34D3">
            <w:pPr>
              <w:pStyle w:val="COMTabletext"/>
              <w:keepLines/>
              <w:jc w:val="center"/>
            </w:pPr>
            <w:r w:rsidRPr="00B84A1D">
              <w:t>2 (0.4)</w:t>
            </w:r>
          </w:p>
        </w:tc>
        <w:tc>
          <w:tcPr>
            <w:tcW w:w="976" w:type="dxa"/>
            <w:vAlign w:val="center"/>
          </w:tcPr>
          <w:p w14:paraId="7796839E" w14:textId="5C8954AF" w:rsidR="00B84A1D" w:rsidRPr="00FA1E86" w:rsidRDefault="00B84A1D" w:rsidP="00ED34D3">
            <w:pPr>
              <w:pStyle w:val="COMTabletext"/>
              <w:keepLines/>
              <w:jc w:val="center"/>
            </w:pPr>
            <w:r>
              <w:t>NE</w:t>
            </w:r>
          </w:p>
        </w:tc>
        <w:tc>
          <w:tcPr>
            <w:tcW w:w="977" w:type="dxa"/>
            <w:vAlign w:val="center"/>
          </w:tcPr>
          <w:p w14:paraId="142F1195" w14:textId="1B82AA86" w:rsidR="00B84A1D" w:rsidRPr="00FA1E86" w:rsidRDefault="00B84A1D" w:rsidP="00ED34D3">
            <w:pPr>
              <w:pStyle w:val="COMTabletext"/>
              <w:keepLines/>
              <w:jc w:val="center"/>
            </w:pPr>
            <w:r>
              <w:t>NE</w:t>
            </w:r>
          </w:p>
        </w:tc>
        <w:tc>
          <w:tcPr>
            <w:tcW w:w="976" w:type="dxa"/>
            <w:vAlign w:val="center"/>
          </w:tcPr>
          <w:p w14:paraId="0E64DDDF" w14:textId="7ED48E33" w:rsidR="00B84A1D" w:rsidRPr="00FA1E86" w:rsidRDefault="00B84A1D" w:rsidP="00ED34D3">
            <w:pPr>
              <w:pStyle w:val="COMTabletext"/>
              <w:keepLines/>
              <w:jc w:val="center"/>
            </w:pPr>
            <w:r>
              <w:t>NE</w:t>
            </w:r>
          </w:p>
        </w:tc>
        <w:tc>
          <w:tcPr>
            <w:tcW w:w="977" w:type="dxa"/>
            <w:vAlign w:val="center"/>
          </w:tcPr>
          <w:p w14:paraId="7456CEF2" w14:textId="3B602B38" w:rsidR="00B84A1D" w:rsidRPr="00FA1E86" w:rsidRDefault="00B84A1D" w:rsidP="00ED34D3">
            <w:pPr>
              <w:pStyle w:val="COMTabletext"/>
              <w:keepLines/>
              <w:jc w:val="center"/>
            </w:pPr>
            <w:r>
              <w:t>NE</w:t>
            </w:r>
          </w:p>
        </w:tc>
      </w:tr>
      <w:tr w:rsidR="00B84A1D" w:rsidRPr="00FA1E86" w14:paraId="3A35E784" w14:textId="3C952A00" w:rsidTr="00B84A1D">
        <w:tc>
          <w:tcPr>
            <w:tcW w:w="1206" w:type="dxa"/>
            <w:vAlign w:val="center"/>
          </w:tcPr>
          <w:p w14:paraId="55980FD6" w14:textId="77777777" w:rsidR="00B84A1D" w:rsidRPr="00FA1E86" w:rsidRDefault="00B84A1D" w:rsidP="00ED34D3">
            <w:pPr>
              <w:pStyle w:val="COMTabletext"/>
              <w:keepLines/>
            </w:pPr>
            <w:r w:rsidRPr="00FA1E86">
              <w:t>Hypersensitivity</w:t>
            </w:r>
          </w:p>
        </w:tc>
        <w:tc>
          <w:tcPr>
            <w:tcW w:w="976" w:type="dxa"/>
            <w:vAlign w:val="center"/>
          </w:tcPr>
          <w:p w14:paraId="45A46759" w14:textId="77777777" w:rsidR="00B84A1D" w:rsidRPr="00B84A1D" w:rsidRDefault="00B84A1D" w:rsidP="00ED34D3">
            <w:pPr>
              <w:pStyle w:val="COMTabletext"/>
              <w:keepLines/>
              <w:jc w:val="center"/>
            </w:pPr>
            <w:r w:rsidRPr="00B84A1D">
              <w:t>9 (1.9)</w:t>
            </w:r>
          </w:p>
        </w:tc>
        <w:tc>
          <w:tcPr>
            <w:tcW w:w="976" w:type="dxa"/>
            <w:vAlign w:val="center"/>
          </w:tcPr>
          <w:p w14:paraId="4F1D9CAB" w14:textId="77777777" w:rsidR="00B84A1D" w:rsidRPr="00B84A1D" w:rsidRDefault="00B84A1D" w:rsidP="00ED34D3">
            <w:pPr>
              <w:pStyle w:val="COMTabletext"/>
              <w:keepLines/>
              <w:jc w:val="center"/>
            </w:pPr>
            <w:r w:rsidRPr="00B84A1D">
              <w:t>13 (2.8)</w:t>
            </w:r>
          </w:p>
        </w:tc>
        <w:tc>
          <w:tcPr>
            <w:tcW w:w="977" w:type="dxa"/>
            <w:vAlign w:val="center"/>
          </w:tcPr>
          <w:p w14:paraId="3E103612" w14:textId="77777777" w:rsidR="00B84A1D" w:rsidRPr="00B84A1D" w:rsidRDefault="00B84A1D" w:rsidP="00ED34D3">
            <w:pPr>
              <w:pStyle w:val="COMTabletext"/>
              <w:keepLines/>
              <w:jc w:val="center"/>
            </w:pPr>
            <w:r w:rsidRPr="00B84A1D">
              <w:t>8 (1.7)</w:t>
            </w:r>
          </w:p>
        </w:tc>
        <w:tc>
          <w:tcPr>
            <w:tcW w:w="976" w:type="dxa"/>
            <w:vAlign w:val="center"/>
          </w:tcPr>
          <w:p w14:paraId="0EF7243D" w14:textId="77777777" w:rsidR="00B84A1D" w:rsidRPr="00B84A1D" w:rsidRDefault="00B84A1D" w:rsidP="00ED34D3">
            <w:pPr>
              <w:pStyle w:val="COMTabletext"/>
              <w:keepLines/>
              <w:jc w:val="center"/>
            </w:pPr>
            <w:r w:rsidRPr="00B84A1D">
              <w:t>11 (2.3)</w:t>
            </w:r>
          </w:p>
        </w:tc>
        <w:tc>
          <w:tcPr>
            <w:tcW w:w="976" w:type="dxa"/>
            <w:vAlign w:val="center"/>
          </w:tcPr>
          <w:p w14:paraId="283AAA70" w14:textId="7366E460" w:rsidR="00B84A1D" w:rsidRPr="00FA1E86" w:rsidRDefault="00B84A1D" w:rsidP="00ED34D3">
            <w:pPr>
              <w:pStyle w:val="COMTabletext"/>
              <w:keepLines/>
              <w:jc w:val="center"/>
            </w:pPr>
            <w:r>
              <w:t>NE</w:t>
            </w:r>
          </w:p>
        </w:tc>
        <w:tc>
          <w:tcPr>
            <w:tcW w:w="977" w:type="dxa"/>
            <w:vAlign w:val="center"/>
          </w:tcPr>
          <w:p w14:paraId="2C63912F" w14:textId="4D541955" w:rsidR="00B84A1D" w:rsidRPr="00FA1E86" w:rsidRDefault="00B84A1D" w:rsidP="00ED34D3">
            <w:pPr>
              <w:pStyle w:val="COMTabletext"/>
              <w:keepLines/>
              <w:jc w:val="center"/>
            </w:pPr>
            <w:r>
              <w:t>NE</w:t>
            </w:r>
          </w:p>
        </w:tc>
        <w:tc>
          <w:tcPr>
            <w:tcW w:w="976" w:type="dxa"/>
            <w:vAlign w:val="center"/>
          </w:tcPr>
          <w:p w14:paraId="6A62E930" w14:textId="2E5C9F6E" w:rsidR="00B84A1D" w:rsidRPr="00FA1E86" w:rsidRDefault="00B84A1D" w:rsidP="00ED34D3">
            <w:pPr>
              <w:pStyle w:val="COMTabletext"/>
              <w:keepLines/>
              <w:jc w:val="center"/>
            </w:pPr>
            <w:r>
              <w:t>NE</w:t>
            </w:r>
          </w:p>
        </w:tc>
        <w:tc>
          <w:tcPr>
            <w:tcW w:w="977" w:type="dxa"/>
            <w:vAlign w:val="center"/>
          </w:tcPr>
          <w:p w14:paraId="417919E4" w14:textId="325D18BA" w:rsidR="00B84A1D" w:rsidRPr="00FA1E86" w:rsidRDefault="00B84A1D" w:rsidP="00ED34D3">
            <w:pPr>
              <w:pStyle w:val="COMTabletext"/>
              <w:keepLines/>
              <w:jc w:val="center"/>
            </w:pPr>
            <w:r>
              <w:t>NE</w:t>
            </w:r>
          </w:p>
        </w:tc>
      </w:tr>
      <w:tr w:rsidR="00B84A1D" w:rsidRPr="00FA1E86" w14:paraId="08C532BF" w14:textId="6BBF9986" w:rsidTr="00B84A1D">
        <w:tc>
          <w:tcPr>
            <w:tcW w:w="1206" w:type="dxa"/>
            <w:vAlign w:val="center"/>
          </w:tcPr>
          <w:p w14:paraId="40FF8500" w14:textId="77777777" w:rsidR="00B84A1D" w:rsidRPr="00FA1E86" w:rsidRDefault="00B84A1D" w:rsidP="00ED34D3">
            <w:pPr>
              <w:pStyle w:val="COMTabletext"/>
              <w:keepLines/>
            </w:pPr>
            <w:r w:rsidRPr="00FA1E86">
              <w:t>Diabetic retinopathy</w:t>
            </w:r>
          </w:p>
        </w:tc>
        <w:tc>
          <w:tcPr>
            <w:tcW w:w="976" w:type="dxa"/>
            <w:vAlign w:val="center"/>
          </w:tcPr>
          <w:p w14:paraId="259E26DF" w14:textId="77777777" w:rsidR="00B84A1D" w:rsidRPr="00B84A1D" w:rsidRDefault="00B84A1D" w:rsidP="00ED34D3">
            <w:pPr>
              <w:pStyle w:val="COMTabletext"/>
              <w:keepLines/>
              <w:jc w:val="center"/>
            </w:pPr>
            <w:r w:rsidRPr="00B84A1D">
              <w:t>0</w:t>
            </w:r>
          </w:p>
        </w:tc>
        <w:tc>
          <w:tcPr>
            <w:tcW w:w="976" w:type="dxa"/>
            <w:vAlign w:val="center"/>
          </w:tcPr>
          <w:p w14:paraId="3F45F2A2" w14:textId="77777777" w:rsidR="00B84A1D" w:rsidRPr="00B84A1D" w:rsidRDefault="00B84A1D" w:rsidP="00ED34D3">
            <w:pPr>
              <w:pStyle w:val="COMTabletext"/>
              <w:keepLines/>
              <w:jc w:val="center"/>
            </w:pPr>
            <w:r w:rsidRPr="00B84A1D">
              <w:t>2 (0.4)</w:t>
            </w:r>
          </w:p>
        </w:tc>
        <w:tc>
          <w:tcPr>
            <w:tcW w:w="977" w:type="dxa"/>
            <w:vAlign w:val="center"/>
          </w:tcPr>
          <w:p w14:paraId="7979FE79" w14:textId="77777777" w:rsidR="00B84A1D" w:rsidRPr="00B84A1D" w:rsidRDefault="00B84A1D" w:rsidP="00ED34D3">
            <w:pPr>
              <w:pStyle w:val="COMTabletext"/>
              <w:keepLines/>
              <w:jc w:val="center"/>
            </w:pPr>
            <w:r w:rsidRPr="00B84A1D">
              <w:t>0</w:t>
            </w:r>
          </w:p>
        </w:tc>
        <w:tc>
          <w:tcPr>
            <w:tcW w:w="976" w:type="dxa"/>
            <w:vAlign w:val="center"/>
          </w:tcPr>
          <w:p w14:paraId="58246F0D" w14:textId="77777777" w:rsidR="00B84A1D" w:rsidRPr="00B84A1D" w:rsidRDefault="00B84A1D" w:rsidP="00ED34D3">
            <w:pPr>
              <w:pStyle w:val="COMTabletext"/>
              <w:keepLines/>
              <w:jc w:val="center"/>
            </w:pPr>
            <w:r w:rsidRPr="00B84A1D">
              <w:t>0</w:t>
            </w:r>
          </w:p>
        </w:tc>
        <w:tc>
          <w:tcPr>
            <w:tcW w:w="976" w:type="dxa"/>
            <w:vAlign w:val="center"/>
          </w:tcPr>
          <w:p w14:paraId="548378FB" w14:textId="388A6246" w:rsidR="00B84A1D" w:rsidRPr="00FA1E86" w:rsidRDefault="00B84A1D" w:rsidP="00ED34D3">
            <w:pPr>
              <w:pStyle w:val="COMTabletext"/>
              <w:keepLines/>
              <w:jc w:val="center"/>
            </w:pPr>
            <w:r>
              <w:t>NE</w:t>
            </w:r>
          </w:p>
        </w:tc>
        <w:tc>
          <w:tcPr>
            <w:tcW w:w="977" w:type="dxa"/>
            <w:vAlign w:val="center"/>
          </w:tcPr>
          <w:p w14:paraId="265CF007" w14:textId="2FE8F4F1" w:rsidR="00B84A1D" w:rsidRPr="00FA1E86" w:rsidRDefault="00B84A1D" w:rsidP="00ED34D3">
            <w:pPr>
              <w:pStyle w:val="COMTabletext"/>
              <w:keepLines/>
              <w:jc w:val="center"/>
            </w:pPr>
            <w:r>
              <w:t>NE</w:t>
            </w:r>
          </w:p>
        </w:tc>
        <w:tc>
          <w:tcPr>
            <w:tcW w:w="976" w:type="dxa"/>
            <w:vAlign w:val="center"/>
          </w:tcPr>
          <w:p w14:paraId="3E85689A" w14:textId="17098F67" w:rsidR="00B84A1D" w:rsidRPr="00FA1E86" w:rsidRDefault="00B84A1D" w:rsidP="00ED34D3">
            <w:pPr>
              <w:pStyle w:val="COMTabletext"/>
              <w:keepLines/>
              <w:jc w:val="center"/>
            </w:pPr>
            <w:r>
              <w:t>NE</w:t>
            </w:r>
          </w:p>
        </w:tc>
        <w:tc>
          <w:tcPr>
            <w:tcW w:w="977" w:type="dxa"/>
            <w:vAlign w:val="center"/>
          </w:tcPr>
          <w:p w14:paraId="3071AAC8" w14:textId="64CF31B1" w:rsidR="00B84A1D" w:rsidRPr="00FA1E86" w:rsidRDefault="00B84A1D" w:rsidP="00ED34D3">
            <w:pPr>
              <w:pStyle w:val="COMTabletext"/>
              <w:keepLines/>
              <w:jc w:val="center"/>
            </w:pPr>
            <w:r>
              <w:t>NE</w:t>
            </w:r>
          </w:p>
        </w:tc>
      </w:tr>
    </w:tbl>
    <w:p w14:paraId="5540117E" w14:textId="3897F7D9" w:rsidR="00846472" w:rsidRDefault="00846472" w:rsidP="00ED34D3">
      <w:pPr>
        <w:pStyle w:val="COMTablefooter"/>
        <w:keepNext/>
        <w:keepLines/>
      </w:pPr>
      <w:r w:rsidRPr="00846472">
        <w:t>Source: Table 2.5-1, p110</w:t>
      </w:r>
      <w:r w:rsidR="00A90171">
        <w:t>; Table 2.6-17, p149; Table 2.6-18, p152</w:t>
      </w:r>
      <w:r w:rsidRPr="00846472">
        <w:t xml:space="preserve"> of the resubmission; Table 2, Frias 2021 publication; Table GPGL.5.27, SURPASS-2 trial report</w:t>
      </w:r>
    </w:p>
    <w:p w14:paraId="35C4B939" w14:textId="5500AF40" w:rsidR="00A90171" w:rsidRPr="00A90171" w:rsidRDefault="00A90171" w:rsidP="00ED34D3">
      <w:pPr>
        <w:pStyle w:val="COMTablefooter"/>
        <w:keepNext/>
        <w:keepLines/>
      </w:pPr>
      <w:r>
        <w:t>Abbreviations: AE, adverse event; NE, not estimated; SEMA, semaglutide; TZP, tirzepatide</w:t>
      </w:r>
    </w:p>
    <w:p w14:paraId="444A77B1" w14:textId="77777777" w:rsidR="00E51F16" w:rsidRDefault="00E51F16" w:rsidP="00D054CC">
      <w:pPr>
        <w:pStyle w:val="COMTablefooter"/>
        <w:spacing w:after="0"/>
      </w:pPr>
      <w:r>
        <w:t xml:space="preserve">Note: Hypoglycaemia events were defined as </w:t>
      </w:r>
      <w:r w:rsidRPr="00E93410">
        <w:t>blood glucose level &lt;3 mmol/L or severe hypoglycaemia</w:t>
      </w:r>
    </w:p>
    <w:p w14:paraId="58EB9018" w14:textId="5E1B5954" w:rsidR="00030FF3" w:rsidRPr="00030FF3" w:rsidRDefault="00030FF3" w:rsidP="00030FF3">
      <w:pPr>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w:t>
      </w:r>
      <w:r w:rsidRPr="00030FF3">
        <w:rPr>
          <w:rFonts w:ascii="Arial Narrow" w:hAnsi="Arial Narrow"/>
          <w:i/>
          <w:iCs/>
          <w:sz w:val="18"/>
          <w:szCs w:val="18"/>
        </w:rPr>
        <w:t>Note that the results presented in Table 7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36CCC888" w14:textId="77777777" w:rsidR="0041765A" w:rsidRDefault="0041765A" w:rsidP="0041765A">
      <w:pPr>
        <w:pStyle w:val="COMexecsummnumbered"/>
      </w:pPr>
      <w:bookmarkStart w:id="35" w:name="_Hlk104801403"/>
      <w:r w:rsidRPr="00230948">
        <w:t>Treatment with tirzepatide (all dose strengths) was associated with a higher incidence of serious adverse events compared to semaglutide. The difference was primarily driven by an increase in cardiac and gastrointestinal disorders with tirzepatide treatment.</w:t>
      </w:r>
    </w:p>
    <w:p w14:paraId="7FB12D47" w14:textId="77777777" w:rsidR="00230948" w:rsidRDefault="00230948" w:rsidP="00230948">
      <w:pPr>
        <w:pStyle w:val="COMexecsummnumbered"/>
      </w:pPr>
      <w:r w:rsidRPr="00230948">
        <w:t>The most frequently reported class of adverse events was gastrointestinal disorders including nausea, diarrhoea, vomiting, dyspepsia, decreased appetite, constipation and abdominal pain. The incidence of gastrointestinal disorders was similar between the tirzepatide 5 mg and semaglutide arms, with higher incidence reported in the tirzepatide 10 mg and 15 mg arms. The difference was primarily driven by an increased incidence of diarrhoea with the higher dose strengths of tirzepatide. The majority of gastrointestinal adverse events were of mild to moderate severity. The prevalence of gastrointestinal events peaked within the dose escalation period for each treatment and then started to decline over time.</w:t>
      </w:r>
    </w:p>
    <w:p w14:paraId="0EB5DAC6" w14:textId="0C1C7B4E" w:rsidR="00C364B5" w:rsidRDefault="00C364B5" w:rsidP="00C364B5">
      <w:pPr>
        <w:pStyle w:val="COMexecsummnumbered"/>
      </w:pPr>
      <w:r w:rsidRPr="00C364B5">
        <w:lastRenderedPageBreak/>
        <w:t>There was a small number of clinically significant hypoglycaemia events (blood glucose &lt;3.0</w:t>
      </w:r>
      <w:r w:rsidR="00ED34D3">
        <w:t> </w:t>
      </w:r>
      <w:r w:rsidRPr="00C364B5">
        <w:t>mmol/L or severe hypoglycaemia) in the trial, with a higher incidence in the tirzepatide 15 mg arm and similar incidence between tirzepatide 5 mg, tirzepatide 10</w:t>
      </w:r>
      <w:r w:rsidR="00ED34D3">
        <w:t> </w:t>
      </w:r>
      <w:r w:rsidRPr="00C364B5">
        <w:t>mg and semaglutide arms.</w:t>
      </w:r>
    </w:p>
    <w:p w14:paraId="72116254" w14:textId="018B1360" w:rsidR="00EA0CF2" w:rsidRPr="00230948" w:rsidRDefault="00EA0CF2" w:rsidP="00EA0CF2">
      <w:pPr>
        <w:pStyle w:val="COMexecsummnumbered"/>
      </w:pPr>
      <w:r>
        <w:t>R</w:t>
      </w:r>
      <w:r w:rsidRPr="00EA0CF2">
        <w:t>esults based on the subgroup analysis appeared similar to the whole trial population, with similar incidence of adverse events between the tirzepatide 5 mg and semaglutide 1 mg arms and higher incidence in the tirzepatide 10 mg and 15 mg arms.</w:t>
      </w:r>
    </w:p>
    <w:p w14:paraId="57A89F65" w14:textId="44FE154C" w:rsidR="00C364B5" w:rsidRPr="00E96CBF" w:rsidRDefault="00C364B5" w:rsidP="00C364B5">
      <w:pPr>
        <w:pStyle w:val="COMexecsummnumbered"/>
      </w:pPr>
      <w:r w:rsidRPr="00E96CBF">
        <w:t xml:space="preserve">The impact of baseline BMI category on adverse events of special interest (apart from </w:t>
      </w:r>
      <w:r w:rsidR="0061281C" w:rsidRPr="00E96CBF">
        <w:t>clinically significant hypoglycaemia)</w:t>
      </w:r>
      <w:r w:rsidRPr="00E96CBF">
        <w:t xml:space="preserve"> was unknown as the data were not presented in the resubmission.</w:t>
      </w:r>
    </w:p>
    <w:p w14:paraId="66963CFE" w14:textId="77777777" w:rsidR="008F4C95" w:rsidRDefault="00F4341A" w:rsidP="008F4C95">
      <w:pPr>
        <w:pStyle w:val="COMexecsummnumbered"/>
      </w:pPr>
      <w:r w:rsidRPr="00F4341A">
        <w:t>The resubmission stated that indirect comparisons of safety between the SURPASS-2 and SUSTAIN 7 trial</w:t>
      </w:r>
      <w:r w:rsidR="00E07FF0">
        <w:t>s</w:t>
      </w:r>
      <w:r w:rsidRPr="00F4341A">
        <w:t xml:space="preserve"> were unreliable due to substantial differences in the reported incidence of events in the common comparator arm. </w:t>
      </w:r>
    </w:p>
    <w:p w14:paraId="1786F7E4" w14:textId="77777777" w:rsidR="002A3787" w:rsidRDefault="008F4C95" w:rsidP="002A3787">
      <w:pPr>
        <w:pStyle w:val="COMexecsummnumbered"/>
      </w:pPr>
      <w:r>
        <w:t>The resubmission provided additional data on potential safety concerns with tirzepatide based on a Periodic Safety Update Report (May 2023 to November 2023). The report includes the use of tirzepatide for type 2 diabetes, obesity/overweight (with or without diabetes), obstructive sleep apnoea, non-alcoholic steatohepatitis, heart failure with preserved ejection fraction and chronic kidney disease.</w:t>
      </w:r>
    </w:p>
    <w:p w14:paraId="08497B1B" w14:textId="53DDFEE6" w:rsidR="002A3787" w:rsidRDefault="002A3787" w:rsidP="002A3787">
      <w:pPr>
        <w:pStyle w:val="COMexecsummnumbered"/>
      </w:pPr>
      <w:r>
        <w:t>There were no important identified risks in the risk management plan. Important potential risks include medullary thyroid cancer, pancreatic malignancy and diabetic retinopathy complications. Missing information includes use in pregnancy and lactation.</w:t>
      </w:r>
    </w:p>
    <w:p w14:paraId="793F45B7" w14:textId="77777777" w:rsidR="002A3787" w:rsidRDefault="007D2A3D" w:rsidP="002A3787">
      <w:pPr>
        <w:pStyle w:val="COMexecsummnumbered"/>
      </w:pPr>
      <w:r>
        <w:t xml:space="preserve">New safety signals were identified during the reporting period, including aspiration while undergoing general anaesthesia and deep sedation, dysgeusia (taste disorder), suicidal ideation and alopecia/hair loss. The reference safety information was updated to include </w:t>
      </w:r>
      <w:r w:rsidR="002A3787">
        <w:t>warnings</w:t>
      </w:r>
      <w:r>
        <w:t xml:space="preserve"> related to pulmonary aspiration in patients undergoing general anaesthesia or deep sedation, and dysgeusia was included as an adverse drug reaction. Suicidal ideation and alopecia/hair loss safety signals were refuted by the sponsor following a review of the available data. The evaluation of these signals was closed during the reporting period.</w:t>
      </w:r>
    </w:p>
    <w:p w14:paraId="7CC97B63" w14:textId="77777777" w:rsidR="0007278C" w:rsidRDefault="002A3787" w:rsidP="002A3787">
      <w:pPr>
        <w:pStyle w:val="COMexecsummnumbered"/>
      </w:pPr>
      <w:r>
        <w:t xml:space="preserve">Late-breaking safety signals were identified during the reporting period, including malnutrition and cachexia (wasting syndrome), intestinal obstruction and ileus (inability of intestine to contract normally) and gastroparesis (delayed gastric emptying). Malnutrition and cachexia and gastroparesis signals were considered as potential risks and were included under special warnings and precautions in the reference safety information. The intestinal obstruction and ileus signal was refuted by the sponsor. The evaluation of these signals is ongoing. </w:t>
      </w:r>
    </w:p>
    <w:p w14:paraId="47887398" w14:textId="11D01A7E" w:rsidR="00D90781" w:rsidRDefault="00E75A07" w:rsidP="00D86231">
      <w:pPr>
        <w:pStyle w:val="COMexecsummnumbered"/>
      </w:pPr>
      <w:r w:rsidRPr="00E75A07">
        <w:t>The Periodic Safety Update Report stated that global labelling changes to reflect the updated reference safety information are ongoing.</w:t>
      </w:r>
    </w:p>
    <w:p w14:paraId="074E2711" w14:textId="3AF277C9" w:rsidR="0007278C" w:rsidRPr="0032185B" w:rsidRDefault="0032185B" w:rsidP="00D86231">
      <w:pPr>
        <w:pStyle w:val="COMexecsummnumbered"/>
      </w:pPr>
      <w:r w:rsidRPr="0032185B">
        <w:lastRenderedPageBreak/>
        <w:t xml:space="preserve">The </w:t>
      </w:r>
      <w:r w:rsidR="0007278C" w:rsidRPr="0032185B">
        <w:t>ESC noted that an observational study</w:t>
      </w:r>
      <w:r w:rsidR="005B128A" w:rsidRPr="0032185B">
        <w:rPr>
          <w:rStyle w:val="FootnoteReference"/>
        </w:rPr>
        <w:footnoteReference w:id="5"/>
      </w:r>
      <w:r w:rsidR="0007278C" w:rsidRPr="0032185B">
        <w:t xml:space="preserve"> </w:t>
      </w:r>
      <w:r w:rsidR="008C21F0" w:rsidRPr="0032185B">
        <w:t xml:space="preserve">suggested an association between semaglutide use and </w:t>
      </w:r>
      <w:proofErr w:type="spellStart"/>
      <w:r w:rsidR="008C21F0" w:rsidRPr="0032185B">
        <w:t>nonarteritic</w:t>
      </w:r>
      <w:proofErr w:type="spellEnd"/>
      <w:r w:rsidR="008C21F0" w:rsidRPr="0032185B">
        <w:t xml:space="preserve"> anterior ischemic optic neuropathy. </w:t>
      </w:r>
    </w:p>
    <w:p w14:paraId="7AA173B6" w14:textId="46DBC46D" w:rsidR="0007278C" w:rsidRPr="0032185B" w:rsidRDefault="0032185B" w:rsidP="0007278C">
      <w:pPr>
        <w:pStyle w:val="COMexecsummnumbered"/>
      </w:pPr>
      <w:r w:rsidRPr="0032185B">
        <w:t xml:space="preserve">The </w:t>
      </w:r>
      <w:r w:rsidR="0007278C" w:rsidRPr="0032185B">
        <w:t xml:space="preserve">ESC </w:t>
      </w:r>
      <w:r w:rsidR="005813C2" w:rsidRPr="0032185B">
        <w:t>advis</w:t>
      </w:r>
      <w:r w:rsidR="0007278C" w:rsidRPr="0032185B">
        <w:t xml:space="preserve">ed that safety signals </w:t>
      </w:r>
      <w:r w:rsidR="005B128A" w:rsidRPr="0032185B">
        <w:t xml:space="preserve">for </w:t>
      </w:r>
      <w:r w:rsidR="00342C5C" w:rsidRPr="0032185B">
        <w:t xml:space="preserve">GLP-1 RAs </w:t>
      </w:r>
      <w:r w:rsidR="0007278C" w:rsidRPr="0032185B">
        <w:t xml:space="preserve">were still emerging as </w:t>
      </w:r>
      <w:r w:rsidR="008C21F0" w:rsidRPr="0032185B">
        <w:t>the</w:t>
      </w:r>
      <w:r w:rsidR="00AA797F" w:rsidRPr="0032185B">
        <w:t>re is limited</w:t>
      </w:r>
      <w:r w:rsidR="008C21F0" w:rsidRPr="0032185B">
        <w:t xml:space="preserve"> longer term</w:t>
      </w:r>
      <w:r w:rsidR="0007278C" w:rsidRPr="0032185B">
        <w:t xml:space="preserve"> safety data. </w:t>
      </w:r>
    </w:p>
    <w:p w14:paraId="04908C7F" w14:textId="0ABE269B" w:rsidR="007F1017" w:rsidRPr="0076762E" w:rsidRDefault="007F1017" w:rsidP="003D5DE7">
      <w:pPr>
        <w:pStyle w:val="COMH2-non-numbered"/>
      </w:pPr>
      <w:bookmarkStart w:id="36" w:name="_Toc22897643"/>
      <w:bookmarkStart w:id="37" w:name="_Toc176618569"/>
      <w:bookmarkEnd w:id="35"/>
      <w:r w:rsidRPr="0076762E">
        <w:t>Benefits/harms</w:t>
      </w:r>
      <w:bookmarkEnd w:id="36"/>
      <w:bookmarkEnd w:id="37"/>
    </w:p>
    <w:p w14:paraId="3D890CB7" w14:textId="2F5436E9" w:rsidR="00D13810" w:rsidRDefault="00EC7959" w:rsidP="00D2155B">
      <w:pPr>
        <w:pStyle w:val="COMexecsummnumbered"/>
      </w:pPr>
      <w:r>
        <w:t xml:space="preserve">A </w:t>
      </w:r>
      <w:r w:rsidR="000F3CA1">
        <w:t>benefits/harms table</w:t>
      </w:r>
      <w:r w:rsidR="00457114">
        <w:t xml:space="preserve"> for tirzepatide 5 mg versus 1 mg was not presented given the data did not support </w:t>
      </w:r>
      <w:r w:rsidR="00496CC7">
        <w:t xml:space="preserve">superior efficacy. </w:t>
      </w:r>
    </w:p>
    <w:p w14:paraId="33696279" w14:textId="7C583476" w:rsidR="002E1071" w:rsidRPr="00897172" w:rsidRDefault="008716E3" w:rsidP="00D2155B">
      <w:pPr>
        <w:pStyle w:val="COMexecsummnumbered"/>
      </w:pPr>
      <w:r w:rsidRPr="00897172">
        <w:t>A summary of comparative benefits and harms for tirzepatide</w:t>
      </w:r>
      <w:r w:rsidR="00907A3F" w:rsidRPr="00897172">
        <w:t xml:space="preserve"> </w:t>
      </w:r>
      <w:r w:rsidRPr="00897172">
        <w:t xml:space="preserve">versus semaglutide </w:t>
      </w:r>
      <w:r w:rsidR="00466039">
        <w:t xml:space="preserve">based on the SURPASS-2 trial population </w:t>
      </w:r>
      <w:r w:rsidR="00907A3F" w:rsidRPr="00897172">
        <w:t xml:space="preserve">is presented in </w:t>
      </w:r>
      <w:r w:rsidR="000843BA">
        <w:fldChar w:fldCharType="begin" w:fldLock="1"/>
      </w:r>
      <w:r w:rsidR="000843BA">
        <w:instrText xml:space="preserve"> REF _Ref175745512 \h </w:instrText>
      </w:r>
      <w:r w:rsidR="000843BA">
        <w:fldChar w:fldCharType="separate"/>
      </w:r>
      <w:r w:rsidR="00EE035D">
        <w:t xml:space="preserve">Table </w:t>
      </w:r>
      <w:r w:rsidR="00EE035D">
        <w:rPr>
          <w:noProof/>
        </w:rPr>
        <w:t>8</w:t>
      </w:r>
      <w:r w:rsidR="000843BA">
        <w:fldChar w:fldCharType="end"/>
      </w:r>
      <w:r w:rsidR="00897172">
        <w:t>.</w:t>
      </w:r>
    </w:p>
    <w:p w14:paraId="2C80C98A" w14:textId="487DEFB7" w:rsidR="00907A3F" w:rsidRPr="0068647F" w:rsidRDefault="00907A3F" w:rsidP="000843BA">
      <w:pPr>
        <w:pStyle w:val="Caption"/>
        <w:rPr>
          <w:i/>
          <w:iCs/>
        </w:rPr>
      </w:pPr>
      <w:bookmarkStart w:id="38" w:name="_Ref175745512"/>
      <w:r>
        <w:t xml:space="preserve">Table </w:t>
      </w:r>
      <w:r w:rsidR="00EE035D">
        <w:fldChar w:fldCharType="begin" w:fldLock="1"/>
      </w:r>
      <w:r w:rsidR="00EE035D">
        <w:instrText xml:space="preserve"> SEQ Table \* ARABIC </w:instrText>
      </w:r>
      <w:r w:rsidR="00EE035D">
        <w:fldChar w:fldCharType="separate"/>
      </w:r>
      <w:r w:rsidR="00EE035D">
        <w:rPr>
          <w:noProof/>
        </w:rPr>
        <w:t>8</w:t>
      </w:r>
      <w:r w:rsidR="00EE035D">
        <w:rPr>
          <w:noProof/>
        </w:rPr>
        <w:fldChar w:fldCharType="end"/>
      </w:r>
      <w:bookmarkEnd w:id="38"/>
      <w:r>
        <w:t xml:space="preserve">: Comparative benefits and harms for tirzepatide versus semaglutide 1 mg </w:t>
      </w:r>
      <w:r w:rsidR="000B668C">
        <w:t xml:space="preserve">in patients </w:t>
      </w:r>
      <w:r w:rsidR="009249F7">
        <w:rPr>
          <w:i/>
          <w:iCs/>
        </w:rPr>
        <w:t>(treatment regimen</w:t>
      </w:r>
      <w:r w:rsidR="002D02E2">
        <w:rPr>
          <w:i/>
          <w:iCs/>
        </w:rPr>
        <w:t xml:space="preserve"> estimand)</w:t>
      </w:r>
    </w:p>
    <w:tbl>
      <w:tblPr>
        <w:tblStyle w:val="TableGrid"/>
        <w:tblW w:w="0" w:type="auto"/>
        <w:tblCellMar>
          <w:left w:w="28" w:type="dxa"/>
          <w:right w:w="28" w:type="dxa"/>
        </w:tblCellMar>
        <w:tblLook w:val="04A0" w:firstRow="1" w:lastRow="0" w:firstColumn="1" w:lastColumn="0" w:noHBand="0" w:noVBand="1"/>
        <w:tblCaption w:val="Table 8: Comparative benefits and harms for tirzepatide versus semaglutide 1 mg in patients (treatment regimen estimand)"/>
      </w:tblPr>
      <w:tblGrid>
        <w:gridCol w:w="5035"/>
        <w:gridCol w:w="1327"/>
        <w:gridCol w:w="1327"/>
        <w:gridCol w:w="1328"/>
      </w:tblGrid>
      <w:tr w:rsidR="000F575C" w14:paraId="32C95603" w14:textId="77777777" w:rsidTr="00DB4A74">
        <w:tc>
          <w:tcPr>
            <w:tcW w:w="5035" w:type="dxa"/>
          </w:tcPr>
          <w:p w14:paraId="369CB8C3" w14:textId="77777777" w:rsidR="000F575C" w:rsidRDefault="000F575C" w:rsidP="00D518EA">
            <w:pPr>
              <w:pStyle w:val="COMTableheadingrow"/>
            </w:pPr>
          </w:p>
        </w:tc>
        <w:tc>
          <w:tcPr>
            <w:tcW w:w="1327" w:type="dxa"/>
            <w:vAlign w:val="center"/>
          </w:tcPr>
          <w:p w14:paraId="3568DACC" w14:textId="371923B8" w:rsidR="000F575C" w:rsidRDefault="00D518EA" w:rsidP="003E53C0">
            <w:pPr>
              <w:pStyle w:val="COMTableheadingrow"/>
              <w:jc w:val="center"/>
            </w:pPr>
            <w:r>
              <w:t>Tirzepatide</w:t>
            </w:r>
          </w:p>
        </w:tc>
        <w:tc>
          <w:tcPr>
            <w:tcW w:w="1327" w:type="dxa"/>
            <w:vAlign w:val="center"/>
          </w:tcPr>
          <w:p w14:paraId="129E824E" w14:textId="5A7C2554" w:rsidR="000F575C" w:rsidRDefault="00D518EA" w:rsidP="003E53C0">
            <w:pPr>
              <w:pStyle w:val="COMTableheadingrow"/>
              <w:jc w:val="center"/>
            </w:pPr>
            <w:r>
              <w:t>Semaglutide</w:t>
            </w:r>
          </w:p>
        </w:tc>
        <w:tc>
          <w:tcPr>
            <w:tcW w:w="1328" w:type="dxa"/>
            <w:vAlign w:val="center"/>
          </w:tcPr>
          <w:p w14:paraId="65F994AB" w14:textId="2B620EE9" w:rsidR="000F575C" w:rsidRDefault="00D518EA" w:rsidP="003E53C0">
            <w:pPr>
              <w:pStyle w:val="COMTableheadingrow"/>
              <w:jc w:val="center"/>
            </w:pPr>
            <w:r>
              <w:t>Treatment difference</w:t>
            </w:r>
          </w:p>
        </w:tc>
      </w:tr>
      <w:tr w:rsidR="00D6721F" w14:paraId="0E83BEA2" w14:textId="77777777" w:rsidTr="00A1032E">
        <w:tc>
          <w:tcPr>
            <w:tcW w:w="9017" w:type="dxa"/>
            <w:gridSpan w:val="4"/>
          </w:tcPr>
          <w:p w14:paraId="188DAF1E" w14:textId="2BC8418E" w:rsidR="00D6721F" w:rsidRPr="003D0DB6" w:rsidRDefault="00D6721F" w:rsidP="00D6721F">
            <w:pPr>
              <w:pStyle w:val="COMTableheadingrow"/>
            </w:pPr>
            <w:r w:rsidRPr="003D0DB6">
              <w:t xml:space="preserve">Tirzepatide </w:t>
            </w:r>
            <w:r w:rsidR="00530679" w:rsidRPr="003D0DB6">
              <w:t>10</w:t>
            </w:r>
            <w:r w:rsidRPr="003D0DB6">
              <w:t xml:space="preserve"> mg versus semaglutide 1 mg</w:t>
            </w:r>
          </w:p>
        </w:tc>
      </w:tr>
      <w:tr w:rsidR="00050D50" w14:paraId="6325B27E" w14:textId="77777777" w:rsidTr="00A1032E">
        <w:tc>
          <w:tcPr>
            <w:tcW w:w="5035" w:type="dxa"/>
          </w:tcPr>
          <w:p w14:paraId="70F58E86" w14:textId="163BAC90" w:rsidR="00050D50" w:rsidRPr="003D0DB6" w:rsidRDefault="00050D50" w:rsidP="00050D50">
            <w:pPr>
              <w:pStyle w:val="COMTabletext"/>
            </w:pPr>
            <w:r w:rsidRPr="003D0DB6">
              <w:t>Proportion of patients with HbA1c &lt;7.0% at Week 40</w:t>
            </w:r>
          </w:p>
        </w:tc>
        <w:tc>
          <w:tcPr>
            <w:tcW w:w="1327" w:type="dxa"/>
            <w:vAlign w:val="center"/>
          </w:tcPr>
          <w:p w14:paraId="176997EE" w14:textId="3FA5E568" w:rsidR="00050D50" w:rsidRPr="003D0DB6" w:rsidRDefault="00050D50" w:rsidP="00050D50">
            <w:pPr>
              <w:pStyle w:val="COMTabletext"/>
              <w:jc w:val="center"/>
            </w:pPr>
            <w:r w:rsidRPr="003D0DB6">
              <w:t>85.6%</w:t>
            </w:r>
          </w:p>
        </w:tc>
        <w:tc>
          <w:tcPr>
            <w:tcW w:w="1327" w:type="dxa"/>
            <w:vAlign w:val="center"/>
          </w:tcPr>
          <w:p w14:paraId="48F632A4" w14:textId="2E3F9B77" w:rsidR="00050D50" w:rsidRPr="003D0DB6" w:rsidRDefault="00050D50" w:rsidP="00050D50">
            <w:pPr>
              <w:pStyle w:val="COMTabletext"/>
              <w:jc w:val="center"/>
            </w:pPr>
            <w:r w:rsidRPr="003D0DB6">
              <w:t>79.0%</w:t>
            </w:r>
          </w:p>
        </w:tc>
        <w:tc>
          <w:tcPr>
            <w:tcW w:w="1328" w:type="dxa"/>
          </w:tcPr>
          <w:p w14:paraId="2801ABB9" w14:textId="31CDC1FD" w:rsidR="00050D50" w:rsidRPr="003D0DB6" w:rsidRDefault="00050D50" w:rsidP="00050D50">
            <w:pPr>
              <w:pStyle w:val="COMTabletext"/>
              <w:jc w:val="center"/>
            </w:pPr>
            <w:r w:rsidRPr="003D0DB6">
              <w:t>6.6%</w:t>
            </w:r>
          </w:p>
        </w:tc>
      </w:tr>
      <w:tr w:rsidR="00050D50" w14:paraId="7D1B3D73" w14:textId="77777777" w:rsidTr="00A1032E">
        <w:tc>
          <w:tcPr>
            <w:tcW w:w="5035" w:type="dxa"/>
          </w:tcPr>
          <w:p w14:paraId="32F11952" w14:textId="39DA21BC" w:rsidR="00050D50" w:rsidRPr="003D0DB6" w:rsidRDefault="00050D50" w:rsidP="00050D50">
            <w:pPr>
              <w:pStyle w:val="COMTabletext"/>
            </w:pPr>
            <w:r w:rsidRPr="003D0DB6">
              <w:t>Proportion of patients with ≥5% weight loss at Week 40</w:t>
            </w:r>
          </w:p>
        </w:tc>
        <w:tc>
          <w:tcPr>
            <w:tcW w:w="1327" w:type="dxa"/>
            <w:vAlign w:val="center"/>
          </w:tcPr>
          <w:p w14:paraId="66652080" w14:textId="0EFAD50D" w:rsidR="00050D50" w:rsidRPr="003D0DB6" w:rsidRDefault="00050D50" w:rsidP="00050D50">
            <w:pPr>
              <w:pStyle w:val="COMTabletext"/>
              <w:jc w:val="center"/>
            </w:pPr>
            <w:r w:rsidRPr="003D0DB6">
              <w:t>76.2%</w:t>
            </w:r>
          </w:p>
        </w:tc>
        <w:tc>
          <w:tcPr>
            <w:tcW w:w="1327" w:type="dxa"/>
            <w:vAlign w:val="center"/>
          </w:tcPr>
          <w:p w14:paraId="509CB3CD" w14:textId="5D75FDEC" w:rsidR="00050D50" w:rsidRPr="003D0DB6" w:rsidRDefault="00050D50" w:rsidP="00050D50">
            <w:pPr>
              <w:pStyle w:val="COMTabletext"/>
              <w:jc w:val="center"/>
            </w:pPr>
            <w:r w:rsidRPr="003D0DB6">
              <w:t>54.0%</w:t>
            </w:r>
          </w:p>
        </w:tc>
        <w:tc>
          <w:tcPr>
            <w:tcW w:w="1328" w:type="dxa"/>
          </w:tcPr>
          <w:p w14:paraId="26AAAF7E" w14:textId="07620E3E" w:rsidR="00050D50" w:rsidRPr="003D0DB6" w:rsidRDefault="00050D50" w:rsidP="00050D50">
            <w:pPr>
              <w:pStyle w:val="COMTabletext"/>
              <w:jc w:val="center"/>
            </w:pPr>
            <w:r w:rsidRPr="003D0DB6">
              <w:t>22.2%</w:t>
            </w:r>
          </w:p>
        </w:tc>
      </w:tr>
      <w:tr w:rsidR="00050D50" w14:paraId="10C96BBC" w14:textId="77777777" w:rsidTr="00A1032E">
        <w:tc>
          <w:tcPr>
            <w:tcW w:w="5035" w:type="dxa"/>
          </w:tcPr>
          <w:p w14:paraId="769E6E92" w14:textId="3DE3467C" w:rsidR="00050D50" w:rsidRPr="003D0DB6" w:rsidRDefault="00050D50" w:rsidP="00050D50">
            <w:pPr>
              <w:pStyle w:val="COMTabletext"/>
            </w:pPr>
            <w:r w:rsidRPr="003D0DB6">
              <w:t>Proportion of patients with ≥10% weight loss at Week 40</w:t>
            </w:r>
          </w:p>
        </w:tc>
        <w:tc>
          <w:tcPr>
            <w:tcW w:w="1327" w:type="dxa"/>
            <w:vAlign w:val="center"/>
          </w:tcPr>
          <w:p w14:paraId="3704D7FE" w14:textId="60476DEA" w:rsidR="00050D50" w:rsidRPr="003D0DB6" w:rsidRDefault="00050D50" w:rsidP="00050D50">
            <w:pPr>
              <w:pStyle w:val="COMTabletext"/>
              <w:jc w:val="center"/>
            </w:pPr>
            <w:r w:rsidRPr="003D0DB6">
              <w:t>46.7%</w:t>
            </w:r>
          </w:p>
        </w:tc>
        <w:tc>
          <w:tcPr>
            <w:tcW w:w="1327" w:type="dxa"/>
            <w:vAlign w:val="center"/>
          </w:tcPr>
          <w:p w14:paraId="4FDEF5FA" w14:textId="4E2A7F2D" w:rsidR="00050D50" w:rsidRPr="003D0DB6" w:rsidRDefault="00050D50" w:rsidP="00050D50">
            <w:pPr>
              <w:pStyle w:val="COMTabletext"/>
              <w:jc w:val="center"/>
            </w:pPr>
            <w:r w:rsidRPr="003D0DB6">
              <w:t>23.9%</w:t>
            </w:r>
          </w:p>
        </w:tc>
        <w:tc>
          <w:tcPr>
            <w:tcW w:w="1328" w:type="dxa"/>
          </w:tcPr>
          <w:p w14:paraId="378F5555" w14:textId="57C921DC" w:rsidR="00050D50" w:rsidRPr="003D0DB6" w:rsidRDefault="00050D50" w:rsidP="00050D50">
            <w:pPr>
              <w:pStyle w:val="COMTabletext"/>
              <w:jc w:val="center"/>
            </w:pPr>
            <w:r w:rsidRPr="003D0DB6">
              <w:t>22.8%</w:t>
            </w:r>
          </w:p>
        </w:tc>
      </w:tr>
      <w:tr w:rsidR="00050D50" w14:paraId="5E23B1BA" w14:textId="77777777" w:rsidTr="00A1032E">
        <w:tc>
          <w:tcPr>
            <w:tcW w:w="5035" w:type="dxa"/>
          </w:tcPr>
          <w:p w14:paraId="194FF823" w14:textId="4F5DAF33" w:rsidR="00050D50" w:rsidRPr="003D0DB6" w:rsidRDefault="00050D50" w:rsidP="00050D50">
            <w:pPr>
              <w:pStyle w:val="COMTabletext"/>
            </w:pPr>
            <w:r w:rsidRPr="003D0DB6">
              <w:t>Proportion of patients with ≥15% weight loss at Week 40</w:t>
            </w:r>
          </w:p>
        </w:tc>
        <w:tc>
          <w:tcPr>
            <w:tcW w:w="1327" w:type="dxa"/>
            <w:vAlign w:val="center"/>
          </w:tcPr>
          <w:p w14:paraId="2BEF143C" w14:textId="574FAF69" w:rsidR="00050D50" w:rsidRPr="003D0DB6" w:rsidRDefault="00050D50" w:rsidP="00050D50">
            <w:pPr>
              <w:pStyle w:val="COMTabletext"/>
              <w:jc w:val="center"/>
            </w:pPr>
            <w:r w:rsidRPr="003D0DB6">
              <w:t>23.9%</w:t>
            </w:r>
          </w:p>
        </w:tc>
        <w:tc>
          <w:tcPr>
            <w:tcW w:w="1327" w:type="dxa"/>
            <w:vAlign w:val="center"/>
          </w:tcPr>
          <w:p w14:paraId="0DE7FA25" w14:textId="52500F74" w:rsidR="00050D50" w:rsidRPr="003D0DB6" w:rsidRDefault="00050D50" w:rsidP="00050D50">
            <w:pPr>
              <w:pStyle w:val="COMTabletext"/>
              <w:jc w:val="center"/>
            </w:pPr>
            <w:r w:rsidRPr="003D0DB6">
              <w:t>8.0%</w:t>
            </w:r>
          </w:p>
        </w:tc>
        <w:tc>
          <w:tcPr>
            <w:tcW w:w="1328" w:type="dxa"/>
          </w:tcPr>
          <w:p w14:paraId="177427B3" w14:textId="5A24DDBF" w:rsidR="00050D50" w:rsidRPr="003D0DB6" w:rsidRDefault="00050D50" w:rsidP="00050D50">
            <w:pPr>
              <w:pStyle w:val="COMTabletext"/>
              <w:jc w:val="center"/>
            </w:pPr>
            <w:r w:rsidRPr="003D0DB6">
              <w:t>15.9%</w:t>
            </w:r>
          </w:p>
        </w:tc>
      </w:tr>
      <w:tr w:rsidR="00050D50" w14:paraId="4BF4E529" w14:textId="77777777" w:rsidTr="00A1032E">
        <w:tc>
          <w:tcPr>
            <w:tcW w:w="5035" w:type="dxa"/>
          </w:tcPr>
          <w:p w14:paraId="27A116E6" w14:textId="5561A1DB" w:rsidR="00050D50" w:rsidRPr="003D0DB6" w:rsidRDefault="00050D50" w:rsidP="00050D50">
            <w:pPr>
              <w:pStyle w:val="COMTabletext"/>
            </w:pPr>
            <w:r w:rsidRPr="003D0DB6">
              <w:t>Incidence of adverse events</w:t>
            </w:r>
          </w:p>
        </w:tc>
        <w:tc>
          <w:tcPr>
            <w:tcW w:w="1327" w:type="dxa"/>
            <w:vAlign w:val="center"/>
          </w:tcPr>
          <w:p w14:paraId="69F83970" w14:textId="280BB77E" w:rsidR="00050D50" w:rsidRPr="003D0DB6" w:rsidRDefault="00050D50" w:rsidP="00050D50">
            <w:pPr>
              <w:pStyle w:val="COMTabletext"/>
              <w:jc w:val="center"/>
            </w:pPr>
            <w:r w:rsidRPr="003D0DB6">
              <w:t>68.7%</w:t>
            </w:r>
          </w:p>
        </w:tc>
        <w:tc>
          <w:tcPr>
            <w:tcW w:w="1327" w:type="dxa"/>
            <w:vAlign w:val="center"/>
          </w:tcPr>
          <w:p w14:paraId="72C06D41" w14:textId="34F6E681" w:rsidR="00050D50" w:rsidRPr="003D0DB6" w:rsidRDefault="00050D50" w:rsidP="00050D50">
            <w:pPr>
              <w:pStyle w:val="COMTabletext"/>
              <w:jc w:val="center"/>
            </w:pPr>
            <w:r w:rsidRPr="003D0DB6">
              <w:t>64.2%</w:t>
            </w:r>
          </w:p>
        </w:tc>
        <w:tc>
          <w:tcPr>
            <w:tcW w:w="1328" w:type="dxa"/>
          </w:tcPr>
          <w:p w14:paraId="5B2C4235" w14:textId="0CED10A8" w:rsidR="00050D50" w:rsidRPr="003D0DB6" w:rsidRDefault="00050D50" w:rsidP="00050D50">
            <w:pPr>
              <w:pStyle w:val="COMTabletext"/>
              <w:jc w:val="center"/>
            </w:pPr>
            <w:r w:rsidRPr="003D0DB6">
              <w:t>4.5%</w:t>
            </w:r>
          </w:p>
        </w:tc>
      </w:tr>
      <w:tr w:rsidR="00050D50" w14:paraId="0E5119A3" w14:textId="77777777" w:rsidTr="00A1032E">
        <w:tc>
          <w:tcPr>
            <w:tcW w:w="5035" w:type="dxa"/>
          </w:tcPr>
          <w:p w14:paraId="01C44B89" w14:textId="68CB8104" w:rsidR="00050D50" w:rsidRPr="003D0DB6" w:rsidRDefault="00050D50" w:rsidP="00050D50">
            <w:pPr>
              <w:pStyle w:val="COMTabletext"/>
            </w:pPr>
            <w:r w:rsidRPr="003D0DB6">
              <w:t>Incidence of serious adverse events</w:t>
            </w:r>
          </w:p>
        </w:tc>
        <w:tc>
          <w:tcPr>
            <w:tcW w:w="1327" w:type="dxa"/>
            <w:vAlign w:val="center"/>
          </w:tcPr>
          <w:p w14:paraId="6292724D" w14:textId="7979CF9A" w:rsidR="00050D50" w:rsidRPr="003D0DB6" w:rsidRDefault="00050D50" w:rsidP="00050D50">
            <w:pPr>
              <w:pStyle w:val="COMTabletext"/>
              <w:jc w:val="center"/>
            </w:pPr>
            <w:r w:rsidRPr="003D0DB6">
              <w:t>5.3%</w:t>
            </w:r>
          </w:p>
        </w:tc>
        <w:tc>
          <w:tcPr>
            <w:tcW w:w="1327" w:type="dxa"/>
            <w:vAlign w:val="center"/>
          </w:tcPr>
          <w:p w14:paraId="2737E245" w14:textId="0C6CFBA2" w:rsidR="00050D50" w:rsidRPr="003D0DB6" w:rsidRDefault="00050D50" w:rsidP="00050D50">
            <w:pPr>
              <w:pStyle w:val="COMTabletext"/>
              <w:jc w:val="center"/>
            </w:pPr>
            <w:r w:rsidRPr="003D0DB6">
              <w:t>2.8%</w:t>
            </w:r>
          </w:p>
        </w:tc>
        <w:tc>
          <w:tcPr>
            <w:tcW w:w="1328" w:type="dxa"/>
          </w:tcPr>
          <w:p w14:paraId="25F049EF" w14:textId="7DA4AABC" w:rsidR="00050D50" w:rsidRPr="003D0DB6" w:rsidRDefault="00050D50" w:rsidP="00050D50">
            <w:pPr>
              <w:pStyle w:val="COMTabletext"/>
              <w:jc w:val="center"/>
            </w:pPr>
            <w:r w:rsidRPr="003D0DB6">
              <w:t>2.5%</w:t>
            </w:r>
          </w:p>
        </w:tc>
      </w:tr>
      <w:tr w:rsidR="00050D50" w14:paraId="2C37326A" w14:textId="77777777" w:rsidTr="00A1032E">
        <w:tc>
          <w:tcPr>
            <w:tcW w:w="5035" w:type="dxa"/>
          </w:tcPr>
          <w:p w14:paraId="56625967" w14:textId="7E5BCDFC" w:rsidR="00050D50" w:rsidRPr="003D0DB6" w:rsidRDefault="00050D50" w:rsidP="00050D50">
            <w:pPr>
              <w:pStyle w:val="COMTabletext"/>
            </w:pPr>
            <w:r w:rsidRPr="003D0DB6">
              <w:t>Adverse events leading to treatment discontinuation</w:t>
            </w:r>
          </w:p>
        </w:tc>
        <w:tc>
          <w:tcPr>
            <w:tcW w:w="1327" w:type="dxa"/>
            <w:vAlign w:val="center"/>
          </w:tcPr>
          <w:p w14:paraId="160CAFCB" w14:textId="2E84DEE8" w:rsidR="00050D50" w:rsidRPr="003D0DB6" w:rsidRDefault="00050D50" w:rsidP="00050D50">
            <w:pPr>
              <w:pStyle w:val="COMTabletext"/>
              <w:jc w:val="center"/>
            </w:pPr>
            <w:r w:rsidRPr="003D0DB6">
              <w:t>8.5%</w:t>
            </w:r>
          </w:p>
        </w:tc>
        <w:tc>
          <w:tcPr>
            <w:tcW w:w="1327" w:type="dxa"/>
            <w:vAlign w:val="center"/>
          </w:tcPr>
          <w:p w14:paraId="7FC0BD62" w14:textId="60F30687" w:rsidR="00050D50" w:rsidRPr="003D0DB6" w:rsidRDefault="00050D50" w:rsidP="00050D50">
            <w:pPr>
              <w:pStyle w:val="COMTabletext"/>
              <w:jc w:val="center"/>
            </w:pPr>
            <w:r w:rsidRPr="003D0DB6">
              <w:t>4.1%</w:t>
            </w:r>
          </w:p>
        </w:tc>
        <w:tc>
          <w:tcPr>
            <w:tcW w:w="1328" w:type="dxa"/>
          </w:tcPr>
          <w:p w14:paraId="202E531D" w14:textId="3136E6DC" w:rsidR="00050D50" w:rsidRPr="003D0DB6" w:rsidRDefault="00050D50" w:rsidP="00050D50">
            <w:pPr>
              <w:pStyle w:val="COMTabletext"/>
              <w:jc w:val="center"/>
            </w:pPr>
            <w:r w:rsidRPr="003D0DB6">
              <w:t>4.4%</w:t>
            </w:r>
          </w:p>
        </w:tc>
      </w:tr>
      <w:tr w:rsidR="00DD19F5" w14:paraId="6EF02C17" w14:textId="77777777" w:rsidTr="00A1032E">
        <w:tc>
          <w:tcPr>
            <w:tcW w:w="9017" w:type="dxa"/>
            <w:gridSpan w:val="4"/>
          </w:tcPr>
          <w:p w14:paraId="7B330267" w14:textId="5B00E53D" w:rsidR="00DD19F5" w:rsidRPr="003D0DB6" w:rsidRDefault="00DD19F5" w:rsidP="00A1032E">
            <w:pPr>
              <w:pStyle w:val="COMTableheadingrow"/>
            </w:pPr>
            <w:r w:rsidRPr="003D0DB6">
              <w:t>Tirzepatide 15 mg versus semaglutide 1 mg</w:t>
            </w:r>
          </w:p>
        </w:tc>
      </w:tr>
      <w:tr w:rsidR="00F81083" w14:paraId="2A7E608F" w14:textId="77777777" w:rsidTr="00A1032E">
        <w:tc>
          <w:tcPr>
            <w:tcW w:w="5035" w:type="dxa"/>
          </w:tcPr>
          <w:p w14:paraId="5232D305" w14:textId="763E0AB3" w:rsidR="00F81083" w:rsidRPr="003D0DB6" w:rsidRDefault="00F81083" w:rsidP="00F81083">
            <w:pPr>
              <w:pStyle w:val="COMTabletext"/>
            </w:pPr>
            <w:r w:rsidRPr="003D0DB6">
              <w:t>Proportion of patients with HbA1c &lt;7.0% at Week 40</w:t>
            </w:r>
          </w:p>
        </w:tc>
        <w:tc>
          <w:tcPr>
            <w:tcW w:w="1327" w:type="dxa"/>
            <w:vAlign w:val="center"/>
          </w:tcPr>
          <w:p w14:paraId="02D65650" w14:textId="2C6DBFF8" w:rsidR="00F81083" w:rsidRPr="003D0DB6" w:rsidRDefault="00F81083" w:rsidP="00F81083">
            <w:pPr>
              <w:pStyle w:val="COMTabletext"/>
              <w:jc w:val="center"/>
            </w:pPr>
            <w:r w:rsidRPr="003D0DB6">
              <w:t>86.2%</w:t>
            </w:r>
          </w:p>
        </w:tc>
        <w:tc>
          <w:tcPr>
            <w:tcW w:w="1327" w:type="dxa"/>
            <w:vAlign w:val="center"/>
          </w:tcPr>
          <w:p w14:paraId="73B9F953" w14:textId="2C007CB6" w:rsidR="00F81083" w:rsidRPr="003D0DB6" w:rsidRDefault="00F81083" w:rsidP="00F81083">
            <w:pPr>
              <w:pStyle w:val="COMTabletext"/>
              <w:jc w:val="center"/>
            </w:pPr>
            <w:r w:rsidRPr="003D0DB6">
              <w:t>79.0%</w:t>
            </w:r>
          </w:p>
        </w:tc>
        <w:tc>
          <w:tcPr>
            <w:tcW w:w="1328" w:type="dxa"/>
          </w:tcPr>
          <w:p w14:paraId="409EE32F" w14:textId="57194789" w:rsidR="00F81083" w:rsidRPr="003D0DB6" w:rsidRDefault="00F81083" w:rsidP="00F81083">
            <w:pPr>
              <w:pStyle w:val="COMTabletext"/>
              <w:jc w:val="center"/>
            </w:pPr>
            <w:r w:rsidRPr="003D0DB6">
              <w:t>7.2%</w:t>
            </w:r>
          </w:p>
        </w:tc>
      </w:tr>
      <w:tr w:rsidR="00F81083" w14:paraId="0165B285" w14:textId="77777777" w:rsidTr="00A1032E">
        <w:tc>
          <w:tcPr>
            <w:tcW w:w="5035" w:type="dxa"/>
          </w:tcPr>
          <w:p w14:paraId="3FEEF95F" w14:textId="78E38D9D" w:rsidR="00F81083" w:rsidRPr="003D0DB6" w:rsidRDefault="00F81083" w:rsidP="00F81083">
            <w:pPr>
              <w:pStyle w:val="COMTabletext"/>
            </w:pPr>
            <w:r w:rsidRPr="003D0DB6">
              <w:t>Proportion of patients with ≥5% weight loss at Week 40</w:t>
            </w:r>
          </w:p>
        </w:tc>
        <w:tc>
          <w:tcPr>
            <w:tcW w:w="1327" w:type="dxa"/>
            <w:vAlign w:val="center"/>
          </w:tcPr>
          <w:p w14:paraId="4DE184C2" w14:textId="1CB97A5C" w:rsidR="00F81083" w:rsidRPr="003D0DB6" w:rsidRDefault="00F81083" w:rsidP="00F81083">
            <w:pPr>
              <w:pStyle w:val="COMTabletext"/>
              <w:jc w:val="center"/>
            </w:pPr>
            <w:r w:rsidRPr="003D0DB6">
              <w:t>79.7%</w:t>
            </w:r>
          </w:p>
        </w:tc>
        <w:tc>
          <w:tcPr>
            <w:tcW w:w="1327" w:type="dxa"/>
            <w:vAlign w:val="center"/>
          </w:tcPr>
          <w:p w14:paraId="5FAED8BF" w14:textId="54E6F20D" w:rsidR="00F81083" w:rsidRPr="003D0DB6" w:rsidRDefault="00F81083" w:rsidP="00F81083">
            <w:pPr>
              <w:pStyle w:val="COMTabletext"/>
              <w:jc w:val="center"/>
            </w:pPr>
            <w:r w:rsidRPr="003D0DB6">
              <w:t>54.0%</w:t>
            </w:r>
          </w:p>
        </w:tc>
        <w:tc>
          <w:tcPr>
            <w:tcW w:w="1328" w:type="dxa"/>
          </w:tcPr>
          <w:p w14:paraId="51BE0229" w14:textId="6F9DB1F6" w:rsidR="00F81083" w:rsidRPr="003D0DB6" w:rsidRDefault="00F81083" w:rsidP="00F81083">
            <w:pPr>
              <w:pStyle w:val="COMTabletext"/>
              <w:jc w:val="center"/>
            </w:pPr>
            <w:r w:rsidRPr="003D0DB6">
              <w:t>25.7%</w:t>
            </w:r>
          </w:p>
        </w:tc>
      </w:tr>
      <w:tr w:rsidR="00F81083" w14:paraId="067EB0C5" w14:textId="77777777" w:rsidTr="00A1032E">
        <w:tc>
          <w:tcPr>
            <w:tcW w:w="5035" w:type="dxa"/>
          </w:tcPr>
          <w:p w14:paraId="72EEAEE5" w14:textId="4CBCB107" w:rsidR="00F81083" w:rsidRPr="003D0DB6" w:rsidRDefault="00F81083" w:rsidP="00F81083">
            <w:pPr>
              <w:pStyle w:val="COMTabletext"/>
            </w:pPr>
            <w:r w:rsidRPr="003D0DB6">
              <w:t>Proportion of patients with ≥10% weight loss at Week 40</w:t>
            </w:r>
          </w:p>
        </w:tc>
        <w:tc>
          <w:tcPr>
            <w:tcW w:w="1327" w:type="dxa"/>
            <w:vAlign w:val="center"/>
          </w:tcPr>
          <w:p w14:paraId="49B86F1E" w14:textId="07DC4DAB" w:rsidR="00F81083" w:rsidRPr="003D0DB6" w:rsidRDefault="00F81083" w:rsidP="00F81083">
            <w:pPr>
              <w:pStyle w:val="COMTabletext"/>
              <w:jc w:val="center"/>
            </w:pPr>
            <w:r w:rsidRPr="003D0DB6">
              <w:t>56.9%</w:t>
            </w:r>
          </w:p>
        </w:tc>
        <w:tc>
          <w:tcPr>
            <w:tcW w:w="1327" w:type="dxa"/>
            <w:vAlign w:val="center"/>
          </w:tcPr>
          <w:p w14:paraId="438BA957" w14:textId="3AE0B91C" w:rsidR="00F81083" w:rsidRPr="003D0DB6" w:rsidRDefault="00F81083" w:rsidP="00F81083">
            <w:pPr>
              <w:pStyle w:val="COMTabletext"/>
              <w:jc w:val="center"/>
            </w:pPr>
            <w:r w:rsidRPr="003D0DB6">
              <w:t>23.9%</w:t>
            </w:r>
          </w:p>
        </w:tc>
        <w:tc>
          <w:tcPr>
            <w:tcW w:w="1328" w:type="dxa"/>
          </w:tcPr>
          <w:p w14:paraId="5FEC4778" w14:textId="0FC12A93" w:rsidR="00F81083" w:rsidRPr="003D0DB6" w:rsidRDefault="00F81083" w:rsidP="00F81083">
            <w:pPr>
              <w:pStyle w:val="COMTabletext"/>
              <w:jc w:val="center"/>
            </w:pPr>
            <w:r w:rsidRPr="003D0DB6">
              <w:t>33.0%</w:t>
            </w:r>
          </w:p>
        </w:tc>
      </w:tr>
      <w:tr w:rsidR="00F81083" w14:paraId="57AFE41E" w14:textId="77777777" w:rsidTr="00A1032E">
        <w:tc>
          <w:tcPr>
            <w:tcW w:w="5035" w:type="dxa"/>
          </w:tcPr>
          <w:p w14:paraId="4952F623" w14:textId="7DE03015" w:rsidR="00F81083" w:rsidRPr="003D0DB6" w:rsidRDefault="00F81083" w:rsidP="00F81083">
            <w:pPr>
              <w:pStyle w:val="COMTabletext"/>
            </w:pPr>
            <w:r w:rsidRPr="003D0DB6">
              <w:t>Proportion of patients with ≥15% weight loss at Week 40</w:t>
            </w:r>
          </w:p>
        </w:tc>
        <w:tc>
          <w:tcPr>
            <w:tcW w:w="1327" w:type="dxa"/>
            <w:vAlign w:val="center"/>
          </w:tcPr>
          <w:p w14:paraId="0EB96D91" w14:textId="2FB409E7" w:rsidR="00F81083" w:rsidRPr="003D0DB6" w:rsidRDefault="00F81083" w:rsidP="00F81083">
            <w:pPr>
              <w:pStyle w:val="COMTabletext"/>
              <w:jc w:val="center"/>
            </w:pPr>
            <w:r w:rsidRPr="003D0DB6">
              <w:t>35.8%</w:t>
            </w:r>
          </w:p>
        </w:tc>
        <w:tc>
          <w:tcPr>
            <w:tcW w:w="1327" w:type="dxa"/>
            <w:vAlign w:val="center"/>
          </w:tcPr>
          <w:p w14:paraId="7AAD06C6" w14:textId="5A2A3F96" w:rsidR="00F81083" w:rsidRPr="003D0DB6" w:rsidRDefault="00F81083" w:rsidP="00F81083">
            <w:pPr>
              <w:pStyle w:val="COMTabletext"/>
              <w:jc w:val="center"/>
            </w:pPr>
            <w:r w:rsidRPr="003D0DB6">
              <w:t>8.0%</w:t>
            </w:r>
          </w:p>
        </w:tc>
        <w:tc>
          <w:tcPr>
            <w:tcW w:w="1328" w:type="dxa"/>
          </w:tcPr>
          <w:p w14:paraId="5AE9D57C" w14:textId="008AF4CA" w:rsidR="00F81083" w:rsidRPr="003D0DB6" w:rsidRDefault="00F81083" w:rsidP="00F81083">
            <w:pPr>
              <w:pStyle w:val="COMTabletext"/>
              <w:jc w:val="center"/>
            </w:pPr>
            <w:r w:rsidRPr="003D0DB6">
              <w:t>27.8%</w:t>
            </w:r>
          </w:p>
        </w:tc>
      </w:tr>
      <w:tr w:rsidR="00962911" w14:paraId="546BF2E2" w14:textId="77777777" w:rsidTr="00A1032E">
        <w:tc>
          <w:tcPr>
            <w:tcW w:w="5035" w:type="dxa"/>
          </w:tcPr>
          <w:p w14:paraId="7D56EC6F" w14:textId="5460C355" w:rsidR="00962911" w:rsidRPr="003D0DB6" w:rsidRDefault="00962911" w:rsidP="00962911">
            <w:pPr>
              <w:pStyle w:val="COMTabletext"/>
            </w:pPr>
            <w:r w:rsidRPr="003D0DB6">
              <w:t>Incidence of adverse events</w:t>
            </w:r>
          </w:p>
        </w:tc>
        <w:tc>
          <w:tcPr>
            <w:tcW w:w="1327" w:type="dxa"/>
            <w:vAlign w:val="center"/>
          </w:tcPr>
          <w:p w14:paraId="0AB95D55" w14:textId="5D6A9CEF" w:rsidR="00962911" w:rsidRPr="003D0DB6" w:rsidRDefault="00962911" w:rsidP="00962911">
            <w:pPr>
              <w:pStyle w:val="COMTabletext"/>
              <w:jc w:val="center"/>
            </w:pPr>
            <w:r w:rsidRPr="003D0DB6">
              <w:t>68.9%</w:t>
            </w:r>
          </w:p>
        </w:tc>
        <w:tc>
          <w:tcPr>
            <w:tcW w:w="1327" w:type="dxa"/>
            <w:vAlign w:val="center"/>
          </w:tcPr>
          <w:p w14:paraId="043E34DD" w14:textId="0FB73968" w:rsidR="00962911" w:rsidRPr="003D0DB6" w:rsidRDefault="00962911" w:rsidP="00962911">
            <w:pPr>
              <w:pStyle w:val="COMTabletext"/>
              <w:jc w:val="center"/>
            </w:pPr>
            <w:r w:rsidRPr="003D0DB6">
              <w:t>64.2%</w:t>
            </w:r>
          </w:p>
        </w:tc>
        <w:tc>
          <w:tcPr>
            <w:tcW w:w="1328" w:type="dxa"/>
          </w:tcPr>
          <w:p w14:paraId="617EB17D" w14:textId="0269BB2F" w:rsidR="00962911" w:rsidRPr="003D0DB6" w:rsidRDefault="00962911" w:rsidP="00962911">
            <w:pPr>
              <w:pStyle w:val="COMTabletext"/>
              <w:jc w:val="center"/>
            </w:pPr>
            <w:r w:rsidRPr="003D0DB6">
              <w:t>4.7%</w:t>
            </w:r>
          </w:p>
        </w:tc>
      </w:tr>
      <w:tr w:rsidR="00962911" w14:paraId="370B7C54" w14:textId="77777777" w:rsidTr="00A1032E">
        <w:tc>
          <w:tcPr>
            <w:tcW w:w="5035" w:type="dxa"/>
          </w:tcPr>
          <w:p w14:paraId="13B6638D" w14:textId="1F327F67" w:rsidR="00962911" w:rsidRPr="003D0DB6" w:rsidRDefault="00962911" w:rsidP="00962911">
            <w:pPr>
              <w:pStyle w:val="COMTabletext"/>
            </w:pPr>
            <w:r w:rsidRPr="003D0DB6">
              <w:t>Incidence of serious adverse events</w:t>
            </w:r>
          </w:p>
        </w:tc>
        <w:tc>
          <w:tcPr>
            <w:tcW w:w="1327" w:type="dxa"/>
            <w:vAlign w:val="center"/>
          </w:tcPr>
          <w:p w14:paraId="5715C51B" w14:textId="04184ADE" w:rsidR="00962911" w:rsidRPr="003D0DB6" w:rsidRDefault="00962911" w:rsidP="00962911">
            <w:pPr>
              <w:pStyle w:val="COMTabletext"/>
              <w:jc w:val="center"/>
            </w:pPr>
            <w:r w:rsidRPr="003D0DB6">
              <w:t>5.7%</w:t>
            </w:r>
          </w:p>
        </w:tc>
        <w:tc>
          <w:tcPr>
            <w:tcW w:w="1327" w:type="dxa"/>
            <w:vAlign w:val="center"/>
          </w:tcPr>
          <w:p w14:paraId="79376F14" w14:textId="40FD1376" w:rsidR="00962911" w:rsidRPr="003D0DB6" w:rsidRDefault="00962911" w:rsidP="00962911">
            <w:pPr>
              <w:pStyle w:val="COMTabletext"/>
              <w:jc w:val="center"/>
            </w:pPr>
            <w:r w:rsidRPr="003D0DB6">
              <w:t>2.8%</w:t>
            </w:r>
          </w:p>
        </w:tc>
        <w:tc>
          <w:tcPr>
            <w:tcW w:w="1328" w:type="dxa"/>
          </w:tcPr>
          <w:p w14:paraId="5EAD3D09" w14:textId="2D3EB651" w:rsidR="00962911" w:rsidRPr="003D0DB6" w:rsidRDefault="00962911" w:rsidP="00962911">
            <w:pPr>
              <w:pStyle w:val="COMTabletext"/>
              <w:jc w:val="center"/>
            </w:pPr>
            <w:r w:rsidRPr="003D0DB6">
              <w:t>2.9%</w:t>
            </w:r>
          </w:p>
        </w:tc>
      </w:tr>
      <w:tr w:rsidR="00962911" w14:paraId="61FB9F94" w14:textId="77777777" w:rsidTr="00A1032E">
        <w:tc>
          <w:tcPr>
            <w:tcW w:w="5035" w:type="dxa"/>
          </w:tcPr>
          <w:p w14:paraId="6DE3AC57" w14:textId="6F4E5EFE" w:rsidR="00962911" w:rsidRPr="003D0DB6" w:rsidRDefault="00962911" w:rsidP="00962911">
            <w:pPr>
              <w:pStyle w:val="COMTabletext"/>
            </w:pPr>
            <w:r w:rsidRPr="003D0DB6">
              <w:t>Adverse events leading to treatment discontinuation</w:t>
            </w:r>
          </w:p>
        </w:tc>
        <w:tc>
          <w:tcPr>
            <w:tcW w:w="1327" w:type="dxa"/>
            <w:vAlign w:val="center"/>
          </w:tcPr>
          <w:p w14:paraId="525789EE" w14:textId="73217AFA" w:rsidR="00962911" w:rsidRPr="003D0DB6" w:rsidRDefault="00962911" w:rsidP="00962911">
            <w:pPr>
              <w:pStyle w:val="COMTabletext"/>
              <w:jc w:val="center"/>
            </w:pPr>
            <w:r w:rsidRPr="003D0DB6">
              <w:t>8.5%</w:t>
            </w:r>
          </w:p>
        </w:tc>
        <w:tc>
          <w:tcPr>
            <w:tcW w:w="1327" w:type="dxa"/>
            <w:vAlign w:val="center"/>
          </w:tcPr>
          <w:p w14:paraId="035340E9" w14:textId="5AA02656" w:rsidR="00962911" w:rsidRPr="003D0DB6" w:rsidRDefault="00962911" w:rsidP="00962911">
            <w:pPr>
              <w:pStyle w:val="COMTabletext"/>
              <w:jc w:val="center"/>
            </w:pPr>
            <w:r w:rsidRPr="003D0DB6">
              <w:t>4.1%</w:t>
            </w:r>
          </w:p>
        </w:tc>
        <w:tc>
          <w:tcPr>
            <w:tcW w:w="1328" w:type="dxa"/>
          </w:tcPr>
          <w:p w14:paraId="2BEDEF21" w14:textId="59E51CC4" w:rsidR="00962911" w:rsidRPr="003D0DB6" w:rsidRDefault="00962911" w:rsidP="00962911">
            <w:pPr>
              <w:pStyle w:val="COMTabletext"/>
              <w:jc w:val="center"/>
            </w:pPr>
            <w:r w:rsidRPr="003D0DB6">
              <w:t>4.4%</w:t>
            </w:r>
          </w:p>
        </w:tc>
      </w:tr>
    </w:tbl>
    <w:p w14:paraId="69B135CE" w14:textId="7A3B859D" w:rsidR="000F575C" w:rsidRPr="000F575C" w:rsidRDefault="0099455A" w:rsidP="0099455A">
      <w:pPr>
        <w:pStyle w:val="COMTablefooter"/>
      </w:pPr>
      <w:r>
        <w:t xml:space="preserve">Source: </w:t>
      </w:r>
      <w:r w:rsidR="00D27AC5">
        <w:t>Table 2.5-2, p101; Table 2.5-4, p106 and Table 2.5-1, p110 of the resubmission</w:t>
      </w:r>
    </w:p>
    <w:p w14:paraId="6EB705CD" w14:textId="2E0446A0" w:rsidR="00907A3F" w:rsidRDefault="00466039" w:rsidP="000843BA">
      <w:pPr>
        <w:pStyle w:val="COMexecsummnumbered"/>
        <w:spacing w:after="0"/>
      </w:pPr>
      <w:r>
        <w:t>Based on the SURPASS-2 trial, for every 100</w:t>
      </w:r>
      <w:r w:rsidR="00C00CC6">
        <w:t xml:space="preserve"> patients with</w:t>
      </w:r>
      <w:r>
        <w:t xml:space="preserve"> type 2 diabetes treated with tirzepatide 10 mg in comparison with semaglutide 1 mg over 40 weeks:</w:t>
      </w:r>
    </w:p>
    <w:p w14:paraId="6E9079C5" w14:textId="20381B89" w:rsidR="00466039" w:rsidRDefault="00E74A8F" w:rsidP="00EF2904">
      <w:pPr>
        <w:pStyle w:val="COMexecsummnumbered"/>
        <w:numPr>
          <w:ilvl w:val="0"/>
          <w:numId w:val="18"/>
        </w:numPr>
      </w:pPr>
      <w:r>
        <w:t>7 additional patients would</w:t>
      </w:r>
      <w:r w:rsidR="00FE524B">
        <w:t xml:space="preserve"> achieve a glycaemic target &lt;7.0%</w:t>
      </w:r>
      <w:r w:rsidR="00554F98">
        <w:t>.</w:t>
      </w:r>
    </w:p>
    <w:p w14:paraId="6F439E65" w14:textId="1C437D07" w:rsidR="00FE524B" w:rsidRDefault="00FE524B" w:rsidP="00EF2904">
      <w:pPr>
        <w:pStyle w:val="COMexecsummnumbered"/>
        <w:numPr>
          <w:ilvl w:val="0"/>
          <w:numId w:val="18"/>
        </w:numPr>
      </w:pPr>
      <w:r>
        <w:t xml:space="preserve">22 additional patients would experience </w:t>
      </w:r>
      <w:r w:rsidRPr="00EF2904">
        <w:t>≥</w:t>
      </w:r>
      <w:r>
        <w:t xml:space="preserve">5% weight loss, </w:t>
      </w:r>
      <w:r w:rsidR="000631D0">
        <w:t xml:space="preserve">23 additional patients would experience </w:t>
      </w:r>
      <w:r w:rsidR="000631D0" w:rsidRPr="00EF2904">
        <w:t>≥</w:t>
      </w:r>
      <w:r w:rsidR="000631D0">
        <w:t xml:space="preserve">10% weight loss and 16 additional patients would experience </w:t>
      </w:r>
      <w:r w:rsidR="000631D0" w:rsidRPr="00EF2904">
        <w:t>≥</w:t>
      </w:r>
      <w:r w:rsidR="000631D0">
        <w:t>15% weight loss</w:t>
      </w:r>
      <w:r w:rsidR="00554F98">
        <w:t xml:space="preserve"> from baseline.</w:t>
      </w:r>
    </w:p>
    <w:p w14:paraId="408A99B9" w14:textId="27885AE6" w:rsidR="00554F98" w:rsidRDefault="00554F98" w:rsidP="00EF2904">
      <w:pPr>
        <w:pStyle w:val="COMexecsummnumbered"/>
        <w:numPr>
          <w:ilvl w:val="0"/>
          <w:numId w:val="18"/>
        </w:numPr>
      </w:pPr>
      <w:r>
        <w:lastRenderedPageBreak/>
        <w:t>There would be no apparent differences in generic quality of life measures and minimal differences in disease-specific quality of</w:t>
      </w:r>
      <w:r w:rsidR="00D3633C">
        <w:t xml:space="preserve"> life measures and patient-reported outcomes.</w:t>
      </w:r>
    </w:p>
    <w:p w14:paraId="56BCE5F2" w14:textId="03785C4C" w:rsidR="00D3633C" w:rsidRDefault="00D3633C" w:rsidP="00EF2904">
      <w:pPr>
        <w:pStyle w:val="COMexecsummnumbered"/>
        <w:numPr>
          <w:ilvl w:val="0"/>
          <w:numId w:val="18"/>
        </w:numPr>
      </w:pPr>
      <w:r>
        <w:t xml:space="preserve">There would be 5 additional patients with any adverse event, 3 additional patients with serious adverse events and 4 additional patients with adverse events leading to treatment discontinuation. </w:t>
      </w:r>
    </w:p>
    <w:p w14:paraId="3EB81F66" w14:textId="75163EF7" w:rsidR="00D3633C" w:rsidRDefault="00D3633C" w:rsidP="00EE1E47">
      <w:pPr>
        <w:pStyle w:val="COMexecsummnumbered"/>
        <w:spacing w:after="0"/>
      </w:pPr>
      <w:r>
        <w:t xml:space="preserve">Based on the SURPASS-2 trial, for every 100 </w:t>
      </w:r>
      <w:r w:rsidR="00C00CC6">
        <w:t xml:space="preserve">patients with </w:t>
      </w:r>
      <w:r>
        <w:t>type 2 diabetes treated with tirzepatide 15 mg in comparison with semaglutide 1 mg over 40 weeks:</w:t>
      </w:r>
    </w:p>
    <w:p w14:paraId="5F6FFD78" w14:textId="77777777" w:rsidR="00C645BC" w:rsidRDefault="00C645BC" w:rsidP="00EF2904">
      <w:pPr>
        <w:pStyle w:val="COMexecsummnumbered"/>
        <w:numPr>
          <w:ilvl w:val="0"/>
          <w:numId w:val="18"/>
        </w:numPr>
      </w:pPr>
      <w:r>
        <w:t>7 additional patients would achieve a glycaemic target &lt;7.0%.</w:t>
      </w:r>
    </w:p>
    <w:p w14:paraId="665BBC68" w14:textId="09A536EE" w:rsidR="00C645BC" w:rsidRDefault="00C645BC" w:rsidP="00EF2904">
      <w:pPr>
        <w:pStyle w:val="COMexecsummnumbered"/>
        <w:numPr>
          <w:ilvl w:val="0"/>
          <w:numId w:val="18"/>
        </w:numPr>
      </w:pPr>
      <w:r>
        <w:t xml:space="preserve">26 additional patients would experience </w:t>
      </w:r>
      <w:r w:rsidRPr="00EF2904">
        <w:t>≥</w:t>
      </w:r>
      <w:r>
        <w:t xml:space="preserve">5% weight loss, 33 additional patients would experience </w:t>
      </w:r>
      <w:r w:rsidRPr="00EF2904">
        <w:t>≥</w:t>
      </w:r>
      <w:r>
        <w:t xml:space="preserve">10% weight loss and 28 additional patients would experience </w:t>
      </w:r>
      <w:r w:rsidRPr="00EF2904">
        <w:t>≥</w:t>
      </w:r>
      <w:r>
        <w:t>15% weight loss from baseline.</w:t>
      </w:r>
    </w:p>
    <w:p w14:paraId="6857DD7C" w14:textId="77777777" w:rsidR="00C645BC" w:rsidRDefault="00C645BC" w:rsidP="00EF2904">
      <w:pPr>
        <w:pStyle w:val="COMexecsummnumbered"/>
        <w:numPr>
          <w:ilvl w:val="0"/>
          <w:numId w:val="18"/>
        </w:numPr>
      </w:pPr>
      <w:r>
        <w:t>There would be no apparent differences in generic quality of life measures and minimal differences in disease-specific quality of life measures and patient-reported outcomes.</w:t>
      </w:r>
    </w:p>
    <w:p w14:paraId="609B5F1C" w14:textId="6E6CE11C" w:rsidR="00D3633C" w:rsidRDefault="00C645BC" w:rsidP="00EF2904">
      <w:pPr>
        <w:pStyle w:val="COMexecsummnumbered"/>
        <w:numPr>
          <w:ilvl w:val="0"/>
          <w:numId w:val="18"/>
        </w:numPr>
      </w:pPr>
      <w:r>
        <w:t xml:space="preserve">There would be 5 additional patients with any adverse event, 3 additional patients with serious adverse events and 4 additional patients with adverse events leading to treatment discontinuation. </w:t>
      </w:r>
    </w:p>
    <w:p w14:paraId="4C6CFF71" w14:textId="0834E3CC" w:rsidR="00466039" w:rsidRPr="0076762E" w:rsidRDefault="0070232F" w:rsidP="00D2155B">
      <w:pPr>
        <w:pStyle w:val="COMexecsummnumbered"/>
      </w:pPr>
      <w:r>
        <w:t>There were no apparent differences in treatment effect in terms of achievement of glycaemic and weight loss targets</w:t>
      </w:r>
      <w:r w:rsidR="0055065F">
        <w:t>, safety outcomes</w:t>
      </w:r>
      <w:r w:rsidR="004827EE">
        <w:t xml:space="preserve"> and</w:t>
      </w:r>
      <w:r>
        <w:t xml:space="preserve"> </w:t>
      </w:r>
      <w:r w:rsidR="004827EE">
        <w:t xml:space="preserve">generic and disease-specific quality of life measures </w:t>
      </w:r>
      <w:r>
        <w:t xml:space="preserve">between the subgroup with BMI </w:t>
      </w:r>
      <w:r w:rsidR="00DC0A2A" w:rsidRPr="00DC0A2A">
        <w:t>≥35 kg/m</w:t>
      </w:r>
      <w:r w:rsidR="00DC0A2A" w:rsidRPr="00DC0A2A">
        <w:rPr>
          <w:vertAlign w:val="superscript"/>
        </w:rPr>
        <w:t>2</w:t>
      </w:r>
      <w:r w:rsidR="00DC0A2A" w:rsidRPr="00DC0A2A">
        <w:t xml:space="preserve"> and </w:t>
      </w:r>
      <w:r>
        <w:t>the whole trial population in SURPASS-2.</w:t>
      </w:r>
    </w:p>
    <w:p w14:paraId="7A1772B6" w14:textId="23BB3145" w:rsidR="00B60939" w:rsidRPr="0076762E" w:rsidRDefault="00B60939" w:rsidP="003D5DE7">
      <w:pPr>
        <w:pStyle w:val="COMH2-non-numbered"/>
      </w:pPr>
      <w:bookmarkStart w:id="39" w:name="_Toc22897644"/>
      <w:bookmarkStart w:id="40" w:name="_Toc176618570"/>
      <w:r w:rsidRPr="0076762E">
        <w:t>Clinical claim</w:t>
      </w:r>
      <w:bookmarkEnd w:id="39"/>
      <w:bookmarkEnd w:id="40"/>
    </w:p>
    <w:p w14:paraId="68C57E65" w14:textId="6A999835" w:rsidR="001B7432" w:rsidRPr="00E96CBF" w:rsidRDefault="00DA4B53" w:rsidP="00DA035E">
      <w:pPr>
        <w:pStyle w:val="COMexecsummnumbered"/>
        <w:rPr>
          <w:color w:val="0066FF"/>
        </w:rPr>
      </w:pPr>
      <w:r>
        <w:t xml:space="preserve">The resubmission described tirzepatide 5 mg once weekly as superior in terms of efficacy compared to semaglutide 0.5 mg once weekly. </w:t>
      </w:r>
      <w:r w:rsidRPr="00E96CBF">
        <w:t xml:space="preserve">The PBAC previously considered the claim was reasonable </w:t>
      </w:r>
      <w:r w:rsidR="00CA1C81" w:rsidRPr="00E96CBF">
        <w:t xml:space="preserve">based on an indirect comparison of the broader SURPASS-2 and SUSTAIN 7 trial populations </w:t>
      </w:r>
      <w:r w:rsidRPr="00E96CBF">
        <w:t>(para 7.10, tirzepatide PSD, July</w:t>
      </w:r>
      <w:r w:rsidR="00BB57B2">
        <w:t> </w:t>
      </w:r>
      <w:r w:rsidRPr="00E96CBF">
        <w:t xml:space="preserve">2023 PBAC meeting). </w:t>
      </w:r>
      <w:r w:rsidR="005813C2">
        <w:t>However, i</w:t>
      </w:r>
      <w:r w:rsidR="00105CA3" w:rsidRPr="00E96CBF">
        <w:t xml:space="preserve">t </w:t>
      </w:r>
      <w:r w:rsidR="000C05A8">
        <w:t>wa</w:t>
      </w:r>
      <w:r w:rsidR="00105CA3" w:rsidRPr="00E96CBF">
        <w:t>s</w:t>
      </w:r>
      <w:r w:rsidRPr="00E96CBF">
        <w:t xml:space="preserve"> unclear whether the superiority claim </w:t>
      </w:r>
      <w:r w:rsidR="000C05A8">
        <w:t>wa</w:t>
      </w:r>
      <w:r w:rsidRPr="00E96CBF">
        <w:t>s adequately supported in the</w:t>
      </w:r>
      <w:r w:rsidR="00105CA3" w:rsidRPr="00E96CBF">
        <w:t xml:space="preserve"> target subgroup</w:t>
      </w:r>
      <w:r w:rsidR="00C27B50" w:rsidRPr="00E96CBF">
        <w:t xml:space="preserve"> with BMI ≥35 kg/m</w:t>
      </w:r>
      <w:r w:rsidR="00C27B50" w:rsidRPr="00E96CBF">
        <w:rPr>
          <w:vertAlign w:val="superscript"/>
        </w:rPr>
        <w:t>2</w:t>
      </w:r>
      <w:r w:rsidR="00105CA3" w:rsidRPr="00E96CBF">
        <w:t>.</w:t>
      </w:r>
    </w:p>
    <w:p w14:paraId="34E17CC8" w14:textId="1A10FCAA" w:rsidR="00027EF1" w:rsidRPr="00E96CBF" w:rsidRDefault="00C31513" w:rsidP="00027EF1">
      <w:pPr>
        <w:pStyle w:val="COMexecsummnumbered"/>
        <w:rPr>
          <w:color w:val="0066FF"/>
        </w:rPr>
      </w:pPr>
      <w:r>
        <w:t xml:space="preserve">The resubmission described tirzepatide 5 mg once weekly as non-inferior in terms of safety compared to semaglutide 0.5 mg once weekly. </w:t>
      </w:r>
      <w:r w:rsidRPr="00E96CBF">
        <w:t xml:space="preserve">The PBAC previously considered that the claim was inadequately supported by the data (para 6.57, tirzepatide PSD, July 2023 PBAC meeting). The safety analysis for the subgroup with BMI </w:t>
      </w:r>
      <w:r w:rsidRPr="00E96CBF">
        <w:rPr>
          <w:rFonts w:cs="Calibri"/>
        </w:rPr>
        <w:t>≥</w:t>
      </w:r>
      <w:r w:rsidRPr="00E96CBF">
        <w:t>35</w:t>
      </w:r>
      <w:r w:rsidR="00BB57B2">
        <w:t> </w:t>
      </w:r>
      <w:r w:rsidRPr="00E96CBF">
        <w:t>kg/m</w:t>
      </w:r>
      <w:r w:rsidRPr="00E96CBF">
        <w:rPr>
          <w:vertAlign w:val="superscript"/>
        </w:rPr>
        <w:t>2</w:t>
      </w:r>
      <w:r w:rsidRPr="00E96CBF">
        <w:t xml:space="preserve"> was also based on an indirect comparison of SURPASS-2 and SUSTAIN 7, which was limited by differences in the incidence of events in the common reference arm</w:t>
      </w:r>
      <w:r w:rsidR="003019EA" w:rsidRPr="00E96CBF">
        <w:t>.</w:t>
      </w:r>
    </w:p>
    <w:p w14:paraId="5706AFFB" w14:textId="43886466" w:rsidR="009503B9" w:rsidRPr="00E96CBF" w:rsidRDefault="00027972" w:rsidP="009503B9">
      <w:pPr>
        <w:pStyle w:val="COMexecsummnumbered"/>
        <w:rPr>
          <w:color w:val="0066FF"/>
        </w:rPr>
      </w:pPr>
      <w:r>
        <w:t xml:space="preserve">The resubmission did not make a clinical claim of efficacy or safety </w:t>
      </w:r>
      <w:r w:rsidRPr="00324D61">
        <w:t>for tirzepatide 5</w:t>
      </w:r>
      <w:r w:rsidR="002523FA">
        <w:t> </w:t>
      </w:r>
      <w:r w:rsidRPr="00324D61">
        <w:t>mg once weekly versus semaglutide 1 mg once weekly.</w:t>
      </w:r>
      <w:r>
        <w:t xml:space="preserve"> </w:t>
      </w:r>
      <w:r w:rsidR="00027EF1" w:rsidRPr="00E96CBF">
        <w:t xml:space="preserve">The PBAC previously considered that the data did not support superior efficacy and non-inferior safety of tirzepatide </w:t>
      </w:r>
      <w:r w:rsidR="00027EF1" w:rsidRPr="00E96CBF">
        <w:lastRenderedPageBreak/>
        <w:t>5</w:t>
      </w:r>
      <w:r w:rsidR="00CC7FA1" w:rsidRPr="00E96CBF">
        <w:t> </w:t>
      </w:r>
      <w:r w:rsidR="00027EF1" w:rsidRPr="00E96CBF">
        <w:t>mg versus semaglutide 1 mg (para 7.10 and 7.11, tirzepatide PSD, July 2023 PBAC meeting). Subgroup data in those with BMI ≥35 kg/m</w:t>
      </w:r>
      <w:r w:rsidR="00027EF1" w:rsidRPr="00E96CBF">
        <w:rPr>
          <w:vertAlign w:val="superscript"/>
        </w:rPr>
        <w:t xml:space="preserve">2 </w:t>
      </w:r>
      <w:r w:rsidR="00027EF1" w:rsidRPr="00E96CBF">
        <w:t xml:space="preserve">were consistent with data in the whole trial population. </w:t>
      </w:r>
    </w:p>
    <w:p w14:paraId="5CB7D804" w14:textId="77777777" w:rsidR="009503B9" w:rsidRPr="00E96CBF" w:rsidRDefault="009503B9" w:rsidP="009503B9">
      <w:pPr>
        <w:pStyle w:val="COMexecsummnumbered"/>
        <w:rPr>
          <w:color w:val="0066FF"/>
        </w:rPr>
      </w:pPr>
      <w:bookmarkStart w:id="41" w:name="_Hlk184187931"/>
      <w:r>
        <w:t>The resubmission described tirzepatide 10 mg or 15 mg once weekly as superior in terms of efficacy compared to semaglutide 1 mg once weekly</w:t>
      </w:r>
      <w:r w:rsidRPr="00E96CBF">
        <w:t xml:space="preserve">. The PBAC previously considered the claim was reasonable (para 7.10, tirzepatide PSD, July 2023 PBAC meeting). Results in the subgroup with BMI </w:t>
      </w:r>
      <w:r w:rsidRPr="00E96CBF">
        <w:rPr>
          <w:rFonts w:cs="Calibri"/>
        </w:rPr>
        <w:t>≥</w:t>
      </w:r>
      <w:r w:rsidRPr="00E96CBF">
        <w:t>35 kg/m</w:t>
      </w:r>
      <w:r w:rsidRPr="00E96CBF">
        <w:rPr>
          <w:vertAlign w:val="superscript"/>
        </w:rPr>
        <w:t xml:space="preserve">2 </w:t>
      </w:r>
      <w:r w:rsidRPr="00E96CBF">
        <w:t xml:space="preserve">appeared consistent with results in the whole trial population. </w:t>
      </w:r>
    </w:p>
    <w:bookmarkEnd w:id="41"/>
    <w:p w14:paraId="4DC1A263" w14:textId="25D458BE" w:rsidR="009503B9" w:rsidRPr="00E96CBF" w:rsidRDefault="009503B9" w:rsidP="009503B9">
      <w:pPr>
        <w:pStyle w:val="COMexecsummnumbered"/>
        <w:rPr>
          <w:color w:val="0066FF"/>
        </w:rPr>
      </w:pPr>
      <w:r>
        <w:t xml:space="preserve">The resubmission described tirzepatide 10 mg or 15 mg once weekly as non-inferior in terms of safety compared to semaglutide 1 mg once weekly. </w:t>
      </w:r>
      <w:r w:rsidRPr="00E96CBF">
        <w:t>The PBAC previously considered the claim was inadequately supported (para 7.11, tirzepatide PSD, July</w:t>
      </w:r>
      <w:r w:rsidR="00212989">
        <w:t> </w:t>
      </w:r>
      <w:r w:rsidRPr="00E96CBF">
        <w:t xml:space="preserve">2023 PBAC meeting). Safety data in the subgroup with BMI </w:t>
      </w:r>
      <w:r w:rsidRPr="00E96CBF">
        <w:rPr>
          <w:rFonts w:cs="Calibri"/>
        </w:rPr>
        <w:t>≥</w:t>
      </w:r>
      <w:r w:rsidRPr="00E96CBF">
        <w:t>35 kg/m</w:t>
      </w:r>
      <w:r w:rsidRPr="00E96CBF">
        <w:rPr>
          <w:vertAlign w:val="superscript"/>
        </w:rPr>
        <w:t xml:space="preserve">2 </w:t>
      </w:r>
      <w:r w:rsidRPr="00E96CBF">
        <w:t>appeared similar to the whole trial population.</w:t>
      </w:r>
    </w:p>
    <w:p w14:paraId="289EAA5E" w14:textId="64D0223D" w:rsidR="007C70FF" w:rsidRPr="00E96CBF" w:rsidRDefault="00AC0630" w:rsidP="00EE1E47">
      <w:pPr>
        <w:pStyle w:val="COMexecsummnumbered"/>
        <w:spacing w:after="0"/>
      </w:pPr>
      <w:r w:rsidRPr="00E96CBF">
        <w:t>The following issues should be considered:</w:t>
      </w:r>
    </w:p>
    <w:p w14:paraId="7F613CD1" w14:textId="747BD15E" w:rsidR="005F7588" w:rsidRPr="00E96CBF" w:rsidRDefault="00074CA2" w:rsidP="00C06880">
      <w:pPr>
        <w:pStyle w:val="COMexecsummnumbered"/>
        <w:numPr>
          <w:ilvl w:val="0"/>
          <w:numId w:val="18"/>
        </w:numPr>
      </w:pPr>
      <w:r w:rsidRPr="00E96CBF">
        <w:t>There were multiple evidence gaps in the clinical data presented:</w:t>
      </w:r>
    </w:p>
    <w:p w14:paraId="52FFD549" w14:textId="77777777" w:rsidR="00074CA2" w:rsidRPr="00E96CBF" w:rsidRDefault="00074CA2" w:rsidP="00C06880">
      <w:pPr>
        <w:pStyle w:val="COMexecsummbulletlist"/>
        <w:numPr>
          <w:ilvl w:val="0"/>
          <w:numId w:val="50"/>
        </w:numPr>
        <w:spacing w:before="120"/>
        <w:ind w:left="1843"/>
      </w:pPr>
      <w:r w:rsidRPr="00E96CBF">
        <w:t>No data for tirzepatide administered using a flexible titration approach, particularly the use of titration doses (2.5 mg, 7.5 mg and 12.5 mg) beyond 4 weeks in the trial.</w:t>
      </w:r>
    </w:p>
    <w:p w14:paraId="3BA64677" w14:textId="77777777" w:rsidR="00074CA2" w:rsidRPr="00E96CBF" w:rsidRDefault="00074CA2" w:rsidP="00C06880">
      <w:pPr>
        <w:pStyle w:val="COMexecsummbulletlist"/>
        <w:numPr>
          <w:ilvl w:val="0"/>
          <w:numId w:val="50"/>
        </w:numPr>
        <w:spacing w:before="120"/>
        <w:ind w:left="1843"/>
      </w:pPr>
      <w:r w:rsidRPr="00E96CBF">
        <w:t>No data for switching from other combinations of type 2 diabetes medications (including with insulin) to dual therapy with metformin only.</w:t>
      </w:r>
    </w:p>
    <w:p w14:paraId="74EA1353" w14:textId="2DFB37AC" w:rsidR="00074CA2" w:rsidRPr="0032185B" w:rsidRDefault="00074CA2" w:rsidP="00C06880">
      <w:pPr>
        <w:pStyle w:val="COMexecsummbulletlist"/>
        <w:numPr>
          <w:ilvl w:val="0"/>
          <w:numId w:val="50"/>
        </w:numPr>
        <w:spacing w:before="120"/>
        <w:ind w:left="1843"/>
      </w:pPr>
      <w:r w:rsidRPr="00E96CBF">
        <w:t>No data on longer term effects of tirzepatide on diabetes-related complications including cardiovascular outcomes.</w:t>
      </w:r>
      <w:r w:rsidR="00A55994">
        <w:t xml:space="preserve"> </w:t>
      </w:r>
      <w:r w:rsidR="00A55994" w:rsidRPr="0032185B">
        <w:t>The PSCR provided results from a retrospective cohort study in the US based on individuals with type 2 diabetes initiating tirzepatide or GLP-1 RA between June</w:t>
      </w:r>
      <w:r w:rsidR="00C06880">
        <w:t> </w:t>
      </w:r>
      <w:r w:rsidR="00A55994" w:rsidRPr="0032185B">
        <w:t>2022 and June 2023 (Chuang 2024</w:t>
      </w:r>
      <w:r w:rsidR="00083418" w:rsidRPr="0032185B">
        <w:rPr>
          <w:rStyle w:val="FootnoteReference"/>
        </w:rPr>
        <w:footnoteReference w:id="6"/>
      </w:r>
      <w:r w:rsidR="00A55994" w:rsidRPr="0032185B">
        <w:t>). The PSCR noted that tirzepatide was associated with a lower risk of all-cause mortality (adjusted hazard ratio 0.58; 95% CI: 0.45, 0.75) and major adverse cardiovascular events (adjusted hazard ratio 0.80; 95% CI: 0.71, 0.91) compared to GLP-1 RAs. The ESC considered the validity of these results was uncertain as the study was not included in the resubmission and therefore was not evaluated.</w:t>
      </w:r>
    </w:p>
    <w:p w14:paraId="4540D64F" w14:textId="5262A68F" w:rsidR="00074CA2" w:rsidRPr="00087900" w:rsidRDefault="00074CA2" w:rsidP="00C06880">
      <w:pPr>
        <w:pStyle w:val="COMexecsummnumbered"/>
        <w:numPr>
          <w:ilvl w:val="0"/>
          <w:numId w:val="18"/>
        </w:numPr>
      </w:pPr>
      <w:r w:rsidRPr="00E96CBF">
        <w:t xml:space="preserve">The long-term safety profile of tirzepatide </w:t>
      </w:r>
      <w:r w:rsidR="000C05A8">
        <w:t>wa</w:t>
      </w:r>
      <w:r w:rsidRPr="00E96CBF">
        <w:t>s uncertain, with updates to global reference safety information in response to emerging safety signals including pulmonary aspiration under anaesthesia, dysgeusia, malnutrition and cachexia, and gastroparesis.</w:t>
      </w:r>
    </w:p>
    <w:p w14:paraId="067EAB2A" w14:textId="18DA7FBF" w:rsidR="00420B20" w:rsidRDefault="00152F92">
      <w:pPr>
        <w:widowControl w:val="0"/>
        <w:numPr>
          <w:ilvl w:val="1"/>
          <w:numId w:val="1"/>
        </w:numPr>
        <w:spacing w:after="120"/>
      </w:pPr>
      <w:bookmarkStart w:id="42" w:name="_Hlk76376200"/>
      <w:r>
        <w:lastRenderedPageBreak/>
        <w:t xml:space="preserve">The PBAC reaffirmed its July 2023 advice </w:t>
      </w:r>
      <w:r w:rsidRPr="00152F92">
        <w:rPr>
          <w:rFonts w:asciiTheme="minorHAnsi" w:hAnsiTheme="minorHAnsi"/>
          <w:snapToGrid w:val="0"/>
          <w:szCs w:val="20"/>
        </w:rPr>
        <w:t>that the claim of superior comparative effectiveness was reasonable for</w:t>
      </w:r>
      <w:r w:rsidRPr="00BC7837">
        <w:t xml:space="preserve"> tirzepatide 5 mg once weekly compared to semaglutide 0.5 mg once weekly</w:t>
      </w:r>
      <w:r>
        <w:t xml:space="preserve"> and for </w:t>
      </w:r>
      <w:r w:rsidRPr="00BC7837">
        <w:t>tirzepatide 10 mg once weekly and tirzepatide 15 mg once weekly compared to semaglutide 1 mg once weekly</w:t>
      </w:r>
      <w:r w:rsidRPr="00152F92">
        <w:rPr>
          <w:rFonts w:asciiTheme="minorHAnsi" w:hAnsiTheme="minorHAnsi"/>
          <w:snapToGrid w:val="0"/>
          <w:szCs w:val="20"/>
        </w:rPr>
        <w:t xml:space="preserve">. </w:t>
      </w:r>
      <w:r w:rsidR="00E2455D">
        <w:rPr>
          <w:rFonts w:asciiTheme="minorHAnsi" w:hAnsiTheme="minorHAnsi"/>
          <w:snapToGrid w:val="0"/>
          <w:szCs w:val="20"/>
        </w:rPr>
        <w:t xml:space="preserve">The PBAC considered </w:t>
      </w:r>
      <w:r w:rsidR="00E2455D">
        <w:t>r</w:t>
      </w:r>
      <w:r w:rsidR="00E2455D" w:rsidRPr="00E96CBF">
        <w:t xml:space="preserve">esults </w:t>
      </w:r>
      <w:r w:rsidR="00E2455D">
        <w:t xml:space="preserve">for 10 mg and 15 mg tirzepatide </w:t>
      </w:r>
      <w:r w:rsidR="00E2455D" w:rsidRPr="00E96CBF">
        <w:t xml:space="preserve">in the subgroup with BMI </w:t>
      </w:r>
      <w:r w:rsidR="00E2455D" w:rsidRPr="00E96CBF">
        <w:rPr>
          <w:rFonts w:cs="Calibri"/>
        </w:rPr>
        <w:t>≥</w:t>
      </w:r>
      <w:r w:rsidR="00E2455D" w:rsidRPr="00E96CBF">
        <w:t>35</w:t>
      </w:r>
      <w:r w:rsidR="00C06880">
        <w:t> </w:t>
      </w:r>
      <w:r w:rsidR="00E2455D" w:rsidRPr="00E96CBF">
        <w:t>kg/m</w:t>
      </w:r>
      <w:r w:rsidR="00E2455D" w:rsidRPr="00E96CBF">
        <w:rPr>
          <w:vertAlign w:val="superscript"/>
        </w:rPr>
        <w:t xml:space="preserve">2 </w:t>
      </w:r>
      <w:r w:rsidR="00E2455D" w:rsidRPr="00E96CBF">
        <w:t>appeared consistent with results in the whole trial population</w:t>
      </w:r>
      <w:r w:rsidR="00E2455D">
        <w:t xml:space="preserve"> The PBAC considered the claim of superior comparative efficacy for tirzepatide 5 mg once weekly compared to semaglutide 0.5 mg once weekly in the </w:t>
      </w:r>
      <w:r w:rsidR="00E2455D" w:rsidRPr="00E96CBF">
        <w:t xml:space="preserve">subgroup with BMI </w:t>
      </w:r>
      <w:r w:rsidR="00E2455D" w:rsidRPr="00E96CBF">
        <w:rPr>
          <w:rFonts w:cs="Calibri"/>
        </w:rPr>
        <w:t>≥</w:t>
      </w:r>
      <w:r w:rsidR="00E2455D" w:rsidRPr="00E96CBF">
        <w:t>35</w:t>
      </w:r>
      <w:r w:rsidR="00C06880">
        <w:t> </w:t>
      </w:r>
      <w:r w:rsidR="00E2455D" w:rsidRPr="00E96CBF">
        <w:t>kg/m</w:t>
      </w:r>
      <w:r w:rsidR="00E2455D" w:rsidRPr="00E96CBF">
        <w:rPr>
          <w:vertAlign w:val="superscript"/>
        </w:rPr>
        <w:t xml:space="preserve">2 </w:t>
      </w:r>
      <w:r w:rsidR="00E2455D" w:rsidRPr="00981170">
        <w:t>was</w:t>
      </w:r>
      <w:r w:rsidR="00E2455D">
        <w:t xml:space="preserve"> uncertain but likely reasonable.</w:t>
      </w:r>
      <w:r w:rsidR="00E2455D" w:rsidRPr="00087900" w:rsidDel="00152F92">
        <w:t xml:space="preserve"> </w:t>
      </w:r>
    </w:p>
    <w:p w14:paraId="442054C0" w14:textId="11CB5723" w:rsidR="00087900" w:rsidRPr="00087900" w:rsidRDefault="00475BC4">
      <w:pPr>
        <w:widowControl w:val="0"/>
        <w:numPr>
          <w:ilvl w:val="1"/>
          <w:numId w:val="1"/>
        </w:numPr>
        <w:spacing w:after="120"/>
      </w:pPr>
      <w:r>
        <w:t xml:space="preserve">The PBAC </w:t>
      </w:r>
      <w:r w:rsidR="00152F92">
        <w:t xml:space="preserve">also </w:t>
      </w:r>
      <w:r>
        <w:t>reaffirmed its July 2023 advice that the comparison of tirzepatide 5</w:t>
      </w:r>
      <w:r w:rsidR="00C06880">
        <w:t> </w:t>
      </w:r>
      <w:r>
        <w:t>mg and semaglutide 1 mg remained relevant, and noted that this comparison did not support a clinically meaningful difference</w:t>
      </w:r>
      <w:r w:rsidR="00E2455D">
        <w:t xml:space="preserve"> in either the whole trial population or the </w:t>
      </w:r>
      <w:r w:rsidR="00E2455D" w:rsidRPr="00E96CBF">
        <w:t xml:space="preserve">subgroup with BMI </w:t>
      </w:r>
      <w:r w:rsidR="00E2455D" w:rsidRPr="00E96CBF">
        <w:rPr>
          <w:rFonts w:cs="Calibri"/>
        </w:rPr>
        <w:t>≥</w:t>
      </w:r>
      <w:r w:rsidR="00E2455D" w:rsidRPr="00E96CBF">
        <w:t>35 kg/m</w:t>
      </w:r>
      <w:r w:rsidR="00E2455D" w:rsidRPr="00E96CBF">
        <w:rPr>
          <w:vertAlign w:val="superscript"/>
        </w:rPr>
        <w:t>2</w:t>
      </w:r>
      <w:r>
        <w:t xml:space="preserve">. </w:t>
      </w:r>
    </w:p>
    <w:p w14:paraId="5739FA4D" w14:textId="2182FD9B" w:rsidR="00087900" w:rsidRPr="00087900" w:rsidRDefault="00152F92" w:rsidP="00D744FC">
      <w:pPr>
        <w:pStyle w:val="COMexecsummnumbered"/>
      </w:pPr>
      <w:r>
        <w:t xml:space="preserve">The PBAC reaffirmed its July 2023 advice </w:t>
      </w:r>
      <w:r w:rsidR="00087900" w:rsidRPr="00087900">
        <w:t>that the claim of non-inferior comparative safety was not adequately supported by the data</w:t>
      </w:r>
      <w:r w:rsidR="00475BC4">
        <w:t xml:space="preserve"> for any of the comparisons</w:t>
      </w:r>
      <w:r w:rsidR="00087900" w:rsidRPr="00087900">
        <w:t>.</w:t>
      </w:r>
      <w:bookmarkEnd w:id="42"/>
    </w:p>
    <w:p w14:paraId="74A1172E" w14:textId="128C170E" w:rsidR="00B60939" w:rsidRPr="0076762E" w:rsidRDefault="00B60939" w:rsidP="003D5DE7">
      <w:pPr>
        <w:pStyle w:val="COMH2-non-numbered"/>
      </w:pPr>
      <w:bookmarkStart w:id="43" w:name="_Toc22897645"/>
      <w:bookmarkStart w:id="44" w:name="_Toc176618571"/>
      <w:r w:rsidRPr="0076762E">
        <w:t>Economic analysis</w:t>
      </w:r>
      <w:bookmarkEnd w:id="43"/>
      <w:bookmarkEnd w:id="44"/>
      <w:r w:rsidR="00491B3A" w:rsidRPr="0076762E">
        <w:t xml:space="preserve"> </w:t>
      </w:r>
    </w:p>
    <w:p w14:paraId="6C0BD949" w14:textId="5D9903B5" w:rsidR="004855E5" w:rsidRPr="004855E5" w:rsidRDefault="004855E5" w:rsidP="004855E5">
      <w:pPr>
        <w:pStyle w:val="COMexecsummnumbered"/>
      </w:pPr>
      <w:r w:rsidRPr="004855E5">
        <w:t>The resubmission presented a modelled economic evaluation of tirzepatide 15</w:t>
      </w:r>
      <w:r w:rsidR="004253C5">
        <w:t> </w:t>
      </w:r>
      <w:r w:rsidRPr="004855E5">
        <w:t>mg weekly compared to semaglutide 1 mg weekly, based on clinical data from the SURPASS-2 trial post hoc subgroup with baseline BMI ≥35 kg/m</w:t>
      </w:r>
      <w:r w:rsidRPr="002F474F">
        <w:rPr>
          <w:vertAlign w:val="superscript"/>
        </w:rPr>
        <w:t>2</w:t>
      </w:r>
      <w:r w:rsidRPr="004855E5">
        <w:t>, with additional modelled data. Scenario analyses were also presented for comparisons of tirzepatide 10 mg versus semaglutide 1 mg and tirzepatide 5 mg versus semaglutide 0.5 mg.</w:t>
      </w:r>
    </w:p>
    <w:p w14:paraId="1D9BC187" w14:textId="77777777" w:rsidR="004855E5" w:rsidRPr="00846137" w:rsidRDefault="004855E5" w:rsidP="004855E5">
      <w:pPr>
        <w:pStyle w:val="COMexecsummnumbered"/>
        <w:rPr>
          <w:iCs/>
        </w:rPr>
      </w:pPr>
      <w:r w:rsidRPr="004855E5">
        <w:t xml:space="preserve">The resubmission claimed that the comparison of tirzepatide 5 mg versus semaglutide 1 mg was not relevant, as the majority of patients would use tirzepatide 5 mg as a temporary dose only before titrating to higher dose. </w:t>
      </w:r>
      <w:r w:rsidRPr="00E96CBF">
        <w:t>The PBAC previously found this comparison relevant given that increased adverse events associated with higher doses of tirzepatide may limit titration to higher doses in practice; and the requested price for tirzepatide 5 mg was higher than semaglutide 1 mg (para 7.7, 7.11 tirzepatide PSD, July 2023 PBAC meeting). Therefore, a comparison of tirzepatide 5 mg weekly with semaglutide 1 mg weekly was presented during the evaluation.</w:t>
      </w:r>
    </w:p>
    <w:p w14:paraId="7B5C2331" w14:textId="77777777" w:rsidR="004855E5" w:rsidRPr="004855E5" w:rsidRDefault="004855E5" w:rsidP="004855E5">
      <w:pPr>
        <w:pStyle w:val="COMexecsummnumbered"/>
        <w:spacing w:after="0"/>
      </w:pPr>
      <w:bookmarkStart w:id="45" w:name="_Ref184200929"/>
      <w:r w:rsidRPr="004855E5">
        <w:t>The main changes to the economic evaluation in the current resubmission compared with the July 2023 submission include:</w:t>
      </w:r>
      <w:bookmarkEnd w:id="45"/>
    </w:p>
    <w:p w14:paraId="18BF1620" w14:textId="0A313459" w:rsidR="004855E5" w:rsidRPr="0032185B" w:rsidRDefault="004855E5" w:rsidP="00EF2904">
      <w:pPr>
        <w:pStyle w:val="COMexecsummnumbered"/>
        <w:numPr>
          <w:ilvl w:val="0"/>
          <w:numId w:val="18"/>
        </w:numPr>
      </w:pPr>
      <w:r w:rsidRPr="004855E5">
        <w:t>Model baseline characteristics and treatment effects in the current submission were based on the post hoc baseline BMI ≥35 kg/m</w:t>
      </w:r>
      <w:r w:rsidRPr="00EF2904">
        <w:t>2</w:t>
      </w:r>
      <w:r w:rsidRPr="004855E5">
        <w:t xml:space="preserve"> subgroup of the SURPASS-2 trial; compared to the whole trial population in the July 2023 submission.</w:t>
      </w:r>
      <w:r w:rsidR="00982AAD">
        <w:t xml:space="preserve"> </w:t>
      </w:r>
      <w:r w:rsidR="00982AAD" w:rsidRPr="0032185B">
        <w:t>The ESC noted that this was appropriate, although considered that some issues remain around representativeness of the population.</w:t>
      </w:r>
    </w:p>
    <w:p w14:paraId="75C07EE5" w14:textId="050CE837" w:rsidR="004855E5" w:rsidRPr="004855E5" w:rsidRDefault="004855E5" w:rsidP="00EF2904">
      <w:pPr>
        <w:pStyle w:val="COMexecsummnumbered"/>
        <w:numPr>
          <w:ilvl w:val="0"/>
          <w:numId w:val="18"/>
        </w:numPr>
      </w:pPr>
      <w:r w:rsidRPr="004855E5">
        <w:t>Tiered pricing for tirzepatide was incorporated in the current submission (effective DPMQ $</w:t>
      </w:r>
      <w:r w:rsidR="00F111EB" w:rsidRPr="00F111EB">
        <w:rPr>
          <w:color w:val="000000"/>
          <w:w w:val="62"/>
          <w:shd w:val="solid" w:color="000000" w:fill="000000"/>
          <w:fitText w:val="481" w:id="-761014775"/>
          <w14:textFill>
            <w14:solidFill>
              <w14:srgbClr w14:val="000000">
                <w14:alpha w14:val="100000"/>
              </w14:srgbClr>
            </w14:solidFill>
          </w14:textFill>
        </w:rPr>
        <w:t>|||  ||</w:t>
      </w:r>
      <w:r w:rsidR="00F111EB" w:rsidRPr="00F111EB">
        <w:rPr>
          <w:color w:val="000000"/>
          <w:spacing w:val="3"/>
          <w:w w:val="62"/>
          <w:shd w:val="solid" w:color="000000" w:fill="000000"/>
          <w:fitText w:val="481" w:id="-761014775"/>
          <w14:textFill>
            <w14:solidFill>
              <w14:srgbClr w14:val="000000">
                <w14:alpha w14:val="100000"/>
              </w14:srgbClr>
            </w14:solidFill>
          </w14:textFill>
        </w:rPr>
        <w:t>|</w:t>
      </w:r>
      <w:r w:rsidRPr="004855E5">
        <w:t xml:space="preserve"> for 5 mg, $</w:t>
      </w:r>
      <w:r w:rsidR="00F111EB" w:rsidRPr="00F111EB">
        <w:rPr>
          <w:color w:val="000000"/>
          <w:w w:val="60"/>
          <w:shd w:val="solid" w:color="000000" w:fill="000000"/>
          <w:fitText w:val="468" w:id="-761014774"/>
          <w14:textFill>
            <w14:solidFill>
              <w14:srgbClr w14:val="000000">
                <w14:alpha w14:val="100000"/>
              </w14:srgbClr>
            </w14:solidFill>
          </w14:textFill>
        </w:rPr>
        <w:t>|||  ||</w:t>
      </w:r>
      <w:r w:rsidR="00F111EB" w:rsidRPr="00F111EB">
        <w:rPr>
          <w:color w:val="000000"/>
          <w:spacing w:val="4"/>
          <w:w w:val="60"/>
          <w:shd w:val="solid" w:color="000000" w:fill="000000"/>
          <w:fitText w:val="468" w:id="-761014774"/>
          <w14:textFill>
            <w14:solidFill>
              <w14:srgbClr w14:val="000000">
                <w14:alpha w14:val="100000"/>
              </w14:srgbClr>
            </w14:solidFill>
          </w14:textFill>
        </w:rPr>
        <w:t>|</w:t>
      </w:r>
      <w:r w:rsidRPr="004855E5">
        <w:t xml:space="preserve"> for 10 mg, and $</w:t>
      </w:r>
      <w:r w:rsidR="00F111EB" w:rsidRPr="00F111EB">
        <w:rPr>
          <w:color w:val="000000"/>
          <w:w w:val="60"/>
          <w:shd w:val="solid" w:color="000000" w:fill="000000"/>
          <w:fitText w:val="468" w:id="-761014773"/>
          <w14:textFill>
            <w14:solidFill>
              <w14:srgbClr w14:val="000000">
                <w14:alpha w14:val="100000"/>
              </w14:srgbClr>
            </w14:solidFill>
          </w14:textFill>
        </w:rPr>
        <w:t>|||  ||</w:t>
      </w:r>
      <w:r w:rsidR="00F111EB" w:rsidRPr="00F111EB">
        <w:rPr>
          <w:color w:val="000000"/>
          <w:spacing w:val="4"/>
          <w:w w:val="60"/>
          <w:shd w:val="solid" w:color="000000" w:fill="000000"/>
          <w:fitText w:val="468" w:id="-761014773"/>
          <w14:textFill>
            <w14:solidFill>
              <w14:srgbClr w14:val="000000">
                <w14:alpha w14:val="100000"/>
              </w14:srgbClr>
            </w14:solidFill>
          </w14:textFill>
        </w:rPr>
        <w:t>|</w:t>
      </w:r>
      <w:r w:rsidRPr="004855E5">
        <w:t xml:space="preserve"> for 15 mg); compared to flat pricing in the July 2023 submission (effective DPMQ $</w:t>
      </w:r>
      <w:r w:rsidR="00F111EB" w:rsidRPr="00F111EB">
        <w:rPr>
          <w:color w:val="000000"/>
          <w:w w:val="60"/>
          <w:shd w:val="solid" w:color="000000" w:fill="000000"/>
          <w:fitText w:val="468" w:id="-761014772"/>
          <w14:textFill>
            <w14:solidFill>
              <w14:srgbClr w14:val="000000">
                <w14:alpha w14:val="100000"/>
              </w14:srgbClr>
            </w14:solidFill>
          </w14:textFill>
        </w:rPr>
        <w:t>|||  ||</w:t>
      </w:r>
      <w:r w:rsidR="00F111EB" w:rsidRPr="00F111EB">
        <w:rPr>
          <w:color w:val="000000"/>
          <w:spacing w:val="4"/>
          <w:w w:val="60"/>
          <w:shd w:val="solid" w:color="000000" w:fill="000000"/>
          <w:fitText w:val="468" w:id="-761014772"/>
          <w14:textFill>
            <w14:solidFill>
              <w14:srgbClr w14:val="000000">
                <w14:alpha w14:val="100000"/>
              </w14:srgbClr>
            </w14:solidFill>
          </w14:textFill>
        </w:rPr>
        <w:t>|</w:t>
      </w:r>
      <w:r w:rsidRPr="004855E5">
        <w:t xml:space="preserve"> for 5 mg, 10 mg, 15 mg).</w:t>
      </w:r>
      <w:r w:rsidR="00982AAD" w:rsidRPr="00EF2904">
        <w:t xml:space="preserve"> </w:t>
      </w:r>
    </w:p>
    <w:p w14:paraId="74D11D03" w14:textId="5A551F85" w:rsidR="004855E5" w:rsidRPr="0032185B" w:rsidRDefault="004855E5" w:rsidP="00EF2904">
      <w:pPr>
        <w:pStyle w:val="COMexecsummnumbered"/>
        <w:numPr>
          <w:ilvl w:val="0"/>
          <w:numId w:val="18"/>
        </w:numPr>
      </w:pPr>
      <w:r w:rsidRPr="004855E5">
        <w:lastRenderedPageBreak/>
        <w:t>The HbA1c threshold for insulin initiation and intensification was lowered from 7.5% to 7.0%.</w:t>
      </w:r>
      <w:r w:rsidR="002B7307" w:rsidRPr="00EF2904">
        <w:t xml:space="preserve"> </w:t>
      </w:r>
      <w:r w:rsidR="00982AAD" w:rsidRPr="0032185B">
        <w:t xml:space="preserve">The ESC considered use of a 7.0% threshold was not adequately justified and noted this was not as previously advised by the PBAC, </w:t>
      </w:r>
      <w:r w:rsidR="002927A3">
        <w:t>which</w:t>
      </w:r>
      <w:r w:rsidR="002927A3" w:rsidRPr="0032185B">
        <w:t xml:space="preserve"> </w:t>
      </w:r>
      <w:r w:rsidR="00982AAD" w:rsidRPr="0032185B">
        <w:t>suggested an 8.0% threshold.</w:t>
      </w:r>
    </w:p>
    <w:p w14:paraId="1552E5D1" w14:textId="1E02BEC5" w:rsidR="004855E5" w:rsidRPr="004855E5" w:rsidRDefault="004855E5" w:rsidP="00EF2904">
      <w:pPr>
        <w:pStyle w:val="COMexecsummnumbered"/>
        <w:numPr>
          <w:ilvl w:val="0"/>
          <w:numId w:val="18"/>
        </w:numPr>
      </w:pPr>
      <w:r w:rsidRPr="004855E5">
        <w:t>The disutility associated with each hypoglycaemia event was reduced from 0.005 to 0.003.</w:t>
      </w:r>
      <w:r w:rsidR="00982AAD">
        <w:t xml:space="preserve"> </w:t>
      </w:r>
      <w:r w:rsidR="00982AAD" w:rsidRPr="0032185B">
        <w:t>The ESC considered this was appropriate.</w:t>
      </w:r>
    </w:p>
    <w:p w14:paraId="284741CB" w14:textId="0EA71726" w:rsidR="004855E5" w:rsidRPr="004855E5" w:rsidRDefault="004855E5" w:rsidP="00EF2904">
      <w:pPr>
        <w:pStyle w:val="COMexecsummnumbered"/>
        <w:numPr>
          <w:ilvl w:val="0"/>
          <w:numId w:val="18"/>
        </w:numPr>
      </w:pPr>
      <w:r w:rsidRPr="004855E5">
        <w:t>Biomarker drift, previously only included for HbA1c, was included for all biomarkers, except for BMI, systolic blood pressure, and heart rate.</w:t>
      </w:r>
      <w:r w:rsidR="00982AAD">
        <w:t xml:space="preserve"> </w:t>
      </w:r>
      <w:r w:rsidR="00D40E5B" w:rsidRPr="0032185B">
        <w:t>The ESC noted the inclusion of biomarker drift for non-statistically significant differences was selective</w:t>
      </w:r>
      <w:r w:rsidR="00605786" w:rsidRPr="0032185B">
        <w:t xml:space="preserve"> and not well supported, and </w:t>
      </w:r>
      <w:r w:rsidR="00AA797F" w:rsidRPr="0032185B">
        <w:t>considered</w:t>
      </w:r>
      <w:r w:rsidR="00D40E5B" w:rsidRPr="0032185B">
        <w:t xml:space="preserve"> the model should </w:t>
      </w:r>
      <w:r w:rsidR="00605786" w:rsidRPr="0032185B">
        <w:t>include all biomarker drift</w:t>
      </w:r>
      <w:r w:rsidR="00D40E5B" w:rsidRPr="0032185B">
        <w:t>.</w:t>
      </w:r>
    </w:p>
    <w:p w14:paraId="1C902E21" w14:textId="73541C67" w:rsidR="004855E5" w:rsidRPr="0032185B" w:rsidRDefault="002D798F" w:rsidP="00EF2904">
      <w:pPr>
        <w:pStyle w:val="COMexecsummnumbered"/>
        <w:numPr>
          <w:ilvl w:val="0"/>
          <w:numId w:val="18"/>
        </w:numPr>
      </w:pPr>
      <w:r w:rsidRPr="002D798F">
        <w:t>The resubmission also corrected errors in the previous model’s inconsistent application of eGFR treatment effects across treatment arms, insulin dosing per script, and use of the wrong source of mortality for patients with a history of events but no events; and updated unit costs, the inflation factor for diabetes complication costs, and the source of Australian life tables.</w:t>
      </w:r>
      <w:r w:rsidR="00605786">
        <w:t xml:space="preserve"> </w:t>
      </w:r>
      <w:r w:rsidR="00605786" w:rsidRPr="0032185B">
        <w:t>The ESC considered these changes to be generally appropriate.</w:t>
      </w:r>
    </w:p>
    <w:p w14:paraId="6246626E" w14:textId="491B96B0" w:rsidR="004855E5" w:rsidRPr="004855E5" w:rsidRDefault="004855E5" w:rsidP="004855E5">
      <w:pPr>
        <w:pStyle w:val="COMexecsummnumbered"/>
      </w:pPr>
      <w:r w:rsidRPr="004855E5">
        <w:fldChar w:fldCharType="begin" w:fldLock="1"/>
      </w:r>
      <w:r w:rsidRPr="004855E5">
        <w:instrText xml:space="preserve"> REF _Ref174705561 \h </w:instrText>
      </w:r>
      <w:r>
        <w:instrText xml:space="preserve"> \* MERGEFORMAT </w:instrText>
      </w:r>
      <w:r w:rsidRPr="004855E5">
        <w:fldChar w:fldCharType="separate"/>
      </w:r>
      <w:r w:rsidR="00EE035D" w:rsidRPr="00741BD4">
        <w:t xml:space="preserve">Table </w:t>
      </w:r>
      <w:r w:rsidR="00EE035D">
        <w:t>9</w:t>
      </w:r>
      <w:r w:rsidRPr="004855E5">
        <w:fldChar w:fldCharType="end"/>
      </w:r>
      <w:r w:rsidRPr="004855E5">
        <w:t xml:space="preserve"> summarises the key components of the economic evaluation.</w:t>
      </w:r>
    </w:p>
    <w:p w14:paraId="67732EA8" w14:textId="2915DFCA" w:rsidR="00346405" w:rsidRPr="00741BD4" w:rsidRDefault="00346405" w:rsidP="00346405">
      <w:pPr>
        <w:pStyle w:val="COMTableheadingrow"/>
      </w:pPr>
      <w:bookmarkStart w:id="46" w:name="_Ref174705561"/>
      <w:r w:rsidRPr="00741BD4">
        <w:t xml:space="preserve">Table </w:t>
      </w:r>
      <w:r>
        <w:fldChar w:fldCharType="begin" w:fldLock="1"/>
      </w:r>
      <w:r>
        <w:instrText xml:space="preserve"> SEQ Table \* ARABIC </w:instrText>
      </w:r>
      <w:r>
        <w:fldChar w:fldCharType="separate"/>
      </w:r>
      <w:r w:rsidR="00EE035D">
        <w:rPr>
          <w:noProof/>
        </w:rPr>
        <w:t>9</w:t>
      </w:r>
      <w:r>
        <w:fldChar w:fldCharType="end"/>
      </w:r>
      <w:bookmarkEnd w:id="46"/>
      <w:r w:rsidRPr="00741BD4">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Key components of the economic evaluation"/>
      </w:tblPr>
      <w:tblGrid>
        <w:gridCol w:w="1414"/>
        <w:gridCol w:w="7603"/>
      </w:tblGrid>
      <w:tr w:rsidR="00346405" w:rsidRPr="00346405" w14:paraId="43A78A13" w14:textId="77777777" w:rsidTr="00A1032E">
        <w:trPr>
          <w:tblHeader/>
        </w:trPr>
        <w:tc>
          <w:tcPr>
            <w:tcW w:w="784" w:type="pct"/>
            <w:vAlign w:val="center"/>
          </w:tcPr>
          <w:p w14:paraId="48D1C197" w14:textId="77777777" w:rsidR="00346405" w:rsidRPr="00346405" w:rsidRDefault="00346405" w:rsidP="00A1032E">
            <w:pPr>
              <w:pStyle w:val="COMTableheadingrow"/>
              <w:keepNext w:val="0"/>
              <w:rPr>
                <w:lang w:val="en-AU"/>
              </w:rPr>
            </w:pPr>
            <w:r w:rsidRPr="00346405">
              <w:rPr>
                <w:lang w:val="en-AU"/>
              </w:rPr>
              <w:t>Component</w:t>
            </w:r>
          </w:p>
        </w:tc>
        <w:tc>
          <w:tcPr>
            <w:tcW w:w="4216" w:type="pct"/>
          </w:tcPr>
          <w:p w14:paraId="31FCA08A" w14:textId="77777777" w:rsidR="00346405" w:rsidRPr="00346405" w:rsidRDefault="00346405" w:rsidP="00A1032E">
            <w:pPr>
              <w:pStyle w:val="COMTableheadingrow"/>
              <w:keepNext w:val="0"/>
              <w:rPr>
                <w:lang w:val="en-AU"/>
              </w:rPr>
            </w:pPr>
            <w:r w:rsidRPr="00346405">
              <w:rPr>
                <w:lang w:val="en-AU"/>
              </w:rPr>
              <w:t>Description</w:t>
            </w:r>
          </w:p>
        </w:tc>
      </w:tr>
      <w:tr w:rsidR="00346405" w:rsidRPr="00346405" w14:paraId="1DF80A90" w14:textId="77777777" w:rsidTr="00A1032E">
        <w:tc>
          <w:tcPr>
            <w:tcW w:w="784" w:type="pct"/>
            <w:vAlign w:val="center"/>
          </w:tcPr>
          <w:p w14:paraId="0D68E0BC" w14:textId="77777777" w:rsidR="00346405" w:rsidRPr="00346405" w:rsidRDefault="00346405" w:rsidP="00A1032E">
            <w:pPr>
              <w:pStyle w:val="COMTabletext"/>
              <w:keepNext w:val="0"/>
            </w:pPr>
            <w:r w:rsidRPr="00346405">
              <w:t>Type of analysis</w:t>
            </w:r>
          </w:p>
        </w:tc>
        <w:tc>
          <w:tcPr>
            <w:tcW w:w="4216" w:type="pct"/>
          </w:tcPr>
          <w:p w14:paraId="0B823A02" w14:textId="77777777" w:rsidR="00346405" w:rsidRPr="00346405" w:rsidRDefault="00346405" w:rsidP="00A1032E">
            <w:pPr>
              <w:pStyle w:val="COMTabletext"/>
              <w:keepNext w:val="0"/>
            </w:pPr>
            <w:r w:rsidRPr="00346405">
              <w:t>Cost-effectiveness/cost-utility analysis</w:t>
            </w:r>
          </w:p>
        </w:tc>
      </w:tr>
      <w:tr w:rsidR="00346405" w:rsidRPr="00346405" w14:paraId="5AB241EF" w14:textId="77777777" w:rsidTr="00A1032E">
        <w:tc>
          <w:tcPr>
            <w:tcW w:w="784" w:type="pct"/>
            <w:vAlign w:val="center"/>
          </w:tcPr>
          <w:p w14:paraId="4FB9F3C1" w14:textId="77777777" w:rsidR="00346405" w:rsidRPr="00346405" w:rsidRDefault="00346405" w:rsidP="00A1032E">
            <w:pPr>
              <w:pStyle w:val="COMTabletext"/>
              <w:keepNext w:val="0"/>
            </w:pPr>
            <w:r w:rsidRPr="00346405">
              <w:t>Outcomes</w:t>
            </w:r>
          </w:p>
        </w:tc>
        <w:tc>
          <w:tcPr>
            <w:tcW w:w="4216" w:type="pct"/>
          </w:tcPr>
          <w:p w14:paraId="2BC90ADB" w14:textId="42002752" w:rsidR="00346405" w:rsidRPr="00346405" w:rsidRDefault="00346405" w:rsidP="00A1032E">
            <w:pPr>
              <w:pStyle w:val="COMTabletext"/>
              <w:keepNext w:val="0"/>
            </w:pPr>
            <w:r>
              <w:t>L</w:t>
            </w:r>
            <w:r w:rsidRPr="00346405">
              <w:t>ife years, quality-adjusted life years</w:t>
            </w:r>
          </w:p>
        </w:tc>
      </w:tr>
      <w:tr w:rsidR="00346405" w:rsidRPr="00346405" w14:paraId="02967F93" w14:textId="77777777" w:rsidTr="00A1032E">
        <w:tc>
          <w:tcPr>
            <w:tcW w:w="784" w:type="pct"/>
            <w:vAlign w:val="center"/>
          </w:tcPr>
          <w:p w14:paraId="03984784" w14:textId="77777777" w:rsidR="00346405" w:rsidRPr="00346405" w:rsidRDefault="00346405" w:rsidP="00A1032E">
            <w:pPr>
              <w:pStyle w:val="COMTabletext"/>
              <w:keepNext w:val="0"/>
            </w:pPr>
            <w:r w:rsidRPr="00346405">
              <w:t>Time horizon</w:t>
            </w:r>
          </w:p>
        </w:tc>
        <w:tc>
          <w:tcPr>
            <w:tcW w:w="4216" w:type="pct"/>
          </w:tcPr>
          <w:p w14:paraId="03FC56B1" w14:textId="77777777" w:rsidR="00346405" w:rsidRPr="00346405" w:rsidRDefault="00346405" w:rsidP="00A1032E">
            <w:pPr>
              <w:pStyle w:val="COMTabletext"/>
              <w:keepNext w:val="0"/>
            </w:pPr>
            <w:r w:rsidRPr="00346405">
              <w:t>Lifetime (maximum 50 years); with 1 year cycle length (no half-cycle correction)</w:t>
            </w:r>
          </w:p>
        </w:tc>
      </w:tr>
      <w:tr w:rsidR="00346405" w:rsidRPr="00346405" w14:paraId="54B6B694" w14:textId="77777777" w:rsidTr="00A1032E">
        <w:tc>
          <w:tcPr>
            <w:tcW w:w="784" w:type="pct"/>
            <w:vAlign w:val="center"/>
          </w:tcPr>
          <w:p w14:paraId="62A8D183" w14:textId="77777777" w:rsidR="00346405" w:rsidRPr="00346405" w:rsidRDefault="00346405" w:rsidP="00A1032E">
            <w:pPr>
              <w:pStyle w:val="COMTabletext"/>
              <w:keepNext w:val="0"/>
            </w:pPr>
            <w:r w:rsidRPr="00346405">
              <w:t>Methods used to generate results</w:t>
            </w:r>
          </w:p>
        </w:tc>
        <w:tc>
          <w:tcPr>
            <w:tcW w:w="4216" w:type="pct"/>
            <w:vAlign w:val="center"/>
          </w:tcPr>
          <w:p w14:paraId="017A87C1" w14:textId="77777777" w:rsidR="00346405" w:rsidRPr="00346405" w:rsidRDefault="00346405" w:rsidP="00A1032E">
            <w:pPr>
              <w:pStyle w:val="COMTabletext"/>
              <w:keepNext w:val="0"/>
            </w:pPr>
            <w:r w:rsidRPr="00346405">
              <w:t>Patient-level microsimulation model (10,000 patients; runtime approximately 30-40 minutes).</w:t>
            </w:r>
          </w:p>
        </w:tc>
      </w:tr>
      <w:tr w:rsidR="00346405" w:rsidRPr="00346405" w14:paraId="72E37534" w14:textId="77777777" w:rsidTr="00A1032E">
        <w:tc>
          <w:tcPr>
            <w:tcW w:w="784" w:type="pct"/>
            <w:vAlign w:val="center"/>
          </w:tcPr>
          <w:p w14:paraId="00871FD7" w14:textId="77777777" w:rsidR="00346405" w:rsidRPr="00346405" w:rsidRDefault="00346405" w:rsidP="00A1032E">
            <w:pPr>
              <w:pStyle w:val="COMTabletext"/>
              <w:keepNext w:val="0"/>
            </w:pPr>
            <w:r w:rsidRPr="00346405">
              <w:t>Treatments</w:t>
            </w:r>
          </w:p>
        </w:tc>
        <w:tc>
          <w:tcPr>
            <w:tcW w:w="4216" w:type="pct"/>
          </w:tcPr>
          <w:p w14:paraId="5ADD3267" w14:textId="3D5268C7" w:rsidR="00346405" w:rsidRPr="00346405" w:rsidRDefault="00346405" w:rsidP="00A1032E">
            <w:pPr>
              <w:pStyle w:val="COMTabletext"/>
              <w:keepNext w:val="0"/>
            </w:pPr>
            <w:r w:rsidRPr="00346405">
              <w:t>Tirzepatide 15 mg weekly or semaglutide 1 mg weekly in combination with metformin; with 2 further lines of insulin intensification therapy (basal insulin, basal and bolus insulin)</w:t>
            </w:r>
            <w:r w:rsidR="00E44E3D">
              <w:t>.</w:t>
            </w:r>
          </w:p>
        </w:tc>
      </w:tr>
      <w:tr w:rsidR="00346405" w:rsidRPr="00346405" w14:paraId="2F3DF456" w14:textId="77777777" w:rsidTr="00A1032E">
        <w:tc>
          <w:tcPr>
            <w:tcW w:w="784" w:type="pct"/>
            <w:vAlign w:val="center"/>
          </w:tcPr>
          <w:p w14:paraId="1B1444C1" w14:textId="77777777" w:rsidR="00346405" w:rsidRPr="00346405" w:rsidRDefault="00346405" w:rsidP="00A1032E">
            <w:pPr>
              <w:pStyle w:val="COMTabletext"/>
              <w:keepNext w:val="0"/>
            </w:pPr>
            <w:r w:rsidRPr="00346405">
              <w:t>Model structure</w:t>
            </w:r>
          </w:p>
        </w:tc>
        <w:tc>
          <w:tcPr>
            <w:tcW w:w="4216" w:type="pct"/>
          </w:tcPr>
          <w:p w14:paraId="739E5323" w14:textId="77777777" w:rsidR="00346405" w:rsidRPr="00346405" w:rsidRDefault="00346405" w:rsidP="00A1032E">
            <w:pPr>
              <w:pStyle w:val="COMTabletext"/>
              <w:keepNext w:val="0"/>
              <w:spacing w:after="60"/>
            </w:pPr>
            <w:r w:rsidRPr="00346405">
              <w:t>The model tracks individual patient-level changes in surrogate biomarkers over time.</w:t>
            </w:r>
          </w:p>
          <w:p w14:paraId="1BE85A4E" w14:textId="77777777" w:rsidR="00346405" w:rsidRPr="00346405" w:rsidRDefault="00346405" w:rsidP="00A1032E">
            <w:pPr>
              <w:pStyle w:val="COMTabletext"/>
              <w:keepNext w:val="0"/>
              <w:spacing w:after="60"/>
            </w:pPr>
            <w:r w:rsidRPr="00346405">
              <w:t>The risk of events in each annual cycle is determined by a randomly ordered sequence of risk modules for diabetes complications (congestive heart failure, ischaemic heart disease, first and subsequent myocardial infarction, first and subsequent stroke, blindness, ulcer, first and subsequent amputation, renal failure). Adverse event risk modules are also used to capture treatment-specific event rates for hypoglycaemia and nausea.</w:t>
            </w:r>
          </w:p>
          <w:p w14:paraId="3BDD2E17" w14:textId="77777777" w:rsidR="00346405" w:rsidRPr="00346405" w:rsidRDefault="00346405" w:rsidP="00A1032E">
            <w:pPr>
              <w:pStyle w:val="COMTabletext"/>
              <w:keepNext w:val="0"/>
            </w:pPr>
            <w:r w:rsidRPr="00346405">
              <w:t>The risk of death is captured in separate risk modules depending on patient event history (years with no event history or events, first year of events, years with history of events but no events, subsequent years of events).</w:t>
            </w:r>
          </w:p>
        </w:tc>
      </w:tr>
      <w:tr w:rsidR="00346405" w:rsidRPr="00346405" w14:paraId="01765BC2" w14:textId="77777777" w:rsidTr="00A1032E">
        <w:tc>
          <w:tcPr>
            <w:tcW w:w="784" w:type="pct"/>
            <w:vAlign w:val="center"/>
          </w:tcPr>
          <w:p w14:paraId="76D341C2" w14:textId="77777777" w:rsidR="00346405" w:rsidRPr="00346405" w:rsidRDefault="00346405" w:rsidP="00A1032E">
            <w:pPr>
              <w:pStyle w:val="COMTabletext"/>
              <w:keepNext w:val="0"/>
            </w:pPr>
            <w:r w:rsidRPr="00346405">
              <w:t>Patient characteristics and circumstances of use</w:t>
            </w:r>
          </w:p>
        </w:tc>
        <w:tc>
          <w:tcPr>
            <w:tcW w:w="4216" w:type="pct"/>
          </w:tcPr>
          <w:p w14:paraId="218EAA5C" w14:textId="77777777" w:rsidR="00346405" w:rsidRPr="008F41F6" w:rsidRDefault="00346405" w:rsidP="00A1032E">
            <w:pPr>
              <w:pStyle w:val="TableText"/>
              <w:spacing w:after="60"/>
              <w:rPr>
                <w:i w:val="0"/>
                <w:iCs w:val="0"/>
              </w:rPr>
            </w:pPr>
            <w:r w:rsidRPr="008F41F6">
              <w:rPr>
                <w:i w:val="0"/>
                <w:iCs w:val="0"/>
              </w:rPr>
              <w:t xml:space="preserve">Baseline age, sex, race, smoking status, duration of diabetes, HbA1c, systolic blood pressure, LDL, HDL, BMI, eGFR, heart rate, white blood cell counts, haemoglobin levels and prior history of complications (albuminuria, peripheral vascular disease, atrial fibrillation, congestive heart failure, ischaemic heart disease, myocardial infarction, stroke, blindness, ulcer, amputation and renal disease) were estimated based on the SURPASS-2 trial </w:t>
            </w:r>
            <w:r w:rsidRPr="00B62915">
              <w:t>post hoc</w:t>
            </w:r>
            <w:r w:rsidRPr="008F41F6">
              <w:rPr>
                <w:i w:val="0"/>
                <w:iCs w:val="0"/>
              </w:rPr>
              <w:t xml:space="preserve"> subgroup with BMI ≥35 kg/m</w:t>
            </w:r>
            <w:r w:rsidRPr="008F41F6">
              <w:rPr>
                <w:i w:val="0"/>
                <w:iCs w:val="0"/>
                <w:vertAlign w:val="superscript"/>
              </w:rPr>
              <w:t>2</w:t>
            </w:r>
            <w:r w:rsidRPr="008F41F6">
              <w:rPr>
                <w:i w:val="0"/>
                <w:iCs w:val="0"/>
              </w:rPr>
              <w:t xml:space="preserve"> (compared to the whole trial population in the July 2023 submission).</w:t>
            </w:r>
          </w:p>
          <w:p w14:paraId="792A6110" w14:textId="77777777" w:rsidR="00346405" w:rsidRPr="008F41F6" w:rsidRDefault="00346405" w:rsidP="00A1032E">
            <w:pPr>
              <w:pStyle w:val="TableText"/>
              <w:spacing w:after="60"/>
              <w:rPr>
                <w:i w:val="0"/>
                <w:iCs w:val="0"/>
              </w:rPr>
            </w:pPr>
            <w:r w:rsidRPr="008F41F6">
              <w:rPr>
                <w:i w:val="0"/>
                <w:iCs w:val="0"/>
              </w:rPr>
              <w:t>The resubmission sampled the baseline characteristics of modelled patients assuming a normal distribution around mean values.</w:t>
            </w:r>
          </w:p>
          <w:p w14:paraId="69DA9440" w14:textId="77777777" w:rsidR="00346405" w:rsidRPr="008F41F6" w:rsidRDefault="00346405" w:rsidP="00A1032E">
            <w:pPr>
              <w:pStyle w:val="COMTabletext"/>
              <w:keepNext w:val="0"/>
            </w:pPr>
            <w:r w:rsidRPr="008F41F6">
              <w:t xml:space="preserve">The modelled circumstances of use assumed flat dosing of GLP-1 RA/GIP therapies, assumed that patients would not prematurely discontinue therapy, assumed patients would switch to insulin when </w:t>
            </w:r>
            <w:r w:rsidRPr="008F41F6">
              <w:lastRenderedPageBreak/>
              <w:t>HbA1c &gt;7.0% and would intensify treatment if the same threshold was reached again (compared to HbA1c &gt;7.5% in the July 2023 submission), assumed GLP-1 RA/GIP therapy must be stopped with the initiation of insulin, and assumed flat dosing of insulin therapies.</w:t>
            </w:r>
          </w:p>
        </w:tc>
      </w:tr>
      <w:tr w:rsidR="00346405" w:rsidRPr="00346405" w14:paraId="14894E52" w14:textId="77777777" w:rsidTr="00A1032E">
        <w:tc>
          <w:tcPr>
            <w:tcW w:w="784" w:type="pct"/>
            <w:vAlign w:val="center"/>
          </w:tcPr>
          <w:p w14:paraId="34AAC24C" w14:textId="77777777" w:rsidR="00346405" w:rsidRPr="00346405" w:rsidRDefault="00346405" w:rsidP="00A1032E">
            <w:pPr>
              <w:pStyle w:val="COMTabletext"/>
              <w:keepNext w:val="0"/>
            </w:pPr>
            <w:r w:rsidRPr="00346405">
              <w:lastRenderedPageBreak/>
              <w:t>Transition probabilities</w:t>
            </w:r>
          </w:p>
        </w:tc>
        <w:tc>
          <w:tcPr>
            <w:tcW w:w="4216" w:type="pct"/>
          </w:tcPr>
          <w:p w14:paraId="15ECA685" w14:textId="77777777" w:rsidR="00346405" w:rsidRPr="00346405" w:rsidRDefault="00346405" w:rsidP="00A1032E">
            <w:pPr>
              <w:pStyle w:val="COMTabletext"/>
              <w:keepNext w:val="0"/>
              <w:spacing w:after="60"/>
            </w:pPr>
            <w:r w:rsidRPr="00346405">
              <w:t xml:space="preserve">Treatment effects (on HbA1c, systolic blood pressure, LDL cholesterol, HDL cholesterol, BMI, eGFR and heart rate) for GLP-1 RA/GIP therapy were based on the SURPASS-2 trial </w:t>
            </w:r>
            <w:r w:rsidRPr="00346405">
              <w:rPr>
                <w:i/>
                <w:iCs/>
              </w:rPr>
              <w:t>post hoc</w:t>
            </w:r>
            <w:r w:rsidRPr="00346405">
              <w:t xml:space="preserve"> subgroup with BMI ≥35 kg/m</w:t>
            </w:r>
            <w:r w:rsidRPr="00346405">
              <w:rPr>
                <w:vertAlign w:val="superscript"/>
              </w:rPr>
              <w:t>2</w:t>
            </w:r>
            <w:r w:rsidRPr="00346405">
              <w:t xml:space="preserve"> (compared to the whole trial population in the July 2023 submission). The submission sampled treatment effects for individual modelled patients assuming a normal distribution around mean values. HbA1c, LDL cholesterol, HDL cholesterol, eGFR, WBC count, and haemoglobin were assumed to gradually progress over time, based on the UKPDS OM2 risk equations; while BMI, SBP and heart rate were assumed to remain constant (the July 2023 submission assumed UKPDS progression of HbA1c only). No modelled patients were allowed to discontinue prematurely.</w:t>
            </w:r>
          </w:p>
          <w:p w14:paraId="32BCF12E" w14:textId="069084EA" w:rsidR="00346405" w:rsidRPr="00346405" w:rsidRDefault="00346405" w:rsidP="00A1032E">
            <w:pPr>
              <w:pStyle w:val="COMTabletext"/>
              <w:keepNext w:val="0"/>
              <w:spacing w:after="60"/>
            </w:pPr>
            <w:r w:rsidRPr="00346405">
              <w:t>Patients were assumed to intensify therapy with insulin when HbA1c</w:t>
            </w:r>
            <w:r w:rsidR="00E44E3D">
              <w:t xml:space="preserve"> was</w:t>
            </w:r>
            <w:r w:rsidRPr="00346405">
              <w:t xml:space="preserve"> &gt;7.0% (compared to &gt;7.5% in the July 2023 submission). HbA1c levels were assumed to remain unaffected by patients discontinuing GLP-1 RA/GIP therapy when initiating insulin therapy. Insulin intensification was assumed to revert BMI, systolic blood pressure and heart rate to baseline values, with no impact on LDL cholesterol, HDL cholesterol, and eGFR (compared to all biomarkers except HbA1c reverting to baseline in the July 2023 submission). Insulin treatment effects on HbA1c were estimated based on a systematic review of insulin studies (Willis 2017). Biomarker progression on insulin was the same as for GLP-1 RA/GIP therapies. No modelled patients were allowed to discontinue prematurely.</w:t>
            </w:r>
          </w:p>
          <w:p w14:paraId="157D3E07" w14:textId="77777777" w:rsidR="00346405" w:rsidRPr="00346405" w:rsidRDefault="00346405" w:rsidP="00A1032E">
            <w:pPr>
              <w:pStyle w:val="COMTabletext"/>
              <w:keepNext w:val="0"/>
              <w:spacing w:after="60"/>
            </w:pPr>
            <w:r w:rsidRPr="00346405">
              <w:t xml:space="preserve">Adverse event risk for GLP-1 RA/GIP therapy was estimated based on the SURPASS-2 trial </w:t>
            </w:r>
            <w:r w:rsidRPr="00346405">
              <w:rPr>
                <w:i/>
                <w:iCs/>
              </w:rPr>
              <w:t>post hoc</w:t>
            </w:r>
            <w:r w:rsidRPr="00346405">
              <w:t xml:space="preserve"> subgroup with baseline BMI ≥35 kg/m</w:t>
            </w:r>
            <w:r w:rsidRPr="00346405">
              <w:rPr>
                <w:vertAlign w:val="superscript"/>
              </w:rPr>
              <w:t>2</w:t>
            </w:r>
            <w:r w:rsidRPr="00346405">
              <w:t xml:space="preserve"> (compared to the whole trial population in the July 2023 submission). Adverse event risk for insulin was estimated based on the </w:t>
            </w:r>
            <w:proofErr w:type="spellStart"/>
            <w:r w:rsidRPr="00346405">
              <w:t>ReFLECT</w:t>
            </w:r>
            <w:proofErr w:type="spellEnd"/>
            <w:r w:rsidRPr="00346405">
              <w:t xml:space="preserve"> observational study (</w:t>
            </w:r>
            <w:proofErr w:type="spellStart"/>
            <w:r w:rsidRPr="00346405">
              <w:t>Fadini</w:t>
            </w:r>
            <w:proofErr w:type="spellEnd"/>
            <w:r w:rsidRPr="00346405">
              <w:t xml:space="preserve"> 2019).</w:t>
            </w:r>
          </w:p>
          <w:p w14:paraId="6699F493" w14:textId="77777777" w:rsidR="004D4B41" w:rsidRDefault="00346405" w:rsidP="004D4B41">
            <w:pPr>
              <w:pStyle w:val="COMTabletext"/>
              <w:keepNext w:val="0"/>
              <w:spacing w:after="60"/>
            </w:pPr>
            <w:r w:rsidRPr="00346405">
              <w:t>The risk of diabetes complications was based on the UKPDS OM2 risk equations.</w:t>
            </w:r>
          </w:p>
          <w:p w14:paraId="00C1593E" w14:textId="0455B1FD" w:rsidR="00346405" w:rsidRPr="00346405" w:rsidRDefault="00346405" w:rsidP="00A1032E">
            <w:pPr>
              <w:pStyle w:val="COMTabletext"/>
              <w:keepNext w:val="0"/>
            </w:pPr>
            <w:r w:rsidRPr="00346405">
              <w:t>The risk of death was based on UKPDS OM2 risk equations for ‘first year of events’ and ‘subsequent years of events’; and Australian life tables for ‘years with no event history or events’ and ‘years with history of events but no events’.</w:t>
            </w:r>
          </w:p>
        </w:tc>
      </w:tr>
      <w:tr w:rsidR="00346405" w:rsidRPr="00346405" w14:paraId="3FCE62DA" w14:textId="77777777" w:rsidTr="00A1032E">
        <w:tc>
          <w:tcPr>
            <w:tcW w:w="784" w:type="pct"/>
            <w:vAlign w:val="center"/>
          </w:tcPr>
          <w:p w14:paraId="728E50C1" w14:textId="77777777" w:rsidR="00346405" w:rsidRPr="00346405" w:rsidRDefault="00346405" w:rsidP="00A1032E">
            <w:pPr>
              <w:pStyle w:val="COMTabletext"/>
              <w:keepNext w:val="0"/>
            </w:pPr>
            <w:r w:rsidRPr="00346405">
              <w:t>Utility values</w:t>
            </w:r>
          </w:p>
        </w:tc>
        <w:tc>
          <w:tcPr>
            <w:tcW w:w="4216" w:type="pct"/>
            <w:vAlign w:val="center"/>
          </w:tcPr>
          <w:p w14:paraId="58BCE935" w14:textId="77777777" w:rsidR="00346405" w:rsidRPr="00346405" w:rsidRDefault="00346405" w:rsidP="00A1032E">
            <w:pPr>
              <w:pStyle w:val="Tabletext0"/>
              <w:widowControl w:val="0"/>
              <w:spacing w:after="60"/>
              <w:rPr>
                <w:rFonts w:eastAsia="Calibri"/>
              </w:rPr>
            </w:pPr>
            <w:r w:rsidRPr="00346405">
              <w:rPr>
                <w:rFonts w:eastAsia="Calibri"/>
              </w:rPr>
              <w:t>The baseline utility values and disutility values for congestive heart failure, ischaemic heart disease, myocardial infarction, stroke, amputation and blindness were estimated based on the UKPDS study (Clarke 2002).</w:t>
            </w:r>
          </w:p>
          <w:p w14:paraId="624B8213" w14:textId="77777777" w:rsidR="00346405" w:rsidRPr="00346405" w:rsidRDefault="00346405" w:rsidP="00A1032E">
            <w:pPr>
              <w:pStyle w:val="Tabletext0"/>
              <w:widowControl w:val="0"/>
              <w:spacing w:after="60"/>
              <w:rPr>
                <w:rFonts w:eastAsia="Calibri"/>
              </w:rPr>
            </w:pPr>
            <w:r w:rsidRPr="00346405">
              <w:rPr>
                <w:rFonts w:eastAsia="Calibri"/>
              </w:rPr>
              <w:t>The disutility values for ulcer and renal failure were estimated based on the CODE-2 study (</w:t>
            </w:r>
            <w:proofErr w:type="spellStart"/>
            <w:r w:rsidRPr="00346405">
              <w:rPr>
                <w:rFonts w:eastAsia="Calibri"/>
              </w:rPr>
              <w:t>Bagust</w:t>
            </w:r>
            <w:proofErr w:type="spellEnd"/>
            <w:r w:rsidRPr="00346405">
              <w:rPr>
                <w:rFonts w:eastAsia="Calibri"/>
              </w:rPr>
              <w:t xml:space="preserve"> and Beale, 2005).</w:t>
            </w:r>
          </w:p>
          <w:p w14:paraId="05C9FB5B" w14:textId="77777777" w:rsidR="00346405" w:rsidRPr="00346405" w:rsidRDefault="00346405" w:rsidP="00A1032E">
            <w:pPr>
              <w:pStyle w:val="Tabletext0"/>
              <w:widowControl w:val="0"/>
              <w:spacing w:after="60"/>
              <w:rPr>
                <w:rFonts w:eastAsia="Calibri"/>
              </w:rPr>
            </w:pPr>
            <w:r w:rsidRPr="00346405">
              <w:rPr>
                <w:rFonts w:eastAsia="Calibri"/>
              </w:rPr>
              <w:t>Age based disutility values were estimated based on an Australian general population sample (Clemens 2014); and assumed to apply to all modelled patients 55 years or older (compared to patients 58 years or older in the July 2023 submission).</w:t>
            </w:r>
          </w:p>
          <w:p w14:paraId="30BC8D7A" w14:textId="77777777" w:rsidR="00346405" w:rsidRPr="00346405" w:rsidRDefault="00346405" w:rsidP="00A1032E">
            <w:pPr>
              <w:pStyle w:val="Tabletext0"/>
              <w:widowControl w:val="0"/>
              <w:spacing w:after="60"/>
              <w:rPr>
                <w:rFonts w:eastAsia="Calibri"/>
              </w:rPr>
            </w:pPr>
            <w:r w:rsidRPr="00346405">
              <w:rPr>
                <w:rFonts w:eastAsia="Calibri"/>
              </w:rPr>
              <w:t xml:space="preserve">Hypoglycaemia disutility values (Evans 2013), nausea disutility values (Matza 2007) and first year weight loss utility values (Boye 2022) were estimated from published vignette studies. </w:t>
            </w:r>
          </w:p>
          <w:p w14:paraId="4C8C5CBB" w14:textId="77777777" w:rsidR="00346405" w:rsidRPr="00346405" w:rsidRDefault="00346405" w:rsidP="00A1032E">
            <w:pPr>
              <w:pStyle w:val="COMTabletext"/>
              <w:keepNext w:val="0"/>
            </w:pPr>
            <w:r w:rsidRPr="00346405">
              <w:rPr>
                <w:rFonts w:eastAsia="Calibri"/>
              </w:rPr>
              <w:t>Weight disutility values in subsequent years were estimated based on the CODE-2 study (</w:t>
            </w:r>
            <w:proofErr w:type="spellStart"/>
            <w:r w:rsidRPr="00346405">
              <w:rPr>
                <w:rFonts w:eastAsia="Calibri"/>
              </w:rPr>
              <w:t>Bagust</w:t>
            </w:r>
            <w:proofErr w:type="spellEnd"/>
            <w:r w:rsidRPr="00346405">
              <w:rPr>
                <w:rFonts w:eastAsia="Calibri"/>
              </w:rPr>
              <w:t xml:space="preserve"> and Beale, 2005) and applied to all patients with a BMI &gt;25 kg/m</w:t>
            </w:r>
            <w:r w:rsidRPr="00346405">
              <w:rPr>
                <w:rFonts w:eastAsia="Calibri"/>
                <w:vertAlign w:val="superscript"/>
              </w:rPr>
              <w:t>2</w:t>
            </w:r>
            <w:r w:rsidRPr="00346405">
              <w:rPr>
                <w:rFonts w:eastAsia="Calibri"/>
              </w:rPr>
              <w:t>.</w:t>
            </w:r>
          </w:p>
        </w:tc>
      </w:tr>
      <w:tr w:rsidR="00346405" w:rsidRPr="00346405" w14:paraId="42AACE5B" w14:textId="77777777" w:rsidTr="00A1032E">
        <w:tc>
          <w:tcPr>
            <w:tcW w:w="784" w:type="pct"/>
            <w:vAlign w:val="center"/>
          </w:tcPr>
          <w:p w14:paraId="6BB314C4" w14:textId="77777777" w:rsidR="00346405" w:rsidRPr="00346405" w:rsidRDefault="00346405" w:rsidP="00A1032E">
            <w:pPr>
              <w:pStyle w:val="COMTabletext"/>
              <w:keepNext w:val="0"/>
            </w:pPr>
            <w:r w:rsidRPr="00346405">
              <w:t>Costs</w:t>
            </w:r>
          </w:p>
        </w:tc>
        <w:tc>
          <w:tcPr>
            <w:tcW w:w="4216" w:type="pct"/>
            <w:vAlign w:val="center"/>
          </w:tcPr>
          <w:p w14:paraId="50309FA9" w14:textId="332CC31B" w:rsidR="00346405" w:rsidRDefault="00346405" w:rsidP="00FD2CC0">
            <w:pPr>
              <w:pStyle w:val="TableText"/>
              <w:spacing w:after="60"/>
              <w:rPr>
                <w:i w:val="0"/>
                <w:iCs w:val="0"/>
              </w:rPr>
            </w:pPr>
            <w:r w:rsidRPr="00FD2CC0">
              <w:rPr>
                <w:i w:val="0"/>
                <w:iCs w:val="0"/>
              </w:rPr>
              <w:t xml:space="preserve">The cost of tirzepatide was based on fixed dosing at 5, 10 or 15 mg per week; and the proposed tiered effective DPMQs </w:t>
            </w:r>
            <w:r w:rsidR="00DB600B">
              <w:rPr>
                <w:i w:val="0"/>
                <w:iCs w:val="0"/>
              </w:rPr>
              <w:t>$</w:t>
            </w:r>
            <w:r w:rsidR="00F111EB" w:rsidRPr="00F111EB">
              <w:rPr>
                <w:i w:val="0"/>
                <w:iCs w:val="0"/>
                <w:color w:val="000000"/>
                <w:spacing w:val="51"/>
                <w:shd w:val="solid" w:color="000000" w:fill="000000"/>
                <w:fitText w:val="326" w:id="-761014771"/>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71"/>
                <w14:textFill>
                  <w14:solidFill>
                    <w14:srgbClr w14:val="000000">
                      <w14:alpha w14:val="100000"/>
                    </w14:srgbClr>
                  </w14:solidFill>
                </w14:textFill>
              </w:rPr>
              <w:t>|</w:t>
            </w:r>
            <w:r w:rsidR="00DB600B">
              <w:rPr>
                <w:i w:val="0"/>
                <w:iCs w:val="0"/>
              </w:rPr>
              <w:t>, $</w:t>
            </w:r>
            <w:r w:rsidR="00F111EB" w:rsidRPr="00F111EB">
              <w:rPr>
                <w:i w:val="0"/>
                <w:iCs w:val="0"/>
                <w:color w:val="000000"/>
                <w:spacing w:val="51"/>
                <w:shd w:val="solid" w:color="000000" w:fill="000000"/>
                <w:fitText w:val="326" w:id="-761014770"/>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70"/>
                <w14:textFill>
                  <w14:solidFill>
                    <w14:srgbClr w14:val="000000">
                      <w14:alpha w14:val="100000"/>
                    </w14:srgbClr>
                  </w14:solidFill>
                </w14:textFill>
              </w:rPr>
              <w:t>|</w:t>
            </w:r>
            <w:r w:rsidR="00DB600B">
              <w:rPr>
                <w:i w:val="0"/>
                <w:iCs w:val="0"/>
              </w:rPr>
              <w:t>, $</w:t>
            </w:r>
            <w:r w:rsidR="00F111EB" w:rsidRPr="00F111EB">
              <w:rPr>
                <w:i w:val="0"/>
                <w:iCs w:val="0"/>
                <w:color w:val="000000"/>
                <w:spacing w:val="51"/>
                <w:shd w:val="solid" w:color="000000" w:fill="000000"/>
                <w:fitText w:val="326" w:id="-761014769"/>
                <w14:textFill>
                  <w14:solidFill>
                    <w14:srgbClr w14:val="000000">
                      <w14:alpha w14:val="100000"/>
                    </w14:srgbClr>
                  </w14:solidFill>
                </w14:textFill>
              </w:rPr>
              <w:t>|||</w:t>
            </w:r>
            <w:r w:rsidR="00F111EB" w:rsidRPr="00F111EB">
              <w:rPr>
                <w:i w:val="0"/>
                <w:iCs w:val="0"/>
                <w:color w:val="000000"/>
                <w:spacing w:val="3"/>
                <w:shd w:val="solid" w:color="000000" w:fill="000000"/>
                <w:fitText w:val="326" w:id="-761014769"/>
                <w14:textFill>
                  <w14:solidFill>
                    <w14:srgbClr w14:val="000000">
                      <w14:alpha w14:val="100000"/>
                    </w14:srgbClr>
                  </w14:solidFill>
                </w14:textFill>
              </w:rPr>
              <w:t>|</w:t>
            </w:r>
            <w:r w:rsidR="00DB600B">
              <w:rPr>
                <w:i w:val="0"/>
                <w:iCs w:val="0"/>
              </w:rPr>
              <w:t xml:space="preserve"> </w:t>
            </w:r>
            <w:r w:rsidRPr="00FD2CC0">
              <w:rPr>
                <w:i w:val="0"/>
                <w:iCs w:val="0"/>
              </w:rPr>
              <w:t xml:space="preserve">(compared to flat pricing </w:t>
            </w:r>
            <w:r w:rsidR="00DB600B">
              <w:rPr>
                <w:i w:val="0"/>
                <w:iCs w:val="0"/>
              </w:rPr>
              <w:t>at $</w:t>
            </w:r>
            <w:r w:rsidR="00F111EB" w:rsidRPr="00F111EB">
              <w:rPr>
                <w:i w:val="0"/>
                <w:iCs w:val="0"/>
                <w:color w:val="000000"/>
                <w:spacing w:val="51"/>
                <w:shd w:val="solid" w:color="000000" w:fill="000000"/>
                <w:fitText w:val="325" w:id="-761014768"/>
                <w14:textFill>
                  <w14:solidFill>
                    <w14:srgbClr w14:val="000000">
                      <w14:alpha w14:val="100000"/>
                    </w14:srgbClr>
                  </w14:solidFill>
                </w14:textFill>
              </w:rPr>
              <w:t>|||</w:t>
            </w:r>
            <w:r w:rsidR="00F111EB" w:rsidRPr="00F111EB">
              <w:rPr>
                <w:i w:val="0"/>
                <w:iCs w:val="0"/>
                <w:color w:val="000000"/>
                <w:spacing w:val="2"/>
                <w:shd w:val="solid" w:color="000000" w:fill="000000"/>
                <w:fitText w:val="325" w:id="-761014768"/>
                <w14:textFill>
                  <w14:solidFill>
                    <w14:srgbClr w14:val="000000">
                      <w14:alpha w14:val="100000"/>
                    </w14:srgbClr>
                  </w14:solidFill>
                </w14:textFill>
              </w:rPr>
              <w:t>|</w:t>
            </w:r>
            <w:r w:rsidR="00DB600B" w:rsidRPr="00DB600B">
              <w:rPr>
                <w:i w:val="0"/>
                <w:iCs w:val="0"/>
              </w:rPr>
              <w:t xml:space="preserve"> </w:t>
            </w:r>
            <w:r w:rsidRPr="00FD2CC0">
              <w:rPr>
                <w:i w:val="0"/>
                <w:iCs w:val="0"/>
              </w:rPr>
              <w:t>in the July 2023 submission). The cost of semaglutide was based on fixed dosing of 1 mg per week and the effective DPMQ</w:t>
            </w:r>
            <w:r w:rsidR="00871A62">
              <w:rPr>
                <w:i w:val="0"/>
                <w:iCs w:val="0"/>
              </w:rPr>
              <w:t xml:space="preserve"> of $</w:t>
            </w:r>
            <w:r w:rsidR="00F111EB" w:rsidRPr="00F111EB">
              <w:rPr>
                <w:i w:val="0"/>
                <w:iCs w:val="0"/>
                <w:color w:val="000000"/>
                <w:spacing w:val="51"/>
                <w:shd w:val="solid" w:color="000000" w:fill="000000"/>
                <w:fitText w:val="325" w:id="-761014784"/>
                <w14:textFill>
                  <w14:solidFill>
                    <w14:srgbClr w14:val="000000">
                      <w14:alpha w14:val="100000"/>
                    </w14:srgbClr>
                  </w14:solidFill>
                </w14:textFill>
              </w:rPr>
              <w:t>|||</w:t>
            </w:r>
            <w:r w:rsidR="00F111EB" w:rsidRPr="00F111EB">
              <w:rPr>
                <w:i w:val="0"/>
                <w:iCs w:val="0"/>
                <w:color w:val="000000"/>
                <w:spacing w:val="2"/>
                <w:shd w:val="solid" w:color="000000" w:fill="000000"/>
                <w:fitText w:val="325" w:id="-761014784"/>
                <w14:textFill>
                  <w14:solidFill>
                    <w14:srgbClr w14:val="000000">
                      <w14:alpha w14:val="100000"/>
                    </w14:srgbClr>
                  </w14:solidFill>
                </w14:textFill>
              </w:rPr>
              <w:t>|</w:t>
            </w:r>
            <w:r w:rsidRPr="00FD2CC0">
              <w:rPr>
                <w:i w:val="0"/>
                <w:iCs w:val="0"/>
              </w:rPr>
              <w:t xml:space="preserve"> (as this was known to the sponsor). The costs of metformin, insulin glargine and insulin aspart were based on WHO defined daily doses and published DPMQs (no special pricing arrangements apply).</w:t>
            </w:r>
          </w:p>
          <w:p w14:paraId="7469E4FE" w14:textId="77777777" w:rsidR="00346405" w:rsidRPr="00FD2CC0" w:rsidRDefault="00346405" w:rsidP="00FD2CC0">
            <w:pPr>
              <w:pStyle w:val="TableText"/>
              <w:spacing w:after="60"/>
              <w:rPr>
                <w:i w:val="0"/>
                <w:iCs w:val="0"/>
              </w:rPr>
            </w:pPr>
            <w:r w:rsidRPr="00FD2CC0">
              <w:rPr>
                <w:i w:val="0"/>
                <w:iCs w:val="0"/>
              </w:rPr>
              <w:t>The resubmission assumed that there were no additional costs associated with the management of nausea or hypoglycaemia.</w:t>
            </w:r>
          </w:p>
          <w:p w14:paraId="1D82D2DF" w14:textId="4F199949" w:rsidR="00346405" w:rsidRPr="00FD2CC0" w:rsidRDefault="00346405" w:rsidP="00FD2CC0">
            <w:pPr>
              <w:pStyle w:val="TableText"/>
              <w:spacing w:after="60"/>
              <w:rPr>
                <w:i w:val="0"/>
                <w:iCs w:val="0"/>
              </w:rPr>
            </w:pPr>
            <w:r w:rsidRPr="00FD2CC0">
              <w:rPr>
                <w:i w:val="0"/>
                <w:iCs w:val="0"/>
              </w:rPr>
              <w:t>The resubmission estimated the cost of insulin administration based on the advertised price of consumables (blood glucose testing strips, injection needles and lancets) from the Diabetes Shop website (</w:t>
            </w:r>
            <w:hyperlink r:id="rId8" w:history="1">
              <w:r w:rsidRPr="00FD2CC0">
                <w:rPr>
                  <w:rStyle w:val="Hyperlink"/>
                  <w:i w:val="0"/>
                  <w:iCs w:val="0"/>
                  <w:color w:val="auto"/>
                </w:rPr>
                <w:t>https://diabetesshop.com</w:t>
              </w:r>
            </w:hyperlink>
            <w:r w:rsidRPr="00FD2CC0">
              <w:rPr>
                <w:i w:val="0"/>
                <w:iCs w:val="0"/>
              </w:rPr>
              <w:t>). The resubmission assumed that second-line therapy with basal insulin would require one injection and finger prick test per day while third-line therapy with basal and bolus insulin would require four injections and finger prick tests per day.</w:t>
            </w:r>
          </w:p>
          <w:p w14:paraId="3EE06C62" w14:textId="77777777" w:rsidR="00346405" w:rsidRPr="00346405" w:rsidRDefault="00346405" w:rsidP="00A1032E">
            <w:pPr>
              <w:pStyle w:val="COMTabletext"/>
              <w:keepNext w:val="0"/>
            </w:pPr>
            <w:r w:rsidRPr="00346405">
              <w:lastRenderedPageBreak/>
              <w:t>Diabetes complications costs were primarily based on panel data from Western Australia using linked administrative claims databases (Clarke 2008). The resubmission inflated costs using the CPI Medical and hospital services index (inflation factor 3.750) compared to the CPI Health index in the July 2023 submission (inflation factor 2.705).</w:t>
            </w:r>
          </w:p>
        </w:tc>
      </w:tr>
      <w:tr w:rsidR="00346405" w:rsidRPr="00346405" w14:paraId="1E5FA6F0" w14:textId="77777777" w:rsidTr="00A1032E">
        <w:tc>
          <w:tcPr>
            <w:tcW w:w="784" w:type="pct"/>
            <w:vAlign w:val="center"/>
          </w:tcPr>
          <w:p w14:paraId="2DBB6256" w14:textId="77777777" w:rsidR="00346405" w:rsidRPr="00346405" w:rsidRDefault="00346405" w:rsidP="00A1032E">
            <w:pPr>
              <w:pStyle w:val="COMTabletext"/>
              <w:keepNext w:val="0"/>
            </w:pPr>
            <w:r w:rsidRPr="00346405">
              <w:lastRenderedPageBreak/>
              <w:t>Discount rate</w:t>
            </w:r>
          </w:p>
        </w:tc>
        <w:tc>
          <w:tcPr>
            <w:tcW w:w="4216" w:type="pct"/>
          </w:tcPr>
          <w:p w14:paraId="08B83897" w14:textId="77777777" w:rsidR="00346405" w:rsidRPr="00346405" w:rsidRDefault="00346405" w:rsidP="00A1032E">
            <w:pPr>
              <w:pStyle w:val="COMTabletext"/>
              <w:keepNext w:val="0"/>
            </w:pPr>
            <w:r w:rsidRPr="00346405">
              <w:t>5% for costs and outcomes</w:t>
            </w:r>
          </w:p>
        </w:tc>
      </w:tr>
      <w:tr w:rsidR="00346405" w:rsidRPr="00346405" w14:paraId="454672A9" w14:textId="77777777" w:rsidTr="00A1032E">
        <w:tc>
          <w:tcPr>
            <w:tcW w:w="784" w:type="pct"/>
            <w:vAlign w:val="center"/>
          </w:tcPr>
          <w:p w14:paraId="569413DC" w14:textId="77777777" w:rsidR="00346405" w:rsidRPr="00346405" w:rsidRDefault="00346405" w:rsidP="00A1032E">
            <w:pPr>
              <w:pStyle w:val="COMTabletext"/>
              <w:keepNext w:val="0"/>
            </w:pPr>
            <w:r w:rsidRPr="00346405">
              <w:t>Software package</w:t>
            </w:r>
          </w:p>
        </w:tc>
        <w:tc>
          <w:tcPr>
            <w:tcW w:w="4216" w:type="pct"/>
          </w:tcPr>
          <w:p w14:paraId="09CAD47D" w14:textId="77777777" w:rsidR="00346405" w:rsidRPr="00346405" w:rsidRDefault="00346405" w:rsidP="00A1032E">
            <w:pPr>
              <w:pStyle w:val="COMTabletext"/>
              <w:keepNext w:val="0"/>
            </w:pPr>
            <w:r w:rsidRPr="00346405">
              <w:t>Microsoft Excel</w:t>
            </w:r>
          </w:p>
        </w:tc>
      </w:tr>
    </w:tbl>
    <w:p w14:paraId="3AA9A086" w14:textId="77777777" w:rsidR="00346405" w:rsidRDefault="00346405" w:rsidP="00346405">
      <w:pPr>
        <w:pStyle w:val="COMTablefooter"/>
      </w:pPr>
      <w:r w:rsidRPr="00741BD4">
        <w:t>Source:</w:t>
      </w:r>
      <w:r>
        <w:t xml:space="preserve"> Table 3.1-2, pp208-209 of the resubmission</w:t>
      </w:r>
      <w:r w:rsidRPr="00741BD4">
        <w:t>.</w:t>
      </w:r>
    </w:p>
    <w:p w14:paraId="18801A6F" w14:textId="77777777" w:rsidR="00346405" w:rsidRDefault="00346405" w:rsidP="00346405">
      <w:pPr>
        <w:pStyle w:val="COMTablefooter"/>
      </w:pPr>
      <w:r w:rsidRPr="00FA1E86">
        <w:t xml:space="preserve">Abbreviations: </w:t>
      </w:r>
      <w:r>
        <w:t xml:space="preserve">BMI, body mass index; eGFR, estimated glomerular filtration rate; </w:t>
      </w:r>
      <w:r w:rsidRPr="00FA1E86">
        <w:t xml:space="preserve">GIP, glucose-dependent insulinotropic peptide; GLP-1 RA glucagon-like peptide-1 receptor agonists; HbA1c, glycated haemoglobin; </w:t>
      </w:r>
      <w:r>
        <w:t xml:space="preserve">HDL, high density lipoprotein; LDL, low density lipoprotein; SBP, systolic blood pressure; </w:t>
      </w:r>
      <w:r w:rsidRPr="00FA1E86">
        <w:t>UKPDS (OM2), United Kingdom Prospective Diabetes Study (Outcomes Model 2)</w:t>
      </w:r>
      <w:r>
        <w:t>; WBC, white blood cell.</w:t>
      </w:r>
    </w:p>
    <w:p w14:paraId="25ACF753" w14:textId="3B2FBA83" w:rsidR="00E31065" w:rsidRPr="00E31065" w:rsidRDefault="00E31065" w:rsidP="00E31065">
      <w:pPr>
        <w:pStyle w:val="COMexecsummnumbered"/>
      </w:pPr>
      <w:r w:rsidRPr="00E31065">
        <w:t xml:space="preserve">In the model, a set of baseline characteristics (demographics, biomarkers, history of complications) </w:t>
      </w:r>
      <w:r w:rsidR="00E44E3D">
        <w:t>wa</w:t>
      </w:r>
      <w:r w:rsidRPr="00E31065">
        <w:t xml:space="preserve">s individually generated for each modelled patient. Over the course of the model, patients experience </w:t>
      </w:r>
      <w:r w:rsidR="00EA4195">
        <w:t xml:space="preserve">changes in biomarkers due to </w:t>
      </w:r>
      <w:r w:rsidR="008C6448">
        <w:t xml:space="preserve">modelled </w:t>
      </w:r>
      <w:r w:rsidR="00EA4195">
        <w:t xml:space="preserve">treatment effects for each therapy, and assumptions regarding </w:t>
      </w:r>
      <w:r w:rsidRPr="00E31065">
        <w:t>disease progression.</w:t>
      </w:r>
    </w:p>
    <w:p w14:paraId="3A77C58E" w14:textId="4CEF686A" w:rsidR="00E31065" w:rsidRPr="00E31065" w:rsidRDefault="00E31065" w:rsidP="00E31065">
      <w:pPr>
        <w:pStyle w:val="COMexecsummnumbered"/>
      </w:pPr>
      <w:r w:rsidRPr="00E31065">
        <w:t>Patients are initially treated with GLP-1 RA/GIP therapies until their HbA1c levels increase to 7.0% after which they discontinue GLP-1 RA/GIP therapy and switch to basal insulin. Patients are then assumed to remain on fixed dose insulin glargine until their HbA1c levels again increase to 7.0% after which they switch to an insulin intensification regimen (basal with bolus insulin). While receiving treatment, patients are at risk of experiencing nausea (GLP-1 RA/GIP therapies for the first year only) and hypoglycaemia episodes.</w:t>
      </w:r>
    </w:p>
    <w:p w14:paraId="6FE69E41" w14:textId="77777777" w:rsidR="002406BC" w:rsidRPr="002406BC" w:rsidRDefault="00E31065" w:rsidP="00A4402A">
      <w:pPr>
        <w:pStyle w:val="COMexecsummnumbered"/>
        <w:rPr>
          <w:b/>
          <w:bCs/>
        </w:rPr>
      </w:pPr>
      <w:r w:rsidRPr="009A721E">
        <w:t>During each cycle, patients may experience one or more diabetes complications (congestive heart failure, ischaemic heart disease, myocardial infarction, stroke, blindness, ulcer, amputation, renal failure) or remain event-free. Patients may experience death in any cycle.</w:t>
      </w:r>
      <w:r w:rsidR="009A721E" w:rsidRPr="009A721E">
        <w:t xml:space="preserve"> </w:t>
      </w:r>
      <w:r w:rsidRPr="009A721E">
        <w:t>The risks of diabetes complications and mortality vary over time based on current biomarkers, demographic characteristics and prior event history.</w:t>
      </w:r>
      <w:r w:rsidR="00B64142" w:rsidRPr="00B64142">
        <w:t xml:space="preserve"> </w:t>
      </w:r>
    </w:p>
    <w:p w14:paraId="3CCF74AF" w14:textId="5BC2F6EA" w:rsidR="00B64142" w:rsidRPr="0032185B" w:rsidRDefault="00B64142" w:rsidP="00A4402A">
      <w:pPr>
        <w:pStyle w:val="COMexecsummnumbered"/>
        <w:rPr>
          <w:b/>
          <w:bCs/>
        </w:rPr>
      </w:pPr>
      <w:r w:rsidRPr="0032185B">
        <w:t xml:space="preserve">In the model, treatment effects are applied for the first year of treatment; after which outcomes may remain constant or progress over time while remaining on treatment. </w:t>
      </w:r>
      <w:r w:rsidRPr="0032185B">
        <w:fldChar w:fldCharType="begin" w:fldLock="1"/>
      </w:r>
      <w:r w:rsidRPr="0032185B">
        <w:instrText xml:space="preserve"> REF _Ref179544290 \h  \* MERGEFORMAT </w:instrText>
      </w:r>
      <w:r w:rsidRPr="0032185B">
        <w:fldChar w:fldCharType="separate"/>
      </w:r>
      <w:r w:rsidR="00EE035D">
        <w:t xml:space="preserve">Table </w:t>
      </w:r>
      <w:r w:rsidR="00EE035D">
        <w:rPr>
          <w:noProof/>
        </w:rPr>
        <w:t>10</w:t>
      </w:r>
      <w:r w:rsidRPr="0032185B">
        <w:fldChar w:fldCharType="end"/>
      </w:r>
      <w:r w:rsidRPr="0032185B">
        <w:t xml:space="preserve"> presents the modelled treatment effects for tirzepatide and semaglutide. ESC highlighted that the treatment effects for LDL cholesterol, heart rate and hypoglycaemia rate did not have the expected dose response pattern, such as tirzepatide 5 mg having a numerically higher hypoglycaemia rate than tirzepatide 10 mg. </w:t>
      </w:r>
      <w:r w:rsidR="0032185B">
        <w:t xml:space="preserve">The </w:t>
      </w:r>
      <w:r w:rsidRPr="0032185B">
        <w:t xml:space="preserve">ESC considered this could be due to small patient numbers. </w:t>
      </w:r>
      <w:r w:rsidR="0032185B">
        <w:t xml:space="preserve">The </w:t>
      </w:r>
      <w:r w:rsidRPr="0032185B">
        <w:t xml:space="preserve">ESC considered this inconsistency could be addressed by </w:t>
      </w:r>
      <w:r w:rsidR="002406BC" w:rsidRPr="0032185B">
        <w:t>smoothing the</w:t>
      </w:r>
      <w:r w:rsidRPr="0032185B">
        <w:t xml:space="preserve"> </w:t>
      </w:r>
      <w:r w:rsidR="00AA797F" w:rsidRPr="0032185B">
        <w:t xml:space="preserve">data </w:t>
      </w:r>
      <w:r w:rsidR="00B54D0D" w:rsidRPr="0032185B">
        <w:t xml:space="preserve">across tirzepatide doses. </w:t>
      </w:r>
    </w:p>
    <w:p w14:paraId="4CC17064" w14:textId="298C1370" w:rsidR="00B64142" w:rsidRDefault="00B64142" w:rsidP="00A053AF">
      <w:pPr>
        <w:pStyle w:val="Caption"/>
        <w:keepLines/>
      </w:pPr>
      <w:bookmarkStart w:id="47" w:name="_Ref179544290"/>
      <w:r>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10</w:t>
      </w:r>
      <w:r w:rsidR="00EE035D">
        <w:rPr>
          <w:noProof/>
        </w:rPr>
        <w:fldChar w:fldCharType="end"/>
      </w:r>
      <w:bookmarkEnd w:id="47"/>
      <w:r>
        <w:t xml:space="preserve">: </w:t>
      </w:r>
      <w:r w:rsidRPr="00741BD4">
        <w:t>Modelled treatment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Modelled treatment effects"/>
      </w:tblPr>
      <w:tblGrid>
        <w:gridCol w:w="2783"/>
        <w:gridCol w:w="1558"/>
        <w:gridCol w:w="1558"/>
        <w:gridCol w:w="1558"/>
        <w:gridCol w:w="1560"/>
      </w:tblGrid>
      <w:tr w:rsidR="00B64142" w:rsidRPr="00741BD4" w14:paraId="1FA38507" w14:textId="77777777">
        <w:trPr>
          <w:tblHeader/>
        </w:trPr>
        <w:tc>
          <w:tcPr>
            <w:tcW w:w="1543" w:type="pct"/>
            <w:shd w:val="clear" w:color="auto" w:fill="auto"/>
          </w:tcPr>
          <w:p w14:paraId="315B0AD9" w14:textId="77777777" w:rsidR="00B64142" w:rsidRPr="003D0DB6" w:rsidRDefault="00B64142" w:rsidP="00A053AF">
            <w:pPr>
              <w:pStyle w:val="COMTableheadingrow"/>
              <w:keepLines/>
              <w:rPr>
                <w:lang w:val="en-AU"/>
              </w:rPr>
            </w:pPr>
            <w:r w:rsidRPr="003D0DB6">
              <w:rPr>
                <w:lang w:val="en-AU"/>
              </w:rPr>
              <w:t>Component</w:t>
            </w:r>
          </w:p>
        </w:tc>
        <w:tc>
          <w:tcPr>
            <w:tcW w:w="864" w:type="pct"/>
            <w:shd w:val="clear" w:color="auto" w:fill="auto"/>
            <w:vAlign w:val="center"/>
          </w:tcPr>
          <w:p w14:paraId="0CBC01E0" w14:textId="77777777" w:rsidR="00B64142" w:rsidRPr="003D0DB6" w:rsidRDefault="00B64142" w:rsidP="00A053AF">
            <w:pPr>
              <w:pStyle w:val="COMTableheadingrow"/>
              <w:keepLines/>
              <w:jc w:val="center"/>
              <w:rPr>
                <w:lang w:val="en-AU"/>
              </w:rPr>
            </w:pPr>
            <w:r w:rsidRPr="003D0DB6">
              <w:rPr>
                <w:lang w:val="en-AU"/>
              </w:rPr>
              <w:t>Tirzepatide 15 mg</w:t>
            </w:r>
          </w:p>
        </w:tc>
        <w:tc>
          <w:tcPr>
            <w:tcW w:w="864" w:type="pct"/>
            <w:shd w:val="clear" w:color="auto" w:fill="auto"/>
            <w:vAlign w:val="center"/>
          </w:tcPr>
          <w:p w14:paraId="23A09617" w14:textId="77777777" w:rsidR="00B64142" w:rsidRPr="003D0DB6" w:rsidRDefault="00B64142" w:rsidP="00A053AF">
            <w:pPr>
              <w:pStyle w:val="COMTableheadingrow"/>
              <w:keepLines/>
              <w:jc w:val="center"/>
              <w:rPr>
                <w:lang w:val="en-AU"/>
              </w:rPr>
            </w:pPr>
            <w:r w:rsidRPr="003D0DB6">
              <w:rPr>
                <w:lang w:val="en-AU"/>
              </w:rPr>
              <w:t>Tirzepatide 10 mg</w:t>
            </w:r>
          </w:p>
        </w:tc>
        <w:tc>
          <w:tcPr>
            <w:tcW w:w="864" w:type="pct"/>
            <w:shd w:val="clear" w:color="auto" w:fill="auto"/>
            <w:vAlign w:val="center"/>
          </w:tcPr>
          <w:p w14:paraId="62AAAE2B" w14:textId="77777777" w:rsidR="00B64142" w:rsidRPr="003D0DB6" w:rsidRDefault="00B64142" w:rsidP="00A053AF">
            <w:pPr>
              <w:pStyle w:val="COMTableheadingrow"/>
              <w:keepLines/>
              <w:jc w:val="center"/>
              <w:rPr>
                <w:lang w:val="en-AU"/>
              </w:rPr>
            </w:pPr>
            <w:r w:rsidRPr="003D0DB6">
              <w:rPr>
                <w:lang w:val="en-AU"/>
              </w:rPr>
              <w:t>Tirzepatide 5 mg</w:t>
            </w:r>
          </w:p>
        </w:tc>
        <w:tc>
          <w:tcPr>
            <w:tcW w:w="865" w:type="pct"/>
            <w:vAlign w:val="center"/>
          </w:tcPr>
          <w:p w14:paraId="48E8A234" w14:textId="77777777" w:rsidR="00B64142" w:rsidRPr="003D0DB6" w:rsidRDefault="00B64142" w:rsidP="00A053AF">
            <w:pPr>
              <w:pStyle w:val="COMTableheadingrow"/>
              <w:keepLines/>
              <w:jc w:val="center"/>
              <w:rPr>
                <w:lang w:val="en-AU"/>
              </w:rPr>
            </w:pPr>
            <w:r w:rsidRPr="003D0DB6">
              <w:rPr>
                <w:lang w:val="en-AU"/>
              </w:rPr>
              <w:t>Semaglutide 1 mg</w:t>
            </w:r>
          </w:p>
        </w:tc>
      </w:tr>
      <w:tr w:rsidR="00B64142" w:rsidRPr="00741BD4" w14:paraId="4562DB84" w14:textId="77777777">
        <w:tc>
          <w:tcPr>
            <w:tcW w:w="5000" w:type="pct"/>
            <w:gridSpan w:val="5"/>
            <w:shd w:val="clear" w:color="auto" w:fill="auto"/>
            <w:vAlign w:val="center"/>
          </w:tcPr>
          <w:p w14:paraId="5F3312BE" w14:textId="2AF4F14A" w:rsidR="00B64142" w:rsidRPr="00083907" w:rsidRDefault="00B64142" w:rsidP="00A053AF">
            <w:pPr>
              <w:pStyle w:val="COMTableheadingrow"/>
              <w:keepLines/>
              <w:rPr>
                <w:vertAlign w:val="superscript"/>
                <w:lang w:val="en-AU"/>
              </w:rPr>
            </w:pPr>
            <w:r w:rsidRPr="003D0DB6">
              <w:rPr>
                <w:lang w:val="en-AU"/>
              </w:rPr>
              <w:t>First-line treatments (based on the SURPASS-2 trial post hoc subgroup with BMI ≥35 kg/m</w:t>
            </w:r>
            <w:r w:rsidRPr="003D0DB6">
              <w:rPr>
                <w:vertAlign w:val="superscript"/>
                <w:lang w:val="en-AU"/>
              </w:rPr>
              <w:t>2</w:t>
            </w:r>
            <w:r w:rsidRPr="003D0DB6">
              <w:rPr>
                <w:lang w:val="en-AU"/>
              </w:rPr>
              <w:t>)</w:t>
            </w:r>
            <w:r w:rsidR="00083907">
              <w:rPr>
                <w:lang w:val="en-AU"/>
              </w:rPr>
              <w:t xml:space="preserve"> </w:t>
            </w:r>
            <w:r w:rsidR="00083907">
              <w:rPr>
                <w:vertAlign w:val="superscript"/>
                <w:lang w:val="en-AU"/>
              </w:rPr>
              <w:t>c</w:t>
            </w:r>
          </w:p>
        </w:tc>
      </w:tr>
      <w:tr w:rsidR="00B64142" w:rsidRPr="00741BD4" w14:paraId="7C95F73F" w14:textId="77777777">
        <w:tc>
          <w:tcPr>
            <w:tcW w:w="1543" w:type="pct"/>
            <w:shd w:val="clear" w:color="auto" w:fill="auto"/>
            <w:vAlign w:val="center"/>
          </w:tcPr>
          <w:p w14:paraId="7C8C1E48" w14:textId="77777777" w:rsidR="00B64142" w:rsidRPr="003D0DB6" w:rsidRDefault="00B64142" w:rsidP="00A053AF">
            <w:pPr>
              <w:pStyle w:val="COMTabletext"/>
              <w:keepLines/>
            </w:pPr>
            <w:r w:rsidRPr="003D0DB6">
              <w:t>HbA1c, mean % (SD)</w:t>
            </w:r>
          </w:p>
        </w:tc>
        <w:tc>
          <w:tcPr>
            <w:tcW w:w="864" w:type="pct"/>
            <w:shd w:val="clear" w:color="auto" w:fill="auto"/>
          </w:tcPr>
          <w:p w14:paraId="2672AD5D" w14:textId="77777777" w:rsidR="00B64142" w:rsidRPr="003D0DB6" w:rsidRDefault="00B64142" w:rsidP="00A053AF">
            <w:pPr>
              <w:pStyle w:val="COMTabletext"/>
              <w:keepLines/>
              <w:jc w:val="center"/>
            </w:pPr>
            <w:r w:rsidRPr="003D0DB6">
              <w:t>-2.51 (0.94)</w:t>
            </w:r>
          </w:p>
        </w:tc>
        <w:tc>
          <w:tcPr>
            <w:tcW w:w="864" w:type="pct"/>
            <w:shd w:val="clear" w:color="auto" w:fill="auto"/>
          </w:tcPr>
          <w:p w14:paraId="18719058" w14:textId="77777777" w:rsidR="00B64142" w:rsidRPr="003D0DB6" w:rsidRDefault="00B64142" w:rsidP="00A053AF">
            <w:pPr>
              <w:pStyle w:val="COMTabletext"/>
              <w:keepLines/>
              <w:jc w:val="center"/>
            </w:pPr>
            <w:r w:rsidRPr="003D0DB6">
              <w:t>-2.35 (0.95)</w:t>
            </w:r>
          </w:p>
        </w:tc>
        <w:tc>
          <w:tcPr>
            <w:tcW w:w="864" w:type="pct"/>
            <w:shd w:val="clear" w:color="auto" w:fill="auto"/>
          </w:tcPr>
          <w:p w14:paraId="57BB455A" w14:textId="77777777" w:rsidR="00B64142" w:rsidRPr="003D0DB6" w:rsidRDefault="00B64142" w:rsidP="00A053AF">
            <w:pPr>
              <w:pStyle w:val="COMTabletext"/>
              <w:keepLines/>
              <w:jc w:val="center"/>
            </w:pPr>
            <w:r w:rsidRPr="003D0DB6">
              <w:t>-1.89 (0.94)</w:t>
            </w:r>
          </w:p>
        </w:tc>
        <w:tc>
          <w:tcPr>
            <w:tcW w:w="865" w:type="pct"/>
          </w:tcPr>
          <w:p w14:paraId="46606F2D" w14:textId="77777777" w:rsidR="00B64142" w:rsidRPr="003D0DB6" w:rsidRDefault="00B64142" w:rsidP="00A053AF">
            <w:pPr>
              <w:pStyle w:val="COMTabletext"/>
              <w:keepLines/>
              <w:jc w:val="center"/>
            </w:pPr>
            <w:r w:rsidRPr="003D0DB6">
              <w:t>-1.78 (0.95)</w:t>
            </w:r>
          </w:p>
        </w:tc>
      </w:tr>
      <w:tr w:rsidR="00B64142" w:rsidRPr="00741BD4" w14:paraId="042BB02C" w14:textId="77777777">
        <w:tc>
          <w:tcPr>
            <w:tcW w:w="1543" w:type="pct"/>
            <w:shd w:val="clear" w:color="auto" w:fill="auto"/>
            <w:vAlign w:val="center"/>
          </w:tcPr>
          <w:p w14:paraId="203B2D4A" w14:textId="77777777" w:rsidR="00B64142" w:rsidRPr="003D0DB6" w:rsidRDefault="00B64142" w:rsidP="00A053AF">
            <w:pPr>
              <w:pStyle w:val="COMTabletext"/>
              <w:keepLines/>
            </w:pPr>
            <w:r w:rsidRPr="003D0DB6">
              <w:t>SBP, mean mmHg (SD)</w:t>
            </w:r>
          </w:p>
        </w:tc>
        <w:tc>
          <w:tcPr>
            <w:tcW w:w="864" w:type="pct"/>
            <w:shd w:val="clear" w:color="auto" w:fill="auto"/>
          </w:tcPr>
          <w:p w14:paraId="19453E09" w14:textId="77777777" w:rsidR="00B64142" w:rsidRPr="003D0DB6" w:rsidRDefault="00B64142" w:rsidP="00A053AF">
            <w:pPr>
              <w:pStyle w:val="COMTabletext"/>
              <w:keepLines/>
              <w:jc w:val="center"/>
            </w:pPr>
            <w:r w:rsidRPr="003D0DB6">
              <w:t>-5.70 (12.07)</w:t>
            </w:r>
          </w:p>
        </w:tc>
        <w:tc>
          <w:tcPr>
            <w:tcW w:w="864" w:type="pct"/>
            <w:shd w:val="clear" w:color="auto" w:fill="auto"/>
          </w:tcPr>
          <w:p w14:paraId="1069A40F" w14:textId="77777777" w:rsidR="00B64142" w:rsidRPr="003D0DB6" w:rsidRDefault="00B64142" w:rsidP="00A053AF">
            <w:pPr>
              <w:pStyle w:val="COMTabletext"/>
              <w:keepLines/>
              <w:jc w:val="center"/>
            </w:pPr>
            <w:r w:rsidRPr="003D0DB6">
              <w:t>-5.60 (12.07)</w:t>
            </w:r>
          </w:p>
        </w:tc>
        <w:tc>
          <w:tcPr>
            <w:tcW w:w="864" w:type="pct"/>
            <w:shd w:val="clear" w:color="auto" w:fill="auto"/>
          </w:tcPr>
          <w:p w14:paraId="3FC77D2F" w14:textId="77777777" w:rsidR="00B64142" w:rsidRPr="003D0DB6" w:rsidRDefault="00B64142" w:rsidP="00A053AF">
            <w:pPr>
              <w:pStyle w:val="COMTabletext"/>
              <w:keepLines/>
              <w:jc w:val="center"/>
            </w:pPr>
            <w:r w:rsidRPr="003D0DB6">
              <w:t>-4.70 (12.12)</w:t>
            </w:r>
          </w:p>
        </w:tc>
        <w:tc>
          <w:tcPr>
            <w:tcW w:w="865" w:type="pct"/>
          </w:tcPr>
          <w:p w14:paraId="631A5494" w14:textId="77777777" w:rsidR="00B64142" w:rsidRPr="003D0DB6" w:rsidRDefault="00B64142" w:rsidP="00A053AF">
            <w:pPr>
              <w:pStyle w:val="COMTabletext"/>
              <w:keepLines/>
              <w:jc w:val="center"/>
            </w:pPr>
            <w:r w:rsidRPr="003D0DB6">
              <w:t>-3.40 (12.02)</w:t>
            </w:r>
          </w:p>
        </w:tc>
      </w:tr>
      <w:tr w:rsidR="00B64142" w:rsidRPr="00741BD4" w14:paraId="2096E5E9" w14:textId="77777777">
        <w:tc>
          <w:tcPr>
            <w:tcW w:w="1543" w:type="pct"/>
            <w:shd w:val="clear" w:color="auto" w:fill="auto"/>
            <w:vAlign w:val="center"/>
          </w:tcPr>
          <w:p w14:paraId="1B124BDF" w14:textId="77777777" w:rsidR="00B64142" w:rsidRPr="003D0DB6" w:rsidRDefault="00B64142" w:rsidP="00A053AF">
            <w:pPr>
              <w:pStyle w:val="COMTabletext"/>
              <w:keepLines/>
            </w:pPr>
            <w:r w:rsidRPr="003D0DB6">
              <w:t>LDL cholesterol, mean mmol/L (SD)</w:t>
            </w:r>
          </w:p>
        </w:tc>
        <w:tc>
          <w:tcPr>
            <w:tcW w:w="864" w:type="pct"/>
            <w:shd w:val="clear" w:color="auto" w:fill="auto"/>
          </w:tcPr>
          <w:p w14:paraId="27F57338" w14:textId="77777777" w:rsidR="00B64142" w:rsidRPr="003D0DB6" w:rsidRDefault="00B64142" w:rsidP="00A053AF">
            <w:pPr>
              <w:pStyle w:val="COMTabletext"/>
              <w:keepLines/>
              <w:jc w:val="center"/>
            </w:pPr>
            <w:r w:rsidRPr="003D0DB6">
              <w:t>-0.07 (0.66)</w:t>
            </w:r>
          </w:p>
        </w:tc>
        <w:tc>
          <w:tcPr>
            <w:tcW w:w="864" w:type="pct"/>
            <w:shd w:val="clear" w:color="auto" w:fill="auto"/>
          </w:tcPr>
          <w:p w14:paraId="0E51F095" w14:textId="77777777" w:rsidR="00B64142" w:rsidRPr="003D0DB6" w:rsidRDefault="00B64142" w:rsidP="00A053AF">
            <w:pPr>
              <w:pStyle w:val="COMTabletext"/>
              <w:keepLines/>
              <w:jc w:val="center"/>
            </w:pPr>
            <w:r w:rsidRPr="003D0DB6">
              <w:t>-0.06 (0.66)</w:t>
            </w:r>
          </w:p>
        </w:tc>
        <w:tc>
          <w:tcPr>
            <w:tcW w:w="864" w:type="pct"/>
            <w:shd w:val="clear" w:color="auto" w:fill="auto"/>
          </w:tcPr>
          <w:p w14:paraId="7887314F" w14:textId="77777777" w:rsidR="00B64142" w:rsidRPr="003D0DB6" w:rsidRDefault="00B64142" w:rsidP="00A053AF">
            <w:pPr>
              <w:pStyle w:val="COMTabletext"/>
              <w:keepLines/>
              <w:jc w:val="center"/>
            </w:pPr>
            <w:r w:rsidRPr="003D0DB6">
              <w:t>-0.20 (0.63)</w:t>
            </w:r>
          </w:p>
        </w:tc>
        <w:tc>
          <w:tcPr>
            <w:tcW w:w="865" w:type="pct"/>
          </w:tcPr>
          <w:p w14:paraId="757B91D7" w14:textId="77777777" w:rsidR="00B64142" w:rsidRPr="003D0DB6" w:rsidRDefault="00B64142" w:rsidP="00A053AF">
            <w:pPr>
              <w:pStyle w:val="COMTabletext"/>
              <w:keepLines/>
              <w:jc w:val="center"/>
            </w:pPr>
            <w:r w:rsidRPr="003D0DB6">
              <w:t>-0.10 (0.66)</w:t>
            </w:r>
          </w:p>
        </w:tc>
      </w:tr>
      <w:tr w:rsidR="00B64142" w:rsidRPr="00741BD4" w14:paraId="2BF6E11B" w14:textId="77777777">
        <w:tc>
          <w:tcPr>
            <w:tcW w:w="1543" w:type="pct"/>
            <w:shd w:val="clear" w:color="auto" w:fill="auto"/>
            <w:vAlign w:val="center"/>
          </w:tcPr>
          <w:p w14:paraId="57FED869" w14:textId="77777777" w:rsidR="00B64142" w:rsidRPr="003D0DB6" w:rsidRDefault="00B64142" w:rsidP="00A053AF">
            <w:pPr>
              <w:pStyle w:val="COMTabletext"/>
              <w:keepLines/>
            </w:pPr>
            <w:r w:rsidRPr="003D0DB6">
              <w:t>HDL cholesterol, mean mmol/L (SD)</w:t>
            </w:r>
          </w:p>
        </w:tc>
        <w:tc>
          <w:tcPr>
            <w:tcW w:w="864" w:type="pct"/>
            <w:shd w:val="clear" w:color="auto" w:fill="auto"/>
          </w:tcPr>
          <w:p w14:paraId="66C119E5" w14:textId="77777777" w:rsidR="00B64142" w:rsidRPr="003D0DB6" w:rsidRDefault="00B64142" w:rsidP="00A053AF">
            <w:pPr>
              <w:pStyle w:val="COMTabletext"/>
              <w:keepLines/>
              <w:jc w:val="center"/>
            </w:pPr>
            <w:r w:rsidRPr="003D0DB6">
              <w:t>+0.07 (0.18)</w:t>
            </w:r>
          </w:p>
        </w:tc>
        <w:tc>
          <w:tcPr>
            <w:tcW w:w="864" w:type="pct"/>
            <w:shd w:val="clear" w:color="auto" w:fill="auto"/>
          </w:tcPr>
          <w:p w14:paraId="190B59A9" w14:textId="77777777" w:rsidR="00B64142" w:rsidRPr="003D0DB6" w:rsidRDefault="00B64142" w:rsidP="00A053AF">
            <w:pPr>
              <w:pStyle w:val="COMTabletext"/>
              <w:keepLines/>
              <w:jc w:val="center"/>
            </w:pPr>
            <w:r w:rsidRPr="003D0DB6">
              <w:t>+0.07 (0.18)</w:t>
            </w:r>
          </w:p>
        </w:tc>
        <w:tc>
          <w:tcPr>
            <w:tcW w:w="864" w:type="pct"/>
            <w:shd w:val="clear" w:color="auto" w:fill="auto"/>
          </w:tcPr>
          <w:p w14:paraId="637B5859" w14:textId="77777777" w:rsidR="00B64142" w:rsidRPr="003D0DB6" w:rsidRDefault="00B64142" w:rsidP="00A053AF">
            <w:pPr>
              <w:pStyle w:val="COMTabletext"/>
              <w:keepLines/>
              <w:jc w:val="center"/>
            </w:pPr>
            <w:r w:rsidRPr="003D0DB6">
              <w:t>+0.05 (0.17)</w:t>
            </w:r>
          </w:p>
        </w:tc>
        <w:tc>
          <w:tcPr>
            <w:tcW w:w="865" w:type="pct"/>
          </w:tcPr>
          <w:p w14:paraId="0DF931C4" w14:textId="77777777" w:rsidR="00B64142" w:rsidRPr="003D0DB6" w:rsidRDefault="00B64142" w:rsidP="00A053AF">
            <w:pPr>
              <w:pStyle w:val="COMTabletext"/>
              <w:keepLines/>
              <w:jc w:val="center"/>
            </w:pPr>
            <w:r w:rsidRPr="003D0DB6">
              <w:t>+0.04 (0.17)</w:t>
            </w:r>
          </w:p>
        </w:tc>
      </w:tr>
      <w:tr w:rsidR="00B64142" w:rsidRPr="00741BD4" w14:paraId="0C9C8340" w14:textId="77777777">
        <w:tc>
          <w:tcPr>
            <w:tcW w:w="1543" w:type="pct"/>
            <w:shd w:val="clear" w:color="auto" w:fill="auto"/>
            <w:vAlign w:val="center"/>
          </w:tcPr>
          <w:p w14:paraId="3926856D" w14:textId="77777777" w:rsidR="00B64142" w:rsidRPr="003D0DB6" w:rsidRDefault="00B64142" w:rsidP="00A053AF">
            <w:pPr>
              <w:pStyle w:val="COMTabletext"/>
              <w:keepLines/>
            </w:pPr>
            <w:r w:rsidRPr="003D0DB6">
              <w:t>BMI, mean kg/m</w:t>
            </w:r>
            <w:r w:rsidRPr="003D0DB6">
              <w:rPr>
                <w:vertAlign w:val="superscript"/>
              </w:rPr>
              <w:t>2</w:t>
            </w:r>
            <w:r w:rsidRPr="003D0DB6">
              <w:t xml:space="preserve"> (SD)</w:t>
            </w:r>
          </w:p>
        </w:tc>
        <w:tc>
          <w:tcPr>
            <w:tcW w:w="864" w:type="pct"/>
            <w:shd w:val="clear" w:color="auto" w:fill="auto"/>
          </w:tcPr>
          <w:p w14:paraId="15D97E6B" w14:textId="77777777" w:rsidR="00B64142" w:rsidRPr="003D0DB6" w:rsidRDefault="00B64142" w:rsidP="00A053AF">
            <w:pPr>
              <w:pStyle w:val="COMTabletext"/>
              <w:keepLines/>
              <w:jc w:val="center"/>
            </w:pPr>
            <w:r w:rsidRPr="003D0DB6">
              <w:t>-5.70 (3.01)</w:t>
            </w:r>
          </w:p>
        </w:tc>
        <w:tc>
          <w:tcPr>
            <w:tcW w:w="864" w:type="pct"/>
            <w:shd w:val="clear" w:color="auto" w:fill="auto"/>
          </w:tcPr>
          <w:p w14:paraId="53D37DDA" w14:textId="77777777" w:rsidR="00B64142" w:rsidRPr="003D0DB6" w:rsidRDefault="00B64142" w:rsidP="00A053AF">
            <w:pPr>
              <w:pStyle w:val="COMTabletext"/>
              <w:keepLines/>
              <w:jc w:val="center"/>
            </w:pPr>
            <w:r w:rsidRPr="003D0DB6">
              <w:t>-4.50 (3.02)</w:t>
            </w:r>
          </w:p>
        </w:tc>
        <w:tc>
          <w:tcPr>
            <w:tcW w:w="864" w:type="pct"/>
            <w:shd w:val="clear" w:color="auto" w:fill="auto"/>
          </w:tcPr>
          <w:p w14:paraId="738FE9C3" w14:textId="77777777" w:rsidR="00B64142" w:rsidRPr="003D0DB6" w:rsidRDefault="00B64142" w:rsidP="00A053AF">
            <w:pPr>
              <w:pStyle w:val="COMTabletext"/>
              <w:keepLines/>
              <w:jc w:val="center"/>
            </w:pPr>
            <w:r w:rsidRPr="003D0DB6">
              <w:t>-3.40 (2.98)</w:t>
            </w:r>
          </w:p>
        </w:tc>
        <w:tc>
          <w:tcPr>
            <w:tcW w:w="865" w:type="pct"/>
          </w:tcPr>
          <w:p w14:paraId="7307C84F" w14:textId="77777777" w:rsidR="00B64142" w:rsidRPr="003D0DB6" w:rsidRDefault="00B64142" w:rsidP="00A053AF">
            <w:pPr>
              <w:pStyle w:val="COMTabletext"/>
              <w:keepLines/>
              <w:jc w:val="center"/>
            </w:pPr>
            <w:r w:rsidRPr="003D0DB6">
              <w:t>-2.60 (2.94)</w:t>
            </w:r>
          </w:p>
        </w:tc>
      </w:tr>
      <w:tr w:rsidR="00B64142" w:rsidRPr="00741BD4" w14:paraId="299D326F" w14:textId="77777777">
        <w:tc>
          <w:tcPr>
            <w:tcW w:w="1543" w:type="pct"/>
            <w:shd w:val="clear" w:color="auto" w:fill="auto"/>
            <w:vAlign w:val="center"/>
          </w:tcPr>
          <w:p w14:paraId="6B63EE29" w14:textId="77777777" w:rsidR="00B64142" w:rsidRPr="003D0DB6" w:rsidRDefault="00B64142" w:rsidP="00A053AF">
            <w:pPr>
              <w:pStyle w:val="COMTabletext"/>
              <w:keepLines/>
            </w:pPr>
            <w:r w:rsidRPr="003D0DB6">
              <w:t>eGFR, mean mL/min/1.73m</w:t>
            </w:r>
            <w:r w:rsidRPr="003D0DB6">
              <w:rPr>
                <w:vertAlign w:val="superscript"/>
              </w:rPr>
              <w:t>2</w:t>
            </w:r>
            <w:r w:rsidRPr="003D0DB6">
              <w:t xml:space="preserve"> (SD)</w:t>
            </w:r>
          </w:p>
        </w:tc>
        <w:tc>
          <w:tcPr>
            <w:tcW w:w="864" w:type="pct"/>
            <w:shd w:val="clear" w:color="auto" w:fill="auto"/>
          </w:tcPr>
          <w:p w14:paraId="73B498C5" w14:textId="77777777" w:rsidR="00B64142" w:rsidRPr="003D0DB6" w:rsidRDefault="00B64142" w:rsidP="00A053AF">
            <w:pPr>
              <w:pStyle w:val="COMTabletext"/>
              <w:keepLines/>
              <w:jc w:val="center"/>
            </w:pPr>
            <w:r w:rsidRPr="003D0DB6">
              <w:t>-5.90 (9.71)</w:t>
            </w:r>
          </w:p>
        </w:tc>
        <w:tc>
          <w:tcPr>
            <w:tcW w:w="864" w:type="pct"/>
            <w:shd w:val="clear" w:color="auto" w:fill="auto"/>
          </w:tcPr>
          <w:p w14:paraId="7255C3C3" w14:textId="77777777" w:rsidR="00B64142" w:rsidRPr="003D0DB6" w:rsidRDefault="00B64142" w:rsidP="00A053AF">
            <w:pPr>
              <w:pStyle w:val="COMTabletext"/>
              <w:keepLines/>
              <w:jc w:val="center"/>
            </w:pPr>
            <w:r w:rsidRPr="003D0DB6">
              <w:t>-5.00 (9.65)</w:t>
            </w:r>
          </w:p>
        </w:tc>
        <w:tc>
          <w:tcPr>
            <w:tcW w:w="864" w:type="pct"/>
            <w:shd w:val="clear" w:color="auto" w:fill="auto"/>
          </w:tcPr>
          <w:p w14:paraId="5F43F5F7" w14:textId="77777777" w:rsidR="00B64142" w:rsidRPr="003D0DB6" w:rsidRDefault="00B64142" w:rsidP="00A053AF">
            <w:pPr>
              <w:pStyle w:val="COMTabletext"/>
              <w:keepLines/>
              <w:jc w:val="center"/>
            </w:pPr>
            <w:r w:rsidRPr="003D0DB6">
              <w:t>-4.60 (9.62)</w:t>
            </w:r>
          </w:p>
        </w:tc>
        <w:tc>
          <w:tcPr>
            <w:tcW w:w="865" w:type="pct"/>
          </w:tcPr>
          <w:p w14:paraId="4D3FF4BF" w14:textId="77777777" w:rsidR="00B64142" w:rsidRPr="003D0DB6" w:rsidRDefault="00B64142" w:rsidP="00A053AF">
            <w:pPr>
              <w:pStyle w:val="COMTabletext"/>
              <w:keepLines/>
              <w:jc w:val="center"/>
            </w:pPr>
            <w:r w:rsidRPr="003D0DB6">
              <w:t>-4.50 (9.71)</w:t>
            </w:r>
          </w:p>
        </w:tc>
      </w:tr>
      <w:tr w:rsidR="00B64142" w:rsidRPr="00741BD4" w14:paraId="5AFC6E9F" w14:textId="77777777">
        <w:tc>
          <w:tcPr>
            <w:tcW w:w="1543" w:type="pct"/>
            <w:shd w:val="clear" w:color="auto" w:fill="auto"/>
            <w:vAlign w:val="center"/>
          </w:tcPr>
          <w:p w14:paraId="0EA48725" w14:textId="77777777" w:rsidR="00B64142" w:rsidRPr="003D0DB6" w:rsidRDefault="00B64142" w:rsidP="00A053AF">
            <w:pPr>
              <w:pStyle w:val="COMTabletext"/>
              <w:keepLines/>
            </w:pPr>
            <w:r w:rsidRPr="003D0DB6">
              <w:t>Heart rate, mean bpm (SD)</w:t>
            </w:r>
          </w:p>
        </w:tc>
        <w:tc>
          <w:tcPr>
            <w:tcW w:w="864" w:type="pct"/>
            <w:shd w:val="clear" w:color="auto" w:fill="auto"/>
          </w:tcPr>
          <w:p w14:paraId="58E16078" w14:textId="77777777" w:rsidR="00B64142" w:rsidRPr="003D0DB6" w:rsidRDefault="00B64142" w:rsidP="00A053AF">
            <w:pPr>
              <w:pStyle w:val="COMTabletext"/>
              <w:keepLines/>
              <w:jc w:val="center"/>
            </w:pPr>
            <w:r w:rsidRPr="003D0DB6">
              <w:t>+2.50 (8.000)</w:t>
            </w:r>
          </w:p>
        </w:tc>
        <w:tc>
          <w:tcPr>
            <w:tcW w:w="864" w:type="pct"/>
            <w:shd w:val="clear" w:color="auto" w:fill="auto"/>
          </w:tcPr>
          <w:p w14:paraId="593EC71D" w14:textId="77777777" w:rsidR="00B64142" w:rsidRPr="003D0DB6" w:rsidRDefault="00B64142" w:rsidP="00A053AF">
            <w:pPr>
              <w:pStyle w:val="COMTabletext"/>
              <w:keepLines/>
              <w:jc w:val="center"/>
            </w:pPr>
            <w:r w:rsidRPr="003D0DB6">
              <w:t>+2.10 (8.00)</w:t>
            </w:r>
          </w:p>
        </w:tc>
        <w:tc>
          <w:tcPr>
            <w:tcW w:w="864" w:type="pct"/>
            <w:shd w:val="clear" w:color="auto" w:fill="auto"/>
          </w:tcPr>
          <w:p w14:paraId="58699679" w14:textId="77777777" w:rsidR="00B64142" w:rsidRPr="003D0DB6" w:rsidRDefault="00B64142" w:rsidP="00A053AF">
            <w:pPr>
              <w:pStyle w:val="COMTabletext"/>
              <w:keepLines/>
              <w:jc w:val="center"/>
            </w:pPr>
            <w:r w:rsidRPr="003D0DB6">
              <w:t>+2.60 (8.04)</w:t>
            </w:r>
          </w:p>
        </w:tc>
        <w:tc>
          <w:tcPr>
            <w:tcW w:w="865" w:type="pct"/>
          </w:tcPr>
          <w:p w14:paraId="65BE9238" w14:textId="77777777" w:rsidR="00B64142" w:rsidRPr="003D0DB6" w:rsidRDefault="00B64142" w:rsidP="00A053AF">
            <w:pPr>
              <w:pStyle w:val="COMTabletext"/>
              <w:keepLines/>
              <w:jc w:val="center"/>
            </w:pPr>
            <w:r w:rsidRPr="003D0DB6">
              <w:t>+1.70 (7.97)</w:t>
            </w:r>
          </w:p>
        </w:tc>
      </w:tr>
      <w:tr w:rsidR="00B64142" w:rsidRPr="00741BD4" w14:paraId="221C5413" w14:textId="77777777">
        <w:tc>
          <w:tcPr>
            <w:tcW w:w="1543" w:type="pct"/>
            <w:shd w:val="clear" w:color="auto" w:fill="auto"/>
            <w:vAlign w:val="center"/>
          </w:tcPr>
          <w:p w14:paraId="212CA267" w14:textId="77777777" w:rsidR="00B64142" w:rsidRPr="003D0DB6" w:rsidRDefault="00B64142" w:rsidP="00A053AF">
            <w:pPr>
              <w:pStyle w:val="COMTabletext"/>
              <w:keepLines/>
            </w:pPr>
            <w:r w:rsidRPr="003D0DB6">
              <w:t>WBC, mean (SD)</w:t>
            </w:r>
          </w:p>
        </w:tc>
        <w:tc>
          <w:tcPr>
            <w:tcW w:w="864" w:type="pct"/>
            <w:shd w:val="clear" w:color="auto" w:fill="auto"/>
          </w:tcPr>
          <w:p w14:paraId="485F1EB0" w14:textId="77777777" w:rsidR="00B64142" w:rsidRPr="003D0DB6" w:rsidRDefault="00B64142" w:rsidP="00A053AF">
            <w:pPr>
              <w:pStyle w:val="COMTabletext"/>
              <w:keepLines/>
              <w:jc w:val="center"/>
            </w:pPr>
            <w:r w:rsidRPr="003D0DB6">
              <w:t>0.00</w:t>
            </w:r>
          </w:p>
        </w:tc>
        <w:tc>
          <w:tcPr>
            <w:tcW w:w="864" w:type="pct"/>
            <w:shd w:val="clear" w:color="auto" w:fill="auto"/>
          </w:tcPr>
          <w:p w14:paraId="0429148B" w14:textId="77777777" w:rsidR="00B64142" w:rsidRPr="003D0DB6" w:rsidRDefault="00B64142" w:rsidP="00A053AF">
            <w:pPr>
              <w:pStyle w:val="COMTabletext"/>
              <w:keepLines/>
              <w:jc w:val="center"/>
            </w:pPr>
            <w:r w:rsidRPr="003D0DB6">
              <w:t>0.00</w:t>
            </w:r>
          </w:p>
        </w:tc>
        <w:tc>
          <w:tcPr>
            <w:tcW w:w="864" w:type="pct"/>
            <w:shd w:val="clear" w:color="auto" w:fill="auto"/>
          </w:tcPr>
          <w:p w14:paraId="3705BA5D" w14:textId="77777777" w:rsidR="00B64142" w:rsidRPr="003D0DB6" w:rsidRDefault="00B64142" w:rsidP="00A053AF">
            <w:pPr>
              <w:pStyle w:val="COMTabletext"/>
              <w:keepLines/>
              <w:jc w:val="center"/>
            </w:pPr>
            <w:r w:rsidRPr="003D0DB6">
              <w:t>0.00</w:t>
            </w:r>
          </w:p>
        </w:tc>
        <w:tc>
          <w:tcPr>
            <w:tcW w:w="865" w:type="pct"/>
          </w:tcPr>
          <w:p w14:paraId="71CB5F85" w14:textId="77777777" w:rsidR="00B64142" w:rsidRPr="003D0DB6" w:rsidRDefault="00B64142" w:rsidP="00A053AF">
            <w:pPr>
              <w:pStyle w:val="COMTabletext"/>
              <w:keepLines/>
              <w:jc w:val="center"/>
            </w:pPr>
            <w:r w:rsidRPr="003D0DB6">
              <w:t>0.00</w:t>
            </w:r>
          </w:p>
        </w:tc>
      </w:tr>
      <w:tr w:rsidR="00B64142" w:rsidRPr="00741BD4" w14:paraId="30E0B759" w14:textId="77777777">
        <w:tc>
          <w:tcPr>
            <w:tcW w:w="1543" w:type="pct"/>
            <w:shd w:val="clear" w:color="auto" w:fill="auto"/>
            <w:vAlign w:val="center"/>
          </w:tcPr>
          <w:p w14:paraId="33D21FF7" w14:textId="77777777" w:rsidR="00B64142" w:rsidRPr="003D0DB6" w:rsidRDefault="00B64142" w:rsidP="00A053AF">
            <w:pPr>
              <w:pStyle w:val="COMTabletext"/>
              <w:keepLines/>
            </w:pPr>
            <w:r w:rsidRPr="003D0DB6">
              <w:t>Haemoglobin, mean (SD)</w:t>
            </w:r>
          </w:p>
        </w:tc>
        <w:tc>
          <w:tcPr>
            <w:tcW w:w="864" w:type="pct"/>
            <w:shd w:val="clear" w:color="auto" w:fill="auto"/>
          </w:tcPr>
          <w:p w14:paraId="1F211003" w14:textId="77777777" w:rsidR="00B64142" w:rsidRPr="003D0DB6" w:rsidRDefault="00B64142" w:rsidP="00A053AF">
            <w:pPr>
              <w:pStyle w:val="COMTabletext"/>
              <w:keepLines/>
              <w:jc w:val="center"/>
            </w:pPr>
            <w:r w:rsidRPr="003D0DB6">
              <w:t>0.00</w:t>
            </w:r>
          </w:p>
        </w:tc>
        <w:tc>
          <w:tcPr>
            <w:tcW w:w="864" w:type="pct"/>
            <w:shd w:val="clear" w:color="auto" w:fill="auto"/>
          </w:tcPr>
          <w:p w14:paraId="52700F4B" w14:textId="77777777" w:rsidR="00B64142" w:rsidRPr="003D0DB6" w:rsidRDefault="00B64142" w:rsidP="00A053AF">
            <w:pPr>
              <w:pStyle w:val="COMTabletext"/>
              <w:keepLines/>
              <w:jc w:val="center"/>
            </w:pPr>
            <w:r w:rsidRPr="003D0DB6">
              <w:t>0.00</w:t>
            </w:r>
          </w:p>
        </w:tc>
        <w:tc>
          <w:tcPr>
            <w:tcW w:w="864" w:type="pct"/>
            <w:shd w:val="clear" w:color="auto" w:fill="auto"/>
          </w:tcPr>
          <w:p w14:paraId="30077FAC" w14:textId="77777777" w:rsidR="00B64142" w:rsidRPr="003D0DB6" w:rsidRDefault="00B64142" w:rsidP="00A053AF">
            <w:pPr>
              <w:pStyle w:val="COMTabletext"/>
              <w:keepLines/>
              <w:jc w:val="center"/>
            </w:pPr>
            <w:r w:rsidRPr="003D0DB6">
              <w:t>0.00</w:t>
            </w:r>
          </w:p>
        </w:tc>
        <w:tc>
          <w:tcPr>
            <w:tcW w:w="865" w:type="pct"/>
          </w:tcPr>
          <w:p w14:paraId="2AB9B1A4" w14:textId="77777777" w:rsidR="00B64142" w:rsidRPr="003D0DB6" w:rsidRDefault="00B64142" w:rsidP="00A053AF">
            <w:pPr>
              <w:pStyle w:val="COMTabletext"/>
              <w:keepLines/>
              <w:jc w:val="center"/>
            </w:pPr>
            <w:r w:rsidRPr="003D0DB6">
              <w:t>0.00</w:t>
            </w:r>
          </w:p>
        </w:tc>
      </w:tr>
      <w:tr w:rsidR="00B64142" w:rsidRPr="00741BD4" w14:paraId="7086262D" w14:textId="77777777">
        <w:tc>
          <w:tcPr>
            <w:tcW w:w="1543" w:type="pct"/>
            <w:shd w:val="clear" w:color="auto" w:fill="auto"/>
            <w:vAlign w:val="center"/>
          </w:tcPr>
          <w:p w14:paraId="37E691D9" w14:textId="77777777" w:rsidR="00B64142" w:rsidRPr="003D0DB6" w:rsidRDefault="00B64142" w:rsidP="00A053AF">
            <w:pPr>
              <w:pStyle w:val="COMTabletext"/>
              <w:keepLines/>
            </w:pPr>
            <w:r w:rsidRPr="003D0DB6">
              <w:t>Hypoglycaemia rate, mean per 100 patient years (SD)</w:t>
            </w:r>
            <w:r w:rsidRPr="003D0DB6">
              <w:rPr>
                <w:vertAlign w:val="superscript"/>
              </w:rPr>
              <w:t>a</w:t>
            </w:r>
          </w:p>
        </w:tc>
        <w:tc>
          <w:tcPr>
            <w:tcW w:w="864" w:type="pct"/>
            <w:shd w:val="clear" w:color="auto" w:fill="auto"/>
            <w:vAlign w:val="center"/>
          </w:tcPr>
          <w:p w14:paraId="2375F45F" w14:textId="77777777" w:rsidR="00B64142" w:rsidRPr="003D0DB6" w:rsidRDefault="00B64142" w:rsidP="00A053AF">
            <w:pPr>
              <w:pStyle w:val="COMTabletext"/>
              <w:keepLines/>
              <w:jc w:val="center"/>
            </w:pPr>
            <w:r w:rsidRPr="003D0DB6">
              <w:t>3.09</w:t>
            </w:r>
          </w:p>
        </w:tc>
        <w:tc>
          <w:tcPr>
            <w:tcW w:w="864" w:type="pct"/>
            <w:shd w:val="clear" w:color="auto" w:fill="auto"/>
            <w:vAlign w:val="center"/>
          </w:tcPr>
          <w:p w14:paraId="7F2C9F5F" w14:textId="77777777" w:rsidR="00B64142" w:rsidRPr="003D0DB6" w:rsidRDefault="00B64142" w:rsidP="00A053AF">
            <w:pPr>
              <w:pStyle w:val="COMTabletext"/>
              <w:keepLines/>
              <w:jc w:val="center"/>
            </w:pPr>
            <w:r w:rsidRPr="003D0DB6">
              <w:t>0.00</w:t>
            </w:r>
          </w:p>
        </w:tc>
        <w:tc>
          <w:tcPr>
            <w:tcW w:w="864" w:type="pct"/>
            <w:shd w:val="clear" w:color="auto" w:fill="auto"/>
            <w:vAlign w:val="center"/>
          </w:tcPr>
          <w:p w14:paraId="6DEB0EEC" w14:textId="77777777" w:rsidR="00B64142" w:rsidRPr="003D0DB6" w:rsidRDefault="00B64142" w:rsidP="00A053AF">
            <w:pPr>
              <w:pStyle w:val="COMTabletext"/>
              <w:keepLines/>
              <w:jc w:val="center"/>
            </w:pPr>
            <w:r w:rsidRPr="003D0DB6">
              <w:t>0.68</w:t>
            </w:r>
          </w:p>
        </w:tc>
        <w:tc>
          <w:tcPr>
            <w:tcW w:w="865" w:type="pct"/>
            <w:vAlign w:val="center"/>
          </w:tcPr>
          <w:p w14:paraId="6DA8670C" w14:textId="77777777" w:rsidR="00B64142" w:rsidRPr="003D0DB6" w:rsidRDefault="00B64142" w:rsidP="00A053AF">
            <w:pPr>
              <w:pStyle w:val="COMTabletext"/>
              <w:keepLines/>
              <w:jc w:val="center"/>
            </w:pPr>
            <w:r w:rsidRPr="003D0DB6">
              <w:t>0.65</w:t>
            </w:r>
          </w:p>
        </w:tc>
      </w:tr>
      <w:tr w:rsidR="00B64142" w:rsidRPr="00741BD4" w14:paraId="181C6BC1" w14:textId="77777777">
        <w:tc>
          <w:tcPr>
            <w:tcW w:w="1543" w:type="pct"/>
            <w:shd w:val="clear" w:color="auto" w:fill="auto"/>
            <w:vAlign w:val="center"/>
          </w:tcPr>
          <w:p w14:paraId="65737F10" w14:textId="77777777" w:rsidR="00B64142" w:rsidRPr="003D0DB6" w:rsidRDefault="00B64142" w:rsidP="00A053AF">
            <w:pPr>
              <w:pStyle w:val="COMTabletext"/>
              <w:keepLines/>
            </w:pPr>
            <w:r w:rsidRPr="003D0DB6">
              <w:t xml:space="preserve">Proportion with nausea in first </w:t>
            </w:r>
            <w:proofErr w:type="spellStart"/>
            <w:r w:rsidRPr="003D0DB6">
              <w:t>year</w:t>
            </w:r>
            <w:r w:rsidRPr="003D0DB6">
              <w:rPr>
                <w:vertAlign w:val="superscript"/>
              </w:rPr>
              <w:t>b</w:t>
            </w:r>
            <w:proofErr w:type="spellEnd"/>
          </w:p>
        </w:tc>
        <w:tc>
          <w:tcPr>
            <w:tcW w:w="864" w:type="pct"/>
            <w:shd w:val="clear" w:color="auto" w:fill="auto"/>
          </w:tcPr>
          <w:p w14:paraId="1ADE6640" w14:textId="77777777" w:rsidR="00B64142" w:rsidRPr="003D0DB6" w:rsidRDefault="00B64142" w:rsidP="00A053AF">
            <w:pPr>
              <w:pStyle w:val="COMTabletext"/>
              <w:keepLines/>
              <w:jc w:val="center"/>
            </w:pPr>
            <w:r w:rsidRPr="003D0DB6">
              <w:t>39/179 (21.8%)</w:t>
            </w:r>
          </w:p>
        </w:tc>
        <w:tc>
          <w:tcPr>
            <w:tcW w:w="864" w:type="pct"/>
            <w:shd w:val="clear" w:color="auto" w:fill="auto"/>
          </w:tcPr>
          <w:p w14:paraId="61056C21" w14:textId="77777777" w:rsidR="00B64142" w:rsidRPr="003D0DB6" w:rsidRDefault="00B64142" w:rsidP="00A053AF">
            <w:pPr>
              <w:pStyle w:val="COMTabletext"/>
              <w:keepLines/>
              <w:jc w:val="center"/>
            </w:pPr>
            <w:r w:rsidRPr="003D0DB6">
              <w:t>36/181 (19.9%)</w:t>
            </w:r>
          </w:p>
        </w:tc>
        <w:tc>
          <w:tcPr>
            <w:tcW w:w="864" w:type="pct"/>
            <w:shd w:val="clear" w:color="auto" w:fill="auto"/>
          </w:tcPr>
          <w:p w14:paraId="281227C0" w14:textId="77777777" w:rsidR="00B64142" w:rsidRPr="003D0DB6" w:rsidRDefault="00B64142" w:rsidP="00A053AF">
            <w:pPr>
              <w:pStyle w:val="COMTabletext"/>
              <w:keepLines/>
              <w:jc w:val="center"/>
            </w:pPr>
            <w:r w:rsidRPr="003D0DB6">
              <w:t>25/162 (15.4%)</w:t>
            </w:r>
          </w:p>
        </w:tc>
        <w:tc>
          <w:tcPr>
            <w:tcW w:w="865" w:type="pct"/>
          </w:tcPr>
          <w:p w14:paraId="5B8BAA98" w14:textId="77777777" w:rsidR="00B64142" w:rsidRPr="003D0DB6" w:rsidRDefault="00B64142" w:rsidP="00A053AF">
            <w:pPr>
              <w:pStyle w:val="COMTabletext"/>
              <w:keepLines/>
              <w:jc w:val="center"/>
            </w:pPr>
            <w:r w:rsidRPr="003D0DB6">
              <w:t>33/168 (19.6%)</w:t>
            </w:r>
          </w:p>
        </w:tc>
      </w:tr>
    </w:tbl>
    <w:p w14:paraId="07961639" w14:textId="77777777" w:rsidR="00B64142" w:rsidRPr="00741BD4" w:rsidRDefault="00B64142" w:rsidP="00A053AF">
      <w:pPr>
        <w:pStyle w:val="TableFigureFooter"/>
        <w:keepNext/>
        <w:keepLines/>
      </w:pPr>
      <w:r w:rsidRPr="00741BD4">
        <w:t>Source: Table 3.4-2, p226 of the resubmission with additional data extracted during the evaluation based on ‘A8.1_Tirzepatide Section 3 Model’ spreadsheet provided with the resubmission</w:t>
      </w:r>
    </w:p>
    <w:p w14:paraId="23DF3691" w14:textId="77777777" w:rsidR="00B64142" w:rsidRPr="00741BD4" w:rsidRDefault="00B64142" w:rsidP="00A053AF">
      <w:pPr>
        <w:pStyle w:val="TableFigureFooter"/>
        <w:keepNext/>
        <w:keepLines/>
      </w:pPr>
      <w:r w:rsidRPr="00741BD4">
        <w:t>Abbreviations: BMI, body mass index; eGFR, estimated glomerular filtration rate; HbA1c, glycated haemoglobin; HDL, high density lipoprotein cholesterol; LDL, low density lipoprotein cholesterol; SBP, systolic blood pressure; SD, standard deviation; WBC, white blood cell count</w:t>
      </w:r>
    </w:p>
    <w:p w14:paraId="453D1272" w14:textId="77777777" w:rsidR="00B64142" w:rsidRPr="00741BD4" w:rsidRDefault="00B64142" w:rsidP="00A053AF">
      <w:pPr>
        <w:pStyle w:val="TableFigureFooter"/>
        <w:keepNext/>
        <w:keepLines/>
      </w:pPr>
      <w:r w:rsidRPr="00741BD4">
        <w:rPr>
          <w:vertAlign w:val="superscript"/>
        </w:rPr>
        <w:t xml:space="preserve">a </w:t>
      </w:r>
      <w:r w:rsidRPr="00741BD4">
        <w:t xml:space="preserve">Based on the reported event rates for clinically significant hypoglycaemia (severe event requiring assistance or an event with or without symptoms which was confirmed to be caused by blood glucose &lt;3.0 mmol/L) in the SURPASS-2 </w:t>
      </w:r>
      <w:r w:rsidRPr="00741BD4">
        <w:rPr>
          <w:i/>
          <w:iCs/>
        </w:rPr>
        <w:t>post hoc</w:t>
      </w:r>
      <w:r w:rsidRPr="00741BD4">
        <w:t xml:space="preserve"> subgroup with BMI ≥35 kg/m</w:t>
      </w:r>
      <w:r w:rsidRPr="00741BD4">
        <w:rPr>
          <w:vertAlign w:val="superscript"/>
        </w:rPr>
        <w:t>2</w:t>
      </w:r>
      <w:r w:rsidRPr="00741BD4">
        <w:t>.</w:t>
      </w:r>
    </w:p>
    <w:p w14:paraId="4032E164" w14:textId="65551A83" w:rsidR="00B64142" w:rsidRDefault="00B64142" w:rsidP="00A4402A">
      <w:pPr>
        <w:pStyle w:val="TableFigureFooter"/>
      </w:pPr>
      <w:r w:rsidRPr="00741BD4">
        <w:rPr>
          <w:vertAlign w:val="superscript"/>
        </w:rPr>
        <w:t xml:space="preserve">b </w:t>
      </w:r>
      <w:r w:rsidRPr="00741BD4">
        <w:t xml:space="preserve">Based on the proportion of patients with nausea of any severity in the SURPASS-2 </w:t>
      </w:r>
      <w:r w:rsidRPr="00741BD4">
        <w:rPr>
          <w:i/>
          <w:iCs/>
        </w:rPr>
        <w:t>post hoc</w:t>
      </w:r>
      <w:r w:rsidRPr="00741BD4">
        <w:t xml:space="preserve"> subgroup with BMI ≥35 kg/m</w:t>
      </w:r>
      <w:r w:rsidRPr="00741BD4">
        <w:rPr>
          <w:vertAlign w:val="superscript"/>
        </w:rPr>
        <w:t>2</w:t>
      </w:r>
      <w:r w:rsidRPr="00741BD4">
        <w:t>; assumed to apply in the first year of treatment only.</w:t>
      </w:r>
    </w:p>
    <w:p w14:paraId="5FCFF2D8" w14:textId="459D61BF" w:rsidR="00083907" w:rsidRPr="00083907" w:rsidRDefault="00083907" w:rsidP="00A4402A">
      <w:pPr>
        <w:pStyle w:val="TableFigureFooter"/>
      </w:pPr>
      <w:r>
        <w:rPr>
          <w:vertAlign w:val="superscript"/>
        </w:rPr>
        <w:t xml:space="preserve">c </w:t>
      </w:r>
      <w:r w:rsidRPr="00083907">
        <w:rPr>
          <w:i/>
          <w:iCs/>
        </w:rPr>
        <w:t>Note that the results presented in Table 10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0C4944AD" w14:textId="49A371D9" w:rsidR="00992E85" w:rsidRPr="00E96CBF" w:rsidRDefault="00992E85" w:rsidP="00992E85">
      <w:pPr>
        <w:pStyle w:val="COMexecsummnumbered"/>
      </w:pPr>
      <w:r w:rsidRPr="00E96CBF">
        <w:t xml:space="preserve">It was unclear whether the modelled patient characteristics, based on the SURPASS-2 </w:t>
      </w:r>
      <w:r w:rsidRPr="00E96CBF">
        <w:rPr>
          <w:i/>
          <w:iCs/>
        </w:rPr>
        <w:t>post hoc</w:t>
      </w:r>
      <w:r w:rsidRPr="00E96CBF">
        <w:t xml:space="preserve"> subgroup with BMI ≥35 kg/m</w:t>
      </w:r>
      <w:r w:rsidRPr="00E96CBF">
        <w:rPr>
          <w:vertAlign w:val="superscript"/>
        </w:rPr>
        <w:t>2</w:t>
      </w:r>
      <w:r w:rsidRPr="00E96CBF">
        <w:t>, would be representative of the proposed Australian population (patients who have previously failed SGLT2 inhibitor therapies due to inadequate response, intolerance or contraindication). A comparison between the SURPASS-2 subgroup and data from an Australian study (Thakur 2021) for patients with BMI ≥35 kg/m</w:t>
      </w:r>
      <w:r w:rsidRPr="00E96CBF">
        <w:rPr>
          <w:vertAlign w:val="superscript"/>
        </w:rPr>
        <w:t>2</w:t>
      </w:r>
      <w:r w:rsidRPr="00E96CBF">
        <w:t xml:space="preserve"> identified substantial differences in treatments used for type 2 diabetes. The SURPASS-2 trial selected patients treated with background metformin only while patients in Thakur 2021 received a broad range of treatments including metformin (91%), insulin (62%), sulfonylurea (31%), SGLT2 inhibitor (25%), DPP4 inhibitor (23%) and GLP-1 RA (13%). The comparison also indicated that Australian patients had a higher mean HbA1c level, and greater proportions of patients with a history of cardiovascular disease (ischaemic heart disease, stroke), chronic kidney disease and other complications (peripheral neuropathy, lower limb amputation) compared to the SURPASS-2 trial subgroup.</w:t>
      </w:r>
    </w:p>
    <w:p w14:paraId="71DC6242" w14:textId="099D3149" w:rsidR="00992E85" w:rsidRPr="00E96CBF" w:rsidRDefault="00992E85" w:rsidP="00992E85">
      <w:pPr>
        <w:pStyle w:val="COMexecsummnumbered"/>
      </w:pPr>
      <w:r w:rsidRPr="00E96CBF">
        <w:t>The economic model assumes flat dosing of both tirzepatide (5 mg, 10 mg, 15</w:t>
      </w:r>
      <w:r w:rsidR="00A053AF">
        <w:t> </w:t>
      </w:r>
      <w:r w:rsidRPr="00E96CBF">
        <w:t xml:space="preserve">mg weekly) and semaglutide (1 mg weekly); which, while consistent with the trial data, is unlikely to reflect use in clinical practice as the product information documents for both treatments recommend flexible dose titration. The model also assumes that patients cannot prematurely discontinue therapy; which is inconsistent with the SURPASS-2 post hoc </w:t>
      </w:r>
      <w:r w:rsidRPr="003D0DB6">
        <w:t>subgroup data that indicated 9.3% of tirzepatide 5 mg, 9.9% of tirzepatide 10 mg, 10.6% of tirzepatide 15 mg and 8.9% of semaglutide 1 mg patients</w:t>
      </w:r>
      <w:r w:rsidRPr="00E96CBF">
        <w:t xml:space="preserve"> </w:t>
      </w:r>
      <w:r w:rsidRPr="00E96CBF">
        <w:lastRenderedPageBreak/>
        <w:t>discontinued therapy over the 40 week trial duration.</w:t>
      </w:r>
      <w:r w:rsidR="00C02A0F">
        <w:rPr>
          <w:rStyle w:val="FootnoteReference"/>
        </w:rPr>
        <w:footnoteReference w:id="7"/>
      </w:r>
      <w:r w:rsidRPr="00E96CBF">
        <w:t xml:space="preserve"> The PBAC previously considered that the assumptions regarding modelled circumstances of use (including fixed dosing of GLP-1 RA/GIP and insulin therapies, and perfect persistence), were unlikely to reflect Australian clinical practice (para 7.13, tirzepatide PSD, July</w:t>
      </w:r>
      <w:r w:rsidR="00BF29C6">
        <w:t> </w:t>
      </w:r>
      <w:r w:rsidRPr="00E96CBF">
        <w:t>2023 PBAC meeting).</w:t>
      </w:r>
    </w:p>
    <w:p w14:paraId="2EB27946" w14:textId="473A7501" w:rsidR="00992E85" w:rsidRPr="00E96CBF" w:rsidRDefault="00992E85" w:rsidP="00992E85">
      <w:pPr>
        <w:pStyle w:val="COMexecsummnumbered"/>
      </w:pPr>
      <w:r w:rsidRPr="00E96CBF">
        <w:t xml:space="preserve">The July 2023 model assumed no progression over time for all biomarkers except HbA1c, which the PBAC considered was not clinically appropriate and favoured tirzepatide; and specified that a revised base case should incorporate UKPDS drift for all biomarkers (para 7.14, 7.16, tirzepatide PSD, July 2023 PBAC meeting). </w:t>
      </w:r>
      <w:r w:rsidRPr="009558E2">
        <w:t xml:space="preserve">In the revised model, GLP-1 RA/GIP biomarker treatment effects are applied for the first year of treatment based on the SURPASS-2 </w:t>
      </w:r>
      <w:r w:rsidRPr="009558E2">
        <w:rPr>
          <w:i/>
          <w:iCs/>
        </w:rPr>
        <w:t>post hoc</w:t>
      </w:r>
      <w:r w:rsidRPr="009558E2">
        <w:t xml:space="preserve"> subgroup with BMI ≥35 kg/m</w:t>
      </w:r>
      <w:r w:rsidRPr="009558E2">
        <w:rPr>
          <w:vertAlign w:val="superscript"/>
        </w:rPr>
        <w:t>2</w:t>
      </w:r>
      <w:r w:rsidRPr="009558E2">
        <w:t xml:space="preserve">; after which </w:t>
      </w:r>
      <w:r w:rsidR="00A4229B" w:rsidRPr="009558E2">
        <w:t xml:space="preserve">BMI, systolic blood pressure, heart rate </w:t>
      </w:r>
      <w:r w:rsidRPr="009558E2">
        <w:t xml:space="preserve">remain constant </w:t>
      </w:r>
      <w:r w:rsidR="00A4229B">
        <w:t>(</w:t>
      </w:r>
      <w:r w:rsidRPr="009558E2">
        <w:t xml:space="preserve">based on evidence from GLP-1 RA cardiovascular outcomes trials), </w:t>
      </w:r>
      <w:r w:rsidR="007E06E2">
        <w:t xml:space="preserve">while </w:t>
      </w:r>
      <w:r w:rsidR="007E06E2" w:rsidRPr="009558E2">
        <w:t xml:space="preserve">HbA1c, HDL cholesterol, LDL cholesterol, eGFR, white blood cell count, </w:t>
      </w:r>
      <w:r w:rsidR="007E06E2">
        <w:t xml:space="preserve">and </w:t>
      </w:r>
      <w:r w:rsidR="007E06E2" w:rsidRPr="009558E2">
        <w:t xml:space="preserve">haemoglobin </w:t>
      </w:r>
      <w:r w:rsidRPr="009558E2">
        <w:t xml:space="preserve">progress over time </w:t>
      </w:r>
      <w:r w:rsidR="007E06E2">
        <w:t>(</w:t>
      </w:r>
      <w:r w:rsidRPr="009558E2">
        <w:t>based on UKPDS OM2 risk equations)</w:t>
      </w:r>
      <w:r w:rsidR="00006DF8">
        <w:t>,</w:t>
      </w:r>
      <w:r w:rsidRPr="009558E2">
        <w:t xml:space="preserve"> prior to initiating insulin therapy when a patient’s HbA1c reaches 7%. Insulin treatment effects for HbA1c</w:t>
      </w:r>
      <w:r>
        <w:t xml:space="preserve"> </w:t>
      </w:r>
      <w:r w:rsidRPr="009558E2">
        <w:t xml:space="preserve">are based on the results of a systematic review (Willis 2007); with treatment effects for other biomarkers dependent on assumptions regarding biomarker progression with GLP-1 RA/GIP therapy (reversion to baseline values for biomarkers that remain constant; no treatment effect for biomarkers with UKPDS progression). Subsequent biomarker progression on insulin therapy is the same as for first-line treatment (constant for BMI, systolic blood pressure, and heart rate; progression over time for other biomarkers). </w:t>
      </w:r>
      <w:r w:rsidRPr="00E96CBF">
        <w:t>The interdependency between treatment effects and biomarker progression in the model was inadequately justified and resulted in implausible scenarios such as systolic blood pressure being fixed at 2 different levels with GLP-1 RA/GIP treatment and insulin treatment. Similarly, a patient’s BMI is fixed at 3 different levels associated with GLP-1 RA/GIP treatment, insulin initiation, and subsequent insulin intensification.</w:t>
      </w:r>
      <w:r w:rsidR="00A4402A">
        <w:t xml:space="preserve"> </w:t>
      </w:r>
      <w:r w:rsidR="0032185B">
        <w:t xml:space="preserve">The </w:t>
      </w:r>
      <w:r w:rsidR="00A431EC" w:rsidRPr="0032185B">
        <w:t xml:space="preserve">ESC noted more recent data from GLP-1 RA cardiovascular outcomes trials suggests smaller HbA1c drift than modelled in the resubmission which reduced the ICER. </w:t>
      </w:r>
    </w:p>
    <w:p w14:paraId="71DD6BF4" w14:textId="06C00B9F" w:rsidR="009A721E" w:rsidRPr="001B24F9" w:rsidRDefault="009A721E" w:rsidP="009A721E">
      <w:pPr>
        <w:pStyle w:val="COMexecsummnumbered"/>
        <w:rPr>
          <w:rFonts w:ascii="Calibri" w:hAnsi="Calibri"/>
          <w:szCs w:val="24"/>
        </w:rPr>
      </w:pPr>
      <w:r w:rsidRPr="00612441">
        <w:rPr>
          <w:rFonts w:ascii="Calibri" w:hAnsi="Calibri"/>
          <w:szCs w:val="24"/>
        </w:rPr>
        <w:t xml:space="preserve">Key </w:t>
      </w:r>
      <w:r>
        <w:rPr>
          <w:rFonts w:ascii="Calibri" w:hAnsi="Calibri"/>
          <w:szCs w:val="24"/>
        </w:rPr>
        <w:t xml:space="preserve">drivers of the economic model are summarised in </w:t>
      </w:r>
      <w:r>
        <w:rPr>
          <w:rFonts w:ascii="Calibri" w:hAnsi="Calibri"/>
          <w:szCs w:val="24"/>
        </w:rPr>
        <w:fldChar w:fldCharType="begin" w:fldLock="1"/>
      </w:r>
      <w:r>
        <w:rPr>
          <w:rFonts w:ascii="Calibri" w:hAnsi="Calibri"/>
          <w:szCs w:val="24"/>
        </w:rPr>
        <w:instrText xml:space="preserve"> REF _Ref174711314 \h </w:instrText>
      </w:r>
      <w:r>
        <w:rPr>
          <w:rFonts w:ascii="Calibri" w:hAnsi="Calibri"/>
          <w:szCs w:val="24"/>
        </w:rPr>
      </w:r>
      <w:r>
        <w:rPr>
          <w:rFonts w:ascii="Calibri" w:hAnsi="Calibri"/>
          <w:szCs w:val="24"/>
        </w:rPr>
        <w:fldChar w:fldCharType="separate"/>
      </w:r>
      <w:r w:rsidR="00EE035D" w:rsidRPr="00FA1E86">
        <w:t>Table</w:t>
      </w:r>
      <w:r w:rsidR="00EE035D">
        <w:t xml:space="preserve"> </w:t>
      </w:r>
      <w:r w:rsidR="00EE035D">
        <w:rPr>
          <w:noProof/>
        </w:rPr>
        <w:t>11</w:t>
      </w:r>
      <w:r>
        <w:rPr>
          <w:rFonts w:ascii="Calibri" w:hAnsi="Calibri"/>
          <w:szCs w:val="24"/>
        </w:rPr>
        <w:fldChar w:fldCharType="end"/>
      </w:r>
      <w:r>
        <w:rPr>
          <w:rFonts w:ascii="Calibri" w:hAnsi="Calibri"/>
          <w:szCs w:val="24"/>
        </w:rPr>
        <w:t>.</w:t>
      </w:r>
    </w:p>
    <w:p w14:paraId="568364D4" w14:textId="3DCB6FE0" w:rsidR="009A721E" w:rsidRPr="00FA1E86" w:rsidRDefault="009A721E" w:rsidP="005F5DCF">
      <w:pPr>
        <w:pStyle w:val="Caption"/>
      </w:pPr>
      <w:bookmarkStart w:id="48" w:name="_Ref174711314"/>
      <w:r w:rsidRPr="00FA1E86">
        <w:t>Table</w:t>
      </w:r>
      <w:r>
        <w:t xml:space="preserve"> </w:t>
      </w:r>
      <w:r w:rsidR="00EE035D">
        <w:fldChar w:fldCharType="begin" w:fldLock="1"/>
      </w:r>
      <w:r w:rsidR="00EE035D">
        <w:instrText xml:space="preserve"> SEQ Table \* ARABIC </w:instrText>
      </w:r>
      <w:r w:rsidR="00EE035D">
        <w:fldChar w:fldCharType="separate"/>
      </w:r>
      <w:r w:rsidR="00EE035D">
        <w:rPr>
          <w:noProof/>
        </w:rPr>
        <w:t>11</w:t>
      </w:r>
      <w:r w:rsidR="00EE035D">
        <w:rPr>
          <w:noProof/>
        </w:rPr>
        <w:fldChar w:fldCharType="end"/>
      </w:r>
      <w:bookmarkEnd w:id="48"/>
      <w:r w:rsidRPr="00FA1E8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71"/>
        <w:gridCol w:w="6379"/>
        <w:gridCol w:w="1367"/>
      </w:tblGrid>
      <w:tr w:rsidR="009A721E" w:rsidRPr="00FA1E86" w14:paraId="7C46DACC" w14:textId="77777777" w:rsidTr="002336C2">
        <w:trPr>
          <w:tblHeader/>
        </w:trPr>
        <w:tc>
          <w:tcPr>
            <w:tcW w:w="705" w:type="pct"/>
            <w:shd w:val="clear" w:color="auto" w:fill="auto"/>
            <w:vAlign w:val="center"/>
          </w:tcPr>
          <w:p w14:paraId="09BFF628" w14:textId="77777777" w:rsidR="009A721E" w:rsidRPr="00FA1E86" w:rsidRDefault="009A721E" w:rsidP="005F5DCF">
            <w:pPr>
              <w:pStyle w:val="COMTableheadingrow"/>
              <w:rPr>
                <w:lang w:val="en-AU"/>
              </w:rPr>
            </w:pPr>
            <w:r w:rsidRPr="00FA1E86">
              <w:rPr>
                <w:lang w:val="en-AU"/>
              </w:rPr>
              <w:t>Description</w:t>
            </w:r>
          </w:p>
        </w:tc>
        <w:tc>
          <w:tcPr>
            <w:tcW w:w="3537" w:type="pct"/>
            <w:shd w:val="clear" w:color="auto" w:fill="auto"/>
            <w:vAlign w:val="center"/>
          </w:tcPr>
          <w:p w14:paraId="2453078B" w14:textId="77777777" w:rsidR="009A721E" w:rsidRPr="00FA1E86" w:rsidRDefault="009A721E" w:rsidP="005F5DCF">
            <w:pPr>
              <w:pStyle w:val="COMTableheadingrow"/>
              <w:jc w:val="center"/>
              <w:rPr>
                <w:lang w:val="en-AU"/>
              </w:rPr>
            </w:pPr>
            <w:r w:rsidRPr="00FA1E86">
              <w:rPr>
                <w:lang w:val="en-AU"/>
              </w:rPr>
              <w:t>Method/Value</w:t>
            </w:r>
          </w:p>
        </w:tc>
        <w:tc>
          <w:tcPr>
            <w:tcW w:w="758" w:type="pct"/>
            <w:shd w:val="clear" w:color="auto" w:fill="auto"/>
            <w:vAlign w:val="center"/>
          </w:tcPr>
          <w:p w14:paraId="20551D04" w14:textId="77777777" w:rsidR="009A721E" w:rsidRPr="00FA1E86" w:rsidRDefault="009A721E" w:rsidP="005F5DCF">
            <w:pPr>
              <w:pStyle w:val="COMTableheadingrow"/>
              <w:jc w:val="center"/>
              <w:rPr>
                <w:lang w:val="en-AU"/>
              </w:rPr>
            </w:pPr>
            <w:r w:rsidRPr="00FA1E86">
              <w:rPr>
                <w:lang w:val="en-AU"/>
              </w:rPr>
              <w:t>Impact</w:t>
            </w:r>
          </w:p>
        </w:tc>
      </w:tr>
      <w:tr w:rsidR="009A721E" w:rsidRPr="00FA1E86" w14:paraId="7052128B" w14:textId="77777777" w:rsidTr="00A1032E">
        <w:tc>
          <w:tcPr>
            <w:tcW w:w="705" w:type="pct"/>
            <w:shd w:val="clear" w:color="auto" w:fill="auto"/>
            <w:vAlign w:val="center"/>
          </w:tcPr>
          <w:p w14:paraId="4544B4BA" w14:textId="173C7DB4" w:rsidR="009A721E" w:rsidRPr="00FA1E86" w:rsidRDefault="00FF0ECE" w:rsidP="005F5DCF">
            <w:pPr>
              <w:pStyle w:val="COMTabletext"/>
            </w:pPr>
            <w:r>
              <w:t>Tirzepatide continuation criteria</w:t>
            </w:r>
          </w:p>
        </w:tc>
        <w:tc>
          <w:tcPr>
            <w:tcW w:w="3537" w:type="pct"/>
            <w:shd w:val="clear" w:color="auto" w:fill="auto"/>
            <w:vAlign w:val="center"/>
          </w:tcPr>
          <w:p w14:paraId="050835DF" w14:textId="1455A560" w:rsidR="009A721E" w:rsidRPr="00E96CBF" w:rsidRDefault="00FF0ECE" w:rsidP="005F5DCF">
            <w:pPr>
              <w:pStyle w:val="COMTabletext"/>
            </w:pPr>
            <w:r w:rsidRPr="00E96CBF">
              <w:t>The economic model did not appropriately incorporate the proposed tirzepatide continuation criteria</w:t>
            </w:r>
            <w:r w:rsidR="002F2243" w:rsidRPr="00E96CBF">
              <w:t xml:space="preserve">, requiring patients to achieve HbA1c &lt;7% OR a HbA1c reduction from baseline is ≥2%. </w:t>
            </w:r>
            <w:r w:rsidR="00C45B0D" w:rsidRPr="00E96CBF">
              <w:t xml:space="preserve">The model assumes patients will continue tirzepatide until their </w:t>
            </w:r>
            <w:r w:rsidR="00C45B0D" w:rsidRPr="00E96CBF">
              <w:lastRenderedPageBreak/>
              <w:t>HbA1c exceeds 7%</w:t>
            </w:r>
            <w:r w:rsidR="002A748C" w:rsidRPr="00E96CBF">
              <w:t xml:space="preserve">. The same threshold was used </w:t>
            </w:r>
            <w:r w:rsidR="000757AD" w:rsidRPr="00E96CBF">
              <w:t>for</w:t>
            </w:r>
            <w:r w:rsidR="002A748C" w:rsidRPr="00E96CBF">
              <w:t xml:space="preserve"> semaglutide, which does not have any continuation criteria.</w:t>
            </w:r>
          </w:p>
        </w:tc>
        <w:tc>
          <w:tcPr>
            <w:tcW w:w="758" w:type="pct"/>
            <w:shd w:val="clear" w:color="auto" w:fill="auto"/>
            <w:vAlign w:val="center"/>
          </w:tcPr>
          <w:p w14:paraId="49F7819F" w14:textId="77777777" w:rsidR="002A748C" w:rsidRPr="00E96CBF" w:rsidRDefault="002A748C" w:rsidP="005F5DCF">
            <w:pPr>
              <w:pStyle w:val="COMTabletext"/>
              <w:jc w:val="center"/>
            </w:pPr>
            <w:r w:rsidRPr="00E96CBF">
              <w:lastRenderedPageBreak/>
              <w:t>High,</w:t>
            </w:r>
          </w:p>
          <w:p w14:paraId="5F4EE272" w14:textId="37349CE2" w:rsidR="009A721E" w:rsidRPr="00E96CBF" w:rsidRDefault="002A748C" w:rsidP="005F5DCF">
            <w:pPr>
              <w:pStyle w:val="COMTabletext"/>
              <w:jc w:val="center"/>
            </w:pPr>
            <w:r w:rsidRPr="00E96CBF">
              <w:t>favours tirzepatide</w:t>
            </w:r>
          </w:p>
        </w:tc>
      </w:tr>
      <w:tr w:rsidR="00FF0ECE" w:rsidRPr="00FA1E86" w14:paraId="61781D71" w14:textId="77777777" w:rsidTr="00A1032E">
        <w:tc>
          <w:tcPr>
            <w:tcW w:w="705" w:type="pct"/>
            <w:shd w:val="clear" w:color="auto" w:fill="auto"/>
            <w:vAlign w:val="center"/>
          </w:tcPr>
          <w:p w14:paraId="52D2C14B" w14:textId="1D8141A2" w:rsidR="00FF0ECE" w:rsidRDefault="00FF0ECE" w:rsidP="00FF0ECE">
            <w:pPr>
              <w:pStyle w:val="COMTabletext"/>
              <w:keepNext w:val="0"/>
            </w:pPr>
            <w:r>
              <w:t>Insulin initiation and intensification threshold</w:t>
            </w:r>
          </w:p>
        </w:tc>
        <w:tc>
          <w:tcPr>
            <w:tcW w:w="3537" w:type="pct"/>
            <w:shd w:val="clear" w:color="auto" w:fill="auto"/>
            <w:vAlign w:val="center"/>
          </w:tcPr>
          <w:p w14:paraId="7A4E4E9B" w14:textId="240AB5DF" w:rsidR="00FF0ECE" w:rsidRPr="00E96CBF" w:rsidRDefault="00032C98" w:rsidP="002B58F3">
            <w:pPr>
              <w:pStyle w:val="COMTabletext"/>
              <w:keepNext w:val="0"/>
            </w:pPr>
            <w:r w:rsidRPr="00E96CBF">
              <w:t>In the model, p</w:t>
            </w:r>
            <w:r w:rsidR="00FF0ECE" w:rsidRPr="00E96CBF">
              <w:t>atients switch to insulin therapy if HbA1c levels exceed 7.0%; and insulin therapy is intensified if patients reach the same threshold again.</w:t>
            </w:r>
            <w:r w:rsidR="002B58F3" w:rsidRPr="00E96CBF">
              <w:t xml:space="preserve"> </w:t>
            </w:r>
            <w:r w:rsidR="00FF0ECE" w:rsidRPr="00E96CBF">
              <w:t>This is inconsistent with previous PBAC advice that in clinical practice the threshold for conversion to insulin would more likely be a HbA1c of at least 8.0% due to patients’ reluctance to commence insulin (para 7.13, tirzepatide PSD, July 2023 PBAC meeting).</w:t>
            </w:r>
            <w:r w:rsidR="002B58F3" w:rsidRPr="00E96CBF">
              <w:t xml:space="preserve"> Further, t</w:t>
            </w:r>
            <w:r w:rsidR="00FF0ECE" w:rsidRPr="00E96CBF">
              <w:t>he threshold is not consistent with clinical guidelines which recommend individualising glycaemic targets based on patient-centred treatment goals.</w:t>
            </w:r>
          </w:p>
        </w:tc>
        <w:tc>
          <w:tcPr>
            <w:tcW w:w="758" w:type="pct"/>
            <w:shd w:val="clear" w:color="auto" w:fill="auto"/>
            <w:vAlign w:val="center"/>
          </w:tcPr>
          <w:p w14:paraId="6A36D8C1" w14:textId="77777777" w:rsidR="00FF0ECE" w:rsidRPr="00E96CBF" w:rsidRDefault="00FF0ECE" w:rsidP="00FF0ECE">
            <w:pPr>
              <w:pStyle w:val="COMTabletext"/>
              <w:keepNext w:val="0"/>
              <w:jc w:val="center"/>
            </w:pPr>
            <w:r w:rsidRPr="00E96CBF">
              <w:t>High,</w:t>
            </w:r>
          </w:p>
          <w:p w14:paraId="292A93E2" w14:textId="552650E8" w:rsidR="00FF0ECE" w:rsidRPr="00E96CBF" w:rsidRDefault="00FF0ECE" w:rsidP="00FF0ECE">
            <w:pPr>
              <w:pStyle w:val="COMTabletext"/>
              <w:keepNext w:val="0"/>
              <w:jc w:val="center"/>
            </w:pPr>
            <w:r w:rsidRPr="00E96CBF">
              <w:t>favours tirzepatide</w:t>
            </w:r>
          </w:p>
        </w:tc>
      </w:tr>
      <w:tr w:rsidR="00FF0ECE" w:rsidRPr="00FA1E86" w14:paraId="05D4C2C3" w14:textId="77777777" w:rsidTr="0059463C">
        <w:trPr>
          <w:cantSplit/>
        </w:trPr>
        <w:tc>
          <w:tcPr>
            <w:tcW w:w="705" w:type="pct"/>
            <w:shd w:val="clear" w:color="auto" w:fill="auto"/>
            <w:vAlign w:val="center"/>
          </w:tcPr>
          <w:p w14:paraId="50E09295" w14:textId="1D0C7C65" w:rsidR="00FF0ECE" w:rsidRPr="00FA1E86" w:rsidRDefault="00220356" w:rsidP="00FF0ECE">
            <w:pPr>
              <w:pStyle w:val="COMTabletext"/>
              <w:keepNext w:val="0"/>
            </w:pPr>
            <w:r>
              <w:t>Discontinuation of GLP-1 RA on initiation of insulin</w:t>
            </w:r>
          </w:p>
        </w:tc>
        <w:tc>
          <w:tcPr>
            <w:tcW w:w="3537" w:type="pct"/>
            <w:shd w:val="clear" w:color="auto" w:fill="auto"/>
            <w:vAlign w:val="center"/>
          </w:tcPr>
          <w:p w14:paraId="5264484D" w14:textId="46B6E716" w:rsidR="00FF0ECE" w:rsidRPr="00C15085" w:rsidRDefault="00FF0ECE" w:rsidP="00FF0ECE">
            <w:pPr>
              <w:pStyle w:val="COMTabletext"/>
              <w:keepNext w:val="0"/>
            </w:pPr>
            <w:r w:rsidRPr="00C15085">
              <w:t>Patients must stop tirzepatide and semaglutide before switching to insulin therapy</w:t>
            </w:r>
            <w:r w:rsidR="00C8224B">
              <w:t xml:space="preserve"> in the economic model</w:t>
            </w:r>
            <w:r w:rsidRPr="00C15085">
              <w:t xml:space="preserve">. </w:t>
            </w:r>
            <w:r w:rsidR="00326344" w:rsidRPr="00C15085">
              <w:t xml:space="preserve">The resubmission acknowledged that concomitant use of GLP-1 RA/GIP therapies and insulin may occur in clinical practice, but argued that there is no evidence to support this treatment sequence, with SURPASS-5 assessing patients insufficiently controlled on insulin glargine who have tirzepatide added to their treatment regimen. The resubmission claimed that the impact of continuing treatment with insulin on HbA1c and other outcomes is unknown and cannot be included. </w:t>
            </w:r>
            <w:r w:rsidR="00326344" w:rsidRPr="00E96CBF">
              <w:t xml:space="preserve">The </w:t>
            </w:r>
            <w:r w:rsidRPr="00E96CBF">
              <w:t>ESC previously considered that this assumption was inappropriate for semaglutide given that the semaglutide restriction allows concomitant therapy with insulin; and there would likely be continued use of tirzepatide alongside insulin given clinical data in this setting (SURPASS-5) and potential weight gain with insulin (Table 12, tirzepatide PSD, July 2023 PBAC meeting).</w:t>
            </w:r>
            <w:r w:rsidRPr="00C15085">
              <w:t xml:space="preserve"> </w:t>
            </w:r>
          </w:p>
        </w:tc>
        <w:tc>
          <w:tcPr>
            <w:tcW w:w="758" w:type="pct"/>
            <w:shd w:val="clear" w:color="auto" w:fill="auto"/>
            <w:vAlign w:val="center"/>
          </w:tcPr>
          <w:p w14:paraId="6C369A92" w14:textId="2BBEED71" w:rsidR="00FF0ECE" w:rsidRPr="00E96CBF" w:rsidRDefault="00542711" w:rsidP="00FF0ECE">
            <w:pPr>
              <w:pStyle w:val="COMTabletext"/>
              <w:keepNext w:val="0"/>
              <w:jc w:val="center"/>
              <w:rPr>
                <w:iCs/>
              </w:rPr>
            </w:pPr>
            <w:r w:rsidRPr="00E96CBF">
              <w:rPr>
                <w:iCs/>
              </w:rPr>
              <w:t>Unclear</w:t>
            </w:r>
          </w:p>
        </w:tc>
      </w:tr>
      <w:tr w:rsidR="00FF0ECE" w:rsidRPr="00FA1E86" w14:paraId="6FD54E5A" w14:textId="77777777" w:rsidTr="00A1032E">
        <w:tc>
          <w:tcPr>
            <w:tcW w:w="705" w:type="pct"/>
            <w:shd w:val="clear" w:color="auto" w:fill="auto"/>
            <w:vAlign w:val="center"/>
          </w:tcPr>
          <w:p w14:paraId="749DD77E" w14:textId="1345616A" w:rsidR="00FF0ECE" w:rsidRPr="00FA1E86" w:rsidRDefault="00FF0ECE" w:rsidP="00FF0ECE">
            <w:pPr>
              <w:pStyle w:val="COMTabletext"/>
              <w:keepNext w:val="0"/>
            </w:pPr>
            <w:r>
              <w:t>UKPDS risk equations</w:t>
            </w:r>
          </w:p>
        </w:tc>
        <w:tc>
          <w:tcPr>
            <w:tcW w:w="3537" w:type="pct"/>
            <w:shd w:val="clear" w:color="auto" w:fill="auto"/>
            <w:vAlign w:val="center"/>
          </w:tcPr>
          <w:p w14:paraId="6660E8F8" w14:textId="6B75F2DD" w:rsidR="00FF0ECE" w:rsidRPr="00E96CBF" w:rsidRDefault="00FF0ECE" w:rsidP="00FF0ECE">
            <w:pPr>
              <w:pStyle w:val="COMTabletext"/>
              <w:keepNext w:val="0"/>
            </w:pPr>
            <w:r w:rsidRPr="00E96CBF">
              <w:t xml:space="preserve">The resubmission estimated drift over time in HbA1c values (and selected other biomarkers), risks of diabetes complications, and event-related mortality based on the UKPDS OM2 risk equations. The equations are based on data from a trial comparing intensive and conventional therapies for type 2 diabetes conducted in the UK between 1977 and 1997 with 10 years of additional post-trial follow-up (Leal 2021). The applicability of the equations to current Australian clinical practice was unclear given that the publication acknowledged that ‘the data used to estimate the equation are increasingly historical and may in some cases reflect values or trajectories that are less commonly seen in contemporary populations’. Given this limitation, it would be appropriate to calibrate the UKPDS risk equations against more contemporary datasets, such as GLP-1 RA cardiovascular outcomes trials. </w:t>
            </w:r>
            <w:r w:rsidR="00824F41" w:rsidRPr="00E96CBF">
              <w:t>The resubmission provided sensitivity analyses based on calibration factors used in the GLP-1 RA Review to calibrate the UKPDS OM2 equations to the Australian context (based on Harding 20</w:t>
            </w:r>
            <w:r w:rsidR="00E41745" w:rsidRPr="00E96CBF">
              <w:t>1</w:t>
            </w:r>
            <w:r w:rsidR="00824F41" w:rsidRPr="00E96CBF">
              <w:t xml:space="preserve">4), which had a minimal impact on the results of the economic evaluation. </w:t>
            </w:r>
            <w:r w:rsidR="00252CFF" w:rsidRPr="00E96CBF">
              <w:t>However, t</w:t>
            </w:r>
            <w:r w:rsidR="00824F41" w:rsidRPr="00E96CBF">
              <w:t>he resubmission noted that the calibration is limited to cardiovascular outcomes</w:t>
            </w:r>
            <w:r w:rsidR="00E41745" w:rsidRPr="00E96CBF">
              <w:t xml:space="preserve"> only</w:t>
            </w:r>
            <w:r w:rsidR="00824F41" w:rsidRPr="00E96CBF">
              <w:t>; and the results may not be representative of current clinical practice due to the age of the included Australian data</w:t>
            </w:r>
            <w:r w:rsidR="009B63AF" w:rsidRPr="00E96CBF">
              <w:t xml:space="preserve"> (1997-2010)</w:t>
            </w:r>
            <w:r w:rsidR="00824F41" w:rsidRPr="00E96CBF">
              <w:t xml:space="preserve">. </w:t>
            </w:r>
            <w:r w:rsidRPr="00E96CBF">
              <w:t>A comparison of HbA1c drift estimated from the economic model and from the GLP-1 RA cardiovascular outcomes trials</w:t>
            </w:r>
            <w:r w:rsidR="002F30C9" w:rsidRPr="00E96CBF">
              <w:t xml:space="preserve"> (semaglutide</w:t>
            </w:r>
            <w:r w:rsidR="005567D7" w:rsidRPr="00E96CBF">
              <w:t xml:space="preserve"> trial </w:t>
            </w:r>
            <w:r w:rsidR="002F30C9" w:rsidRPr="00E96CBF">
              <w:t>SUSTAIN-6</w:t>
            </w:r>
            <w:r w:rsidR="005567D7" w:rsidRPr="00E96CBF">
              <w:t>;</w:t>
            </w:r>
            <w:r w:rsidR="002F30C9" w:rsidRPr="00E96CBF">
              <w:t xml:space="preserve"> dulaglutide</w:t>
            </w:r>
            <w:r w:rsidR="005567D7" w:rsidRPr="00E96CBF">
              <w:t xml:space="preserve"> trial</w:t>
            </w:r>
            <w:r w:rsidR="002F30C9" w:rsidRPr="00E96CBF">
              <w:t xml:space="preserve"> REWIND)</w:t>
            </w:r>
            <w:r w:rsidRPr="00E96CBF">
              <w:t xml:space="preserve"> included with the resubmission indicated that the model substantially overestimates HbA1c drift.</w:t>
            </w:r>
          </w:p>
        </w:tc>
        <w:tc>
          <w:tcPr>
            <w:tcW w:w="758" w:type="pct"/>
            <w:shd w:val="clear" w:color="auto" w:fill="auto"/>
            <w:vAlign w:val="center"/>
          </w:tcPr>
          <w:p w14:paraId="2ED65706" w14:textId="4BA9BDA4" w:rsidR="00FF0ECE" w:rsidRPr="00E96CBF" w:rsidRDefault="00FF0ECE" w:rsidP="00FF0ECE">
            <w:pPr>
              <w:pStyle w:val="COMTabletext"/>
              <w:keepNext w:val="0"/>
              <w:jc w:val="center"/>
            </w:pPr>
            <w:r w:rsidRPr="00E96CBF">
              <w:t>Unclear</w:t>
            </w:r>
          </w:p>
        </w:tc>
      </w:tr>
      <w:tr w:rsidR="00FF0ECE" w:rsidRPr="00FA1E86" w14:paraId="2615D271" w14:textId="77777777" w:rsidTr="00A1032E">
        <w:tc>
          <w:tcPr>
            <w:tcW w:w="705" w:type="pct"/>
            <w:shd w:val="clear" w:color="auto" w:fill="auto"/>
            <w:vAlign w:val="center"/>
          </w:tcPr>
          <w:p w14:paraId="17A31CEE" w14:textId="67FCE5D6" w:rsidR="00FF0ECE" w:rsidRPr="00FA1E86" w:rsidRDefault="00FF0ECE" w:rsidP="00FF0ECE">
            <w:pPr>
              <w:pStyle w:val="COMTabletext"/>
              <w:keepNext w:val="0"/>
            </w:pPr>
            <w:r>
              <w:t>Weight-related disutility/utility values</w:t>
            </w:r>
          </w:p>
        </w:tc>
        <w:tc>
          <w:tcPr>
            <w:tcW w:w="3537" w:type="pct"/>
            <w:shd w:val="clear" w:color="auto" w:fill="auto"/>
            <w:vAlign w:val="center"/>
          </w:tcPr>
          <w:p w14:paraId="28524980" w14:textId="66B95D35" w:rsidR="00FF0ECE" w:rsidRPr="00E96CBF" w:rsidRDefault="00FF0ECE" w:rsidP="00FF0ECE">
            <w:pPr>
              <w:pStyle w:val="COMTabletext"/>
              <w:keepNext w:val="0"/>
              <w:spacing w:after="60"/>
            </w:pPr>
            <w:r w:rsidRPr="00E96CBF">
              <w:t>The resubmission used the same approach to weight-related disutility/utility values as the July 2023 submission.</w:t>
            </w:r>
          </w:p>
          <w:p w14:paraId="38B1906E" w14:textId="61695AC3" w:rsidR="00FF0ECE" w:rsidRPr="00E96CBF" w:rsidRDefault="00FF0ECE" w:rsidP="00FF0ECE">
            <w:pPr>
              <w:spacing w:after="60"/>
              <w:rPr>
                <w:rFonts w:ascii="Arial Narrow" w:hAnsi="Arial Narrow"/>
                <w:sz w:val="20"/>
                <w:szCs w:val="20"/>
              </w:rPr>
            </w:pPr>
            <w:r w:rsidRPr="00E96CBF">
              <w:rPr>
                <w:rFonts w:ascii="Arial Narrow" w:hAnsi="Arial Narrow"/>
                <w:sz w:val="20"/>
                <w:szCs w:val="20"/>
              </w:rPr>
              <w:t>Utility gains associated with weight loss in the first year of the model were derived from utility gains associated with various percentage weight reductions in obese type 2 diabetes patients from a UK vignette-based time trade-off study (Boye 2022). The resubmission used these values to calculate an average utility gain for each modelled treatment arm based on the mean change in BMI reported in the SURPASS-2 post hoc subgroup with BMI ≥35 kg/m</w:t>
            </w:r>
            <w:r w:rsidRPr="00E96CBF">
              <w:rPr>
                <w:rFonts w:ascii="Arial Narrow" w:hAnsi="Arial Narrow"/>
                <w:sz w:val="20"/>
                <w:szCs w:val="20"/>
                <w:vertAlign w:val="superscript"/>
              </w:rPr>
              <w:t>2</w:t>
            </w:r>
            <w:r w:rsidRPr="00E96CBF">
              <w:rPr>
                <w:rFonts w:ascii="Arial Narrow" w:hAnsi="Arial Narrow"/>
                <w:sz w:val="20"/>
                <w:szCs w:val="20"/>
              </w:rPr>
              <w:t xml:space="preserve">. The resubmission did not justify applying utility estimates to population-level data rather than modelled individual estimates of weight change. The approach used in the submission resulted in implausible scenarios such as patients with modelled weight gain accruing the utility benefits associated with substantial weight loss. </w:t>
            </w:r>
          </w:p>
          <w:p w14:paraId="645C2AE1" w14:textId="128973E4" w:rsidR="00FF0ECE" w:rsidRPr="00E96CBF" w:rsidRDefault="00FF0ECE" w:rsidP="00FF0ECE">
            <w:pPr>
              <w:pStyle w:val="COMTabletext"/>
              <w:spacing w:after="60"/>
            </w:pPr>
            <w:r w:rsidRPr="00E96CBF">
              <w:lastRenderedPageBreak/>
              <w:t xml:space="preserve">The disutility associated with weight in subsequent years was based on a cross-sectional survey of European type 2 diabetes patients using the EQ-5D-3L (CODE-2 study; </w:t>
            </w:r>
            <w:proofErr w:type="spellStart"/>
            <w:r w:rsidRPr="00E96CBF">
              <w:t>Bagust</w:t>
            </w:r>
            <w:proofErr w:type="spellEnd"/>
            <w:r w:rsidRPr="00E96CBF">
              <w:t xml:space="preserve"> and Beale, 2005). This source was not adequately justified, given the substantial number of other utility/disutility values in the published literature based on absolute (per unit change in kg or BMI), categorical (normal weight, overweight, obese, morbidly obese) or relative measures (percentage change). Based on the literature search presented in the resubmission the disutility associated with a 1 unit increase in BMI can range from 0.001 (Soltoft 2009) to 0.0472 (Lane 2014). Given the substantial uncertainty associated with published estimates, validation of these estimates with additional analyses of the SURPASS-2 trial assessing the relationship between change in BMI and change in utility values would be informative.</w:t>
            </w:r>
          </w:p>
          <w:p w14:paraId="4A8DFF43" w14:textId="311305CA" w:rsidR="00FF0ECE" w:rsidRPr="00E96CBF" w:rsidRDefault="00FF0ECE" w:rsidP="00FF0ECE">
            <w:pPr>
              <w:pStyle w:val="COMTabletext"/>
              <w:keepNext w:val="0"/>
              <w:spacing w:after="60"/>
            </w:pPr>
            <w:r w:rsidRPr="00E96CBF">
              <w:t>The resubmission implemented the weight-related disutility in subsequent years as an additional utility loss for all patients with a BMI &gt;25 kg/m</w:t>
            </w:r>
            <w:r w:rsidRPr="00E96CBF">
              <w:rPr>
                <w:vertAlign w:val="superscript"/>
              </w:rPr>
              <w:t>2</w:t>
            </w:r>
            <w:r w:rsidRPr="00E96CBF">
              <w:t xml:space="preserve"> regardless of baseline weight. The ESC previously considered that this approach </w:t>
            </w:r>
            <w:r w:rsidR="00261778">
              <w:t>wa</w:t>
            </w:r>
            <w:r w:rsidRPr="00E96CBF">
              <w:t>s flawed, and double counts the utility impact of patients being overweight or obese, as the baseline utility values of patients would already include any detriments associated with baseline weight (para 6.72, tirzepatide PSD, July 2023 PBAC meeting).</w:t>
            </w:r>
          </w:p>
          <w:p w14:paraId="67998F54" w14:textId="1A4D054F" w:rsidR="00FF0ECE" w:rsidRPr="00E96CBF" w:rsidRDefault="00FF0ECE" w:rsidP="00FF0ECE">
            <w:pPr>
              <w:rPr>
                <w:rFonts w:ascii="Arial Narrow" w:hAnsi="Arial Narrow"/>
                <w:color w:val="3366FF"/>
                <w:sz w:val="20"/>
                <w:szCs w:val="20"/>
              </w:rPr>
            </w:pPr>
            <w:r w:rsidRPr="00E96CBF">
              <w:rPr>
                <w:rFonts w:ascii="Arial Narrow" w:hAnsi="Arial Narrow"/>
                <w:sz w:val="20"/>
                <w:szCs w:val="20"/>
              </w:rPr>
              <w:t>The resubmission argued that the weight-related utility/disutility estimates used in the model were 2 separate, independent quality of life impacts of changes in weight; and that the baseline utility of 0.785 from Clarke 2002 does not explicitly control for BMI and is therefore unlikely to reflect the utility loss experienced by patients with a baseline BMI ≥35 kg/m</w:t>
            </w:r>
            <w:r w:rsidRPr="00E96CBF">
              <w:rPr>
                <w:rFonts w:ascii="Arial Narrow" w:hAnsi="Arial Narrow"/>
                <w:sz w:val="20"/>
                <w:szCs w:val="20"/>
                <w:vertAlign w:val="superscript"/>
              </w:rPr>
              <w:t>2</w:t>
            </w:r>
            <w:r w:rsidRPr="00E96CBF">
              <w:rPr>
                <w:rFonts w:ascii="Arial Narrow" w:hAnsi="Arial Narrow"/>
                <w:sz w:val="20"/>
                <w:szCs w:val="20"/>
              </w:rPr>
              <w:t xml:space="preserve">. </w:t>
            </w:r>
            <w:r w:rsidRPr="00E96CBF">
              <w:rPr>
                <w:rFonts w:ascii="Arial Narrow" w:hAnsi="Arial Narrow" w:cstheme="minorHAnsi"/>
                <w:sz w:val="20"/>
                <w:szCs w:val="20"/>
              </w:rPr>
              <w:t>The PBAC previously considered that the approach to applying weight-based utility/disutility values was unreliable (para 7.15, tirzepatide PSD, July 2023 PBAC meeting).</w:t>
            </w:r>
          </w:p>
        </w:tc>
        <w:tc>
          <w:tcPr>
            <w:tcW w:w="758" w:type="pct"/>
            <w:shd w:val="clear" w:color="auto" w:fill="auto"/>
            <w:vAlign w:val="center"/>
          </w:tcPr>
          <w:p w14:paraId="091C848D" w14:textId="2E3F2DE3" w:rsidR="00FF0ECE" w:rsidRPr="00E96CBF" w:rsidRDefault="00FF0ECE" w:rsidP="00FF0ECE">
            <w:pPr>
              <w:pStyle w:val="COMTabletext"/>
              <w:keepNext w:val="0"/>
              <w:jc w:val="center"/>
            </w:pPr>
            <w:r w:rsidRPr="00E96CBF">
              <w:lastRenderedPageBreak/>
              <w:t>High, direction unclear</w:t>
            </w:r>
          </w:p>
        </w:tc>
      </w:tr>
    </w:tbl>
    <w:p w14:paraId="693CC780" w14:textId="60243EF7" w:rsidR="009A721E" w:rsidRDefault="009A721E" w:rsidP="009A721E">
      <w:pPr>
        <w:pStyle w:val="COMTablefooter"/>
      </w:pPr>
      <w:r>
        <w:t>Source:</w:t>
      </w:r>
      <w:r w:rsidR="0065312D">
        <w:t xml:space="preserve"> Constructed during the evaluation</w:t>
      </w:r>
    </w:p>
    <w:p w14:paraId="067174C5" w14:textId="252D8F7F" w:rsidR="00E53850" w:rsidRPr="00FA1E86" w:rsidRDefault="00E53850" w:rsidP="00E53850">
      <w:pPr>
        <w:pStyle w:val="COMTablefooter"/>
      </w:pPr>
      <w:r w:rsidRPr="00FA1E86">
        <w:t xml:space="preserve">Abbreviations: BMI, body mass index; </w:t>
      </w:r>
      <w:r w:rsidR="00A9736B">
        <w:t xml:space="preserve">eGFR, estimated glomerular filtration rate; ESC, Economics Sub Committee; </w:t>
      </w:r>
      <w:r w:rsidRPr="00FA1E86">
        <w:t xml:space="preserve">GIP, glucose-dependent insulinotropic peptide; GLP-1 RA glucagon-like peptide-1 receptor agonists; HbA1c, glycated haemoglobin; </w:t>
      </w:r>
      <w:r w:rsidR="00A9736B">
        <w:t xml:space="preserve">HDL, high density lipoprotein; </w:t>
      </w:r>
      <w:r w:rsidRPr="00FA1E86">
        <w:t xml:space="preserve">IU, international units; </w:t>
      </w:r>
      <w:r w:rsidR="00A9736B">
        <w:t>LDL, low density lipoprotein;</w:t>
      </w:r>
      <w:r w:rsidR="0013671C">
        <w:t xml:space="preserve"> </w:t>
      </w:r>
      <w:r w:rsidRPr="00FA1E86">
        <w:t>PBAC, Pharmaceutical Benefits Advisory Committee; PI, product information; PSD, Public Summary document;</w:t>
      </w:r>
      <w:r w:rsidR="00D85153">
        <w:t xml:space="preserve"> UK, United Kingdom;</w:t>
      </w:r>
      <w:r w:rsidRPr="00FA1E86">
        <w:t xml:space="preserve"> UKPDS OM2, United Kingdom Prospective Diabetes Study Outcomes Model 2</w:t>
      </w:r>
    </w:p>
    <w:p w14:paraId="1E544AD7" w14:textId="0D94B70D" w:rsidR="00325D93" w:rsidRPr="00491857" w:rsidRDefault="00325D93" w:rsidP="00325D93">
      <w:pPr>
        <w:pStyle w:val="COMexecsummnumbered"/>
      </w:pPr>
      <w:r w:rsidRPr="00491857">
        <w:t xml:space="preserve">A model trace of the average QALYs over time in the model is shown in </w:t>
      </w:r>
      <w:r>
        <w:fldChar w:fldCharType="begin" w:fldLock="1"/>
      </w:r>
      <w:r>
        <w:instrText xml:space="preserve"> REF _Ref174717919 \h </w:instrText>
      </w:r>
      <w:r>
        <w:fldChar w:fldCharType="separate"/>
      </w:r>
      <w:r w:rsidR="00EE035D">
        <w:t xml:space="preserve">Figure </w:t>
      </w:r>
      <w:r w:rsidR="00EE035D">
        <w:rPr>
          <w:noProof/>
        </w:rPr>
        <w:t>1</w:t>
      </w:r>
      <w:r>
        <w:fldChar w:fldCharType="end"/>
      </w:r>
      <w:r w:rsidRPr="00491857">
        <w:t>.</w:t>
      </w:r>
    </w:p>
    <w:p w14:paraId="22C7DED1" w14:textId="3B4B30A9" w:rsidR="00325D93" w:rsidRDefault="00325D93" w:rsidP="00325D93">
      <w:pPr>
        <w:pStyle w:val="Caption"/>
      </w:pPr>
      <w:bookmarkStart w:id="49" w:name="_Ref174717919"/>
      <w:r>
        <w:lastRenderedPageBreak/>
        <w:t xml:space="preserve">Figure </w:t>
      </w:r>
      <w:r w:rsidR="00EE035D">
        <w:fldChar w:fldCharType="begin" w:fldLock="1"/>
      </w:r>
      <w:r w:rsidR="00EE035D">
        <w:instrText xml:space="preserve"> SEQ Figure \* ARABIC </w:instrText>
      </w:r>
      <w:r w:rsidR="00EE035D">
        <w:fldChar w:fldCharType="separate"/>
      </w:r>
      <w:r w:rsidR="00EE035D">
        <w:rPr>
          <w:noProof/>
        </w:rPr>
        <w:t>1</w:t>
      </w:r>
      <w:r w:rsidR="00EE035D">
        <w:rPr>
          <w:noProof/>
        </w:rPr>
        <w:fldChar w:fldCharType="end"/>
      </w:r>
      <w:bookmarkEnd w:id="49"/>
      <w:r>
        <w:t>: Model trace of average undiscounted QALYs over time</w:t>
      </w:r>
    </w:p>
    <w:p w14:paraId="68BBC10E" w14:textId="77777777" w:rsidR="00325D93" w:rsidRDefault="00325D93" w:rsidP="00325D93">
      <w:r w:rsidRPr="00E25673">
        <w:rPr>
          <w:noProof/>
        </w:rPr>
        <w:drawing>
          <wp:inline distT="0" distB="0" distL="0" distR="0" wp14:anchorId="076CDACA" wp14:editId="1B4FF024">
            <wp:extent cx="5688330" cy="3347085"/>
            <wp:effectExtent l="0" t="0" r="7620" b="5715"/>
            <wp:docPr id="1210119766" name="Picture 6" descr="Figure 1: Model trace of average undiscounted QALY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9766" name="Picture 6" descr="Figure 1: Model trace of average undiscounted QALYs over t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3347085"/>
                    </a:xfrm>
                    <a:prstGeom prst="rect">
                      <a:avLst/>
                    </a:prstGeom>
                    <a:noFill/>
                  </pic:spPr>
                </pic:pic>
              </a:graphicData>
            </a:graphic>
          </wp:inline>
        </w:drawing>
      </w:r>
    </w:p>
    <w:p w14:paraId="05EA1AB8" w14:textId="77777777" w:rsidR="00325D93" w:rsidRPr="00741BD4" w:rsidRDefault="00325D93" w:rsidP="00325D93">
      <w:pPr>
        <w:pStyle w:val="COMTablefooter"/>
      </w:pPr>
      <w:r w:rsidRPr="00741BD4">
        <w:t>Source: Constructed during the evaluation using the ‘A7.1_TZP Section 3 Model’ spreadsheet provided with the resubmission.</w:t>
      </w:r>
    </w:p>
    <w:p w14:paraId="010FB627" w14:textId="66C5B860" w:rsidR="00325D93" w:rsidRPr="00E96CBF" w:rsidRDefault="00325D93" w:rsidP="00325D93">
      <w:pPr>
        <w:pStyle w:val="COMexecsummnumbered"/>
      </w:pPr>
      <w:r w:rsidRPr="00E96CBF">
        <w:t xml:space="preserve">The modelled changes in average QALYs after one year of treatment (tirzepatide </w:t>
      </w:r>
      <w:r w:rsidR="000E740E" w:rsidRPr="00E96CBF">
        <w:t>5</w:t>
      </w:r>
      <w:r w:rsidR="000E740E">
        <w:t> </w:t>
      </w:r>
      <w:r w:rsidRPr="00E96CBF">
        <w:t>mg: +0.0152, 10 mg: +0.0221; 15 mg: +0.0276; semaglutide 1 mg: +0.0060) were inconsistent with the available utility data from the SURPASS-2 whole trial population (all treatment arms: +0.04) and SURPASS-2 post hoc subgroup with BMI ≥35 kg/m</w:t>
      </w:r>
      <w:r w:rsidRPr="00E96CBF">
        <w:rPr>
          <w:vertAlign w:val="superscript"/>
        </w:rPr>
        <w:t>2</w:t>
      </w:r>
      <w:r w:rsidRPr="00E96CBF">
        <w:t xml:space="preserve"> (all treatment arms: +0.05 to +0.06). The resubmission did not address the lack of internal consistency between modelled and observed utility data.</w:t>
      </w:r>
    </w:p>
    <w:p w14:paraId="52CB9736" w14:textId="35826B81" w:rsidR="00325D93" w:rsidRPr="00E96CBF" w:rsidRDefault="00325D93" w:rsidP="00325D93">
      <w:pPr>
        <w:pStyle w:val="COMexecsummnumbered"/>
      </w:pPr>
      <w:r w:rsidRPr="00E96CBF">
        <w:t>The model predicted a major decline in quality of life between Year 1 and Year 2 which appeared implausible given the minimal changes in biomarkers and outcomes over this period. This decline appeared to be primarily due to the misapplication of weight-based disutility values to all patients with a BMI &gt;25 kg/m</w:t>
      </w:r>
      <w:r w:rsidRPr="00E96CBF">
        <w:rPr>
          <w:vertAlign w:val="superscript"/>
        </w:rPr>
        <w:t>2</w:t>
      </w:r>
      <w:r w:rsidRPr="00E96CBF">
        <w:t xml:space="preserve"> from the second year onwards regardless of their baseline weight. This approach double-counts the utility impact of patients being overweight or obese</w:t>
      </w:r>
      <w:r w:rsidR="00B57029" w:rsidRPr="00E96CBF">
        <w:t>,</w:t>
      </w:r>
      <w:r w:rsidRPr="00E96CBF">
        <w:t xml:space="preserve"> as the baseline utility values of patients would already include any detriments associated with baseline weight. </w:t>
      </w:r>
    </w:p>
    <w:p w14:paraId="6774D06D" w14:textId="77777777" w:rsidR="00325D93" w:rsidRPr="00E96CBF" w:rsidRDefault="00325D93" w:rsidP="00325D93">
      <w:pPr>
        <w:pStyle w:val="COMexecsummnumbered"/>
      </w:pPr>
      <w:r w:rsidRPr="00E96CBF">
        <w:t>Beyond Year 2, modelled estimates of qualify of life declined in all treatment arms due to age, diabetes complications and initiation of insulin therapy (which reverted baseline weight reductions and increased the frequency of hypoglycaemia episodes). There were no apparent differences between treatment arms beyond 8 years.</w:t>
      </w:r>
    </w:p>
    <w:p w14:paraId="304C77BE" w14:textId="14A162F6" w:rsidR="00844E4B" w:rsidRPr="00E96CBF" w:rsidRDefault="00844E4B" w:rsidP="00844E4B">
      <w:pPr>
        <w:pStyle w:val="COMexecsummnumbered"/>
        <w:rPr>
          <w:color w:val="0066FF"/>
        </w:rPr>
      </w:pPr>
      <w:r w:rsidRPr="00E96CBF">
        <w:t>The results of the stepped economic evaluation presented in the resubmission for the comparison of tirzepatide 15 mg and semaglutide 1 mg are presented in Table 3.8-2</w:t>
      </w:r>
      <w:r w:rsidR="00FD58AB">
        <w:t xml:space="preserve"> </w:t>
      </w:r>
      <w:r w:rsidRPr="00E96CBF">
        <w:t xml:space="preserve">of the resubmission. During the evaluation, a stepped economic evaluation was conducted from the July 2023 base case to the current resubmission base case, to </w:t>
      </w:r>
      <w:r w:rsidRPr="00E96CBF">
        <w:lastRenderedPageBreak/>
        <w:t xml:space="preserve">assess the impact of changes included in the current resubmission’s model. The results are presented in </w:t>
      </w:r>
      <w:r w:rsidR="00F91329" w:rsidRPr="00E96CBF">
        <w:fldChar w:fldCharType="begin" w:fldLock="1"/>
      </w:r>
      <w:r w:rsidR="00F91329" w:rsidRPr="00E96CBF">
        <w:instrText xml:space="preserve"> REF _Ref177379398 \h  \* MERGEFORMAT </w:instrText>
      </w:r>
      <w:r w:rsidR="00F91329" w:rsidRPr="00E96CBF">
        <w:fldChar w:fldCharType="separate"/>
      </w:r>
      <w:r w:rsidR="00EE035D" w:rsidRPr="00741BD4">
        <w:t xml:space="preserve">Table </w:t>
      </w:r>
      <w:r w:rsidR="00EE035D">
        <w:rPr>
          <w:noProof/>
        </w:rPr>
        <w:t>12</w:t>
      </w:r>
      <w:r w:rsidR="00F91329" w:rsidRPr="00E96CBF">
        <w:fldChar w:fldCharType="end"/>
      </w:r>
      <w:r w:rsidRPr="00E96CBF">
        <w:t xml:space="preserve"> below.</w:t>
      </w:r>
    </w:p>
    <w:p w14:paraId="009A7883" w14:textId="3072FA28" w:rsidR="00844E4B" w:rsidRPr="00741BD4" w:rsidRDefault="00844E4B" w:rsidP="00AB76B8">
      <w:pPr>
        <w:pStyle w:val="COMtablefigcaption"/>
        <w:keepLines/>
      </w:pPr>
      <w:bookmarkStart w:id="50" w:name="_Ref177379398"/>
      <w:bookmarkStart w:id="51" w:name="_Ref174718088"/>
      <w:r w:rsidRPr="00741BD4">
        <w:t xml:space="preserve">Table </w:t>
      </w:r>
      <w:r w:rsidR="00EE035D">
        <w:fldChar w:fldCharType="begin" w:fldLock="1"/>
      </w:r>
      <w:r w:rsidR="00EE035D">
        <w:instrText xml:space="preserve"> SEQ Table \* ARABIC </w:instrText>
      </w:r>
      <w:r w:rsidR="00EE035D">
        <w:fldChar w:fldCharType="separate"/>
      </w:r>
      <w:r w:rsidR="00EE035D">
        <w:rPr>
          <w:noProof/>
        </w:rPr>
        <w:t>12</w:t>
      </w:r>
      <w:r w:rsidR="00EE035D">
        <w:rPr>
          <w:noProof/>
        </w:rPr>
        <w:fldChar w:fldCharType="end"/>
      </w:r>
      <w:bookmarkEnd w:id="50"/>
      <w:r w:rsidRPr="00741BD4">
        <w:t>: Results of the stepped economic evaluation</w:t>
      </w:r>
      <w:r>
        <w:t xml:space="preserve"> from the July 2023 base case to the current model base case</w:t>
      </w:r>
      <w:bookmarkEnd w:id="51"/>
    </w:p>
    <w:tbl>
      <w:tblPr>
        <w:tblStyle w:val="TableGrid"/>
        <w:tblW w:w="0" w:type="auto"/>
        <w:tblCellMar>
          <w:left w:w="28" w:type="dxa"/>
          <w:right w:w="28" w:type="dxa"/>
        </w:tblCellMar>
        <w:tblLook w:val="04A0" w:firstRow="1" w:lastRow="0" w:firstColumn="1" w:lastColumn="0" w:noHBand="0" w:noVBand="1"/>
        <w:tblCaption w:val="Table 12: Results of the stepped economic evaluation from the July 2023 base case to the current model base case"/>
      </w:tblPr>
      <w:tblGrid>
        <w:gridCol w:w="5949"/>
        <w:gridCol w:w="992"/>
        <w:gridCol w:w="992"/>
        <w:gridCol w:w="1084"/>
      </w:tblGrid>
      <w:tr w:rsidR="00844E4B" w:rsidRPr="00E96CBF" w14:paraId="4412638A" w14:textId="77777777" w:rsidTr="00AB76B8">
        <w:trPr>
          <w:tblHeader/>
        </w:trPr>
        <w:tc>
          <w:tcPr>
            <w:tcW w:w="5949" w:type="dxa"/>
          </w:tcPr>
          <w:p w14:paraId="410DEDD1" w14:textId="77777777" w:rsidR="00844E4B" w:rsidRPr="00E96CBF" w:rsidRDefault="00844E4B" w:rsidP="00AB76B8">
            <w:pPr>
              <w:keepNext/>
              <w:keepLines/>
              <w:rPr>
                <w:rFonts w:ascii="Arial Narrow" w:hAnsi="Arial Narrow"/>
                <w:sz w:val="20"/>
                <w:szCs w:val="20"/>
              </w:rPr>
            </w:pPr>
          </w:p>
        </w:tc>
        <w:tc>
          <w:tcPr>
            <w:tcW w:w="992" w:type="dxa"/>
            <w:vAlign w:val="center"/>
          </w:tcPr>
          <w:p w14:paraId="4E69358E" w14:textId="35EF343E"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Incremental cost</w:t>
            </w:r>
            <w:r w:rsidR="00892347">
              <w:rPr>
                <w:rFonts w:ascii="Arial Narrow" w:hAnsi="Arial Narrow"/>
                <w:b/>
                <w:bCs/>
                <w:sz w:val="20"/>
                <w:szCs w:val="20"/>
              </w:rPr>
              <w:t xml:space="preserve"> ($)</w:t>
            </w:r>
          </w:p>
        </w:tc>
        <w:tc>
          <w:tcPr>
            <w:tcW w:w="992" w:type="dxa"/>
            <w:vAlign w:val="center"/>
          </w:tcPr>
          <w:p w14:paraId="35386A98" w14:textId="77777777"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Incremental QALYs</w:t>
            </w:r>
          </w:p>
        </w:tc>
        <w:tc>
          <w:tcPr>
            <w:tcW w:w="1084" w:type="dxa"/>
            <w:vAlign w:val="center"/>
          </w:tcPr>
          <w:p w14:paraId="505E132C" w14:textId="77777777" w:rsidR="00844E4B" w:rsidRPr="00E96CBF" w:rsidRDefault="00844E4B" w:rsidP="00AB76B8">
            <w:pPr>
              <w:keepNext/>
              <w:keepLines/>
              <w:jc w:val="center"/>
              <w:rPr>
                <w:rFonts w:ascii="Arial Narrow" w:hAnsi="Arial Narrow"/>
                <w:b/>
                <w:bCs/>
                <w:sz w:val="20"/>
                <w:szCs w:val="20"/>
              </w:rPr>
            </w:pPr>
            <w:r w:rsidRPr="00E96CBF">
              <w:rPr>
                <w:rFonts w:ascii="Arial Narrow" w:hAnsi="Arial Narrow"/>
                <w:b/>
                <w:bCs/>
                <w:sz w:val="20"/>
                <w:szCs w:val="20"/>
              </w:rPr>
              <w:t>ICER</w:t>
            </w:r>
          </w:p>
        </w:tc>
      </w:tr>
      <w:tr w:rsidR="00844E4B" w:rsidRPr="00E96CBF" w14:paraId="519237E8" w14:textId="77777777" w:rsidTr="00A1032E">
        <w:tc>
          <w:tcPr>
            <w:tcW w:w="9017" w:type="dxa"/>
            <w:gridSpan w:val="4"/>
          </w:tcPr>
          <w:p w14:paraId="108175D5" w14:textId="77777777" w:rsidR="00844E4B" w:rsidRPr="00E96CBF" w:rsidRDefault="00844E4B" w:rsidP="00AB76B8">
            <w:pPr>
              <w:keepNext/>
              <w:keepLines/>
              <w:rPr>
                <w:rFonts w:ascii="Arial Narrow" w:hAnsi="Arial Narrow"/>
                <w:sz w:val="20"/>
                <w:szCs w:val="20"/>
              </w:rPr>
            </w:pPr>
            <w:r w:rsidRPr="00E96CBF">
              <w:rPr>
                <w:rFonts w:ascii="Arial Narrow" w:hAnsi="Arial Narrow"/>
                <w:b/>
                <w:bCs/>
                <w:sz w:val="20"/>
                <w:szCs w:val="20"/>
              </w:rPr>
              <w:t>Tirzepatide 5 mg versus semaglutide 1 mg</w:t>
            </w:r>
          </w:p>
        </w:tc>
      </w:tr>
      <w:tr w:rsidR="00844E4B" w:rsidRPr="00E96CBF" w14:paraId="17A8FF81" w14:textId="77777777" w:rsidTr="00AB76B8">
        <w:tc>
          <w:tcPr>
            <w:tcW w:w="5949" w:type="dxa"/>
          </w:tcPr>
          <w:p w14:paraId="71779CB7"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 xml:space="preserve">July 2023 evaluation base </w:t>
            </w:r>
            <w:proofErr w:type="spellStart"/>
            <w:r w:rsidRPr="00E96CBF">
              <w:rPr>
                <w:rFonts w:ascii="Arial Narrow" w:hAnsi="Arial Narrow"/>
                <w:sz w:val="20"/>
                <w:szCs w:val="20"/>
              </w:rPr>
              <w:t>case</w:t>
            </w:r>
            <w:r w:rsidRPr="00E96CBF">
              <w:rPr>
                <w:rFonts w:ascii="Arial Narrow" w:hAnsi="Arial Narrow"/>
                <w:sz w:val="20"/>
                <w:szCs w:val="20"/>
                <w:vertAlign w:val="superscript"/>
              </w:rPr>
              <w:t>a</w:t>
            </w:r>
            <w:proofErr w:type="spellEnd"/>
          </w:p>
        </w:tc>
        <w:tc>
          <w:tcPr>
            <w:tcW w:w="992" w:type="dxa"/>
            <w:vAlign w:val="center"/>
          </w:tcPr>
          <w:p w14:paraId="14C405BB" w14:textId="2EACFFB9"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8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F1C841E"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0.0396</w:t>
            </w:r>
          </w:p>
        </w:tc>
        <w:tc>
          <w:tcPr>
            <w:tcW w:w="1084" w:type="dxa"/>
            <w:vAlign w:val="center"/>
          </w:tcPr>
          <w:p w14:paraId="44053AAE" w14:textId="23C437EA"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8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82"/>
                <w14:textFill>
                  <w14:solidFill>
                    <w14:srgbClr w14:val="000000">
                      <w14:alpha w14:val="100000"/>
                    </w14:srgbClr>
                  </w14:solidFill>
                </w14:textFill>
              </w:rPr>
              <w:t>|</w:t>
            </w:r>
            <w:r w:rsidR="0047519C" w:rsidRPr="0047519C">
              <w:rPr>
                <w:rFonts w:ascii="Arial Narrow" w:hAnsi="Arial Narrow"/>
                <w:color w:val="000000"/>
                <w:sz w:val="20"/>
                <w:szCs w:val="20"/>
                <w:vertAlign w:val="superscript"/>
              </w:rPr>
              <w:t>1</w:t>
            </w:r>
          </w:p>
        </w:tc>
      </w:tr>
      <w:tr w:rsidR="00844E4B" w:rsidRPr="00E96CBF" w14:paraId="3A59317B" w14:textId="77777777" w:rsidTr="00AB76B8">
        <w:tc>
          <w:tcPr>
            <w:tcW w:w="5949" w:type="dxa"/>
          </w:tcPr>
          <w:p w14:paraId="495EA69E"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 xml:space="preserve">Correction for mortality source </w:t>
            </w:r>
            <w:proofErr w:type="spellStart"/>
            <w:r w:rsidRPr="00E96CBF">
              <w:rPr>
                <w:rFonts w:ascii="Arial Narrow" w:hAnsi="Arial Narrow"/>
                <w:sz w:val="20"/>
                <w:szCs w:val="20"/>
              </w:rPr>
              <w:t>error</w:t>
            </w:r>
            <w:r w:rsidRPr="00E96CBF">
              <w:rPr>
                <w:rFonts w:ascii="Arial Narrow" w:hAnsi="Arial Narrow"/>
                <w:sz w:val="20"/>
                <w:szCs w:val="20"/>
                <w:vertAlign w:val="superscript"/>
              </w:rPr>
              <w:t>b</w:t>
            </w:r>
            <w:proofErr w:type="spellEnd"/>
            <w:r w:rsidRPr="00E96CBF">
              <w:rPr>
                <w:rFonts w:ascii="Arial Narrow" w:hAnsi="Arial Narrow"/>
                <w:sz w:val="20"/>
                <w:szCs w:val="20"/>
              </w:rPr>
              <w:t>; updated life tables and unit costs</w:t>
            </w:r>
          </w:p>
        </w:tc>
        <w:tc>
          <w:tcPr>
            <w:tcW w:w="992" w:type="dxa"/>
            <w:vAlign w:val="center"/>
          </w:tcPr>
          <w:p w14:paraId="4F2AE26D" w14:textId="507A72FC"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81"/>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1"/>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B3D4012"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0.0404</w:t>
            </w:r>
          </w:p>
        </w:tc>
        <w:tc>
          <w:tcPr>
            <w:tcW w:w="1084" w:type="dxa"/>
            <w:vAlign w:val="center"/>
          </w:tcPr>
          <w:p w14:paraId="37CFCF87" w14:textId="22ED88AC"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80"/>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80"/>
                <w14:textFill>
                  <w14:solidFill>
                    <w14:srgbClr w14:val="000000">
                      <w14:alpha w14:val="100000"/>
                    </w14:srgbClr>
                  </w14:solidFill>
                </w14:textFill>
              </w:rPr>
              <w:t>|</w:t>
            </w:r>
            <w:r w:rsidR="000B78B2" w:rsidRPr="0047519C">
              <w:rPr>
                <w:rFonts w:ascii="Arial Narrow" w:hAnsi="Arial Narrow"/>
                <w:color w:val="000000"/>
                <w:sz w:val="20"/>
                <w:szCs w:val="20"/>
                <w:vertAlign w:val="superscript"/>
              </w:rPr>
              <w:t>1</w:t>
            </w:r>
          </w:p>
        </w:tc>
      </w:tr>
      <w:tr w:rsidR="00844E4B" w:rsidRPr="00E96CBF" w14:paraId="20F95435" w14:textId="77777777" w:rsidTr="00AB76B8">
        <w:tc>
          <w:tcPr>
            <w:tcW w:w="5949" w:type="dxa"/>
            <w:vAlign w:val="center"/>
          </w:tcPr>
          <w:p w14:paraId="0ACC0172"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4F602A03" w14:textId="72BAFD82"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7388663"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0.0404</w:t>
            </w:r>
          </w:p>
        </w:tc>
        <w:tc>
          <w:tcPr>
            <w:tcW w:w="1084" w:type="dxa"/>
            <w:vAlign w:val="center"/>
          </w:tcPr>
          <w:p w14:paraId="0E8860E1" w14:textId="5FBF77F7"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8"/>
                <w14:textFill>
                  <w14:solidFill>
                    <w14:srgbClr w14:val="000000">
                      <w14:alpha w14:val="100000"/>
                    </w14:srgbClr>
                  </w14:solidFill>
                </w14:textFill>
              </w:rPr>
              <w:t>|</w:t>
            </w:r>
            <w:r w:rsidR="000B78B2" w:rsidRPr="0047519C">
              <w:rPr>
                <w:rFonts w:ascii="Arial Narrow" w:hAnsi="Arial Narrow"/>
                <w:color w:val="000000"/>
                <w:sz w:val="20"/>
                <w:szCs w:val="20"/>
                <w:vertAlign w:val="superscript"/>
              </w:rPr>
              <w:t>1</w:t>
            </w:r>
          </w:p>
        </w:tc>
      </w:tr>
      <w:tr w:rsidR="00844E4B" w:rsidRPr="00E96CBF" w14:paraId="7DB457B1" w14:textId="77777777" w:rsidTr="00AB76B8">
        <w:tc>
          <w:tcPr>
            <w:tcW w:w="5949" w:type="dxa"/>
            <w:vAlign w:val="center"/>
          </w:tcPr>
          <w:p w14:paraId="18203F23" w14:textId="77777777" w:rsidR="00844E4B" w:rsidRPr="00E96CBF" w:rsidRDefault="00844E4B"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822D8F0" w14:textId="28245FF6"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7"/>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7"/>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5BE94401" w14:textId="77777777" w:rsidR="00844E4B" w:rsidRPr="00E96CBF" w:rsidRDefault="00844E4B" w:rsidP="00AB76B8">
            <w:pPr>
              <w:keepNext/>
              <w:keepLines/>
              <w:jc w:val="center"/>
              <w:rPr>
                <w:rFonts w:ascii="Arial Narrow" w:hAnsi="Arial Narrow"/>
                <w:sz w:val="20"/>
                <w:szCs w:val="20"/>
              </w:rPr>
            </w:pPr>
            <w:r w:rsidRPr="00E96CBF">
              <w:rPr>
                <w:rFonts w:ascii="Arial Narrow" w:hAnsi="Arial Narrow"/>
                <w:color w:val="000000"/>
                <w:sz w:val="20"/>
                <w:szCs w:val="20"/>
              </w:rPr>
              <w:t>0.0373</w:t>
            </w:r>
          </w:p>
        </w:tc>
        <w:tc>
          <w:tcPr>
            <w:tcW w:w="1084" w:type="dxa"/>
            <w:vAlign w:val="center"/>
          </w:tcPr>
          <w:p w14:paraId="1EE2CBE2" w14:textId="5490B2FB" w:rsidR="00844E4B"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6"/>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6"/>
                <w14:textFill>
                  <w14:solidFill>
                    <w14:srgbClr w14:val="000000">
                      <w14:alpha w14:val="100000"/>
                    </w14:srgbClr>
                  </w14:solidFill>
                </w14:textFill>
              </w:rPr>
              <w:t>|</w:t>
            </w:r>
            <w:r w:rsidR="008A2301" w:rsidRPr="008A2301">
              <w:rPr>
                <w:rFonts w:ascii="Arial Narrow" w:hAnsi="Arial Narrow"/>
                <w:color w:val="000000"/>
                <w:sz w:val="20"/>
                <w:szCs w:val="20"/>
                <w:vertAlign w:val="superscript"/>
              </w:rPr>
              <w:t>2</w:t>
            </w:r>
          </w:p>
        </w:tc>
      </w:tr>
      <w:tr w:rsidR="0039776E" w:rsidRPr="00E96CBF" w14:paraId="624E6255" w14:textId="77777777" w:rsidTr="00AB76B8">
        <w:tc>
          <w:tcPr>
            <w:tcW w:w="5949" w:type="dxa"/>
            <w:vAlign w:val="center"/>
          </w:tcPr>
          <w:p w14:paraId="0A95232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167260C5" w14:textId="4E65863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5"/>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3CF711A0"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0.0323</w:t>
            </w:r>
          </w:p>
        </w:tc>
        <w:tc>
          <w:tcPr>
            <w:tcW w:w="1084" w:type="dxa"/>
            <w:vAlign w:val="center"/>
          </w:tcPr>
          <w:p w14:paraId="6D6BF978" w14:textId="692F178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4"/>
                <w14:textFill>
                  <w14:solidFill>
                    <w14:srgbClr w14:val="000000">
                      <w14:alpha w14:val="100000"/>
                    </w14:srgbClr>
                  </w14:solidFill>
                </w14:textFill>
              </w:rPr>
              <w:t>|</w:t>
            </w:r>
            <w:r w:rsidR="001646EA" w:rsidRPr="001646EA">
              <w:rPr>
                <w:rFonts w:ascii="Arial Narrow" w:hAnsi="Arial Narrow"/>
                <w:color w:val="000000"/>
                <w:sz w:val="20"/>
                <w:szCs w:val="20"/>
                <w:vertAlign w:val="superscript"/>
              </w:rPr>
              <w:t>3</w:t>
            </w:r>
          </w:p>
        </w:tc>
      </w:tr>
      <w:tr w:rsidR="0039776E" w:rsidRPr="00E96CBF" w14:paraId="46312363" w14:textId="77777777" w:rsidTr="00AB76B8">
        <w:tc>
          <w:tcPr>
            <w:tcW w:w="5949" w:type="dxa"/>
            <w:vAlign w:val="center"/>
          </w:tcPr>
          <w:p w14:paraId="741F4CE3"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6FD5A3E3" w14:textId="000CBD6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7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7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71FD2C61"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0.0266</w:t>
            </w:r>
          </w:p>
        </w:tc>
        <w:tc>
          <w:tcPr>
            <w:tcW w:w="1084" w:type="dxa"/>
            <w:vAlign w:val="center"/>
          </w:tcPr>
          <w:p w14:paraId="189C7B41" w14:textId="1A811369"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7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72"/>
                <w14:textFill>
                  <w14:solidFill>
                    <w14:srgbClr w14:val="000000">
                      <w14:alpha w14:val="100000"/>
                    </w14:srgbClr>
                  </w14:solidFill>
                </w14:textFill>
              </w:rPr>
              <w:t>|</w:t>
            </w:r>
            <w:r w:rsidR="008A2301" w:rsidRPr="008A2301">
              <w:rPr>
                <w:rFonts w:ascii="Arial Narrow" w:hAnsi="Arial Narrow"/>
                <w:color w:val="000000"/>
                <w:sz w:val="20"/>
                <w:szCs w:val="20"/>
                <w:vertAlign w:val="superscript"/>
              </w:rPr>
              <w:t>2</w:t>
            </w:r>
          </w:p>
        </w:tc>
      </w:tr>
      <w:tr w:rsidR="0039776E" w:rsidRPr="00E96CBF" w14:paraId="049D0E2F" w14:textId="77777777" w:rsidTr="00AB76B8">
        <w:tc>
          <w:tcPr>
            <w:tcW w:w="5949" w:type="dxa"/>
            <w:vAlign w:val="center"/>
          </w:tcPr>
          <w:p w14:paraId="66275E56" w14:textId="3BFC8DB5"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Decrease tirzepatide cost based on tiered pricing (from $</w:t>
            </w:r>
            <w:r w:rsidR="00F111EB" w:rsidRPr="00F111EB">
              <w:rPr>
                <w:rFonts w:ascii="Arial Narrow" w:hAnsi="Arial Narrow"/>
                <w:color w:val="000000"/>
                <w:spacing w:val="8"/>
                <w:sz w:val="20"/>
                <w:szCs w:val="20"/>
                <w:shd w:val="solid" w:color="000000" w:fill="000000"/>
                <w:fitText w:val="305" w:id="-761014771"/>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771"/>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6" w:id="-761014770"/>
                <w14:textFill>
                  <w14:solidFill>
                    <w14:srgbClr w14:val="000000">
                      <w14:alpha w14:val="100000"/>
                    </w14:srgbClr>
                  </w14:solidFill>
                </w14:textFill>
              </w:rPr>
              <w:t>||  |</w:t>
            </w:r>
            <w:r w:rsidR="00F111EB" w:rsidRPr="00F111EB">
              <w:rPr>
                <w:rFonts w:ascii="Arial Narrow" w:hAnsi="Arial Narrow"/>
                <w:color w:val="000000"/>
                <w:spacing w:val="5"/>
                <w:sz w:val="20"/>
                <w:szCs w:val="20"/>
                <w:shd w:val="solid" w:color="000000" w:fill="000000"/>
                <w:fitText w:val="306" w:id="-761014770"/>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0F5AED20" w14:textId="26333F3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76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6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E479CF9"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0.0266</w:t>
            </w:r>
          </w:p>
        </w:tc>
        <w:tc>
          <w:tcPr>
            <w:tcW w:w="1084" w:type="dxa"/>
            <w:vAlign w:val="center"/>
          </w:tcPr>
          <w:p w14:paraId="0C5DC6B7" w14:textId="2DBB930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76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768"/>
                <w14:textFill>
                  <w14:solidFill>
                    <w14:srgbClr w14:val="000000">
                      <w14:alpha w14:val="100000"/>
                    </w14:srgbClr>
                  </w14:solidFill>
                </w14:textFill>
              </w:rPr>
              <w:t>|</w:t>
            </w:r>
            <w:r w:rsidR="005A775C" w:rsidRPr="005A775C">
              <w:rPr>
                <w:rFonts w:ascii="Arial Narrow" w:hAnsi="Arial Narrow"/>
                <w:color w:val="000000"/>
                <w:sz w:val="20"/>
                <w:szCs w:val="20"/>
                <w:vertAlign w:val="superscript"/>
              </w:rPr>
              <w:t>4</w:t>
            </w:r>
          </w:p>
        </w:tc>
      </w:tr>
      <w:tr w:rsidR="0039776E" w:rsidRPr="00E96CBF" w14:paraId="03BA958B" w14:textId="77777777" w:rsidTr="00AB76B8">
        <w:tc>
          <w:tcPr>
            <w:tcW w:w="5949" w:type="dxa"/>
            <w:vAlign w:val="center"/>
          </w:tcPr>
          <w:p w14:paraId="1835E14A"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6610A0E8" w14:textId="23738D17"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6" w:id="-761014784"/>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784"/>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6F9D9FF" w14:textId="77777777" w:rsidR="0039776E" w:rsidRPr="00E96CBF" w:rsidRDefault="0039776E" w:rsidP="00AB76B8">
            <w:pPr>
              <w:keepNext/>
              <w:keepLines/>
              <w:jc w:val="center"/>
              <w:rPr>
                <w:rFonts w:ascii="Arial Narrow" w:hAnsi="Arial Narrow"/>
                <w:color w:val="000000"/>
                <w:sz w:val="20"/>
                <w:szCs w:val="20"/>
              </w:rPr>
            </w:pPr>
            <w:r w:rsidRPr="00E96CBF">
              <w:rPr>
                <w:rFonts w:ascii="Arial Narrow" w:hAnsi="Arial Narrow"/>
                <w:color w:val="000000"/>
                <w:sz w:val="20"/>
                <w:szCs w:val="20"/>
              </w:rPr>
              <w:t>0.0340</w:t>
            </w:r>
          </w:p>
        </w:tc>
        <w:tc>
          <w:tcPr>
            <w:tcW w:w="1084" w:type="dxa"/>
            <w:vAlign w:val="center"/>
          </w:tcPr>
          <w:p w14:paraId="5A2CCCD3" w14:textId="2AA0C8C5"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5" w:id="-76101452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8"/>
                <w14:textFill>
                  <w14:solidFill>
                    <w14:srgbClr w14:val="000000">
                      <w14:alpha w14:val="100000"/>
                    </w14:srgbClr>
                  </w14:solidFill>
                </w14:textFill>
              </w:rPr>
              <w:t>|</w:t>
            </w:r>
            <w:r w:rsidR="001862B9" w:rsidRPr="001862B9">
              <w:rPr>
                <w:rFonts w:ascii="Arial Narrow" w:hAnsi="Arial Narrow"/>
                <w:color w:val="000000"/>
                <w:sz w:val="20"/>
                <w:szCs w:val="20"/>
                <w:vertAlign w:val="superscript"/>
              </w:rPr>
              <w:t>5</w:t>
            </w:r>
          </w:p>
        </w:tc>
      </w:tr>
      <w:tr w:rsidR="0039776E" w:rsidRPr="00E96CBF" w14:paraId="375F9E58" w14:textId="77777777" w:rsidTr="00AB76B8">
        <w:tc>
          <w:tcPr>
            <w:tcW w:w="5949" w:type="dxa"/>
            <w:vAlign w:val="center"/>
          </w:tcPr>
          <w:p w14:paraId="2807B5A3" w14:textId="6D59976C"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4ACFF446" w14:textId="097E1AF1"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5"/>
                <w:sz w:val="20"/>
                <w:szCs w:val="20"/>
                <w:shd w:val="solid" w:color="000000" w:fill="000000"/>
                <w:fitText w:val="350" w:id="-761014527"/>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7"/>
                <w14:textFill>
                  <w14:solidFill>
                    <w14:srgbClr w14:val="000000">
                      <w14:alpha w14:val="100000"/>
                    </w14:srgbClr>
                  </w14:solidFill>
                </w14:textFill>
              </w:rPr>
              <w:t>|</w:t>
            </w:r>
            <w:r w:rsidR="00C403B0">
              <w:rPr>
                <w:rFonts w:ascii="Arial Narrow" w:hAnsi="Arial Narrow"/>
                <w:b/>
                <w:bCs/>
                <w:color w:val="000000"/>
                <w:sz w:val="20"/>
                <w:szCs w:val="20"/>
              </w:rPr>
              <w:t xml:space="preserve"> </w:t>
            </w:r>
          </w:p>
        </w:tc>
        <w:tc>
          <w:tcPr>
            <w:tcW w:w="992" w:type="dxa"/>
            <w:vAlign w:val="center"/>
          </w:tcPr>
          <w:p w14:paraId="26DAF4E7" w14:textId="77777777" w:rsidR="0039776E" w:rsidRPr="00E96CBF" w:rsidRDefault="0039776E" w:rsidP="00AB76B8">
            <w:pPr>
              <w:keepNext/>
              <w:keepLines/>
              <w:jc w:val="center"/>
              <w:rPr>
                <w:rFonts w:ascii="Arial Narrow" w:hAnsi="Arial Narrow"/>
                <w:b/>
                <w:bCs/>
                <w:sz w:val="20"/>
                <w:szCs w:val="20"/>
              </w:rPr>
            </w:pPr>
            <w:r w:rsidRPr="00E96CBF">
              <w:rPr>
                <w:rFonts w:ascii="Arial Narrow" w:hAnsi="Arial Narrow"/>
                <w:b/>
                <w:bCs/>
                <w:color w:val="000000"/>
                <w:sz w:val="20"/>
                <w:szCs w:val="20"/>
              </w:rPr>
              <w:t>0.0258</w:t>
            </w:r>
          </w:p>
        </w:tc>
        <w:tc>
          <w:tcPr>
            <w:tcW w:w="1084" w:type="dxa"/>
            <w:vAlign w:val="center"/>
          </w:tcPr>
          <w:p w14:paraId="38F202BB" w14:textId="520294D0"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9"/>
                <w:sz w:val="20"/>
                <w:szCs w:val="20"/>
                <w:shd w:val="solid" w:color="000000" w:fill="000000"/>
                <w:fitText w:val="363" w:id="-761014526"/>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6"/>
                <w14:textFill>
                  <w14:solidFill>
                    <w14:srgbClr w14:val="000000">
                      <w14:alpha w14:val="100000"/>
                    </w14:srgbClr>
                  </w14:solidFill>
                </w14:textFill>
              </w:rPr>
              <w:t>|</w:t>
            </w:r>
            <w:r w:rsidR="005A775C" w:rsidRPr="005A775C">
              <w:rPr>
                <w:rFonts w:ascii="Arial Narrow" w:hAnsi="Arial Narrow"/>
                <w:color w:val="000000"/>
                <w:sz w:val="20"/>
                <w:szCs w:val="20"/>
                <w:vertAlign w:val="superscript"/>
              </w:rPr>
              <w:t>4</w:t>
            </w:r>
          </w:p>
        </w:tc>
      </w:tr>
      <w:tr w:rsidR="0039776E" w:rsidRPr="00E96CBF" w14:paraId="43ECB2AA" w14:textId="77777777" w:rsidTr="00A1032E">
        <w:tc>
          <w:tcPr>
            <w:tcW w:w="9017" w:type="dxa"/>
            <w:gridSpan w:val="4"/>
          </w:tcPr>
          <w:p w14:paraId="6A4A6AB6" w14:textId="77777777" w:rsidR="0039776E" w:rsidRPr="00E96CBF" w:rsidRDefault="0039776E" w:rsidP="00AB76B8">
            <w:pPr>
              <w:keepNext/>
              <w:keepLines/>
              <w:rPr>
                <w:rFonts w:ascii="Arial Narrow" w:hAnsi="Arial Narrow"/>
                <w:sz w:val="20"/>
                <w:szCs w:val="20"/>
              </w:rPr>
            </w:pPr>
            <w:r w:rsidRPr="00E96CBF">
              <w:rPr>
                <w:rFonts w:ascii="Arial Narrow" w:hAnsi="Arial Narrow"/>
                <w:b/>
                <w:bCs/>
                <w:sz w:val="20"/>
                <w:szCs w:val="20"/>
              </w:rPr>
              <w:t>Tirzepatide 10 mg versus semaglutide 1 mg</w:t>
            </w:r>
          </w:p>
        </w:tc>
      </w:tr>
      <w:tr w:rsidR="0039776E" w:rsidRPr="00E96CBF" w14:paraId="60F818F5" w14:textId="77777777" w:rsidTr="00AB76B8">
        <w:tc>
          <w:tcPr>
            <w:tcW w:w="5949" w:type="dxa"/>
          </w:tcPr>
          <w:p w14:paraId="6A8F08D5"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 xml:space="preserve">July 2023 evaluation base </w:t>
            </w:r>
            <w:proofErr w:type="spellStart"/>
            <w:r w:rsidRPr="00E96CBF">
              <w:rPr>
                <w:rFonts w:ascii="Arial Narrow" w:hAnsi="Arial Narrow"/>
                <w:sz w:val="20"/>
                <w:szCs w:val="20"/>
              </w:rPr>
              <w:t>case</w:t>
            </w:r>
            <w:r w:rsidRPr="00E96CBF">
              <w:rPr>
                <w:rFonts w:ascii="Arial Narrow" w:hAnsi="Arial Narrow"/>
                <w:sz w:val="20"/>
                <w:szCs w:val="20"/>
                <w:vertAlign w:val="superscript"/>
              </w:rPr>
              <w:t>a</w:t>
            </w:r>
            <w:proofErr w:type="spellEnd"/>
          </w:p>
        </w:tc>
        <w:tc>
          <w:tcPr>
            <w:tcW w:w="992" w:type="dxa"/>
            <w:vAlign w:val="center"/>
          </w:tcPr>
          <w:p w14:paraId="0C52D4DC" w14:textId="50F0246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5"/>
                <w14:textFill>
                  <w14:solidFill>
                    <w14:srgbClr w14:val="000000">
                      <w14:alpha w14:val="100000"/>
                    </w14:srgbClr>
                  </w14:solidFill>
                </w14:textFill>
              </w:rPr>
              <w:t>|</w:t>
            </w:r>
            <w:r w:rsidR="00C403B0">
              <w:rPr>
                <w:rFonts w:ascii="Arial Narrow" w:hAnsi="Arial Narrow"/>
                <w:sz w:val="20"/>
                <w:szCs w:val="20"/>
              </w:rPr>
              <w:t xml:space="preserve"> </w:t>
            </w:r>
          </w:p>
        </w:tc>
        <w:tc>
          <w:tcPr>
            <w:tcW w:w="992" w:type="dxa"/>
            <w:vAlign w:val="center"/>
          </w:tcPr>
          <w:p w14:paraId="60BCAA9A"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0.0866</w:t>
            </w:r>
          </w:p>
        </w:tc>
        <w:tc>
          <w:tcPr>
            <w:tcW w:w="1084" w:type="dxa"/>
            <w:vAlign w:val="center"/>
          </w:tcPr>
          <w:p w14:paraId="40E9B601" w14:textId="1D34288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89FCFB2" w14:textId="77777777" w:rsidTr="00AB76B8">
        <w:tc>
          <w:tcPr>
            <w:tcW w:w="5949" w:type="dxa"/>
          </w:tcPr>
          <w:p w14:paraId="28E24B9E"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 xml:space="preserve">Correction for mortality source </w:t>
            </w:r>
            <w:proofErr w:type="spellStart"/>
            <w:r w:rsidRPr="00E96CBF">
              <w:rPr>
                <w:rFonts w:ascii="Arial Narrow" w:hAnsi="Arial Narrow"/>
                <w:sz w:val="20"/>
                <w:szCs w:val="20"/>
              </w:rPr>
              <w:t>error</w:t>
            </w:r>
            <w:r w:rsidRPr="00E96CBF">
              <w:rPr>
                <w:rFonts w:ascii="Arial Narrow" w:hAnsi="Arial Narrow"/>
                <w:sz w:val="20"/>
                <w:szCs w:val="20"/>
                <w:vertAlign w:val="superscript"/>
              </w:rPr>
              <w:t>b</w:t>
            </w:r>
            <w:proofErr w:type="spellEnd"/>
            <w:r w:rsidRPr="00E96CBF">
              <w:rPr>
                <w:rFonts w:ascii="Arial Narrow" w:hAnsi="Arial Narrow"/>
                <w:sz w:val="20"/>
                <w:szCs w:val="20"/>
              </w:rPr>
              <w:t>; updated life tables and unit costs</w:t>
            </w:r>
          </w:p>
        </w:tc>
        <w:tc>
          <w:tcPr>
            <w:tcW w:w="992" w:type="dxa"/>
            <w:vAlign w:val="center"/>
          </w:tcPr>
          <w:p w14:paraId="0C7BB35C" w14:textId="59E507F0"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3"/>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009C846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0.0879</w:t>
            </w:r>
          </w:p>
        </w:tc>
        <w:tc>
          <w:tcPr>
            <w:tcW w:w="1084" w:type="dxa"/>
            <w:vAlign w:val="center"/>
          </w:tcPr>
          <w:p w14:paraId="0F90FF53" w14:textId="692770B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2"/>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4FFFEFA" w14:textId="77777777" w:rsidTr="00AB76B8">
        <w:tc>
          <w:tcPr>
            <w:tcW w:w="5949" w:type="dxa"/>
            <w:vAlign w:val="center"/>
          </w:tcPr>
          <w:p w14:paraId="35EFBC04"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490CA73D" w14:textId="35FEFB4F"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1"/>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1"/>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0578BB6F"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0.0879</w:t>
            </w:r>
          </w:p>
        </w:tc>
        <w:tc>
          <w:tcPr>
            <w:tcW w:w="1084" w:type="dxa"/>
            <w:vAlign w:val="center"/>
          </w:tcPr>
          <w:p w14:paraId="03BB56DD" w14:textId="2A53A49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0"/>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0"/>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A0D3591" w14:textId="77777777" w:rsidTr="00AB76B8">
        <w:tc>
          <w:tcPr>
            <w:tcW w:w="5949" w:type="dxa"/>
            <w:vAlign w:val="center"/>
          </w:tcPr>
          <w:p w14:paraId="2BE59A7B"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2643C79" w14:textId="3A94D3C5"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9"/>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9"/>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7A70B4F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0.0867</w:t>
            </w:r>
          </w:p>
        </w:tc>
        <w:tc>
          <w:tcPr>
            <w:tcW w:w="1084" w:type="dxa"/>
            <w:vAlign w:val="center"/>
          </w:tcPr>
          <w:p w14:paraId="50DC2F3E" w14:textId="07BA607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8"/>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74E03C58" w14:textId="77777777" w:rsidTr="00AB76B8">
        <w:tc>
          <w:tcPr>
            <w:tcW w:w="5949" w:type="dxa"/>
            <w:vAlign w:val="center"/>
          </w:tcPr>
          <w:p w14:paraId="57CCBF8F"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64DDC084" w14:textId="6BD2AB9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7"/>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7"/>
                <w14:textFill>
                  <w14:solidFill>
                    <w14:srgbClr w14:val="000000">
                      <w14:alpha w14:val="100000"/>
                    </w14:srgbClr>
                  </w14:solidFill>
                </w14:textFill>
              </w:rPr>
              <w:t>|</w:t>
            </w:r>
            <w:r w:rsidR="00C403B0">
              <w:rPr>
                <w:rFonts w:ascii="Arial Narrow" w:hAnsi="Arial Narrow"/>
                <w:color w:val="000000"/>
                <w:sz w:val="20"/>
                <w:szCs w:val="20"/>
              </w:rPr>
              <w:t xml:space="preserve"> </w:t>
            </w:r>
          </w:p>
        </w:tc>
        <w:tc>
          <w:tcPr>
            <w:tcW w:w="992" w:type="dxa"/>
            <w:vAlign w:val="center"/>
          </w:tcPr>
          <w:p w14:paraId="2A2F738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0.0756</w:t>
            </w:r>
          </w:p>
        </w:tc>
        <w:tc>
          <w:tcPr>
            <w:tcW w:w="1084" w:type="dxa"/>
            <w:vAlign w:val="center"/>
          </w:tcPr>
          <w:p w14:paraId="7970BBC4" w14:textId="16E1352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6"/>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6"/>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6597AD84" w14:textId="77777777" w:rsidTr="00AB76B8">
        <w:tc>
          <w:tcPr>
            <w:tcW w:w="5949" w:type="dxa"/>
            <w:vAlign w:val="center"/>
          </w:tcPr>
          <w:p w14:paraId="5977FCC5"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6B28F4B2" w14:textId="5B8493F1"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5"/>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D40366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0.0623</w:t>
            </w:r>
          </w:p>
        </w:tc>
        <w:tc>
          <w:tcPr>
            <w:tcW w:w="1084" w:type="dxa"/>
            <w:vAlign w:val="center"/>
          </w:tcPr>
          <w:p w14:paraId="4374741F" w14:textId="69A772E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0BB76013" w14:textId="77777777" w:rsidTr="00AB76B8">
        <w:tc>
          <w:tcPr>
            <w:tcW w:w="5949" w:type="dxa"/>
            <w:vAlign w:val="center"/>
          </w:tcPr>
          <w:p w14:paraId="06E87C25" w14:textId="78C5E53E"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Decrease tirzepatide cost based on tiered pricing (from $</w:t>
            </w:r>
            <w:r w:rsidR="00F111EB" w:rsidRPr="00F111EB">
              <w:rPr>
                <w:rFonts w:ascii="Arial Narrow" w:hAnsi="Arial Narrow"/>
                <w:color w:val="000000"/>
                <w:spacing w:val="8"/>
                <w:sz w:val="20"/>
                <w:szCs w:val="20"/>
                <w:shd w:val="solid" w:color="000000" w:fill="000000"/>
                <w:fitText w:val="305" w:id="-761014513"/>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13"/>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6" w:id="-761014512"/>
                <w14:textFill>
                  <w14:solidFill>
                    <w14:srgbClr w14:val="000000">
                      <w14:alpha w14:val="100000"/>
                    </w14:srgbClr>
                  </w14:solidFill>
                </w14:textFill>
              </w:rPr>
              <w:t>||  |</w:t>
            </w:r>
            <w:r w:rsidR="00F111EB" w:rsidRPr="00F111EB">
              <w:rPr>
                <w:rFonts w:ascii="Arial Narrow" w:hAnsi="Arial Narrow"/>
                <w:color w:val="000000"/>
                <w:spacing w:val="5"/>
                <w:sz w:val="20"/>
                <w:szCs w:val="20"/>
                <w:shd w:val="solid" w:color="000000" w:fill="000000"/>
                <w:fitText w:val="306" w:id="-761014512"/>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1FEF4D18" w14:textId="59A321A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8"/>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8"/>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3A6D474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0.0623</w:t>
            </w:r>
          </w:p>
        </w:tc>
        <w:tc>
          <w:tcPr>
            <w:tcW w:w="1084" w:type="dxa"/>
            <w:vAlign w:val="center"/>
          </w:tcPr>
          <w:p w14:paraId="0D54DD38" w14:textId="093C3E7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7"/>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7"/>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DFDF219" w14:textId="77777777" w:rsidTr="00AB76B8">
        <w:tc>
          <w:tcPr>
            <w:tcW w:w="5949" w:type="dxa"/>
            <w:vAlign w:val="center"/>
          </w:tcPr>
          <w:p w14:paraId="14ED6B42"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733878D9" w14:textId="2A86521E"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6"/>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6"/>
                <w14:textFill>
                  <w14:solidFill>
                    <w14:srgbClr w14:val="000000">
                      <w14:alpha w14:val="100000"/>
                    </w14:srgbClr>
                  </w14:solidFill>
                </w14:textFill>
              </w:rPr>
              <w:t>|</w:t>
            </w:r>
            <w:r w:rsidR="00584204">
              <w:rPr>
                <w:rFonts w:ascii="Arial Narrow" w:hAnsi="Arial Narrow"/>
                <w:sz w:val="20"/>
                <w:szCs w:val="20"/>
              </w:rPr>
              <w:t xml:space="preserve"> </w:t>
            </w:r>
          </w:p>
        </w:tc>
        <w:tc>
          <w:tcPr>
            <w:tcW w:w="992" w:type="dxa"/>
            <w:vAlign w:val="center"/>
          </w:tcPr>
          <w:p w14:paraId="58810DA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0.0677</w:t>
            </w:r>
          </w:p>
        </w:tc>
        <w:tc>
          <w:tcPr>
            <w:tcW w:w="1084" w:type="dxa"/>
            <w:vAlign w:val="center"/>
          </w:tcPr>
          <w:p w14:paraId="69F66E9A" w14:textId="5F463D0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5"/>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5"/>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480B7980" w14:textId="77777777" w:rsidTr="00AB76B8">
        <w:tc>
          <w:tcPr>
            <w:tcW w:w="5949" w:type="dxa"/>
            <w:vAlign w:val="center"/>
          </w:tcPr>
          <w:p w14:paraId="023D6EFF"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09D7CBCF" w14:textId="4362EA71" w:rsidR="0039776E" w:rsidRPr="00892347" w:rsidRDefault="00F111EB" w:rsidP="00AB76B8">
            <w:pPr>
              <w:keepNext/>
              <w:keepLines/>
              <w:jc w:val="center"/>
              <w:rPr>
                <w:rFonts w:ascii="Arial Narrow" w:hAnsi="Arial Narrow"/>
                <w:b/>
                <w:bCs/>
                <w:color w:val="000000"/>
                <w:sz w:val="20"/>
                <w:szCs w:val="20"/>
                <w:highlight w:val="darkGray"/>
              </w:rPr>
            </w:pPr>
            <w:r w:rsidRPr="00F111EB">
              <w:rPr>
                <w:rFonts w:ascii="Arial Narrow" w:hAnsi="Arial Narrow"/>
                <w:b/>
                <w:bCs/>
                <w:color w:val="000000"/>
                <w:spacing w:val="55"/>
                <w:sz w:val="20"/>
                <w:szCs w:val="20"/>
                <w:shd w:val="solid" w:color="000000" w:fill="000000"/>
                <w:fitText w:val="350" w:id="-761014524"/>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4"/>
                <w14:textFill>
                  <w14:solidFill>
                    <w14:srgbClr w14:val="000000">
                      <w14:alpha w14:val="100000"/>
                    </w14:srgbClr>
                  </w14:solidFill>
                </w14:textFill>
              </w:rPr>
              <w:t>|</w:t>
            </w:r>
            <w:r w:rsidR="00584204">
              <w:rPr>
                <w:rFonts w:ascii="Arial Narrow" w:hAnsi="Arial Narrow"/>
                <w:b/>
                <w:bCs/>
                <w:color w:val="000000"/>
                <w:sz w:val="20"/>
                <w:szCs w:val="20"/>
              </w:rPr>
              <w:t xml:space="preserve"> </w:t>
            </w:r>
          </w:p>
        </w:tc>
        <w:tc>
          <w:tcPr>
            <w:tcW w:w="992" w:type="dxa"/>
            <w:vAlign w:val="center"/>
          </w:tcPr>
          <w:p w14:paraId="36B28D42" w14:textId="77777777" w:rsidR="0039776E" w:rsidRPr="00E96CBF" w:rsidRDefault="0039776E" w:rsidP="00AB76B8">
            <w:pPr>
              <w:keepNext/>
              <w:keepLines/>
              <w:jc w:val="center"/>
              <w:rPr>
                <w:rFonts w:ascii="Arial Narrow" w:hAnsi="Arial Narrow"/>
                <w:b/>
                <w:bCs/>
                <w:color w:val="000000"/>
                <w:sz w:val="20"/>
                <w:szCs w:val="20"/>
              </w:rPr>
            </w:pPr>
            <w:r w:rsidRPr="00E96CBF">
              <w:rPr>
                <w:rFonts w:ascii="Arial Narrow" w:hAnsi="Arial Narrow"/>
                <w:b/>
                <w:bCs/>
                <w:color w:val="000000"/>
                <w:sz w:val="20"/>
                <w:szCs w:val="20"/>
              </w:rPr>
              <w:t>0.0772</w:t>
            </w:r>
          </w:p>
        </w:tc>
        <w:tc>
          <w:tcPr>
            <w:tcW w:w="1084" w:type="dxa"/>
            <w:vAlign w:val="center"/>
          </w:tcPr>
          <w:p w14:paraId="7AE1EB44" w14:textId="5023A36A" w:rsidR="0039776E" w:rsidRPr="00892347" w:rsidRDefault="00F111EB" w:rsidP="00AB76B8">
            <w:pPr>
              <w:keepNext/>
              <w:keepLines/>
              <w:jc w:val="center"/>
              <w:rPr>
                <w:rFonts w:ascii="Arial Narrow" w:hAnsi="Arial Narrow"/>
                <w:b/>
                <w:bCs/>
                <w:color w:val="000000"/>
                <w:sz w:val="20"/>
                <w:szCs w:val="20"/>
                <w:highlight w:val="darkGray"/>
              </w:rPr>
            </w:pPr>
            <w:r w:rsidRPr="00F111EB">
              <w:rPr>
                <w:rFonts w:ascii="Arial Narrow" w:hAnsi="Arial Narrow"/>
                <w:b/>
                <w:bCs/>
                <w:color w:val="000000"/>
                <w:spacing w:val="59"/>
                <w:sz w:val="20"/>
                <w:szCs w:val="20"/>
                <w:shd w:val="solid" w:color="000000" w:fill="000000"/>
                <w:fitText w:val="363" w:id="-761014523"/>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3"/>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0A0124BA" w14:textId="77777777" w:rsidTr="00A1032E">
        <w:tc>
          <w:tcPr>
            <w:tcW w:w="9017" w:type="dxa"/>
            <w:gridSpan w:val="4"/>
          </w:tcPr>
          <w:p w14:paraId="7B410F9E" w14:textId="77777777" w:rsidR="0039776E" w:rsidRPr="00E96CBF" w:rsidRDefault="0039776E" w:rsidP="00AB76B8">
            <w:pPr>
              <w:keepNext/>
              <w:keepLines/>
              <w:rPr>
                <w:rFonts w:ascii="Arial Narrow" w:hAnsi="Arial Narrow"/>
                <w:sz w:val="20"/>
                <w:szCs w:val="20"/>
              </w:rPr>
            </w:pPr>
            <w:r w:rsidRPr="00E96CBF">
              <w:rPr>
                <w:rFonts w:ascii="Arial Narrow" w:hAnsi="Arial Narrow"/>
                <w:b/>
                <w:bCs/>
                <w:sz w:val="20"/>
                <w:szCs w:val="20"/>
              </w:rPr>
              <w:t>Tirzepatide 15 mg versus semaglutide 1 mg</w:t>
            </w:r>
          </w:p>
        </w:tc>
      </w:tr>
      <w:tr w:rsidR="0039776E" w:rsidRPr="00E96CBF" w14:paraId="523E4A2B" w14:textId="77777777" w:rsidTr="00AB76B8">
        <w:tc>
          <w:tcPr>
            <w:tcW w:w="5949" w:type="dxa"/>
          </w:tcPr>
          <w:p w14:paraId="68EA9EA7"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 xml:space="preserve">July 2023 evaluation base </w:t>
            </w:r>
            <w:proofErr w:type="spellStart"/>
            <w:r w:rsidRPr="00E96CBF">
              <w:rPr>
                <w:rFonts w:ascii="Arial Narrow" w:hAnsi="Arial Narrow"/>
                <w:sz w:val="20"/>
                <w:szCs w:val="20"/>
              </w:rPr>
              <w:t>case</w:t>
            </w:r>
            <w:r w:rsidRPr="00E96CBF">
              <w:rPr>
                <w:rFonts w:ascii="Arial Narrow" w:hAnsi="Arial Narrow"/>
                <w:sz w:val="20"/>
                <w:szCs w:val="20"/>
                <w:vertAlign w:val="superscript"/>
              </w:rPr>
              <w:t>a</w:t>
            </w:r>
            <w:proofErr w:type="spellEnd"/>
          </w:p>
        </w:tc>
        <w:tc>
          <w:tcPr>
            <w:tcW w:w="992" w:type="dxa"/>
            <w:vAlign w:val="center"/>
          </w:tcPr>
          <w:p w14:paraId="0BD55785" w14:textId="3E84626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2"/>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2"/>
                <w14:textFill>
                  <w14:solidFill>
                    <w14:srgbClr w14:val="000000">
                      <w14:alpha w14:val="100000"/>
                    </w14:srgbClr>
                  </w14:solidFill>
                </w14:textFill>
              </w:rPr>
              <w:t>|</w:t>
            </w:r>
            <w:r w:rsidR="00584204">
              <w:rPr>
                <w:rFonts w:ascii="Arial Narrow" w:hAnsi="Arial Narrow"/>
                <w:sz w:val="20"/>
                <w:szCs w:val="20"/>
              </w:rPr>
              <w:t xml:space="preserve"> </w:t>
            </w:r>
          </w:p>
        </w:tc>
        <w:tc>
          <w:tcPr>
            <w:tcW w:w="992" w:type="dxa"/>
            <w:vAlign w:val="center"/>
          </w:tcPr>
          <w:p w14:paraId="128B3D8B"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sz w:val="20"/>
                <w:szCs w:val="20"/>
              </w:rPr>
              <w:t>0.1143</w:t>
            </w:r>
          </w:p>
        </w:tc>
        <w:tc>
          <w:tcPr>
            <w:tcW w:w="1084" w:type="dxa"/>
            <w:vAlign w:val="center"/>
          </w:tcPr>
          <w:p w14:paraId="02C4C821" w14:textId="68CEB099"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1"/>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1"/>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22BFBEB1" w14:textId="77777777" w:rsidTr="00AB76B8">
        <w:tc>
          <w:tcPr>
            <w:tcW w:w="5949" w:type="dxa"/>
          </w:tcPr>
          <w:p w14:paraId="3AB0259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 xml:space="preserve">Correction for mortality source </w:t>
            </w:r>
            <w:proofErr w:type="spellStart"/>
            <w:r w:rsidRPr="00E96CBF">
              <w:rPr>
                <w:rFonts w:ascii="Arial Narrow" w:hAnsi="Arial Narrow"/>
                <w:sz w:val="20"/>
                <w:szCs w:val="20"/>
              </w:rPr>
              <w:t>error</w:t>
            </w:r>
            <w:r w:rsidRPr="00E96CBF">
              <w:rPr>
                <w:rFonts w:ascii="Arial Narrow" w:hAnsi="Arial Narrow"/>
                <w:sz w:val="20"/>
                <w:szCs w:val="20"/>
                <w:vertAlign w:val="superscript"/>
              </w:rPr>
              <w:t>b</w:t>
            </w:r>
            <w:proofErr w:type="spellEnd"/>
            <w:r w:rsidRPr="00E96CBF">
              <w:rPr>
                <w:rFonts w:ascii="Arial Narrow" w:hAnsi="Arial Narrow"/>
                <w:sz w:val="20"/>
                <w:szCs w:val="20"/>
              </w:rPr>
              <w:t>; updated life tables and unit costs</w:t>
            </w:r>
          </w:p>
        </w:tc>
        <w:tc>
          <w:tcPr>
            <w:tcW w:w="992" w:type="dxa"/>
            <w:vAlign w:val="center"/>
          </w:tcPr>
          <w:p w14:paraId="129F1E20" w14:textId="117EABEB"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0"/>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0"/>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7D53664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0.1148</w:t>
            </w:r>
          </w:p>
        </w:tc>
        <w:tc>
          <w:tcPr>
            <w:tcW w:w="1084" w:type="dxa"/>
            <w:vAlign w:val="center"/>
          </w:tcPr>
          <w:p w14:paraId="0388660D" w14:textId="353A7CA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9"/>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9"/>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56C1D31F" w14:textId="77777777" w:rsidTr="00AB76B8">
        <w:tc>
          <w:tcPr>
            <w:tcW w:w="5949" w:type="dxa"/>
            <w:vAlign w:val="center"/>
          </w:tcPr>
          <w:p w14:paraId="31034818"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inflation factor for diabetes complication costs from 2.705 to 3.750</w:t>
            </w:r>
          </w:p>
        </w:tc>
        <w:tc>
          <w:tcPr>
            <w:tcW w:w="992" w:type="dxa"/>
            <w:vAlign w:val="center"/>
          </w:tcPr>
          <w:p w14:paraId="65F1989C" w14:textId="6508D9E8"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8"/>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8"/>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007874FD"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0.1148</w:t>
            </w:r>
          </w:p>
        </w:tc>
        <w:tc>
          <w:tcPr>
            <w:tcW w:w="1084" w:type="dxa"/>
            <w:vAlign w:val="center"/>
          </w:tcPr>
          <w:p w14:paraId="282CB8FF" w14:textId="19F67A0B"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7"/>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7"/>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33C494DC" w14:textId="77777777" w:rsidTr="00AB76B8">
        <w:tc>
          <w:tcPr>
            <w:tcW w:w="5949" w:type="dxa"/>
            <w:vAlign w:val="center"/>
          </w:tcPr>
          <w:p w14:paraId="64CD3259"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Include biomarker drift for LDL cholesterol, HDL cholesterol, white blood cell counts, eGFR and haemoglobin</w:t>
            </w:r>
          </w:p>
        </w:tc>
        <w:tc>
          <w:tcPr>
            <w:tcW w:w="992" w:type="dxa"/>
            <w:vAlign w:val="center"/>
          </w:tcPr>
          <w:p w14:paraId="2F118003" w14:textId="24F2F645"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6"/>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6"/>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4D68BA59"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0.1115</w:t>
            </w:r>
          </w:p>
        </w:tc>
        <w:tc>
          <w:tcPr>
            <w:tcW w:w="1084" w:type="dxa"/>
            <w:vAlign w:val="center"/>
          </w:tcPr>
          <w:p w14:paraId="45C1B835" w14:textId="7539288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5"/>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5"/>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689CA9BD" w14:textId="77777777" w:rsidTr="00AB76B8">
        <w:tc>
          <w:tcPr>
            <w:tcW w:w="5949" w:type="dxa"/>
            <w:vAlign w:val="center"/>
          </w:tcPr>
          <w:p w14:paraId="178F79F7"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Disutility associated with hypoglycaemia reduced (from 0.005 to 0.003)</w:t>
            </w:r>
          </w:p>
        </w:tc>
        <w:tc>
          <w:tcPr>
            <w:tcW w:w="992" w:type="dxa"/>
            <w:vAlign w:val="center"/>
          </w:tcPr>
          <w:p w14:paraId="7646BB7D" w14:textId="47E330FD"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4"/>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4"/>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293A48C"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0.0985</w:t>
            </w:r>
          </w:p>
        </w:tc>
        <w:tc>
          <w:tcPr>
            <w:tcW w:w="1084" w:type="dxa"/>
            <w:vAlign w:val="center"/>
          </w:tcPr>
          <w:p w14:paraId="451C4555" w14:textId="1AD0B8A4"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13"/>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13"/>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1B6A48C5" w14:textId="77777777" w:rsidTr="00AB76B8">
        <w:tc>
          <w:tcPr>
            <w:tcW w:w="5949" w:type="dxa"/>
            <w:vAlign w:val="center"/>
          </w:tcPr>
          <w:p w14:paraId="5D28AC06"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Reduce HbA1c threshold for insulin initiation and intensification from 7.5% to 7.0%</w:t>
            </w:r>
          </w:p>
        </w:tc>
        <w:tc>
          <w:tcPr>
            <w:tcW w:w="992" w:type="dxa"/>
            <w:vAlign w:val="center"/>
          </w:tcPr>
          <w:p w14:paraId="7C5C3F63" w14:textId="52410C8A"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12"/>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12"/>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79F8B7AA"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0.0819</w:t>
            </w:r>
          </w:p>
        </w:tc>
        <w:tc>
          <w:tcPr>
            <w:tcW w:w="1084" w:type="dxa"/>
            <w:vAlign w:val="center"/>
          </w:tcPr>
          <w:p w14:paraId="55AAFAF4" w14:textId="10FC5534"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8"/>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8"/>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7</w:t>
            </w:r>
          </w:p>
        </w:tc>
      </w:tr>
      <w:tr w:rsidR="0039776E" w:rsidRPr="00E96CBF" w14:paraId="7B3D2387" w14:textId="77777777" w:rsidTr="00AB76B8">
        <w:tc>
          <w:tcPr>
            <w:tcW w:w="5949" w:type="dxa"/>
            <w:vAlign w:val="center"/>
          </w:tcPr>
          <w:p w14:paraId="57767725" w14:textId="4F9B02B8"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Increase tirzepatide cost based on tiered pricing (from $</w:t>
            </w:r>
            <w:r w:rsidR="00F111EB" w:rsidRPr="00F111EB">
              <w:rPr>
                <w:rFonts w:ascii="Arial Narrow" w:hAnsi="Arial Narrow"/>
                <w:color w:val="000000"/>
                <w:spacing w:val="8"/>
                <w:sz w:val="20"/>
                <w:szCs w:val="20"/>
                <w:shd w:val="solid" w:color="000000" w:fill="000000"/>
                <w:fitText w:val="305" w:id="-761014527"/>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27"/>
                <w14:textFill>
                  <w14:solidFill>
                    <w14:srgbClr w14:val="000000">
                      <w14:alpha w14:val="100000"/>
                    </w14:srgbClr>
                  </w14:solidFill>
                </w14:textFill>
              </w:rPr>
              <w:t>|</w:t>
            </w:r>
            <w:r w:rsidRPr="00E96CBF">
              <w:rPr>
                <w:rFonts w:ascii="Arial Narrow" w:hAnsi="Arial Narrow"/>
                <w:sz w:val="20"/>
                <w:szCs w:val="20"/>
              </w:rPr>
              <w:t xml:space="preserve"> to $</w:t>
            </w:r>
            <w:r w:rsidR="00F111EB" w:rsidRPr="00F111EB">
              <w:rPr>
                <w:rFonts w:ascii="Arial Narrow" w:hAnsi="Arial Narrow"/>
                <w:color w:val="000000"/>
                <w:spacing w:val="8"/>
                <w:sz w:val="20"/>
                <w:szCs w:val="20"/>
                <w:shd w:val="solid" w:color="000000" w:fill="000000"/>
                <w:fitText w:val="305" w:id="-761014526"/>
                <w14:textFill>
                  <w14:solidFill>
                    <w14:srgbClr w14:val="000000">
                      <w14:alpha w14:val="100000"/>
                    </w14:srgbClr>
                  </w14:solidFill>
                </w14:textFill>
              </w:rPr>
              <w:t>||  |</w:t>
            </w:r>
            <w:r w:rsidR="00F111EB" w:rsidRPr="00F111EB">
              <w:rPr>
                <w:rFonts w:ascii="Arial Narrow" w:hAnsi="Arial Narrow"/>
                <w:color w:val="000000"/>
                <w:spacing w:val="4"/>
                <w:sz w:val="20"/>
                <w:szCs w:val="20"/>
                <w:shd w:val="solid" w:color="000000" w:fill="000000"/>
                <w:fitText w:val="305" w:id="-761014526"/>
                <w14:textFill>
                  <w14:solidFill>
                    <w14:srgbClr w14:val="000000">
                      <w14:alpha w14:val="100000"/>
                    </w14:srgbClr>
                  </w14:solidFill>
                </w14:textFill>
              </w:rPr>
              <w:t>|</w:t>
            </w:r>
            <w:r w:rsidRPr="00E96CBF">
              <w:rPr>
                <w:rFonts w:ascii="Arial Narrow" w:hAnsi="Arial Narrow"/>
                <w:sz w:val="20"/>
                <w:szCs w:val="20"/>
              </w:rPr>
              <w:t>)</w:t>
            </w:r>
          </w:p>
        </w:tc>
        <w:tc>
          <w:tcPr>
            <w:tcW w:w="992" w:type="dxa"/>
            <w:vAlign w:val="center"/>
          </w:tcPr>
          <w:p w14:paraId="76C5AE84" w14:textId="1FFCFFB7"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6" w:id="-761014525"/>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5"/>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18C4E342" w14:textId="77777777" w:rsidR="0039776E" w:rsidRPr="00E96CBF" w:rsidRDefault="0039776E" w:rsidP="00AB76B8">
            <w:pPr>
              <w:keepNext/>
              <w:keepLines/>
              <w:jc w:val="center"/>
              <w:rPr>
                <w:rFonts w:ascii="Arial Narrow" w:hAnsi="Arial Narrow"/>
                <w:sz w:val="20"/>
                <w:szCs w:val="20"/>
              </w:rPr>
            </w:pPr>
            <w:r w:rsidRPr="00E96CBF">
              <w:rPr>
                <w:rFonts w:ascii="Arial Narrow" w:hAnsi="Arial Narrow"/>
                <w:color w:val="000000"/>
                <w:sz w:val="20"/>
                <w:szCs w:val="20"/>
              </w:rPr>
              <w:t>0.0819</w:t>
            </w:r>
          </w:p>
        </w:tc>
        <w:tc>
          <w:tcPr>
            <w:tcW w:w="1084" w:type="dxa"/>
            <w:vAlign w:val="center"/>
          </w:tcPr>
          <w:p w14:paraId="544F24A1" w14:textId="67C6A5A3" w:rsidR="0039776E" w:rsidRPr="00892347" w:rsidRDefault="00F111EB" w:rsidP="00AB76B8">
            <w:pPr>
              <w:keepNext/>
              <w:keepLines/>
              <w:jc w:val="center"/>
              <w:rPr>
                <w:rFonts w:ascii="Arial Narrow" w:hAnsi="Arial Narrow"/>
                <w:sz w:val="20"/>
                <w:szCs w:val="20"/>
                <w:highlight w:val="darkGray"/>
              </w:rPr>
            </w:pPr>
            <w:r w:rsidRPr="00F111EB">
              <w:rPr>
                <w:rFonts w:ascii="Arial Narrow" w:hAnsi="Arial Narrow"/>
                <w:color w:val="000000"/>
                <w:spacing w:val="51"/>
                <w:sz w:val="20"/>
                <w:szCs w:val="20"/>
                <w:shd w:val="solid" w:color="000000" w:fill="000000"/>
                <w:fitText w:val="325" w:id="-761014524"/>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4"/>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571E9963" w14:textId="77777777" w:rsidTr="00AB76B8">
        <w:tc>
          <w:tcPr>
            <w:tcW w:w="5949" w:type="dxa"/>
            <w:vAlign w:val="center"/>
          </w:tcPr>
          <w:p w14:paraId="7388F996"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patient characteristics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68DBDFF5" w14:textId="4CF12091"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6" w:id="-761014523"/>
                <w14:textFill>
                  <w14:solidFill>
                    <w14:srgbClr w14:val="000000">
                      <w14:alpha w14:val="100000"/>
                    </w14:srgbClr>
                  </w14:solidFill>
                </w14:textFill>
              </w:rPr>
              <w:t>|||</w:t>
            </w:r>
            <w:r w:rsidRPr="00F111EB">
              <w:rPr>
                <w:rFonts w:ascii="Arial Narrow" w:hAnsi="Arial Narrow"/>
                <w:color w:val="000000"/>
                <w:spacing w:val="3"/>
                <w:sz w:val="20"/>
                <w:szCs w:val="20"/>
                <w:shd w:val="solid" w:color="000000" w:fill="000000"/>
                <w:fitText w:val="326" w:id="-761014523"/>
                <w14:textFill>
                  <w14:solidFill>
                    <w14:srgbClr w14:val="000000">
                      <w14:alpha w14:val="100000"/>
                    </w14:srgbClr>
                  </w14:solidFill>
                </w14:textFill>
              </w:rPr>
              <w:t>|</w:t>
            </w:r>
            <w:r w:rsidR="00584204">
              <w:rPr>
                <w:rFonts w:ascii="Arial Narrow" w:hAnsi="Arial Narrow"/>
                <w:color w:val="000000"/>
                <w:sz w:val="20"/>
                <w:szCs w:val="20"/>
              </w:rPr>
              <w:t xml:space="preserve"> </w:t>
            </w:r>
          </w:p>
        </w:tc>
        <w:tc>
          <w:tcPr>
            <w:tcW w:w="992" w:type="dxa"/>
            <w:vAlign w:val="center"/>
          </w:tcPr>
          <w:p w14:paraId="562BAC91" w14:textId="77777777" w:rsidR="0039776E" w:rsidRPr="00E96CBF" w:rsidRDefault="0039776E" w:rsidP="00AB76B8">
            <w:pPr>
              <w:keepNext/>
              <w:keepLines/>
              <w:jc w:val="center"/>
              <w:rPr>
                <w:rFonts w:ascii="Arial Narrow" w:hAnsi="Arial Narrow"/>
                <w:color w:val="000000"/>
                <w:sz w:val="20"/>
                <w:szCs w:val="20"/>
              </w:rPr>
            </w:pPr>
            <w:r w:rsidRPr="00E96CBF">
              <w:rPr>
                <w:rFonts w:ascii="Arial Narrow" w:hAnsi="Arial Narrow"/>
                <w:color w:val="000000"/>
                <w:sz w:val="20"/>
                <w:szCs w:val="20"/>
              </w:rPr>
              <w:t>0.0930</w:t>
            </w:r>
          </w:p>
        </w:tc>
        <w:tc>
          <w:tcPr>
            <w:tcW w:w="1084" w:type="dxa"/>
            <w:vAlign w:val="center"/>
          </w:tcPr>
          <w:p w14:paraId="64882C76" w14:textId="4D83CEE4" w:rsidR="0039776E" w:rsidRPr="00892347" w:rsidRDefault="00F111EB" w:rsidP="00AB76B8">
            <w:pPr>
              <w:keepNext/>
              <w:keepLines/>
              <w:jc w:val="center"/>
              <w:rPr>
                <w:rFonts w:ascii="Arial Narrow" w:hAnsi="Arial Narrow"/>
                <w:color w:val="000000"/>
                <w:sz w:val="20"/>
                <w:szCs w:val="20"/>
                <w:highlight w:val="darkGray"/>
              </w:rPr>
            </w:pPr>
            <w:r w:rsidRPr="00F111EB">
              <w:rPr>
                <w:rFonts w:ascii="Arial Narrow" w:hAnsi="Arial Narrow"/>
                <w:color w:val="000000"/>
                <w:spacing w:val="51"/>
                <w:sz w:val="20"/>
                <w:szCs w:val="20"/>
                <w:shd w:val="solid" w:color="000000" w:fill="000000"/>
                <w:fitText w:val="325" w:id="-761014522"/>
                <w14:textFill>
                  <w14:solidFill>
                    <w14:srgbClr w14:val="000000">
                      <w14:alpha w14:val="100000"/>
                    </w14:srgbClr>
                  </w14:solidFill>
                </w14:textFill>
              </w:rPr>
              <w:t>|||</w:t>
            </w:r>
            <w:r w:rsidRPr="00F111EB">
              <w:rPr>
                <w:rFonts w:ascii="Arial Narrow" w:hAnsi="Arial Narrow"/>
                <w:color w:val="000000"/>
                <w:spacing w:val="2"/>
                <w:sz w:val="20"/>
                <w:szCs w:val="20"/>
                <w:shd w:val="solid" w:color="000000" w:fill="000000"/>
                <w:fitText w:val="325" w:id="-761014522"/>
                <w14:textFill>
                  <w14:solidFill>
                    <w14:srgbClr w14:val="000000">
                      <w14:alpha w14:val="100000"/>
                    </w14:srgbClr>
                  </w14:solidFill>
                </w14:textFill>
              </w:rPr>
              <w:t>|</w:t>
            </w:r>
            <w:r w:rsidR="00E170EC" w:rsidRPr="00E170EC">
              <w:rPr>
                <w:rFonts w:ascii="Arial Narrow" w:hAnsi="Arial Narrow"/>
                <w:sz w:val="20"/>
                <w:szCs w:val="20"/>
                <w:vertAlign w:val="superscript"/>
              </w:rPr>
              <w:t>6</w:t>
            </w:r>
          </w:p>
        </w:tc>
      </w:tr>
      <w:tr w:rsidR="0039776E" w:rsidRPr="00E96CBF" w14:paraId="2457DEC0" w14:textId="77777777" w:rsidTr="00AB76B8">
        <w:tc>
          <w:tcPr>
            <w:tcW w:w="5949" w:type="dxa"/>
            <w:vAlign w:val="center"/>
          </w:tcPr>
          <w:p w14:paraId="4BEF41BB" w14:textId="77777777" w:rsidR="0039776E" w:rsidRPr="00E96CBF" w:rsidRDefault="0039776E" w:rsidP="00AB76B8">
            <w:pPr>
              <w:keepNext/>
              <w:keepLines/>
              <w:rPr>
                <w:rFonts w:ascii="Arial Narrow" w:hAnsi="Arial Narrow"/>
                <w:sz w:val="20"/>
                <w:szCs w:val="20"/>
              </w:rPr>
            </w:pPr>
            <w:r w:rsidRPr="00E96CBF">
              <w:rPr>
                <w:rFonts w:ascii="Arial Narrow" w:hAnsi="Arial Narrow"/>
                <w:sz w:val="20"/>
                <w:szCs w:val="20"/>
              </w:rPr>
              <w:t>Update treatment effects from SURPASS-2 whole trial population to post hoc subgroup with BMI ≥35 kg/m</w:t>
            </w:r>
            <w:r w:rsidRPr="00E96CBF">
              <w:rPr>
                <w:rFonts w:ascii="Arial Narrow" w:hAnsi="Arial Narrow"/>
                <w:sz w:val="20"/>
                <w:szCs w:val="20"/>
                <w:vertAlign w:val="superscript"/>
              </w:rPr>
              <w:t>2</w:t>
            </w:r>
          </w:p>
        </w:tc>
        <w:tc>
          <w:tcPr>
            <w:tcW w:w="992" w:type="dxa"/>
            <w:vAlign w:val="center"/>
          </w:tcPr>
          <w:p w14:paraId="34B989D0" w14:textId="741ABEB7" w:rsidR="0039776E" w:rsidRPr="00892347" w:rsidRDefault="00F111EB" w:rsidP="00AB76B8">
            <w:pPr>
              <w:keepNext/>
              <w:keepLines/>
              <w:jc w:val="center"/>
              <w:rPr>
                <w:rFonts w:ascii="Arial Narrow" w:hAnsi="Arial Narrow"/>
                <w:b/>
                <w:bCs/>
                <w:sz w:val="20"/>
                <w:szCs w:val="20"/>
                <w:highlight w:val="darkGray"/>
              </w:rPr>
            </w:pPr>
            <w:r w:rsidRPr="00F111EB">
              <w:rPr>
                <w:rFonts w:ascii="Arial Narrow" w:hAnsi="Arial Narrow"/>
                <w:b/>
                <w:bCs/>
                <w:color w:val="000000"/>
                <w:spacing w:val="55"/>
                <w:sz w:val="20"/>
                <w:szCs w:val="20"/>
                <w:shd w:val="solid" w:color="000000" w:fill="000000"/>
                <w:fitText w:val="350" w:id="-761014521"/>
                <w14:textFill>
                  <w14:solidFill>
                    <w14:srgbClr w14:val="000000">
                      <w14:alpha w14:val="100000"/>
                    </w14:srgbClr>
                  </w14:solidFill>
                </w14:textFill>
              </w:rPr>
              <w:t>|||</w:t>
            </w:r>
            <w:r w:rsidRPr="00F111EB">
              <w:rPr>
                <w:rFonts w:ascii="Arial Narrow" w:hAnsi="Arial Narrow"/>
                <w:b/>
                <w:bCs/>
                <w:color w:val="000000"/>
                <w:spacing w:val="2"/>
                <w:sz w:val="20"/>
                <w:szCs w:val="20"/>
                <w:shd w:val="solid" w:color="000000" w:fill="000000"/>
                <w:fitText w:val="350" w:id="-761014521"/>
                <w14:textFill>
                  <w14:solidFill>
                    <w14:srgbClr w14:val="000000">
                      <w14:alpha w14:val="100000"/>
                    </w14:srgbClr>
                  </w14:solidFill>
                </w14:textFill>
              </w:rPr>
              <w:t>|</w:t>
            </w:r>
            <w:r w:rsidR="00584204">
              <w:rPr>
                <w:rFonts w:ascii="Arial Narrow" w:hAnsi="Arial Narrow"/>
                <w:b/>
                <w:bCs/>
                <w:color w:val="000000"/>
                <w:sz w:val="20"/>
                <w:szCs w:val="20"/>
              </w:rPr>
              <w:t xml:space="preserve"> </w:t>
            </w:r>
          </w:p>
        </w:tc>
        <w:tc>
          <w:tcPr>
            <w:tcW w:w="992" w:type="dxa"/>
            <w:vAlign w:val="center"/>
          </w:tcPr>
          <w:p w14:paraId="4CE8B319" w14:textId="77777777" w:rsidR="0039776E" w:rsidRPr="00E96CBF" w:rsidRDefault="0039776E" w:rsidP="00AB76B8">
            <w:pPr>
              <w:keepNext/>
              <w:keepLines/>
              <w:jc w:val="center"/>
              <w:rPr>
                <w:rFonts w:ascii="Arial Narrow" w:hAnsi="Arial Narrow"/>
                <w:b/>
                <w:bCs/>
                <w:sz w:val="20"/>
                <w:szCs w:val="20"/>
              </w:rPr>
            </w:pPr>
            <w:r w:rsidRPr="00E96CBF">
              <w:rPr>
                <w:rFonts w:ascii="Arial Narrow" w:hAnsi="Arial Narrow"/>
                <w:b/>
                <w:bCs/>
                <w:color w:val="000000"/>
                <w:sz w:val="20"/>
                <w:szCs w:val="20"/>
              </w:rPr>
              <w:t>0.1127</w:t>
            </w:r>
          </w:p>
        </w:tc>
        <w:tc>
          <w:tcPr>
            <w:tcW w:w="1084" w:type="dxa"/>
            <w:vAlign w:val="center"/>
          </w:tcPr>
          <w:p w14:paraId="162BAB50" w14:textId="7469D3ED" w:rsidR="0039776E" w:rsidRPr="006668AD" w:rsidRDefault="00F111EB" w:rsidP="00AB76B8">
            <w:pPr>
              <w:keepNext/>
              <w:keepLines/>
              <w:jc w:val="center"/>
              <w:rPr>
                <w:rFonts w:ascii="Arial Narrow" w:hAnsi="Arial Narrow"/>
                <w:b/>
                <w:bCs/>
                <w:sz w:val="20"/>
                <w:szCs w:val="20"/>
                <w:highlight w:val="darkGray"/>
                <w:vertAlign w:val="superscript"/>
              </w:rPr>
            </w:pPr>
            <w:r w:rsidRPr="00F111EB">
              <w:rPr>
                <w:rFonts w:ascii="Arial Narrow" w:hAnsi="Arial Narrow"/>
                <w:b/>
                <w:bCs/>
                <w:color w:val="000000"/>
                <w:spacing w:val="59"/>
                <w:sz w:val="20"/>
                <w:szCs w:val="20"/>
                <w:shd w:val="solid" w:color="000000" w:fill="000000"/>
                <w:fitText w:val="363" w:id="-761014520"/>
                <w14:textFill>
                  <w14:solidFill>
                    <w14:srgbClr w14:val="000000">
                      <w14:alpha w14:val="100000"/>
                    </w14:srgbClr>
                  </w14:solidFill>
                </w14:textFill>
              </w:rPr>
              <w:t>|||</w:t>
            </w:r>
            <w:r w:rsidRPr="00F111EB">
              <w:rPr>
                <w:rFonts w:ascii="Arial Narrow" w:hAnsi="Arial Narrow"/>
                <w:b/>
                <w:bCs/>
                <w:color w:val="000000"/>
                <w:spacing w:val="3"/>
                <w:sz w:val="20"/>
                <w:szCs w:val="20"/>
                <w:shd w:val="solid" w:color="000000" w:fill="000000"/>
                <w:fitText w:val="363" w:id="-761014520"/>
                <w14:textFill>
                  <w14:solidFill>
                    <w14:srgbClr w14:val="000000">
                      <w14:alpha w14:val="100000"/>
                    </w14:srgbClr>
                  </w14:solidFill>
                </w14:textFill>
              </w:rPr>
              <w:t>|</w:t>
            </w:r>
            <w:r w:rsidR="006668AD" w:rsidRPr="006668AD">
              <w:rPr>
                <w:rFonts w:ascii="Arial Narrow" w:hAnsi="Arial Narrow"/>
                <w:b/>
                <w:bCs/>
                <w:color w:val="000000"/>
                <w:sz w:val="20"/>
                <w:szCs w:val="20"/>
                <w:vertAlign w:val="superscript"/>
              </w:rPr>
              <w:t>8</w:t>
            </w:r>
          </w:p>
        </w:tc>
      </w:tr>
    </w:tbl>
    <w:p w14:paraId="5A09388D" w14:textId="77777777" w:rsidR="00844E4B" w:rsidRDefault="00844E4B" w:rsidP="00AB76B8">
      <w:pPr>
        <w:pStyle w:val="COMTablefooter"/>
        <w:keepNext/>
        <w:keepLines/>
      </w:pPr>
      <w:r w:rsidRPr="004F01CC">
        <w:t>Source: Constructed during the evaluation using the ‘A7.1_TZP Section 3 Model’ spreadsheet provided with the resubmission.</w:t>
      </w:r>
    </w:p>
    <w:p w14:paraId="2ECB5A08" w14:textId="77777777" w:rsidR="00844E4B" w:rsidRDefault="00844E4B" w:rsidP="00844E4B">
      <w:pPr>
        <w:pStyle w:val="COMTablefooter"/>
      </w:pPr>
      <w:r>
        <w:t xml:space="preserve">Abbreviations: BMI, body mass index; eGFR, </w:t>
      </w:r>
      <w:r w:rsidRPr="00FA1E86">
        <w:t>estimated glomerular filtration rate</w:t>
      </w:r>
      <w:r>
        <w:t>; ICER, incremental cost effectiveness ratio; HbA1c, glycated haemoglobin; HDL, high</w:t>
      </w:r>
      <w:r w:rsidRPr="00FA1E86">
        <w:t xml:space="preserve"> density lipoprotein cholesterol</w:t>
      </w:r>
      <w:r>
        <w:t xml:space="preserve">; LDL, </w:t>
      </w:r>
      <w:r w:rsidRPr="00FA1E86">
        <w:t>low density lipoprotein cholesterol</w:t>
      </w:r>
      <w:r>
        <w:t>; QALY, quality adjusted life year</w:t>
      </w:r>
    </w:p>
    <w:p w14:paraId="4A49B275" w14:textId="2E29A0AA" w:rsidR="00844E4B" w:rsidRDefault="00844E4B" w:rsidP="00844E4B">
      <w:pPr>
        <w:pStyle w:val="COMTablefooter"/>
      </w:pPr>
      <w:r w:rsidRPr="008E7694">
        <w:rPr>
          <w:vertAlign w:val="superscript"/>
        </w:rPr>
        <w:t xml:space="preserve">a </w:t>
      </w:r>
      <w:r>
        <w:t xml:space="preserve">Estimates from the July 2023 submission were corrected for an </w:t>
      </w:r>
      <w:r w:rsidRPr="005E1205">
        <w:t xml:space="preserve">error in insulin dosing; </w:t>
      </w:r>
      <w:r>
        <w:t xml:space="preserve">included the </w:t>
      </w:r>
      <w:r w:rsidRPr="005E1205">
        <w:t xml:space="preserve">updated price of insulin aspart; </w:t>
      </w:r>
      <w:r>
        <w:t xml:space="preserve">and assumed that </w:t>
      </w:r>
      <w:r w:rsidRPr="005E1205">
        <w:t>eGFR reverts to baseline with insulin intensification for all treatment arms</w:t>
      </w:r>
      <w:r>
        <w:t xml:space="preserve"> (the submission’s base case applied inconsistent eGFR treatment effects</w:t>
      </w:r>
      <w:r w:rsidRPr="005E1205">
        <w:t>)</w:t>
      </w:r>
      <w:r>
        <w:t>.</w:t>
      </w:r>
    </w:p>
    <w:p w14:paraId="799D686D" w14:textId="77777777" w:rsidR="000B78B2" w:rsidRDefault="00844E4B" w:rsidP="000B78B2">
      <w:pPr>
        <w:pStyle w:val="COMTablefooter"/>
      </w:pPr>
      <w:r w:rsidRPr="000F3714">
        <w:rPr>
          <w:vertAlign w:val="superscript"/>
        </w:rPr>
        <w:t xml:space="preserve">b </w:t>
      </w:r>
      <w:r>
        <w:t>The July 2023 submission claimed that Australian life tables were used for both ‘</w:t>
      </w:r>
      <w:r w:rsidRPr="0038386B">
        <w:t>years with no event history or events’ and ‘years with history of events but no events’</w:t>
      </w:r>
      <w:r>
        <w:t xml:space="preserve">, but UKPDS mortality risks were used in error for </w:t>
      </w:r>
      <w:r w:rsidRPr="0038386B">
        <w:t>‘years with history of events but no events’</w:t>
      </w:r>
      <w:r>
        <w:t>.</w:t>
      </w:r>
    </w:p>
    <w:p w14:paraId="59728465" w14:textId="5ADFA54A" w:rsidR="000B78B2" w:rsidRPr="000B78B2" w:rsidRDefault="000B78B2" w:rsidP="000B78B2">
      <w:pPr>
        <w:pStyle w:val="COMTablefooter"/>
        <w:rPr>
          <w:i/>
          <w:iCs/>
        </w:rPr>
      </w:pPr>
      <w:r w:rsidRPr="000B78B2">
        <w:rPr>
          <w:i/>
          <w:iCs/>
        </w:rPr>
        <w:t>The redacted values correspond to the following ranges:</w:t>
      </w:r>
    </w:p>
    <w:p w14:paraId="194E0583" w14:textId="77777777" w:rsidR="000B78B2" w:rsidRDefault="000B78B2" w:rsidP="000B78B2">
      <w:pPr>
        <w:pStyle w:val="COMTablefooter"/>
        <w:rPr>
          <w:i/>
          <w:iCs/>
        </w:rPr>
      </w:pPr>
      <w:r w:rsidRPr="000B78B2">
        <w:rPr>
          <w:i/>
          <w:iCs/>
        </w:rPr>
        <w:t>1 $115,000 to &lt; $135,000</w:t>
      </w:r>
    </w:p>
    <w:p w14:paraId="526D2865" w14:textId="77777777" w:rsidR="001646EA" w:rsidRPr="000B78B2" w:rsidRDefault="001646EA" w:rsidP="001646EA">
      <w:pPr>
        <w:pStyle w:val="COMTablefooter"/>
        <w:rPr>
          <w:i/>
          <w:iCs/>
        </w:rPr>
      </w:pPr>
      <w:r w:rsidRPr="001646EA">
        <w:rPr>
          <w:i/>
          <w:iCs/>
        </w:rPr>
        <w:lastRenderedPageBreak/>
        <w:t>2</w:t>
      </w:r>
      <w:r w:rsidRPr="000B78B2">
        <w:rPr>
          <w:i/>
          <w:iCs/>
        </w:rPr>
        <w:t xml:space="preserve"> $135,000 to &lt; $155,000</w:t>
      </w:r>
    </w:p>
    <w:p w14:paraId="105D039B" w14:textId="77777777" w:rsidR="008B50D5" w:rsidRPr="000B78B2" w:rsidRDefault="008B50D5" w:rsidP="008B50D5">
      <w:pPr>
        <w:pStyle w:val="COMTablefooter"/>
        <w:rPr>
          <w:i/>
          <w:iCs/>
        </w:rPr>
      </w:pPr>
      <w:r w:rsidRPr="008B50D5">
        <w:rPr>
          <w:i/>
          <w:iCs/>
        </w:rPr>
        <w:t>3</w:t>
      </w:r>
      <w:r w:rsidRPr="000B78B2">
        <w:rPr>
          <w:i/>
          <w:iCs/>
          <w:vertAlign w:val="superscript"/>
        </w:rPr>
        <w:t xml:space="preserve"> </w:t>
      </w:r>
      <w:r w:rsidRPr="000B78B2">
        <w:rPr>
          <w:i/>
          <w:iCs/>
        </w:rPr>
        <w:t>$155,000 to &lt; $255,000</w:t>
      </w:r>
    </w:p>
    <w:p w14:paraId="61363EDD" w14:textId="6E1B7E69" w:rsidR="000B78B2" w:rsidRPr="000B78B2" w:rsidRDefault="005A775C" w:rsidP="000B78B2">
      <w:pPr>
        <w:pStyle w:val="COMTablefooter"/>
        <w:rPr>
          <w:i/>
          <w:iCs/>
        </w:rPr>
      </w:pPr>
      <w:r w:rsidRPr="005A775C">
        <w:rPr>
          <w:i/>
          <w:iCs/>
        </w:rPr>
        <w:t>4</w:t>
      </w:r>
      <w:r w:rsidR="000B78B2" w:rsidRPr="000B78B2">
        <w:rPr>
          <w:i/>
          <w:iCs/>
        </w:rPr>
        <w:t xml:space="preserve"> $95,000 to &lt; $115,000</w:t>
      </w:r>
    </w:p>
    <w:p w14:paraId="79A7F50B" w14:textId="77777777" w:rsidR="000B78B2" w:rsidRPr="000B78B2" w:rsidRDefault="000B78B2" w:rsidP="000B78B2">
      <w:pPr>
        <w:pStyle w:val="COMTablefooter"/>
        <w:rPr>
          <w:i/>
          <w:iCs/>
        </w:rPr>
      </w:pPr>
      <w:r w:rsidRPr="000B78B2">
        <w:rPr>
          <w:i/>
          <w:iCs/>
        </w:rPr>
        <w:t>5 $75,000 to &lt; $95,000</w:t>
      </w:r>
    </w:p>
    <w:p w14:paraId="3B70B0CA" w14:textId="77777777" w:rsidR="000B78B2" w:rsidRPr="000B78B2" w:rsidRDefault="000B78B2" w:rsidP="000B78B2">
      <w:pPr>
        <w:pStyle w:val="COMTablefooter"/>
        <w:rPr>
          <w:i/>
          <w:iCs/>
        </w:rPr>
      </w:pPr>
      <w:r w:rsidRPr="000B78B2">
        <w:rPr>
          <w:i/>
          <w:iCs/>
        </w:rPr>
        <w:t>6 $55,000 to &lt; $75,000</w:t>
      </w:r>
    </w:p>
    <w:p w14:paraId="6D3B10B8" w14:textId="77777777" w:rsidR="000B78B2" w:rsidRPr="000B78B2" w:rsidRDefault="000B78B2" w:rsidP="000B78B2">
      <w:pPr>
        <w:pStyle w:val="COMTablefooter"/>
        <w:rPr>
          <w:i/>
          <w:iCs/>
        </w:rPr>
      </w:pPr>
      <w:r w:rsidRPr="000B78B2">
        <w:rPr>
          <w:i/>
          <w:iCs/>
        </w:rPr>
        <w:t>7 $45,000 to &lt; $55,000</w:t>
      </w:r>
    </w:p>
    <w:p w14:paraId="08500C46" w14:textId="489BF82B" w:rsidR="00844E4B" w:rsidRPr="00D4019B" w:rsidRDefault="006668AD" w:rsidP="00844E4B">
      <w:pPr>
        <w:pStyle w:val="COMTablefooter"/>
        <w:rPr>
          <w:i/>
          <w:iCs/>
        </w:rPr>
      </w:pPr>
      <w:r w:rsidRPr="006668AD">
        <w:rPr>
          <w:i/>
          <w:iCs/>
        </w:rPr>
        <w:t>8</w:t>
      </w:r>
      <w:r>
        <w:rPr>
          <w:i/>
          <w:iCs/>
        </w:rPr>
        <w:t xml:space="preserve"> </w:t>
      </w:r>
      <w:r w:rsidR="000B78B2" w:rsidRPr="000B78B2">
        <w:rPr>
          <w:i/>
          <w:iCs/>
        </w:rPr>
        <w:t>$35,000 to &lt; $45,000</w:t>
      </w:r>
    </w:p>
    <w:p w14:paraId="01F37DC6" w14:textId="188B9577" w:rsidR="00844E4B" w:rsidRPr="0073603B" w:rsidRDefault="00844E4B" w:rsidP="00844E4B">
      <w:pPr>
        <w:pStyle w:val="COMexecsummnumbered"/>
      </w:pPr>
      <w:r w:rsidRPr="0073603B">
        <w:t xml:space="preserve">Based on the economic model, treatment with tirzepatide was associated with an incremental cost per QALY gained of </w:t>
      </w:r>
      <w:r w:rsidR="00E64113" w:rsidRPr="00E64113">
        <w:t xml:space="preserve">$95,000 to &lt; $115,000 </w:t>
      </w:r>
      <w:r w:rsidRPr="0073603B">
        <w:t xml:space="preserve">for the 5 mg dose, </w:t>
      </w:r>
      <w:r w:rsidR="00531244" w:rsidRPr="00531244">
        <w:t>$45,000</w:t>
      </w:r>
      <w:r w:rsidR="00FD58AB">
        <w:t> </w:t>
      </w:r>
      <w:r w:rsidR="00531244" w:rsidRPr="00531244">
        <w:t>to &lt; $55,000</w:t>
      </w:r>
      <w:r w:rsidR="00FD58AB">
        <w:t xml:space="preserve"> </w:t>
      </w:r>
      <w:r w:rsidRPr="0073603B">
        <w:t>for the 10</w:t>
      </w:r>
      <w:r w:rsidR="00180963">
        <w:t> </w:t>
      </w:r>
      <w:r w:rsidRPr="0073603B">
        <w:t xml:space="preserve">mg dose and </w:t>
      </w:r>
      <w:r w:rsidR="00F84C90" w:rsidRPr="00F84C90">
        <w:t>$35,000 to &lt; $45,000</w:t>
      </w:r>
      <w:r w:rsidR="00FD58AB">
        <w:t xml:space="preserve"> </w:t>
      </w:r>
      <w:r w:rsidRPr="0073603B">
        <w:t>for the 15 mg dose compared to semaglutide 1 mg weekly.</w:t>
      </w:r>
    </w:p>
    <w:p w14:paraId="752CCC13" w14:textId="5964F191" w:rsidR="00844E4B" w:rsidRDefault="00844E4B" w:rsidP="00844E4B">
      <w:pPr>
        <w:pStyle w:val="COMexecsummnumbered"/>
      </w:pPr>
      <w:r w:rsidRPr="0073603B">
        <w:t xml:space="preserve">Compared to semaglutide 0.5 mg weekly, treatment with tirzepatide 5 mg was associated with an incremental cost per QALY gained of </w:t>
      </w:r>
      <w:r w:rsidR="00F84C90" w:rsidRPr="00F84C90">
        <w:t>$35,000 to &lt; $45,000</w:t>
      </w:r>
      <w:r w:rsidRPr="0073603B">
        <w:t>.</w:t>
      </w:r>
    </w:p>
    <w:p w14:paraId="0CA4ED4A" w14:textId="66185722" w:rsidR="00505B99" w:rsidRPr="001F3166" w:rsidRDefault="00505B99" w:rsidP="00844E4B">
      <w:pPr>
        <w:pStyle w:val="COMexecsummnumbered"/>
      </w:pPr>
      <w:r w:rsidRPr="00E96CBF">
        <w:t xml:space="preserve">The PBAC previously considered that an ICER in the order of $30,000 per QALY would </w:t>
      </w:r>
      <w:r w:rsidR="00261778">
        <w:t xml:space="preserve">be </w:t>
      </w:r>
      <w:r w:rsidRPr="00E96CBF">
        <w:t>appropriate (para 7.16, tirzepatide PSD, July 2023 PBAC meeting).</w:t>
      </w:r>
      <w:r w:rsidRPr="00846137">
        <w:rPr>
          <w:iCs/>
        </w:rPr>
        <w:t xml:space="preserve"> </w:t>
      </w:r>
      <w:r>
        <w:t xml:space="preserve">However, the resubmission argued that </w:t>
      </w:r>
      <w:r w:rsidR="0062596A" w:rsidRPr="0062596A">
        <w:t xml:space="preserve">that the proposed population is at greater risk of experiencing life-threatening diabetes-related complications, there is a high unmet need in this population for effective treatment options like tirzepatide, and it is appropriate to consider a higher ICER of </w:t>
      </w:r>
      <w:r w:rsidR="002C3FC2" w:rsidRPr="002C3FC2">
        <w:t>$35,000 to &lt; $45,000</w:t>
      </w:r>
      <w:r w:rsidR="00234E09">
        <w:t xml:space="preserve"> </w:t>
      </w:r>
      <w:r w:rsidR="0062596A" w:rsidRPr="0062596A">
        <w:t>for tirzepatide 15 mg versus semaglutide 1.0 mg.</w:t>
      </w:r>
      <w:r w:rsidR="002C1B8B">
        <w:t xml:space="preserve"> </w:t>
      </w:r>
      <w:r w:rsidR="002C1B8B" w:rsidRPr="001F3166">
        <w:t xml:space="preserve">The ESC considered the subgroup of patients with severe obesity is substantial (see </w:t>
      </w:r>
      <w:r w:rsidR="002C1B8B" w:rsidRPr="001F3166">
        <w:fldChar w:fldCharType="begin" w:fldLock="1"/>
      </w:r>
      <w:r w:rsidR="002C1B8B" w:rsidRPr="001F3166">
        <w:instrText xml:space="preserve"> REF _Ref104805295 \h  \* MERGEFORMAT </w:instrText>
      </w:r>
      <w:r w:rsidR="002C1B8B" w:rsidRPr="001F3166">
        <w:fldChar w:fldCharType="separate"/>
      </w:r>
      <w:r w:rsidR="00EE035D" w:rsidRPr="0076762E">
        <w:t xml:space="preserve">Table </w:t>
      </w:r>
      <w:r w:rsidR="00EE035D">
        <w:rPr>
          <w:noProof/>
        </w:rPr>
        <w:t>16</w:t>
      </w:r>
      <w:r w:rsidR="002C1B8B" w:rsidRPr="001F3166">
        <w:fldChar w:fldCharType="end"/>
      </w:r>
      <w:r w:rsidR="002C1B8B" w:rsidRPr="001F3166">
        <w:t xml:space="preserve">) and therefore does not justify the higher value proposition of a more targeted </w:t>
      </w:r>
      <w:r w:rsidR="00EE035D" w:rsidRPr="001F3166">
        <w:t>high-risk</w:t>
      </w:r>
      <w:r w:rsidR="002C1B8B" w:rsidRPr="001F3166">
        <w:t xml:space="preserve"> group, such as Aboriginal and Torres Strait Islander peoples.</w:t>
      </w:r>
    </w:p>
    <w:p w14:paraId="4BC3C481" w14:textId="29153CCE" w:rsidR="00BB3D74" w:rsidRDefault="00BB3D74" w:rsidP="00BB3D74">
      <w:pPr>
        <w:pStyle w:val="COMexecsummnumbered"/>
      </w:pPr>
      <w:r w:rsidRPr="0073603B">
        <w:t>Incorporating patient characteristics based on the SURPASS-2 subgroup of patients with BMI ≥35 kg/m</w:t>
      </w:r>
      <w:r w:rsidRPr="0073603B">
        <w:rPr>
          <w:vertAlign w:val="superscript"/>
        </w:rPr>
        <w:t>2</w:t>
      </w:r>
      <w:r w:rsidRPr="0073603B">
        <w:t>, and reducing the HbA1c threshold for insulin initiation and intensification (which reduced the ICER); reducing the disutility associated with</w:t>
      </w:r>
      <w:r>
        <w:t xml:space="preserve"> </w:t>
      </w:r>
      <w:r w:rsidRPr="0073603B">
        <w:t xml:space="preserve">hypoglycaemia, and including biomarker drift for selected biomarkers (which increased the ICER) had the largest impacts on the stepped economic evaluation from the July 2023 model to the current model for all comparisons of tirzepatide versus semaglutide 1 mg. </w:t>
      </w:r>
      <w:r>
        <w:t xml:space="preserve">Incorporating treatment effects based on the SURPASS-2 </w:t>
      </w:r>
      <w:r w:rsidRPr="00225FA4">
        <w:rPr>
          <w:i/>
          <w:iCs/>
        </w:rPr>
        <w:t>post hoc</w:t>
      </w:r>
      <w:r>
        <w:t xml:space="preserve"> subgroup with BMI ≥35 kg/m</w:t>
      </w:r>
      <w:r w:rsidRPr="00225FA4">
        <w:rPr>
          <w:vertAlign w:val="superscript"/>
        </w:rPr>
        <w:t>2</w:t>
      </w:r>
      <w:r>
        <w:t xml:space="preserve"> increased the ICER for the tirzepatide 5 mg versus semaglutide 1 mg comparison, but decreased the ICER for the tirzepatide 10 mg and </w:t>
      </w:r>
      <w:r w:rsidR="009F3E3F">
        <w:t>15 </w:t>
      </w:r>
      <w:r>
        <w:t xml:space="preserve">mg versus semaglutide 1 mg comparisons. </w:t>
      </w:r>
      <w:r w:rsidRPr="0073603B">
        <w:t>The higher proposed price for tirzepatide 15 mg, and lower proposed price for tirzepatide 5 mg compared to the flat price proposed in July 2023 also had a large impact on the stepped economic evaluations for the tirzepatide 15 mg versus semaglutide 1 mg and tirzepatide 5</w:t>
      </w:r>
      <w:r w:rsidR="009F3E3F">
        <w:t> </w:t>
      </w:r>
      <w:r w:rsidRPr="0073603B">
        <w:t>mg versus semaglutide 1 mg comparisons, respectively.</w:t>
      </w:r>
    </w:p>
    <w:p w14:paraId="28C0A38D" w14:textId="77777777" w:rsidR="00753A46" w:rsidRPr="00E96CBF" w:rsidRDefault="00753A46" w:rsidP="00753A46">
      <w:pPr>
        <w:pStyle w:val="COMexecsummnumbered"/>
        <w:spacing w:after="0"/>
      </w:pPr>
      <w:r w:rsidRPr="00E96CBF">
        <w:t>For patients treated with tirzepatide 5 mg versus semaglutide 1 mg weekly and followed up for 50 years, the economic evaluation (based on undiscounted values) estimated that there would be:</w:t>
      </w:r>
    </w:p>
    <w:p w14:paraId="014F234E" w14:textId="77777777" w:rsidR="00753A46" w:rsidRPr="00E96CBF" w:rsidRDefault="00753A46" w:rsidP="00EF2904">
      <w:pPr>
        <w:pStyle w:val="COMexecsummnumbered"/>
        <w:numPr>
          <w:ilvl w:val="0"/>
          <w:numId w:val="18"/>
        </w:numPr>
      </w:pPr>
      <w:r w:rsidRPr="00E96CBF">
        <w:t>Decreased incidence of diabetes complications (40 fewer non-fatal events per 10,000 patients) and a decrease in survival (average loss of 1 day per patient).</w:t>
      </w:r>
    </w:p>
    <w:p w14:paraId="540A1AF6" w14:textId="77777777" w:rsidR="00753A46" w:rsidRPr="00E96CBF" w:rsidRDefault="00753A46" w:rsidP="00EF2904">
      <w:pPr>
        <w:pStyle w:val="COMexecsummnumbered"/>
        <w:numPr>
          <w:ilvl w:val="0"/>
          <w:numId w:val="18"/>
        </w:numPr>
      </w:pPr>
      <w:r w:rsidRPr="00E96CBF">
        <w:lastRenderedPageBreak/>
        <w:t>Decreased incidence of patients with nausea in the first year (421 fewer patients per 10,000 patients).</w:t>
      </w:r>
    </w:p>
    <w:p w14:paraId="22B92EFB"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0.0179 quality-adjusted life years per patient).</w:t>
      </w:r>
    </w:p>
    <w:p w14:paraId="354C096F" w14:textId="77777777" w:rsidR="00753A46" w:rsidRPr="00E96CBF" w:rsidRDefault="00753A46" w:rsidP="00EF2904">
      <w:pPr>
        <w:pStyle w:val="COMexecsummnumbered"/>
        <w:numPr>
          <w:ilvl w:val="0"/>
          <w:numId w:val="18"/>
        </w:numPr>
      </w:pPr>
      <w:r w:rsidRPr="00E96CBF">
        <w:t>Delayed time to insulin therapy (average 1.1 months per patient) with a reduced incidence of hypoglycaemia events (1 fewer event per patient).</w:t>
      </w:r>
    </w:p>
    <w:p w14:paraId="4112AE48" w14:textId="403BE64A"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9"/>
          <w14:textFill>
            <w14:solidFill>
              <w14:srgbClr w14:val="000000">
                <w14:alpha w14:val="100000"/>
              </w14:srgbClr>
            </w14:solidFill>
          </w14:textFill>
        </w:rPr>
        <w:t>|||  ||</w:t>
      </w:r>
      <w:r w:rsidR="00F111EB" w:rsidRPr="00F111EB">
        <w:rPr>
          <w:color w:val="000000"/>
          <w:spacing w:val="4"/>
          <w:w w:val="60"/>
          <w:shd w:val="solid" w:color="000000" w:fill="000000"/>
          <w:fitText w:val="468" w:id="-761014519"/>
          <w14:textFill>
            <w14:solidFill>
              <w14:srgbClr w14:val="000000">
                <w14:alpha w14:val="100000"/>
              </w14:srgbClr>
            </w14:solidFill>
          </w14:textFill>
        </w:rPr>
        <w:t>|</w:t>
      </w:r>
      <w:r w:rsidRPr="00E96CBF">
        <w:t xml:space="preserve"> per person, but decreased diabetes complications costs of $</w:t>
      </w:r>
      <w:r w:rsidRPr="00225A53">
        <w:t>428</w:t>
      </w:r>
      <w:r w:rsidRPr="00E96CBF">
        <w:t xml:space="preserve"> per person.</w:t>
      </w:r>
    </w:p>
    <w:p w14:paraId="04B4DA86" w14:textId="77777777" w:rsidR="00753A46" w:rsidRPr="00E96CBF" w:rsidRDefault="00753A46" w:rsidP="00753A46">
      <w:pPr>
        <w:pStyle w:val="COMexecsummnumbered"/>
        <w:spacing w:before="0" w:after="0"/>
      </w:pPr>
      <w:r w:rsidRPr="00E96CBF">
        <w:t>For patients treated with tirzepatide 10 mg versus semaglutide 1 mg weekly and followed up for 50 years, the economic evaluation (based on undiscounted values) estimated that there would be:</w:t>
      </w:r>
    </w:p>
    <w:p w14:paraId="292FFC68" w14:textId="77777777" w:rsidR="00753A46" w:rsidRPr="00E96CBF" w:rsidRDefault="00753A46" w:rsidP="00EF2904">
      <w:pPr>
        <w:pStyle w:val="COMexecsummnumbered"/>
        <w:numPr>
          <w:ilvl w:val="0"/>
          <w:numId w:val="18"/>
        </w:numPr>
      </w:pPr>
      <w:r w:rsidRPr="00E96CBF">
        <w:t>Decreased incidence of diabetes complications (85 fewer non-fatal events per 10,000 patients) and an increase in survival (average gain of 1 day per patient).</w:t>
      </w:r>
    </w:p>
    <w:p w14:paraId="30F2DE53" w14:textId="77777777" w:rsidR="00753A46" w:rsidRPr="00E96CBF" w:rsidRDefault="00753A46" w:rsidP="00EF2904">
      <w:pPr>
        <w:pStyle w:val="COMexecsummnumbered"/>
        <w:numPr>
          <w:ilvl w:val="0"/>
          <w:numId w:val="18"/>
        </w:numPr>
      </w:pPr>
      <w:r w:rsidRPr="00E96CBF">
        <w:t>Increased incidence of patients with nausea in the first year (25 additional patients per 10,000 patients).</w:t>
      </w:r>
    </w:p>
    <w:p w14:paraId="7047E6FF"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0.0544 quality-adjusted life years per patient).</w:t>
      </w:r>
    </w:p>
    <w:p w14:paraId="1175C478" w14:textId="77777777" w:rsidR="00753A46" w:rsidRPr="00E96CBF" w:rsidRDefault="00753A46" w:rsidP="00EF2904">
      <w:pPr>
        <w:pStyle w:val="COMexecsummnumbered"/>
        <w:numPr>
          <w:ilvl w:val="0"/>
          <w:numId w:val="18"/>
        </w:numPr>
      </w:pPr>
      <w:r w:rsidRPr="00E96CBF">
        <w:t>Delayed time to insulin therapy (average 6.0 months per patient) with a reduced incidence of hypoglycaemia events (7 fewer events per patient).</w:t>
      </w:r>
    </w:p>
    <w:p w14:paraId="6DFEDE92" w14:textId="02D0F6B2"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8"/>
          <w14:textFill>
            <w14:solidFill>
              <w14:srgbClr w14:val="000000">
                <w14:alpha w14:val="100000"/>
              </w14:srgbClr>
            </w14:solidFill>
          </w14:textFill>
        </w:rPr>
        <w:t>|||  ||</w:t>
      </w:r>
      <w:r w:rsidR="00F111EB" w:rsidRPr="00F111EB">
        <w:rPr>
          <w:color w:val="000000"/>
          <w:spacing w:val="4"/>
          <w:w w:val="60"/>
          <w:shd w:val="solid" w:color="000000" w:fill="000000"/>
          <w:fitText w:val="468" w:id="-761014518"/>
          <w14:textFill>
            <w14:solidFill>
              <w14:srgbClr w14:val="000000">
                <w14:alpha w14:val="100000"/>
              </w14:srgbClr>
            </w14:solidFill>
          </w14:textFill>
        </w:rPr>
        <w:t>|</w:t>
      </w:r>
      <w:r w:rsidRPr="00E96CBF">
        <w:t xml:space="preserve"> per person, but decreased diabetes complications costs of $</w:t>
      </w:r>
      <w:r w:rsidRPr="00ED606C">
        <w:t>1,189</w:t>
      </w:r>
      <w:r w:rsidRPr="00E96CBF">
        <w:t xml:space="preserve"> per person.</w:t>
      </w:r>
    </w:p>
    <w:p w14:paraId="65AD82F8" w14:textId="77777777" w:rsidR="00753A46" w:rsidRPr="00E96CBF" w:rsidRDefault="00753A46" w:rsidP="00753A46">
      <w:pPr>
        <w:pStyle w:val="COMexecsummnumbered"/>
        <w:spacing w:before="0" w:after="0"/>
      </w:pPr>
      <w:r w:rsidRPr="00E96CBF">
        <w:t>For patients treated with tirzepatide 15 mg versus semaglutide 1 mg weekly and followed up for 50 years, the economic evaluation (based on undiscounted values) estimated that there would be:</w:t>
      </w:r>
    </w:p>
    <w:p w14:paraId="4C864EB7" w14:textId="77777777" w:rsidR="00753A46" w:rsidRPr="00E96CBF" w:rsidRDefault="00753A46" w:rsidP="00EF2904">
      <w:pPr>
        <w:pStyle w:val="COMexecsummnumbered"/>
        <w:numPr>
          <w:ilvl w:val="0"/>
          <w:numId w:val="18"/>
        </w:numPr>
      </w:pPr>
      <w:r w:rsidRPr="00E96CBF">
        <w:t>Decreased incidence of diabetes complications (104 fewer non-fatal events per 10,000 patients) and an increase in survival (average gain of 9 days per patient).</w:t>
      </w:r>
    </w:p>
    <w:p w14:paraId="5786AE87" w14:textId="77777777" w:rsidR="00753A46" w:rsidRPr="00E96CBF" w:rsidRDefault="00753A46" w:rsidP="00EF2904">
      <w:pPr>
        <w:pStyle w:val="COMexecsummnumbered"/>
        <w:numPr>
          <w:ilvl w:val="0"/>
          <w:numId w:val="18"/>
        </w:numPr>
      </w:pPr>
      <w:r w:rsidRPr="00E96CBF">
        <w:t>Increased incidence of patients with nausea in the first year (214 additional patients per 10,000 patients).</w:t>
      </w:r>
    </w:p>
    <w:p w14:paraId="64E24808" w14:textId="77777777" w:rsidR="00753A46" w:rsidRPr="00E96CBF" w:rsidRDefault="00753A46" w:rsidP="00EF2904">
      <w:pPr>
        <w:pStyle w:val="COMexecsummnumbered"/>
        <w:numPr>
          <w:ilvl w:val="0"/>
          <w:numId w:val="18"/>
        </w:numPr>
      </w:pPr>
      <w:r w:rsidRPr="00E96CBF">
        <w:t>Improved quality of life associated with a temporary reduction in weight (average increase of 0.0792 quality-adjusted life years per patient).</w:t>
      </w:r>
    </w:p>
    <w:p w14:paraId="57F256B0" w14:textId="77777777" w:rsidR="00753A46" w:rsidRPr="00E96CBF" w:rsidRDefault="00753A46" w:rsidP="00EF2904">
      <w:pPr>
        <w:pStyle w:val="COMexecsummnumbered"/>
        <w:numPr>
          <w:ilvl w:val="0"/>
          <w:numId w:val="18"/>
        </w:numPr>
      </w:pPr>
      <w:r w:rsidRPr="00E96CBF">
        <w:t>Delayed time to insulin therapy (average 7.7 months per patient) with a reduced incidence of hypoglycaemia events (9 fewer events per patient).</w:t>
      </w:r>
    </w:p>
    <w:p w14:paraId="06F47A7A" w14:textId="44BDF4E0" w:rsidR="00753A46" w:rsidRPr="00E96CBF" w:rsidRDefault="00753A46" w:rsidP="00EF2904">
      <w:pPr>
        <w:pStyle w:val="COMexecsummnumbered"/>
        <w:numPr>
          <w:ilvl w:val="0"/>
          <w:numId w:val="18"/>
        </w:numPr>
      </w:pPr>
      <w:r w:rsidRPr="00E96CBF">
        <w:t>Additional drug and administration costs of $</w:t>
      </w:r>
      <w:r w:rsidR="00F111EB" w:rsidRPr="00F111EB">
        <w:rPr>
          <w:color w:val="000000"/>
          <w:w w:val="60"/>
          <w:shd w:val="solid" w:color="000000" w:fill="000000"/>
          <w:fitText w:val="468" w:id="-761014517"/>
          <w14:textFill>
            <w14:solidFill>
              <w14:srgbClr w14:val="000000">
                <w14:alpha w14:val="100000"/>
              </w14:srgbClr>
            </w14:solidFill>
          </w14:textFill>
        </w:rPr>
        <w:t>|||  ||</w:t>
      </w:r>
      <w:r w:rsidR="00F111EB" w:rsidRPr="00F111EB">
        <w:rPr>
          <w:color w:val="000000"/>
          <w:spacing w:val="4"/>
          <w:w w:val="60"/>
          <w:shd w:val="solid" w:color="000000" w:fill="000000"/>
          <w:fitText w:val="468" w:id="-761014517"/>
          <w14:textFill>
            <w14:solidFill>
              <w14:srgbClr w14:val="000000">
                <w14:alpha w14:val="100000"/>
              </w14:srgbClr>
            </w14:solidFill>
          </w14:textFill>
        </w:rPr>
        <w:t>|</w:t>
      </w:r>
      <w:r w:rsidRPr="00E96CBF">
        <w:t xml:space="preserve"> per person, but decreased diabetes complications costs of </w:t>
      </w:r>
      <w:r w:rsidRPr="00ED606C">
        <w:t>$1,148</w:t>
      </w:r>
      <w:r w:rsidRPr="00E96CBF">
        <w:t xml:space="preserve"> per person.</w:t>
      </w:r>
    </w:p>
    <w:p w14:paraId="279F5DE4" w14:textId="10CA3B05" w:rsidR="001F6890" w:rsidRDefault="001F6890" w:rsidP="001F6890">
      <w:pPr>
        <w:pStyle w:val="COMexecsummnumbered"/>
      </w:pPr>
      <w:r>
        <w:lastRenderedPageBreak/>
        <w:t xml:space="preserve">The </w:t>
      </w:r>
      <w:r w:rsidRPr="00E475BE">
        <w:t>results of</w:t>
      </w:r>
      <w:r>
        <w:t xml:space="preserve"> key</w:t>
      </w:r>
      <w:r w:rsidRPr="00E475BE">
        <w:t xml:space="preserve"> sensitivity analyses presented in the resubmission </w:t>
      </w:r>
      <w:r w:rsidRPr="00E96CBF">
        <w:t>and conducted during the evaluation</w:t>
      </w:r>
      <w:r w:rsidRPr="00E475BE">
        <w:t xml:space="preserve"> are summarised in </w:t>
      </w:r>
      <w:r w:rsidR="007233CE">
        <w:fldChar w:fldCharType="begin" w:fldLock="1"/>
      </w:r>
      <w:r w:rsidR="007233CE">
        <w:instrText xml:space="preserve"> REF _Ref176339428 \h </w:instrText>
      </w:r>
      <w:r w:rsidR="007233CE">
        <w:fldChar w:fldCharType="separate"/>
      </w:r>
      <w:r w:rsidR="00EE035D" w:rsidRPr="00741BD4">
        <w:t xml:space="preserve">Table </w:t>
      </w:r>
      <w:r w:rsidR="00EE035D">
        <w:rPr>
          <w:noProof/>
        </w:rPr>
        <w:t>13</w:t>
      </w:r>
      <w:r w:rsidR="007233CE">
        <w:fldChar w:fldCharType="end"/>
      </w:r>
      <w:r w:rsidR="007233CE">
        <w:t xml:space="preserve"> </w:t>
      </w:r>
      <w:r w:rsidRPr="00E475BE">
        <w:t>below.</w:t>
      </w:r>
    </w:p>
    <w:p w14:paraId="27E1A8A8" w14:textId="4CDF5393" w:rsidR="001F6890" w:rsidRDefault="001F6890" w:rsidP="00564C0D">
      <w:pPr>
        <w:pStyle w:val="COMtablefigcaption"/>
      </w:pPr>
      <w:bookmarkStart w:id="52" w:name="_Ref176339428"/>
      <w:bookmarkStart w:id="53" w:name="_Ref176339423"/>
      <w:r w:rsidRPr="00741BD4">
        <w:t xml:space="preserve">Table </w:t>
      </w:r>
      <w:r w:rsidR="00EE035D">
        <w:fldChar w:fldCharType="begin" w:fldLock="1"/>
      </w:r>
      <w:r w:rsidR="00EE035D">
        <w:instrText xml:space="preserve"> SEQ Table \* ARABIC </w:instrText>
      </w:r>
      <w:r w:rsidR="00EE035D">
        <w:fldChar w:fldCharType="separate"/>
      </w:r>
      <w:r w:rsidR="00EE035D">
        <w:rPr>
          <w:noProof/>
        </w:rPr>
        <w:t>13</w:t>
      </w:r>
      <w:r w:rsidR="00EE035D">
        <w:rPr>
          <w:noProof/>
        </w:rPr>
        <w:fldChar w:fldCharType="end"/>
      </w:r>
      <w:bookmarkEnd w:id="52"/>
      <w:r w:rsidRPr="00741BD4">
        <w:t xml:space="preserve">: </w:t>
      </w:r>
      <w:r>
        <w:t>Results of key s</w:t>
      </w:r>
      <w:r w:rsidRPr="00741BD4">
        <w:t>ensitivity analyses</w:t>
      </w:r>
      <w:bookmarkEnd w:id="5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3: Results of key sensitivity analyses"/>
      </w:tblPr>
      <w:tblGrid>
        <w:gridCol w:w="3970"/>
        <w:gridCol w:w="1682"/>
        <w:gridCol w:w="1682"/>
        <w:gridCol w:w="1683"/>
      </w:tblGrid>
      <w:tr w:rsidR="001F6890" w:rsidRPr="00A60A39" w14:paraId="30F213C6" w14:textId="77777777" w:rsidTr="00A1032E">
        <w:trPr>
          <w:tblHeader/>
        </w:trPr>
        <w:tc>
          <w:tcPr>
            <w:tcW w:w="3970" w:type="dxa"/>
            <w:vMerge w:val="restart"/>
            <w:tcMar>
              <w:top w:w="0" w:type="dxa"/>
              <w:left w:w="28" w:type="dxa"/>
              <w:bottom w:w="0" w:type="dxa"/>
              <w:right w:w="28" w:type="dxa"/>
            </w:tcMar>
            <w:vAlign w:val="center"/>
          </w:tcPr>
          <w:p w14:paraId="170FEAAF" w14:textId="77777777" w:rsidR="001F6890" w:rsidRPr="00A60A39" w:rsidRDefault="001F6890" w:rsidP="00564C0D">
            <w:pPr>
              <w:pStyle w:val="Tabletext0"/>
              <w:keepNext/>
              <w:rPr>
                <w:b/>
                <w:bCs/>
                <w:szCs w:val="20"/>
              </w:rPr>
            </w:pPr>
            <w:r w:rsidRPr="00A60A39">
              <w:rPr>
                <w:b/>
                <w:bCs/>
                <w:szCs w:val="20"/>
              </w:rPr>
              <w:t>Analyses</w:t>
            </w:r>
          </w:p>
        </w:tc>
        <w:tc>
          <w:tcPr>
            <w:tcW w:w="5047" w:type="dxa"/>
            <w:gridSpan w:val="3"/>
            <w:tcMar>
              <w:top w:w="0" w:type="dxa"/>
              <w:left w:w="28" w:type="dxa"/>
              <w:bottom w:w="0" w:type="dxa"/>
              <w:right w:w="28" w:type="dxa"/>
            </w:tcMar>
            <w:vAlign w:val="center"/>
          </w:tcPr>
          <w:p w14:paraId="58AAF126" w14:textId="77777777" w:rsidR="001F6890" w:rsidRPr="00A60A39" w:rsidRDefault="001F6890" w:rsidP="00564C0D">
            <w:pPr>
              <w:pStyle w:val="Tabletext0"/>
              <w:keepNext/>
              <w:jc w:val="center"/>
              <w:rPr>
                <w:b/>
                <w:bCs/>
                <w:szCs w:val="20"/>
              </w:rPr>
            </w:pPr>
            <w:r w:rsidRPr="00A60A39">
              <w:rPr>
                <w:b/>
                <w:bCs/>
                <w:szCs w:val="20"/>
              </w:rPr>
              <w:t>ICER (% change from base case)</w:t>
            </w:r>
          </w:p>
        </w:tc>
      </w:tr>
      <w:tr w:rsidR="001F6890" w:rsidRPr="00A60A39" w14:paraId="3AC4F4D7" w14:textId="77777777" w:rsidTr="00A1032E">
        <w:trPr>
          <w:tblHeader/>
        </w:trPr>
        <w:tc>
          <w:tcPr>
            <w:tcW w:w="3970" w:type="dxa"/>
            <w:vMerge/>
            <w:tcMar>
              <w:top w:w="0" w:type="dxa"/>
              <w:left w:w="28" w:type="dxa"/>
              <w:bottom w:w="0" w:type="dxa"/>
              <w:right w:w="28" w:type="dxa"/>
            </w:tcMar>
            <w:vAlign w:val="center"/>
            <w:hideMark/>
          </w:tcPr>
          <w:p w14:paraId="51ED6C05" w14:textId="77777777" w:rsidR="001F6890" w:rsidRPr="00A60A39" w:rsidRDefault="001F6890" w:rsidP="00564C0D">
            <w:pPr>
              <w:pStyle w:val="Tabletext0"/>
              <w:keepNext/>
              <w:rPr>
                <w:szCs w:val="20"/>
              </w:rPr>
            </w:pPr>
          </w:p>
        </w:tc>
        <w:tc>
          <w:tcPr>
            <w:tcW w:w="1682" w:type="dxa"/>
            <w:tcMar>
              <w:top w:w="0" w:type="dxa"/>
              <w:left w:w="28" w:type="dxa"/>
              <w:bottom w:w="0" w:type="dxa"/>
              <w:right w:w="28" w:type="dxa"/>
            </w:tcMar>
            <w:vAlign w:val="center"/>
            <w:hideMark/>
          </w:tcPr>
          <w:p w14:paraId="1C55D489" w14:textId="77777777" w:rsidR="001F6890" w:rsidRPr="00A60A39" w:rsidRDefault="001F6890" w:rsidP="00564C0D">
            <w:pPr>
              <w:pStyle w:val="Tabletext0"/>
              <w:keepNext/>
              <w:jc w:val="center"/>
              <w:rPr>
                <w:b/>
                <w:bCs/>
                <w:szCs w:val="20"/>
              </w:rPr>
            </w:pPr>
            <w:r w:rsidRPr="00A60A39">
              <w:rPr>
                <w:b/>
                <w:bCs/>
                <w:szCs w:val="20"/>
              </w:rPr>
              <w:t xml:space="preserve">Tirzepatide 5 mg vs semaglutide 1 mg </w:t>
            </w:r>
          </w:p>
        </w:tc>
        <w:tc>
          <w:tcPr>
            <w:tcW w:w="1682" w:type="dxa"/>
            <w:tcMar>
              <w:top w:w="0" w:type="dxa"/>
              <w:left w:w="28" w:type="dxa"/>
              <w:bottom w:w="0" w:type="dxa"/>
              <w:right w:w="28" w:type="dxa"/>
            </w:tcMar>
            <w:vAlign w:val="center"/>
          </w:tcPr>
          <w:p w14:paraId="23C741A5" w14:textId="77777777" w:rsidR="001F6890" w:rsidRPr="00A60A39" w:rsidRDefault="001F6890" w:rsidP="00564C0D">
            <w:pPr>
              <w:pStyle w:val="Tabletext0"/>
              <w:keepNext/>
              <w:jc w:val="center"/>
              <w:rPr>
                <w:b/>
                <w:bCs/>
                <w:szCs w:val="20"/>
              </w:rPr>
            </w:pPr>
            <w:r w:rsidRPr="00A60A39">
              <w:rPr>
                <w:b/>
                <w:bCs/>
                <w:szCs w:val="20"/>
              </w:rPr>
              <w:t xml:space="preserve">Tirzepatide 10 mg vs semaglutide 1 mg </w:t>
            </w:r>
          </w:p>
        </w:tc>
        <w:tc>
          <w:tcPr>
            <w:tcW w:w="1683" w:type="dxa"/>
            <w:tcMar>
              <w:top w:w="0" w:type="dxa"/>
              <w:left w:w="28" w:type="dxa"/>
              <w:bottom w:w="0" w:type="dxa"/>
              <w:right w:w="28" w:type="dxa"/>
            </w:tcMar>
            <w:vAlign w:val="center"/>
          </w:tcPr>
          <w:p w14:paraId="2E2E216C" w14:textId="77777777" w:rsidR="001F6890" w:rsidRPr="00A60A39" w:rsidRDefault="001F6890" w:rsidP="00564C0D">
            <w:pPr>
              <w:pStyle w:val="Tabletext0"/>
              <w:keepNext/>
              <w:jc w:val="center"/>
              <w:rPr>
                <w:b/>
                <w:bCs/>
                <w:szCs w:val="20"/>
              </w:rPr>
            </w:pPr>
            <w:r w:rsidRPr="00A60A39">
              <w:rPr>
                <w:b/>
                <w:bCs/>
                <w:szCs w:val="20"/>
              </w:rPr>
              <w:t>Tirzepatide 15 mg vs semaglutide 1 mg</w:t>
            </w:r>
          </w:p>
        </w:tc>
      </w:tr>
      <w:tr w:rsidR="001F6890" w:rsidRPr="00A60A39" w14:paraId="5E426C1D" w14:textId="77777777" w:rsidTr="00A1032E">
        <w:trPr>
          <w:tblHeader/>
        </w:trPr>
        <w:tc>
          <w:tcPr>
            <w:tcW w:w="3970" w:type="dxa"/>
            <w:tcMar>
              <w:top w:w="0" w:type="dxa"/>
              <w:left w:w="28" w:type="dxa"/>
              <w:bottom w:w="0" w:type="dxa"/>
              <w:right w:w="28" w:type="dxa"/>
            </w:tcMar>
            <w:hideMark/>
          </w:tcPr>
          <w:p w14:paraId="30F1B652" w14:textId="77777777" w:rsidR="001F6890" w:rsidRPr="00A60A39" w:rsidRDefault="001F6890" w:rsidP="00564C0D">
            <w:pPr>
              <w:pStyle w:val="Tabletext0"/>
              <w:keepNext/>
              <w:rPr>
                <w:b/>
                <w:bCs/>
                <w:szCs w:val="20"/>
                <w:vertAlign w:val="superscript"/>
              </w:rPr>
            </w:pPr>
            <w:r w:rsidRPr="00A60A39">
              <w:rPr>
                <w:b/>
                <w:bCs/>
                <w:szCs w:val="20"/>
              </w:rPr>
              <w:t>Base cas</w:t>
            </w:r>
            <w:r w:rsidRPr="001F6890">
              <w:rPr>
                <w:b/>
                <w:bCs/>
                <w:szCs w:val="20"/>
              </w:rPr>
              <w:t>e</w:t>
            </w:r>
          </w:p>
        </w:tc>
        <w:tc>
          <w:tcPr>
            <w:tcW w:w="1682" w:type="dxa"/>
            <w:tcMar>
              <w:top w:w="0" w:type="dxa"/>
              <w:left w:w="28" w:type="dxa"/>
              <w:bottom w:w="0" w:type="dxa"/>
              <w:right w:w="28" w:type="dxa"/>
            </w:tcMar>
          </w:tcPr>
          <w:p w14:paraId="43EC35F0" w14:textId="5EFD86DF"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1" w:id="-761014516"/>
                <w14:textFill>
                  <w14:solidFill>
                    <w14:srgbClr w14:val="000000">
                      <w14:alpha w14:val="100000"/>
                    </w14:srgbClr>
                  </w14:solidFill>
                </w14:textFill>
              </w:rPr>
              <w:t>|||</w:t>
            </w:r>
            <w:r w:rsidR="00F111EB" w:rsidRPr="00F111EB">
              <w:rPr>
                <w:b/>
                <w:bCs/>
                <w:color w:val="000000"/>
                <w:spacing w:val="3"/>
                <w:szCs w:val="20"/>
                <w:shd w:val="solid" w:color="000000" w:fill="000000"/>
                <w:fitText w:val="351" w:id="-761014516"/>
                <w14:textFill>
                  <w14:solidFill>
                    <w14:srgbClr w14:val="000000">
                      <w14:alpha w14:val="100000"/>
                    </w14:srgbClr>
                  </w14:solidFill>
                </w14:textFill>
              </w:rPr>
              <w:t>|</w:t>
            </w:r>
            <w:r w:rsidR="00AD5133" w:rsidRPr="00AD5133">
              <w:rPr>
                <w:b/>
                <w:bCs/>
                <w:szCs w:val="20"/>
                <w:vertAlign w:val="superscript"/>
              </w:rPr>
              <w:t>1</w:t>
            </w:r>
          </w:p>
        </w:tc>
        <w:tc>
          <w:tcPr>
            <w:tcW w:w="1682" w:type="dxa"/>
            <w:tcMar>
              <w:top w:w="0" w:type="dxa"/>
              <w:left w:w="28" w:type="dxa"/>
              <w:bottom w:w="0" w:type="dxa"/>
              <w:right w:w="28" w:type="dxa"/>
            </w:tcMar>
          </w:tcPr>
          <w:p w14:paraId="57DE2355" w14:textId="7841A05C"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0" w:id="-761014515"/>
                <w14:textFill>
                  <w14:solidFill>
                    <w14:srgbClr w14:val="000000">
                      <w14:alpha w14:val="100000"/>
                    </w14:srgbClr>
                  </w14:solidFill>
                </w14:textFill>
              </w:rPr>
              <w:t>|||</w:t>
            </w:r>
            <w:r w:rsidR="00F111EB" w:rsidRPr="00F111EB">
              <w:rPr>
                <w:b/>
                <w:bCs/>
                <w:color w:val="000000"/>
                <w:spacing w:val="2"/>
                <w:szCs w:val="20"/>
                <w:shd w:val="solid" w:color="000000" w:fill="000000"/>
                <w:fitText w:val="350" w:id="-761014515"/>
                <w14:textFill>
                  <w14:solidFill>
                    <w14:srgbClr w14:val="000000">
                      <w14:alpha w14:val="100000"/>
                    </w14:srgbClr>
                  </w14:solidFill>
                </w14:textFill>
              </w:rPr>
              <w:t>|</w:t>
            </w:r>
            <w:r w:rsidR="008E47DC" w:rsidRPr="008E47DC">
              <w:rPr>
                <w:b/>
                <w:bCs/>
                <w:szCs w:val="20"/>
                <w:vertAlign w:val="superscript"/>
              </w:rPr>
              <w:t>2</w:t>
            </w:r>
          </w:p>
        </w:tc>
        <w:tc>
          <w:tcPr>
            <w:tcW w:w="1683" w:type="dxa"/>
            <w:tcMar>
              <w:top w:w="0" w:type="dxa"/>
              <w:left w:w="28" w:type="dxa"/>
              <w:bottom w:w="0" w:type="dxa"/>
              <w:right w:w="28" w:type="dxa"/>
            </w:tcMar>
          </w:tcPr>
          <w:p w14:paraId="7FFE6A56" w14:textId="63039386" w:rsidR="001F6890" w:rsidRPr="00A60A39" w:rsidRDefault="001F6890" w:rsidP="00564C0D">
            <w:pPr>
              <w:pStyle w:val="Tabletext0"/>
              <w:keepNext/>
              <w:jc w:val="center"/>
              <w:rPr>
                <w:b/>
                <w:bCs/>
                <w:szCs w:val="20"/>
              </w:rPr>
            </w:pPr>
            <w:r>
              <w:rPr>
                <w:b/>
                <w:bCs/>
                <w:szCs w:val="20"/>
              </w:rPr>
              <w:t>$</w:t>
            </w:r>
            <w:r w:rsidR="00F111EB" w:rsidRPr="00F111EB">
              <w:rPr>
                <w:b/>
                <w:bCs/>
                <w:color w:val="000000"/>
                <w:spacing w:val="55"/>
                <w:szCs w:val="20"/>
                <w:shd w:val="solid" w:color="000000" w:fill="000000"/>
                <w:fitText w:val="350" w:id="-761014514"/>
                <w14:textFill>
                  <w14:solidFill>
                    <w14:srgbClr w14:val="000000">
                      <w14:alpha w14:val="100000"/>
                    </w14:srgbClr>
                  </w14:solidFill>
                </w14:textFill>
              </w:rPr>
              <w:t>|||</w:t>
            </w:r>
            <w:r w:rsidR="00F111EB" w:rsidRPr="00F111EB">
              <w:rPr>
                <w:b/>
                <w:bCs/>
                <w:color w:val="000000"/>
                <w:spacing w:val="2"/>
                <w:szCs w:val="20"/>
                <w:shd w:val="solid" w:color="000000" w:fill="000000"/>
                <w:fitText w:val="350" w:id="-761014514"/>
                <w14:textFill>
                  <w14:solidFill>
                    <w14:srgbClr w14:val="000000">
                      <w14:alpha w14:val="100000"/>
                    </w14:srgbClr>
                  </w14:solidFill>
                </w14:textFill>
              </w:rPr>
              <w:t>|</w:t>
            </w:r>
            <w:r w:rsidR="00574ACC" w:rsidRPr="00574ACC">
              <w:rPr>
                <w:b/>
                <w:bCs/>
                <w:szCs w:val="20"/>
                <w:vertAlign w:val="superscript"/>
              </w:rPr>
              <w:t>3</w:t>
            </w:r>
          </w:p>
        </w:tc>
      </w:tr>
      <w:tr w:rsidR="001F6890" w:rsidRPr="00A60A39" w14:paraId="1D642DA7" w14:textId="77777777" w:rsidTr="00A1032E">
        <w:tc>
          <w:tcPr>
            <w:tcW w:w="9017" w:type="dxa"/>
            <w:gridSpan w:val="4"/>
            <w:tcMar>
              <w:top w:w="0" w:type="dxa"/>
              <w:left w:w="28" w:type="dxa"/>
              <w:bottom w:w="0" w:type="dxa"/>
              <w:right w:w="28" w:type="dxa"/>
            </w:tcMar>
            <w:hideMark/>
          </w:tcPr>
          <w:p w14:paraId="353A6C94" w14:textId="77777777" w:rsidR="001F6890" w:rsidRPr="00A60A39" w:rsidRDefault="001F6890" w:rsidP="00564C0D">
            <w:pPr>
              <w:pStyle w:val="Tabletext0"/>
              <w:keepNext/>
              <w:rPr>
                <w:szCs w:val="20"/>
              </w:rPr>
            </w:pPr>
            <w:r w:rsidRPr="00A60A39">
              <w:rPr>
                <w:b/>
                <w:bCs/>
                <w:szCs w:val="20"/>
              </w:rPr>
              <w:t>Discount rate (base case: 5% for benefits and costs)</w:t>
            </w:r>
          </w:p>
        </w:tc>
      </w:tr>
      <w:tr w:rsidR="001F6890" w:rsidRPr="00A60A39" w14:paraId="2623CC11" w14:textId="77777777" w:rsidTr="00A1032E">
        <w:tc>
          <w:tcPr>
            <w:tcW w:w="3970" w:type="dxa"/>
            <w:tcMar>
              <w:top w:w="0" w:type="dxa"/>
              <w:left w:w="28" w:type="dxa"/>
              <w:bottom w:w="0" w:type="dxa"/>
              <w:right w:w="28" w:type="dxa"/>
            </w:tcMar>
          </w:tcPr>
          <w:p w14:paraId="273828E0" w14:textId="77777777" w:rsidR="001F6890" w:rsidRPr="00A60A39" w:rsidRDefault="001F6890" w:rsidP="00A1032E">
            <w:pPr>
              <w:pStyle w:val="Tabletext0"/>
              <w:rPr>
                <w:szCs w:val="20"/>
              </w:rPr>
            </w:pPr>
            <w:r w:rsidRPr="00A60A39">
              <w:rPr>
                <w:szCs w:val="20"/>
              </w:rPr>
              <w:t>3.5% discount rate</w:t>
            </w:r>
          </w:p>
        </w:tc>
        <w:tc>
          <w:tcPr>
            <w:tcW w:w="1682" w:type="dxa"/>
            <w:tcMar>
              <w:top w:w="0" w:type="dxa"/>
              <w:left w:w="28" w:type="dxa"/>
              <w:bottom w:w="0" w:type="dxa"/>
              <w:right w:w="28" w:type="dxa"/>
            </w:tcMar>
          </w:tcPr>
          <w:p w14:paraId="3084DE9C" w14:textId="50F76841"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5" w:id="-761014513"/>
                <w14:textFill>
                  <w14:solidFill>
                    <w14:srgbClr w14:val="000000">
                      <w14:alpha w14:val="100000"/>
                    </w14:srgbClr>
                  </w14:solidFill>
                </w14:textFill>
              </w:rPr>
              <w:t>|||</w:t>
            </w:r>
            <w:r w:rsidR="00F111EB" w:rsidRPr="00F111EB">
              <w:rPr>
                <w:color w:val="000000"/>
                <w:spacing w:val="2"/>
                <w:szCs w:val="20"/>
                <w:shd w:val="solid" w:color="000000" w:fill="000000"/>
                <w:fitText w:val="325" w:id="-761014513"/>
                <w14:textFill>
                  <w14:solidFill>
                    <w14:srgbClr w14:val="000000">
                      <w14:alpha w14:val="100000"/>
                    </w14:srgbClr>
                  </w14:solidFill>
                </w14:textFill>
              </w:rPr>
              <w:t>|</w:t>
            </w:r>
            <w:r w:rsidR="00AD5133" w:rsidRPr="00AD5133">
              <w:rPr>
                <w:b/>
                <w:bCs/>
                <w:szCs w:val="20"/>
                <w:vertAlign w:val="superscript"/>
              </w:rPr>
              <w:t>1</w:t>
            </w:r>
            <w:r>
              <w:rPr>
                <w:szCs w:val="20"/>
              </w:rPr>
              <w:t xml:space="preserve"> (-</w:t>
            </w:r>
            <w:r w:rsidR="00F111EB" w:rsidRPr="00F111EB">
              <w:rPr>
                <w:color w:val="000000"/>
                <w:spacing w:val="55"/>
                <w:szCs w:val="20"/>
                <w:shd w:val="solid" w:color="000000" w:fill="000000"/>
                <w:fitText w:val="338" w:id="-761014512"/>
                <w14:textFill>
                  <w14:solidFill>
                    <w14:srgbClr w14:val="000000">
                      <w14:alpha w14:val="100000"/>
                    </w14:srgbClr>
                  </w14:solidFill>
                </w14:textFill>
              </w:rPr>
              <w:t>|||</w:t>
            </w:r>
            <w:r w:rsidR="00F111EB" w:rsidRPr="00F111EB">
              <w:rPr>
                <w:color w:val="000000"/>
                <w:spacing w:val="3"/>
                <w:szCs w:val="20"/>
                <w:shd w:val="solid" w:color="000000" w:fill="000000"/>
                <w:fitText w:val="338" w:id="-761014512"/>
                <w14:textFill>
                  <w14:solidFill>
                    <w14:srgbClr w14:val="000000">
                      <w14:alpha w14:val="100000"/>
                    </w14:srgbClr>
                  </w14:solidFill>
                </w14:textFill>
              </w:rPr>
              <w:t>|</w:t>
            </w:r>
            <w:r w:rsidRPr="00ED606C">
              <w:rPr>
                <w:szCs w:val="20"/>
              </w:rPr>
              <w:t>%)</w:t>
            </w:r>
          </w:p>
        </w:tc>
        <w:tc>
          <w:tcPr>
            <w:tcW w:w="1682" w:type="dxa"/>
            <w:tcMar>
              <w:top w:w="0" w:type="dxa"/>
              <w:left w:w="28" w:type="dxa"/>
              <w:bottom w:w="0" w:type="dxa"/>
              <w:right w:w="28" w:type="dxa"/>
            </w:tcMar>
          </w:tcPr>
          <w:p w14:paraId="745CDA37" w14:textId="719F4FEE"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8"/>
                <w14:textFill>
                  <w14:solidFill>
                    <w14:srgbClr w14:val="000000">
                      <w14:alpha w14:val="100000"/>
                    </w14:srgbClr>
                  </w14:solidFill>
                </w14:textFill>
              </w:rPr>
              <w:t>|||</w:t>
            </w:r>
            <w:r w:rsidR="00F111EB" w:rsidRPr="00F111EB">
              <w:rPr>
                <w:color w:val="000000"/>
                <w:spacing w:val="3"/>
                <w:szCs w:val="20"/>
                <w:shd w:val="solid" w:color="000000" w:fill="000000"/>
                <w:fitText w:val="326" w:id="-761014528"/>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7"/>
                <w14:textFill>
                  <w14:solidFill>
                    <w14:srgbClr w14:val="000000">
                      <w14:alpha w14:val="100000"/>
                    </w14:srgbClr>
                  </w14:solidFill>
                </w14:textFill>
              </w:rPr>
              <w:t>|||</w:t>
            </w:r>
            <w:r w:rsidR="00F111EB" w:rsidRPr="00F111EB">
              <w:rPr>
                <w:color w:val="000000"/>
                <w:spacing w:val="3"/>
                <w:szCs w:val="20"/>
                <w:shd w:val="solid" w:color="000000" w:fill="000000"/>
                <w:fitText w:val="338" w:id="-761014527"/>
                <w14:textFill>
                  <w14:solidFill>
                    <w14:srgbClr w14:val="000000">
                      <w14:alpha w14:val="100000"/>
                    </w14:srgbClr>
                  </w14:solidFill>
                </w14:textFill>
              </w:rPr>
              <w:t>|</w:t>
            </w:r>
            <w:r>
              <w:rPr>
                <w:szCs w:val="20"/>
              </w:rPr>
              <w:t>%)</w:t>
            </w:r>
          </w:p>
        </w:tc>
        <w:tc>
          <w:tcPr>
            <w:tcW w:w="1683" w:type="dxa"/>
            <w:tcMar>
              <w:top w:w="0" w:type="dxa"/>
              <w:left w:w="28" w:type="dxa"/>
              <w:bottom w:w="0" w:type="dxa"/>
              <w:right w:w="28" w:type="dxa"/>
            </w:tcMar>
          </w:tcPr>
          <w:p w14:paraId="292C5E20" w14:textId="64AB00E8"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6"/>
                <w14:textFill>
                  <w14:solidFill>
                    <w14:srgbClr w14:val="000000">
                      <w14:alpha w14:val="100000"/>
                    </w14:srgbClr>
                  </w14:solidFill>
                </w14:textFill>
              </w:rPr>
              <w:t>|||</w:t>
            </w:r>
            <w:r w:rsidR="00F111EB" w:rsidRPr="00F111EB">
              <w:rPr>
                <w:color w:val="000000"/>
                <w:spacing w:val="3"/>
                <w:szCs w:val="20"/>
                <w:shd w:val="solid" w:color="000000" w:fill="000000"/>
                <w:fitText w:val="326" w:id="-761014526"/>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5"/>
                <w14:textFill>
                  <w14:solidFill>
                    <w14:srgbClr w14:val="000000">
                      <w14:alpha w14:val="100000"/>
                    </w14:srgbClr>
                  </w14:solidFill>
                </w14:textFill>
              </w:rPr>
              <w:t>|||</w:t>
            </w:r>
            <w:r w:rsidR="00F111EB" w:rsidRPr="00F111EB">
              <w:rPr>
                <w:color w:val="000000"/>
                <w:spacing w:val="3"/>
                <w:szCs w:val="20"/>
                <w:shd w:val="solid" w:color="000000" w:fill="000000"/>
                <w:fitText w:val="338" w:id="-761014525"/>
                <w14:textFill>
                  <w14:solidFill>
                    <w14:srgbClr w14:val="000000">
                      <w14:alpha w14:val="100000"/>
                    </w14:srgbClr>
                  </w14:solidFill>
                </w14:textFill>
              </w:rPr>
              <w:t>|</w:t>
            </w:r>
            <w:r>
              <w:rPr>
                <w:szCs w:val="20"/>
              </w:rPr>
              <w:t>%)</w:t>
            </w:r>
          </w:p>
        </w:tc>
      </w:tr>
      <w:tr w:rsidR="001F6890" w:rsidRPr="00A60A39" w14:paraId="3AFECD80" w14:textId="77777777" w:rsidTr="00A1032E">
        <w:tc>
          <w:tcPr>
            <w:tcW w:w="3970" w:type="dxa"/>
            <w:tcMar>
              <w:top w:w="0" w:type="dxa"/>
              <w:left w:w="28" w:type="dxa"/>
              <w:bottom w:w="0" w:type="dxa"/>
              <w:right w:w="28" w:type="dxa"/>
            </w:tcMar>
            <w:hideMark/>
          </w:tcPr>
          <w:p w14:paraId="465864DE" w14:textId="77777777" w:rsidR="001F6890" w:rsidRPr="00A60A39" w:rsidRDefault="001F6890" w:rsidP="00A1032E">
            <w:pPr>
              <w:pStyle w:val="Tabletext0"/>
              <w:rPr>
                <w:szCs w:val="20"/>
              </w:rPr>
            </w:pPr>
            <w:r w:rsidRPr="00A60A39">
              <w:rPr>
                <w:szCs w:val="20"/>
              </w:rPr>
              <w:t>0% discount rate</w:t>
            </w:r>
          </w:p>
        </w:tc>
        <w:tc>
          <w:tcPr>
            <w:tcW w:w="1682" w:type="dxa"/>
            <w:tcMar>
              <w:top w:w="0" w:type="dxa"/>
              <w:left w:w="28" w:type="dxa"/>
              <w:bottom w:w="0" w:type="dxa"/>
              <w:right w:w="28" w:type="dxa"/>
            </w:tcMar>
          </w:tcPr>
          <w:p w14:paraId="4822776F" w14:textId="0287D9E6" w:rsidR="001F6890" w:rsidRPr="00A60A39" w:rsidRDefault="001F6890" w:rsidP="00A1032E">
            <w:pPr>
              <w:pStyle w:val="Tabletext0"/>
              <w:jc w:val="center"/>
              <w:rPr>
                <w:szCs w:val="20"/>
              </w:rPr>
            </w:pPr>
            <w:r>
              <w:rPr>
                <w:szCs w:val="20"/>
              </w:rPr>
              <w:t>$</w:t>
            </w:r>
            <w:r w:rsidR="00F111EB" w:rsidRPr="00F111EB">
              <w:rPr>
                <w:color w:val="000000"/>
                <w:spacing w:val="55"/>
                <w:szCs w:val="20"/>
                <w:shd w:val="solid" w:color="000000" w:fill="000000"/>
                <w:fitText w:val="338" w:id="-761014524"/>
                <w14:textFill>
                  <w14:solidFill>
                    <w14:srgbClr w14:val="000000">
                      <w14:alpha w14:val="100000"/>
                    </w14:srgbClr>
                  </w14:solidFill>
                </w14:textFill>
              </w:rPr>
              <w:t>|||</w:t>
            </w:r>
            <w:r w:rsidR="00F111EB" w:rsidRPr="00F111EB">
              <w:rPr>
                <w:color w:val="000000"/>
                <w:spacing w:val="3"/>
                <w:szCs w:val="20"/>
                <w:shd w:val="solid" w:color="000000" w:fill="000000"/>
                <w:fitText w:val="338" w:id="-761014524"/>
                <w14:textFill>
                  <w14:solidFill>
                    <w14:srgbClr w14:val="000000">
                      <w14:alpha w14:val="100000"/>
                    </w14:srgbClr>
                  </w14:solidFill>
                </w14:textFill>
              </w:rPr>
              <w:t>|</w:t>
            </w:r>
            <w:r w:rsidR="00004C03" w:rsidRPr="00004C03">
              <w:rPr>
                <w:szCs w:val="20"/>
                <w:vertAlign w:val="superscript"/>
              </w:rPr>
              <w:t>4</w:t>
            </w:r>
            <w:r w:rsidRPr="00004C03">
              <w:rPr>
                <w:szCs w:val="20"/>
                <w:vertAlign w:val="superscript"/>
              </w:rPr>
              <w:t xml:space="preserve"> </w:t>
            </w:r>
            <w:r>
              <w:rPr>
                <w:szCs w:val="20"/>
              </w:rPr>
              <w:t>(-</w:t>
            </w:r>
            <w:r w:rsidR="00F111EB" w:rsidRPr="00F111EB">
              <w:rPr>
                <w:color w:val="000000"/>
                <w:spacing w:val="51"/>
                <w:szCs w:val="20"/>
                <w:shd w:val="solid" w:color="000000" w:fill="000000"/>
                <w:fitText w:val="326" w:id="-761014523"/>
                <w14:textFill>
                  <w14:solidFill>
                    <w14:srgbClr w14:val="000000">
                      <w14:alpha w14:val="100000"/>
                    </w14:srgbClr>
                  </w14:solidFill>
                </w14:textFill>
              </w:rPr>
              <w:t>|||</w:t>
            </w:r>
            <w:r w:rsidR="00F111EB" w:rsidRPr="00F111EB">
              <w:rPr>
                <w:color w:val="000000"/>
                <w:spacing w:val="3"/>
                <w:szCs w:val="20"/>
                <w:shd w:val="solid" w:color="000000" w:fill="000000"/>
                <w:fitText w:val="326" w:id="-761014523"/>
                <w14:textFill>
                  <w14:solidFill>
                    <w14:srgbClr w14:val="000000">
                      <w14:alpha w14:val="100000"/>
                    </w14:srgbClr>
                  </w14:solidFill>
                </w14:textFill>
              </w:rPr>
              <w:t>|</w:t>
            </w:r>
            <w:r>
              <w:rPr>
                <w:szCs w:val="20"/>
              </w:rPr>
              <w:t>%)</w:t>
            </w:r>
          </w:p>
        </w:tc>
        <w:tc>
          <w:tcPr>
            <w:tcW w:w="1682" w:type="dxa"/>
            <w:tcMar>
              <w:top w:w="0" w:type="dxa"/>
              <w:left w:w="28" w:type="dxa"/>
              <w:bottom w:w="0" w:type="dxa"/>
              <w:right w:w="28" w:type="dxa"/>
            </w:tcMar>
          </w:tcPr>
          <w:p w14:paraId="6D4CAE8B" w14:textId="7E7E87BD"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2"/>
                <w14:textFill>
                  <w14:solidFill>
                    <w14:srgbClr w14:val="000000">
                      <w14:alpha w14:val="100000"/>
                    </w14:srgbClr>
                  </w14:solidFill>
                </w14:textFill>
              </w:rPr>
              <w:t>|||</w:t>
            </w:r>
            <w:r w:rsidR="00F111EB" w:rsidRPr="00F111EB">
              <w:rPr>
                <w:color w:val="000000"/>
                <w:spacing w:val="3"/>
                <w:szCs w:val="20"/>
                <w:shd w:val="solid" w:color="000000" w:fill="000000"/>
                <w:fitText w:val="326" w:id="-761014522"/>
                <w14:textFill>
                  <w14:solidFill>
                    <w14:srgbClr w14:val="000000">
                      <w14:alpha w14:val="100000"/>
                    </w14:srgbClr>
                  </w14:solidFill>
                </w14:textFill>
              </w:rPr>
              <w:t>|</w:t>
            </w:r>
            <w:r w:rsidR="00D53575" w:rsidRPr="00574ACC">
              <w:rPr>
                <w:b/>
                <w:bCs/>
                <w:szCs w:val="20"/>
                <w:vertAlign w:val="superscript"/>
              </w:rPr>
              <w:t>3</w:t>
            </w:r>
            <w:r>
              <w:rPr>
                <w:szCs w:val="20"/>
              </w:rPr>
              <w:t xml:space="preserve"> (-</w:t>
            </w:r>
            <w:r w:rsidR="00F111EB" w:rsidRPr="00F111EB">
              <w:rPr>
                <w:color w:val="000000"/>
                <w:spacing w:val="55"/>
                <w:szCs w:val="20"/>
                <w:shd w:val="solid" w:color="000000" w:fill="000000"/>
                <w:fitText w:val="338" w:id="-761014521"/>
                <w14:textFill>
                  <w14:solidFill>
                    <w14:srgbClr w14:val="000000">
                      <w14:alpha w14:val="100000"/>
                    </w14:srgbClr>
                  </w14:solidFill>
                </w14:textFill>
              </w:rPr>
              <w:t>|||</w:t>
            </w:r>
            <w:r w:rsidR="00F111EB" w:rsidRPr="00F111EB">
              <w:rPr>
                <w:color w:val="000000"/>
                <w:spacing w:val="3"/>
                <w:szCs w:val="20"/>
                <w:shd w:val="solid" w:color="000000" w:fill="000000"/>
                <w:fitText w:val="338" w:id="-761014521"/>
                <w14:textFill>
                  <w14:solidFill>
                    <w14:srgbClr w14:val="000000">
                      <w14:alpha w14:val="100000"/>
                    </w14:srgbClr>
                  </w14:solidFill>
                </w14:textFill>
              </w:rPr>
              <w:t>|</w:t>
            </w:r>
            <w:r>
              <w:rPr>
                <w:szCs w:val="20"/>
              </w:rPr>
              <w:t>%)</w:t>
            </w:r>
          </w:p>
        </w:tc>
        <w:tc>
          <w:tcPr>
            <w:tcW w:w="1683" w:type="dxa"/>
            <w:tcMar>
              <w:top w:w="0" w:type="dxa"/>
              <w:left w:w="28" w:type="dxa"/>
              <w:bottom w:w="0" w:type="dxa"/>
              <w:right w:w="28" w:type="dxa"/>
            </w:tcMar>
          </w:tcPr>
          <w:p w14:paraId="31D106CE" w14:textId="0E051D2F" w:rsidR="001F6890" w:rsidRPr="00A60A39" w:rsidRDefault="001F6890" w:rsidP="00A1032E">
            <w:pPr>
              <w:pStyle w:val="Tabletext0"/>
              <w:jc w:val="center"/>
              <w:rPr>
                <w:szCs w:val="20"/>
              </w:rPr>
            </w:pPr>
            <w:r>
              <w:rPr>
                <w:szCs w:val="20"/>
              </w:rPr>
              <w:t>$</w:t>
            </w:r>
            <w:r w:rsidR="00F111EB" w:rsidRPr="00F111EB">
              <w:rPr>
                <w:color w:val="000000"/>
                <w:spacing w:val="51"/>
                <w:szCs w:val="20"/>
                <w:shd w:val="solid" w:color="000000" w:fill="000000"/>
                <w:fitText w:val="326" w:id="-761014520"/>
                <w14:textFill>
                  <w14:solidFill>
                    <w14:srgbClr w14:val="000000">
                      <w14:alpha w14:val="100000"/>
                    </w14:srgbClr>
                  </w14:solidFill>
                </w14:textFill>
              </w:rPr>
              <w:t>|||</w:t>
            </w:r>
            <w:r w:rsidR="00F111EB" w:rsidRPr="00F111EB">
              <w:rPr>
                <w:color w:val="000000"/>
                <w:spacing w:val="3"/>
                <w:szCs w:val="20"/>
                <w:shd w:val="solid" w:color="000000" w:fill="000000"/>
                <w:fitText w:val="326" w:id="-761014520"/>
                <w14:textFill>
                  <w14:solidFill>
                    <w14:srgbClr w14:val="000000">
                      <w14:alpha w14:val="100000"/>
                    </w14:srgbClr>
                  </w14:solidFill>
                </w14:textFill>
              </w:rPr>
              <w:t>|</w:t>
            </w:r>
            <w:r>
              <w:rPr>
                <w:szCs w:val="20"/>
              </w:rPr>
              <w:t xml:space="preserve"> </w:t>
            </w:r>
            <w:r w:rsidR="00D53575" w:rsidRPr="00574ACC">
              <w:rPr>
                <w:b/>
                <w:bCs/>
                <w:szCs w:val="20"/>
                <w:vertAlign w:val="superscript"/>
              </w:rPr>
              <w:t>3</w:t>
            </w:r>
            <w:r w:rsidR="00D53575">
              <w:rPr>
                <w:szCs w:val="20"/>
              </w:rPr>
              <w:t xml:space="preserve"> </w:t>
            </w:r>
            <w:r>
              <w:rPr>
                <w:szCs w:val="20"/>
              </w:rPr>
              <w:t>(-</w:t>
            </w:r>
            <w:r w:rsidR="00F111EB" w:rsidRPr="00F111EB">
              <w:rPr>
                <w:color w:val="000000"/>
                <w:spacing w:val="51"/>
                <w:szCs w:val="20"/>
                <w:shd w:val="solid" w:color="000000" w:fill="000000"/>
                <w:fitText w:val="325" w:id="-761014519"/>
                <w14:textFill>
                  <w14:solidFill>
                    <w14:srgbClr w14:val="000000">
                      <w14:alpha w14:val="100000"/>
                    </w14:srgbClr>
                  </w14:solidFill>
                </w14:textFill>
              </w:rPr>
              <w:t>|||</w:t>
            </w:r>
            <w:r w:rsidR="00F111EB" w:rsidRPr="00F111EB">
              <w:rPr>
                <w:color w:val="000000"/>
                <w:spacing w:val="2"/>
                <w:szCs w:val="20"/>
                <w:shd w:val="solid" w:color="000000" w:fill="000000"/>
                <w:fitText w:val="325" w:id="-761014519"/>
                <w14:textFill>
                  <w14:solidFill>
                    <w14:srgbClr w14:val="000000">
                      <w14:alpha w14:val="100000"/>
                    </w14:srgbClr>
                  </w14:solidFill>
                </w14:textFill>
              </w:rPr>
              <w:t>|</w:t>
            </w:r>
            <w:r>
              <w:rPr>
                <w:szCs w:val="20"/>
              </w:rPr>
              <w:t>%)</w:t>
            </w:r>
          </w:p>
        </w:tc>
      </w:tr>
      <w:tr w:rsidR="001F6890" w:rsidRPr="00A60A39" w14:paraId="17ED6872" w14:textId="77777777" w:rsidTr="00A1032E">
        <w:tc>
          <w:tcPr>
            <w:tcW w:w="9017" w:type="dxa"/>
            <w:gridSpan w:val="4"/>
            <w:tcMar>
              <w:top w:w="0" w:type="dxa"/>
              <w:left w:w="28" w:type="dxa"/>
              <w:bottom w:w="0" w:type="dxa"/>
              <w:right w:w="28" w:type="dxa"/>
            </w:tcMar>
            <w:vAlign w:val="center"/>
          </w:tcPr>
          <w:p w14:paraId="5C1E77F9" w14:textId="77777777" w:rsidR="001F6890" w:rsidRPr="00A60A39" w:rsidRDefault="001F6890" w:rsidP="00A1032E">
            <w:pPr>
              <w:pStyle w:val="Tabletext0"/>
              <w:keepNext/>
              <w:jc w:val="both"/>
              <w:rPr>
                <w:szCs w:val="20"/>
              </w:rPr>
            </w:pPr>
            <w:r w:rsidRPr="00B946C0">
              <w:rPr>
                <w:b/>
                <w:bCs/>
                <w:iCs/>
                <w:szCs w:val="20"/>
              </w:rPr>
              <w:t>Population</w:t>
            </w:r>
            <w:r>
              <w:rPr>
                <w:b/>
                <w:bCs/>
                <w:iCs/>
                <w:szCs w:val="20"/>
              </w:rPr>
              <w:t xml:space="preserve"> (base case: patient characteristics and treatment effects based on the SURPASS-2</w:t>
            </w:r>
            <w:r w:rsidRPr="00591DA4">
              <w:rPr>
                <w:b/>
                <w:bCs/>
                <w:i/>
                <w:szCs w:val="20"/>
              </w:rPr>
              <w:t xml:space="preserve"> post hoc</w:t>
            </w:r>
            <w:r>
              <w:rPr>
                <w:b/>
                <w:bCs/>
                <w:iCs/>
                <w:szCs w:val="20"/>
              </w:rPr>
              <w:t xml:space="preserve"> subgroup with BMI ≥35 kg/m</w:t>
            </w:r>
            <w:r w:rsidRPr="00B946C0">
              <w:rPr>
                <w:b/>
                <w:bCs/>
                <w:iCs/>
                <w:szCs w:val="20"/>
                <w:vertAlign w:val="superscript"/>
              </w:rPr>
              <w:t>2</w:t>
            </w:r>
            <w:r>
              <w:rPr>
                <w:b/>
                <w:bCs/>
                <w:iCs/>
                <w:szCs w:val="20"/>
              </w:rPr>
              <w:t>)</w:t>
            </w:r>
          </w:p>
        </w:tc>
      </w:tr>
      <w:tr w:rsidR="001F6890" w:rsidRPr="00A60A39" w14:paraId="60F5866F" w14:textId="77777777" w:rsidTr="00A1032E">
        <w:tc>
          <w:tcPr>
            <w:tcW w:w="3970" w:type="dxa"/>
            <w:tcMar>
              <w:top w:w="0" w:type="dxa"/>
              <w:left w:w="28" w:type="dxa"/>
              <w:bottom w:w="0" w:type="dxa"/>
              <w:right w:w="28" w:type="dxa"/>
            </w:tcMar>
            <w:vAlign w:val="center"/>
          </w:tcPr>
          <w:p w14:paraId="09CCA0DA" w14:textId="77777777" w:rsidR="001F6890" w:rsidRPr="00EF28A2" w:rsidRDefault="001F6890" w:rsidP="00A1032E">
            <w:pPr>
              <w:pStyle w:val="Tabletext0"/>
              <w:rPr>
                <w:iCs/>
                <w:szCs w:val="20"/>
              </w:rPr>
            </w:pPr>
            <w:r w:rsidRPr="00EF28A2">
              <w:rPr>
                <w:iCs/>
                <w:szCs w:val="20"/>
              </w:rPr>
              <w:t>Patient characteristics based on the SURPASS-2 whole trial population</w:t>
            </w:r>
          </w:p>
        </w:tc>
        <w:tc>
          <w:tcPr>
            <w:tcW w:w="1682" w:type="dxa"/>
            <w:tcMar>
              <w:top w:w="0" w:type="dxa"/>
              <w:left w:w="28" w:type="dxa"/>
              <w:bottom w:w="0" w:type="dxa"/>
              <w:right w:w="28" w:type="dxa"/>
            </w:tcMar>
            <w:vAlign w:val="center"/>
          </w:tcPr>
          <w:p w14:paraId="0A4390F5" w14:textId="5FFD1DE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8"/>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8"/>
                <w14:textFill>
                  <w14:solidFill>
                    <w14:srgbClr w14:val="000000">
                      <w14:alpha w14:val="100000"/>
                    </w14:srgbClr>
                  </w14:solidFill>
                </w14:textFill>
              </w:rPr>
              <w:t>|</w:t>
            </w:r>
            <w:r w:rsidR="003E417D" w:rsidRPr="00AD5133">
              <w:rPr>
                <w:b/>
                <w:bCs/>
                <w:szCs w:val="20"/>
                <w:vertAlign w:val="superscript"/>
              </w:rPr>
              <w:t>1</w:t>
            </w:r>
            <w:r w:rsidRPr="00EF28A2">
              <w:rPr>
                <w:iCs/>
                <w:szCs w:val="20"/>
              </w:rPr>
              <w:t xml:space="preserve"> (-</w:t>
            </w:r>
            <w:r w:rsidR="00F111EB" w:rsidRPr="00F111EB">
              <w:rPr>
                <w:iCs/>
                <w:color w:val="000000"/>
                <w:spacing w:val="55"/>
                <w:szCs w:val="20"/>
                <w:shd w:val="solid" w:color="000000" w:fill="000000"/>
                <w:fitText w:val="338" w:id="-761014517"/>
                <w14:textFill>
                  <w14:solidFill>
                    <w14:srgbClr w14:val="000000">
                      <w14:alpha w14:val="100000"/>
                    </w14:srgbClr>
                  </w14:solidFill>
                </w14:textFill>
              </w:rPr>
              <w:t>|||</w:t>
            </w:r>
            <w:r w:rsidR="00F111EB" w:rsidRPr="00F111EB">
              <w:rPr>
                <w:iCs/>
                <w:color w:val="000000"/>
                <w:spacing w:val="3"/>
                <w:szCs w:val="20"/>
                <w:shd w:val="solid" w:color="000000" w:fill="000000"/>
                <w:fitText w:val="338" w:id="-761014517"/>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5D1CBE99" w14:textId="1E6C23A8"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6"/>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2C8EB3E" w14:textId="6AC4BF89"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Pr="00EF28A2">
              <w:rPr>
                <w:iCs/>
                <w:szCs w:val="20"/>
              </w:rPr>
              <w:t>%)</w:t>
            </w:r>
          </w:p>
        </w:tc>
      </w:tr>
      <w:tr w:rsidR="001F6890" w:rsidRPr="00A60A39" w14:paraId="353E4F69" w14:textId="77777777" w:rsidTr="00A1032E">
        <w:tc>
          <w:tcPr>
            <w:tcW w:w="9017" w:type="dxa"/>
            <w:gridSpan w:val="4"/>
            <w:tcMar>
              <w:top w:w="0" w:type="dxa"/>
              <w:left w:w="28" w:type="dxa"/>
              <w:bottom w:w="0" w:type="dxa"/>
              <w:right w:w="28" w:type="dxa"/>
            </w:tcMar>
          </w:tcPr>
          <w:p w14:paraId="46333328" w14:textId="77777777" w:rsidR="001F6890" w:rsidRPr="00EF28A2" w:rsidRDefault="001F6890" w:rsidP="00A1032E">
            <w:pPr>
              <w:pStyle w:val="Tabletext0"/>
              <w:jc w:val="both"/>
              <w:rPr>
                <w:iCs/>
                <w:szCs w:val="20"/>
              </w:rPr>
            </w:pPr>
            <w:r w:rsidRPr="00EF28A2">
              <w:rPr>
                <w:b/>
                <w:iCs/>
                <w:szCs w:val="20"/>
              </w:rPr>
              <w:t xml:space="preserve">Biomarker drift (base case: </w:t>
            </w:r>
            <w:r w:rsidRPr="00EF28A2">
              <w:rPr>
                <w:b/>
                <w:bCs/>
                <w:iCs/>
                <w:szCs w:val="20"/>
              </w:rPr>
              <w:t>biomarker drift based on UKPDS OM2 equations for HbA1c, LDL cholesterol, HDL cholesterol, eGFR, WBC count, haemoglobin; no biomarker drift for BMI, SBP, heart rate</w:t>
            </w:r>
            <w:r w:rsidRPr="00EF28A2">
              <w:rPr>
                <w:b/>
                <w:iCs/>
                <w:szCs w:val="20"/>
              </w:rPr>
              <w:t>)</w:t>
            </w:r>
          </w:p>
        </w:tc>
      </w:tr>
      <w:tr w:rsidR="001F6890" w:rsidRPr="00A60A39" w14:paraId="2AA338D4" w14:textId="77777777" w:rsidTr="00A1032E">
        <w:tc>
          <w:tcPr>
            <w:tcW w:w="3970" w:type="dxa"/>
            <w:tcMar>
              <w:top w:w="0" w:type="dxa"/>
              <w:left w:w="28" w:type="dxa"/>
              <w:bottom w:w="0" w:type="dxa"/>
              <w:right w:w="28" w:type="dxa"/>
            </w:tcMar>
          </w:tcPr>
          <w:p w14:paraId="32794CBB" w14:textId="77777777" w:rsidR="001F6890" w:rsidRPr="00EF28A2" w:rsidRDefault="001F6890" w:rsidP="00A1032E">
            <w:pPr>
              <w:pStyle w:val="Tabletext0"/>
              <w:rPr>
                <w:iCs/>
                <w:szCs w:val="20"/>
              </w:rPr>
            </w:pPr>
            <w:r w:rsidRPr="00EF28A2">
              <w:rPr>
                <w:iCs/>
                <w:szCs w:val="20"/>
              </w:rPr>
              <w:t>No drift for any biomarker</w:t>
            </w:r>
          </w:p>
        </w:tc>
        <w:tc>
          <w:tcPr>
            <w:tcW w:w="1682" w:type="dxa"/>
            <w:tcMar>
              <w:top w:w="0" w:type="dxa"/>
              <w:left w:w="28" w:type="dxa"/>
              <w:bottom w:w="0" w:type="dxa"/>
              <w:right w:w="28" w:type="dxa"/>
            </w:tcMar>
            <w:vAlign w:val="center"/>
          </w:tcPr>
          <w:p w14:paraId="728176C0" w14:textId="056B169B"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2"/>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5"/>
                <w:szCs w:val="20"/>
                <w:shd w:val="solid" w:color="000000" w:fill="000000"/>
                <w:fitText w:val="338" w:id="-761014528"/>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8"/>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BB59544" w14:textId="72EE96B2"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7"/>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7"/>
                <w14:textFill>
                  <w14:solidFill>
                    <w14:srgbClr w14:val="000000">
                      <w14:alpha w14:val="100000"/>
                    </w14:srgbClr>
                  </w14:solidFill>
                </w14:textFill>
              </w:rPr>
              <w:t>|</w:t>
            </w:r>
            <w:r w:rsidR="00D53575" w:rsidRPr="00574ACC">
              <w:rPr>
                <w:b/>
                <w:bCs/>
                <w:szCs w:val="20"/>
                <w:vertAlign w:val="superscript"/>
              </w:rPr>
              <w:t>3</w:t>
            </w:r>
            <w:r w:rsidRPr="00EF28A2">
              <w:rPr>
                <w:iCs/>
                <w:szCs w:val="20"/>
              </w:rPr>
              <w:t xml:space="preserve"> (-</w:t>
            </w:r>
            <w:r w:rsidR="00F111EB" w:rsidRPr="00F111EB">
              <w:rPr>
                <w:iCs/>
                <w:color w:val="000000"/>
                <w:spacing w:val="55"/>
                <w:szCs w:val="20"/>
                <w:shd w:val="solid" w:color="000000" w:fill="000000"/>
                <w:fitText w:val="338" w:id="-76101452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6"/>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02C32BD" w14:textId="1505EE6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00D53575" w:rsidRPr="00574ACC">
              <w:rPr>
                <w:b/>
                <w:bCs/>
                <w:szCs w:val="20"/>
                <w:vertAlign w:val="superscript"/>
              </w:rPr>
              <w:t>3</w:t>
            </w:r>
            <w:r w:rsidRPr="00EF28A2">
              <w:rPr>
                <w:iCs/>
                <w:szCs w:val="20"/>
              </w:rPr>
              <w:t xml:space="preserve"> (-</w:t>
            </w:r>
            <w:r w:rsidR="00F111EB" w:rsidRPr="00F111EB">
              <w:rPr>
                <w:iCs/>
                <w:color w:val="000000"/>
                <w:spacing w:val="55"/>
                <w:szCs w:val="20"/>
                <w:shd w:val="solid" w:color="000000" w:fill="000000"/>
                <w:fitText w:val="338" w:id="-761014524"/>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4"/>
                <w14:textFill>
                  <w14:solidFill>
                    <w14:srgbClr w14:val="000000">
                      <w14:alpha w14:val="100000"/>
                    </w14:srgbClr>
                  </w14:solidFill>
                </w14:textFill>
              </w:rPr>
              <w:t>|</w:t>
            </w:r>
            <w:r w:rsidRPr="00EF28A2">
              <w:rPr>
                <w:iCs/>
                <w:szCs w:val="20"/>
              </w:rPr>
              <w:t>%)</w:t>
            </w:r>
          </w:p>
        </w:tc>
      </w:tr>
      <w:tr w:rsidR="001F6890" w:rsidRPr="00A60A39" w14:paraId="16E98AA2" w14:textId="77777777" w:rsidTr="00A1032E">
        <w:tc>
          <w:tcPr>
            <w:tcW w:w="3970" w:type="dxa"/>
            <w:tcMar>
              <w:top w:w="0" w:type="dxa"/>
              <w:left w:w="28" w:type="dxa"/>
              <w:bottom w:w="0" w:type="dxa"/>
              <w:right w:w="28" w:type="dxa"/>
            </w:tcMar>
          </w:tcPr>
          <w:p w14:paraId="52C7F162" w14:textId="77777777" w:rsidR="001F6890" w:rsidRPr="00EF28A2" w:rsidRDefault="001F6890" w:rsidP="00A1032E">
            <w:pPr>
              <w:pStyle w:val="Tabletext0"/>
              <w:rPr>
                <w:iCs/>
                <w:szCs w:val="20"/>
              </w:rPr>
            </w:pPr>
            <w:r w:rsidRPr="00EF28A2">
              <w:rPr>
                <w:iCs/>
                <w:szCs w:val="20"/>
              </w:rPr>
              <w:t>UKPDS drift for all biomarkers</w:t>
            </w:r>
          </w:p>
        </w:tc>
        <w:tc>
          <w:tcPr>
            <w:tcW w:w="1682" w:type="dxa"/>
            <w:tcMar>
              <w:top w:w="0" w:type="dxa"/>
              <w:left w:w="28" w:type="dxa"/>
              <w:bottom w:w="0" w:type="dxa"/>
              <w:right w:w="28" w:type="dxa"/>
            </w:tcMar>
          </w:tcPr>
          <w:p w14:paraId="5B842AAB" w14:textId="7F1E0B49"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3"/>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3"/>
                <w14:textFill>
                  <w14:solidFill>
                    <w14:srgbClr w14:val="000000">
                      <w14:alpha w14:val="100000"/>
                    </w14:srgbClr>
                  </w14:solidFill>
                </w14:textFill>
              </w:rPr>
              <w:t>|</w:t>
            </w:r>
            <w:r w:rsidR="0025101C"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52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2"/>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tcPr>
          <w:p w14:paraId="7865DBCD" w14:textId="3ED4061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1"/>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1"/>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20"/>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0"/>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tcPr>
          <w:p w14:paraId="76AE4713" w14:textId="7CB32F06"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9"/>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9"/>
                <w14:textFill>
                  <w14:solidFill>
                    <w14:srgbClr w14:val="000000">
                      <w14:alpha w14:val="100000"/>
                    </w14:srgbClr>
                  </w14:solidFill>
                </w14:textFill>
              </w:rPr>
              <w:t>|</w:t>
            </w:r>
            <w:r w:rsidR="00472E1F"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8"/>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8"/>
                <w14:textFill>
                  <w14:solidFill>
                    <w14:srgbClr w14:val="000000">
                      <w14:alpha w14:val="100000"/>
                    </w14:srgbClr>
                  </w14:solidFill>
                </w14:textFill>
              </w:rPr>
              <w:t>|</w:t>
            </w:r>
            <w:r w:rsidRPr="00EF28A2">
              <w:rPr>
                <w:iCs/>
                <w:szCs w:val="20"/>
              </w:rPr>
              <w:t>%)</w:t>
            </w:r>
          </w:p>
        </w:tc>
      </w:tr>
      <w:tr w:rsidR="001F6890" w:rsidRPr="00A60A39" w14:paraId="5311921E" w14:textId="77777777" w:rsidTr="00A1032E">
        <w:tc>
          <w:tcPr>
            <w:tcW w:w="9017" w:type="dxa"/>
            <w:gridSpan w:val="4"/>
            <w:tcMar>
              <w:top w:w="0" w:type="dxa"/>
              <w:left w:w="28" w:type="dxa"/>
              <w:bottom w:w="0" w:type="dxa"/>
              <w:right w:w="28" w:type="dxa"/>
            </w:tcMar>
            <w:vAlign w:val="center"/>
          </w:tcPr>
          <w:p w14:paraId="18781D87" w14:textId="77777777" w:rsidR="001F6890" w:rsidRPr="00EF28A2" w:rsidRDefault="001F6890" w:rsidP="00A1032E">
            <w:pPr>
              <w:pStyle w:val="Tabletext0"/>
              <w:jc w:val="both"/>
              <w:rPr>
                <w:b/>
                <w:bCs/>
                <w:iCs/>
                <w:szCs w:val="20"/>
              </w:rPr>
            </w:pPr>
            <w:r w:rsidRPr="00EF28A2">
              <w:rPr>
                <w:b/>
                <w:bCs/>
                <w:iCs/>
                <w:szCs w:val="20"/>
              </w:rPr>
              <w:t>GLP-1 RA/GIP treatment effects (base case: tirzepatide and semaglutide treatment effects based on SURPASS-2 post hoc subgroup with BMI ≥35 kg/m</w:t>
            </w:r>
            <w:r w:rsidRPr="00EF28A2">
              <w:rPr>
                <w:b/>
                <w:bCs/>
                <w:iCs/>
                <w:szCs w:val="20"/>
                <w:vertAlign w:val="superscript"/>
              </w:rPr>
              <w:t>2</w:t>
            </w:r>
            <w:r w:rsidRPr="00EF28A2">
              <w:rPr>
                <w:b/>
                <w:bCs/>
                <w:iCs/>
                <w:szCs w:val="20"/>
              </w:rPr>
              <w:t>)</w:t>
            </w:r>
          </w:p>
        </w:tc>
      </w:tr>
      <w:tr w:rsidR="001F6890" w:rsidRPr="00A60A39" w14:paraId="7F820F11" w14:textId="77777777" w:rsidTr="00A1032E">
        <w:trPr>
          <w:trHeight w:val="121"/>
        </w:trPr>
        <w:tc>
          <w:tcPr>
            <w:tcW w:w="3970" w:type="dxa"/>
            <w:tcMar>
              <w:top w:w="0" w:type="dxa"/>
              <w:left w:w="28" w:type="dxa"/>
              <w:bottom w:w="0" w:type="dxa"/>
              <w:right w:w="28" w:type="dxa"/>
            </w:tcMar>
            <w:vAlign w:val="center"/>
          </w:tcPr>
          <w:p w14:paraId="641F6D13" w14:textId="77777777" w:rsidR="001F6890" w:rsidRPr="00EF28A2" w:rsidRDefault="001F6890" w:rsidP="00A1032E">
            <w:pPr>
              <w:pStyle w:val="Tabletext0"/>
              <w:rPr>
                <w:iCs/>
                <w:szCs w:val="20"/>
              </w:rPr>
            </w:pPr>
            <w:r w:rsidRPr="00EF28A2">
              <w:rPr>
                <w:iCs/>
                <w:szCs w:val="20"/>
              </w:rPr>
              <w:t>GLP-1 RA/GIP treatment effects based on the SURPASS-2 whole trial population</w:t>
            </w:r>
          </w:p>
        </w:tc>
        <w:tc>
          <w:tcPr>
            <w:tcW w:w="1682" w:type="dxa"/>
            <w:tcMar>
              <w:top w:w="0" w:type="dxa"/>
              <w:left w:w="28" w:type="dxa"/>
              <w:bottom w:w="0" w:type="dxa"/>
              <w:right w:w="28" w:type="dxa"/>
            </w:tcMar>
            <w:vAlign w:val="center"/>
          </w:tcPr>
          <w:p w14:paraId="24A86C7D" w14:textId="04217FF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17"/>
                <w14:textFill>
                  <w14:solidFill>
                    <w14:srgbClr w14:val="000000">
                      <w14:alpha w14:val="100000"/>
                    </w14:srgbClr>
                  </w14:solidFill>
                </w14:textFill>
              </w:rPr>
              <w:t>|||</w:t>
            </w:r>
            <w:r w:rsidR="00F111EB" w:rsidRPr="00F111EB">
              <w:rPr>
                <w:iCs/>
                <w:color w:val="000000"/>
                <w:spacing w:val="2"/>
                <w:szCs w:val="20"/>
                <w:shd w:val="solid" w:color="000000" w:fill="000000"/>
                <w:fitText w:val="325" w:id="-761014517"/>
                <w14:textFill>
                  <w14:solidFill>
                    <w14:srgbClr w14:val="000000">
                      <w14:alpha w14:val="100000"/>
                    </w14:srgbClr>
                  </w14:solidFill>
                </w14:textFill>
              </w:rPr>
              <w:t>|</w:t>
            </w:r>
            <w:r w:rsidR="00722330" w:rsidRPr="00722330">
              <w:rPr>
                <w:iCs/>
                <w:szCs w:val="20"/>
                <w:vertAlign w:val="superscript"/>
              </w:rPr>
              <w:t>4</w:t>
            </w:r>
            <w:r w:rsidRPr="00EF28A2">
              <w:rPr>
                <w:iCs/>
                <w:szCs w:val="20"/>
              </w:rPr>
              <w:t xml:space="preserve"> (-</w:t>
            </w:r>
            <w:r w:rsidR="00F111EB" w:rsidRPr="00F111EB">
              <w:rPr>
                <w:iCs/>
                <w:color w:val="000000"/>
                <w:spacing w:val="55"/>
                <w:szCs w:val="20"/>
                <w:shd w:val="solid" w:color="000000" w:fill="000000"/>
                <w:fitText w:val="338" w:id="-76101451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16"/>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C56B12D" w14:textId="329B291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4D80D46" w14:textId="747147E3"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2"/>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2"/>
                <w14:textFill>
                  <w14:solidFill>
                    <w14:srgbClr w14:val="000000">
                      <w14:alpha w14:val="100000"/>
                    </w14:srgbClr>
                  </w14:solidFill>
                </w14:textFill>
              </w:rPr>
              <w:t>|</w:t>
            </w:r>
            <w:r w:rsidRPr="00EF28A2">
              <w:rPr>
                <w:iCs/>
                <w:szCs w:val="20"/>
              </w:rPr>
              <w:t>%)</w:t>
            </w:r>
          </w:p>
        </w:tc>
      </w:tr>
      <w:tr w:rsidR="001F6890" w:rsidRPr="00A60A39" w14:paraId="00D222CA" w14:textId="77777777" w:rsidTr="00A1032E">
        <w:trPr>
          <w:trHeight w:val="121"/>
        </w:trPr>
        <w:tc>
          <w:tcPr>
            <w:tcW w:w="3970" w:type="dxa"/>
            <w:tcMar>
              <w:top w:w="0" w:type="dxa"/>
              <w:left w:w="28" w:type="dxa"/>
              <w:bottom w:w="0" w:type="dxa"/>
              <w:right w:w="28" w:type="dxa"/>
            </w:tcMar>
          </w:tcPr>
          <w:p w14:paraId="3B88FACF" w14:textId="77777777" w:rsidR="001F6890" w:rsidRPr="00EF28A2" w:rsidRDefault="001F6890" w:rsidP="00A1032E">
            <w:pPr>
              <w:pStyle w:val="Tabletext0"/>
              <w:rPr>
                <w:iCs/>
                <w:szCs w:val="20"/>
              </w:rPr>
            </w:pPr>
            <w:r w:rsidRPr="00EF28A2">
              <w:rPr>
                <w:iCs/>
                <w:szCs w:val="20"/>
              </w:rPr>
              <w:t>Remove HbA1c treatment effects for both arms but retain all other treatment effects</w:t>
            </w:r>
          </w:p>
        </w:tc>
        <w:tc>
          <w:tcPr>
            <w:tcW w:w="1682" w:type="dxa"/>
            <w:tcMar>
              <w:top w:w="0" w:type="dxa"/>
              <w:left w:w="28" w:type="dxa"/>
              <w:bottom w:w="0" w:type="dxa"/>
              <w:right w:w="28" w:type="dxa"/>
            </w:tcMar>
            <w:vAlign w:val="center"/>
          </w:tcPr>
          <w:p w14:paraId="110AA5F4" w14:textId="441ED2A5"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8"/>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8"/>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5"/>
                <w:szCs w:val="20"/>
                <w:shd w:val="solid" w:color="000000" w:fill="000000"/>
                <w:fitText w:val="338" w:id="-761014527"/>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7"/>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608D3171" w14:textId="19A231C8"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6"/>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3AEB7E9" w14:textId="5E37559B"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4"/>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2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3"/>
                <w14:textFill>
                  <w14:solidFill>
                    <w14:srgbClr w14:val="000000">
                      <w14:alpha w14:val="100000"/>
                    </w14:srgbClr>
                  </w14:solidFill>
                </w14:textFill>
              </w:rPr>
              <w:t>|</w:t>
            </w:r>
            <w:r w:rsidRPr="00EF28A2">
              <w:rPr>
                <w:iCs/>
                <w:szCs w:val="20"/>
              </w:rPr>
              <w:t>%)</w:t>
            </w:r>
          </w:p>
        </w:tc>
      </w:tr>
      <w:tr w:rsidR="001F6890" w:rsidRPr="00A60A39" w14:paraId="772246D0" w14:textId="77777777" w:rsidTr="00A1032E">
        <w:tc>
          <w:tcPr>
            <w:tcW w:w="3970" w:type="dxa"/>
            <w:tcMar>
              <w:top w:w="0" w:type="dxa"/>
              <w:left w:w="28" w:type="dxa"/>
              <w:bottom w:w="0" w:type="dxa"/>
              <w:right w:w="28" w:type="dxa"/>
            </w:tcMar>
          </w:tcPr>
          <w:p w14:paraId="188D5B41" w14:textId="77777777" w:rsidR="001F6890" w:rsidRPr="00EF28A2" w:rsidRDefault="001F6890" w:rsidP="00A1032E">
            <w:pPr>
              <w:pStyle w:val="Tabletext0"/>
              <w:rPr>
                <w:iCs/>
                <w:szCs w:val="20"/>
              </w:rPr>
            </w:pPr>
            <w:r w:rsidRPr="00EF28A2">
              <w:rPr>
                <w:iCs/>
                <w:szCs w:val="20"/>
              </w:rPr>
              <w:t>Remove BMI treatment effects for both arms but retain all other treatment effects</w:t>
            </w:r>
          </w:p>
        </w:tc>
        <w:tc>
          <w:tcPr>
            <w:tcW w:w="1682" w:type="dxa"/>
            <w:tcMar>
              <w:top w:w="0" w:type="dxa"/>
              <w:left w:w="28" w:type="dxa"/>
              <w:bottom w:w="0" w:type="dxa"/>
              <w:right w:w="28" w:type="dxa"/>
            </w:tcMar>
            <w:vAlign w:val="center"/>
          </w:tcPr>
          <w:p w14:paraId="01F2851D"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4FE966DD" w14:textId="77777777" w:rsidR="001F6890" w:rsidRPr="00EF28A2" w:rsidRDefault="001F6890" w:rsidP="00A1032E">
            <w:pPr>
              <w:pStyle w:val="Tabletext0"/>
              <w:jc w:val="center"/>
              <w:rPr>
                <w:iCs/>
                <w:szCs w:val="20"/>
              </w:rPr>
            </w:pPr>
            <w:r w:rsidRPr="00EF28A2">
              <w:rPr>
                <w:iCs/>
                <w:szCs w:val="20"/>
              </w:rPr>
              <w:t>Tirzepatide dominated (NE)</w:t>
            </w:r>
          </w:p>
        </w:tc>
        <w:tc>
          <w:tcPr>
            <w:tcW w:w="1683" w:type="dxa"/>
            <w:tcMar>
              <w:top w:w="0" w:type="dxa"/>
              <w:left w:w="28" w:type="dxa"/>
              <w:bottom w:w="0" w:type="dxa"/>
              <w:right w:w="28" w:type="dxa"/>
            </w:tcMar>
            <w:vAlign w:val="center"/>
          </w:tcPr>
          <w:p w14:paraId="481C0CC2" w14:textId="77777777" w:rsidR="001F6890" w:rsidRPr="00EF28A2" w:rsidRDefault="001F6890" w:rsidP="00A1032E">
            <w:pPr>
              <w:pStyle w:val="Tabletext0"/>
              <w:jc w:val="center"/>
              <w:rPr>
                <w:iCs/>
                <w:szCs w:val="20"/>
              </w:rPr>
            </w:pPr>
            <w:r w:rsidRPr="00EF28A2">
              <w:rPr>
                <w:iCs/>
                <w:szCs w:val="20"/>
              </w:rPr>
              <w:t>Tirzepatide dominated (NE)</w:t>
            </w:r>
          </w:p>
        </w:tc>
      </w:tr>
      <w:tr w:rsidR="001F6890" w:rsidRPr="00A60A39" w14:paraId="5A243429" w14:textId="77777777" w:rsidTr="00A1032E">
        <w:trPr>
          <w:trHeight w:val="121"/>
        </w:trPr>
        <w:tc>
          <w:tcPr>
            <w:tcW w:w="3970" w:type="dxa"/>
            <w:tcMar>
              <w:top w:w="0" w:type="dxa"/>
              <w:left w:w="28" w:type="dxa"/>
              <w:bottom w:w="0" w:type="dxa"/>
              <w:right w:w="28" w:type="dxa"/>
            </w:tcMar>
          </w:tcPr>
          <w:p w14:paraId="79039FAE" w14:textId="77777777" w:rsidR="001F6890" w:rsidRPr="00EF28A2" w:rsidRDefault="001F6890" w:rsidP="00A1032E">
            <w:pPr>
              <w:pStyle w:val="Tabletext0"/>
              <w:rPr>
                <w:iCs/>
                <w:szCs w:val="20"/>
              </w:rPr>
            </w:pPr>
            <w:r w:rsidRPr="00EF28A2">
              <w:rPr>
                <w:iCs/>
                <w:szCs w:val="20"/>
              </w:rPr>
              <w:t>Remove SBP treatment effects for both arms but retain all other treatment effects</w:t>
            </w:r>
          </w:p>
        </w:tc>
        <w:tc>
          <w:tcPr>
            <w:tcW w:w="1682" w:type="dxa"/>
            <w:tcMar>
              <w:top w:w="0" w:type="dxa"/>
              <w:left w:w="28" w:type="dxa"/>
              <w:bottom w:w="0" w:type="dxa"/>
              <w:right w:w="28" w:type="dxa"/>
            </w:tcMar>
            <w:vAlign w:val="center"/>
          </w:tcPr>
          <w:p w14:paraId="1B11DBD0" w14:textId="4ECEAB2E"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522"/>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2"/>
                <w14:textFill>
                  <w14:solidFill>
                    <w14:srgbClr w14:val="000000">
                      <w14:alpha w14:val="100000"/>
                    </w14:srgbClr>
                  </w14:solidFill>
                </w14:textFill>
              </w:rPr>
              <w:t>|</w:t>
            </w:r>
            <w:r w:rsidR="00722330"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521"/>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1"/>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72A68F2" w14:textId="794B07B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0"/>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0"/>
                <w14:textFill>
                  <w14:solidFill>
                    <w14:srgbClr w14:val="000000">
                      <w14:alpha w14:val="100000"/>
                    </w14:srgbClr>
                  </w14:solidFill>
                </w14:textFill>
              </w:rPr>
              <w:t>|</w:t>
            </w:r>
            <w:r w:rsidR="00524E36"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9"/>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9"/>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108D019" w14:textId="00B9DFB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8"/>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8"/>
                <w14:textFill>
                  <w14:solidFill>
                    <w14:srgbClr w14:val="000000">
                      <w14:alpha w14:val="100000"/>
                    </w14:srgbClr>
                  </w14:solidFill>
                </w14:textFill>
              </w:rPr>
              <w:t>|</w:t>
            </w:r>
            <w:r w:rsidR="009350BD"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17"/>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7"/>
                <w14:textFill>
                  <w14:solidFill>
                    <w14:srgbClr w14:val="000000">
                      <w14:alpha w14:val="100000"/>
                    </w14:srgbClr>
                  </w14:solidFill>
                </w14:textFill>
              </w:rPr>
              <w:t>|</w:t>
            </w:r>
            <w:r w:rsidRPr="00ED606C">
              <w:rPr>
                <w:iCs/>
                <w:szCs w:val="20"/>
              </w:rPr>
              <w:t>%)</w:t>
            </w:r>
          </w:p>
        </w:tc>
      </w:tr>
      <w:tr w:rsidR="001F6890" w:rsidRPr="00A60A39" w14:paraId="0FC4F5C6" w14:textId="77777777" w:rsidTr="00A1032E">
        <w:tc>
          <w:tcPr>
            <w:tcW w:w="9017" w:type="dxa"/>
            <w:gridSpan w:val="4"/>
            <w:tcMar>
              <w:top w:w="0" w:type="dxa"/>
              <w:left w:w="28" w:type="dxa"/>
              <w:bottom w:w="0" w:type="dxa"/>
              <w:right w:w="28" w:type="dxa"/>
            </w:tcMar>
            <w:vAlign w:val="center"/>
          </w:tcPr>
          <w:p w14:paraId="39F1E402" w14:textId="77777777" w:rsidR="001F6890" w:rsidRPr="00EF28A2" w:rsidRDefault="001F6890" w:rsidP="00A1032E">
            <w:pPr>
              <w:pStyle w:val="Tabletext0"/>
              <w:rPr>
                <w:b/>
                <w:iCs/>
                <w:szCs w:val="20"/>
              </w:rPr>
            </w:pPr>
            <w:r w:rsidRPr="00EF28A2">
              <w:rPr>
                <w:b/>
                <w:bCs/>
                <w:iCs/>
                <w:szCs w:val="20"/>
              </w:rPr>
              <w:t xml:space="preserve">Insulin treatment (base case: insulin intensification steps when HbA1c &gt;7.0%; treatment effects for HbA1c and BMI based on Willis 2017; hypoglycaemia rates based on </w:t>
            </w:r>
            <w:proofErr w:type="spellStart"/>
            <w:r w:rsidRPr="00EF28A2">
              <w:rPr>
                <w:b/>
                <w:bCs/>
                <w:iCs/>
                <w:szCs w:val="20"/>
              </w:rPr>
              <w:t>Fadini</w:t>
            </w:r>
            <w:proofErr w:type="spellEnd"/>
            <w:r w:rsidRPr="00EF28A2">
              <w:rPr>
                <w:b/>
                <w:bCs/>
                <w:iCs/>
                <w:szCs w:val="20"/>
              </w:rPr>
              <w:t xml:space="preserve"> 2019)</w:t>
            </w:r>
          </w:p>
        </w:tc>
      </w:tr>
      <w:tr w:rsidR="001F6890" w:rsidRPr="00A60A39" w14:paraId="24B7AF3C" w14:textId="77777777" w:rsidTr="00A1032E">
        <w:tc>
          <w:tcPr>
            <w:tcW w:w="3970" w:type="dxa"/>
            <w:tcMar>
              <w:top w:w="0" w:type="dxa"/>
              <w:left w:w="28" w:type="dxa"/>
              <w:bottom w:w="0" w:type="dxa"/>
              <w:right w:w="28" w:type="dxa"/>
            </w:tcMar>
          </w:tcPr>
          <w:p w14:paraId="121566A1" w14:textId="77777777" w:rsidR="001F6890" w:rsidRPr="00EF28A2" w:rsidRDefault="001F6890" w:rsidP="00A1032E">
            <w:pPr>
              <w:pStyle w:val="Tabletext0"/>
              <w:rPr>
                <w:iCs/>
                <w:szCs w:val="20"/>
              </w:rPr>
            </w:pPr>
            <w:r w:rsidRPr="00EF28A2">
              <w:rPr>
                <w:iCs/>
                <w:szCs w:val="20"/>
              </w:rPr>
              <w:t>Tirzepatide insulin initiation based on not achieving proposed continuation criteria (HbA1c &lt;7% or HbA1c reduction ≥2%); semaglutide insulin initiation and all insulin intensification at HbA1c &gt;7.5%</w:t>
            </w:r>
          </w:p>
        </w:tc>
        <w:tc>
          <w:tcPr>
            <w:tcW w:w="1682" w:type="dxa"/>
            <w:tcMar>
              <w:top w:w="0" w:type="dxa"/>
              <w:left w:w="28" w:type="dxa"/>
              <w:bottom w:w="0" w:type="dxa"/>
              <w:right w:w="28" w:type="dxa"/>
            </w:tcMar>
            <w:vAlign w:val="center"/>
          </w:tcPr>
          <w:p w14:paraId="5A0EDCB8"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07365B75" w14:textId="00DCC5F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6"/>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6"/>
                <w14:textFill>
                  <w14:solidFill>
                    <w14:srgbClr w14:val="000000">
                      <w14:alpha w14:val="100000"/>
                    </w14:srgbClr>
                  </w14:solidFill>
                </w14:textFill>
              </w:rPr>
              <w:t>|</w:t>
            </w:r>
            <w:r w:rsidR="00830D53" w:rsidRPr="00004C03">
              <w:rPr>
                <w:szCs w:val="20"/>
                <w:vertAlign w:val="superscript"/>
              </w:rPr>
              <w:t>4</w:t>
            </w:r>
            <w:r w:rsidRPr="00EF28A2">
              <w:rPr>
                <w:iCs/>
                <w:szCs w:val="20"/>
              </w:rPr>
              <w:t xml:space="preserve"> (+</w:t>
            </w:r>
            <w:r w:rsidR="00F111EB" w:rsidRPr="00F111EB">
              <w:rPr>
                <w:iCs/>
                <w:color w:val="000000"/>
                <w:spacing w:val="51"/>
                <w:szCs w:val="20"/>
                <w:shd w:val="solid" w:color="000000" w:fill="000000"/>
                <w:fitText w:val="326" w:id="-76101451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5"/>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4B5F5E76" w14:textId="67A802F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4"/>
                <w14:textFill>
                  <w14:solidFill>
                    <w14:srgbClr w14:val="000000">
                      <w14:alpha w14:val="100000"/>
                    </w14:srgbClr>
                  </w14:solidFill>
                </w14:textFill>
              </w:rPr>
              <w:t>|</w:t>
            </w:r>
            <w:r w:rsidR="00873544"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513"/>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3"/>
                <w14:textFill>
                  <w14:solidFill>
                    <w14:srgbClr w14:val="000000">
                      <w14:alpha w14:val="100000"/>
                    </w14:srgbClr>
                  </w14:solidFill>
                </w14:textFill>
              </w:rPr>
              <w:t>|</w:t>
            </w:r>
            <w:r w:rsidRPr="00EF28A2">
              <w:rPr>
                <w:iCs/>
                <w:szCs w:val="20"/>
              </w:rPr>
              <w:t>%)</w:t>
            </w:r>
          </w:p>
        </w:tc>
      </w:tr>
      <w:tr w:rsidR="001F6890" w:rsidRPr="00A60A39" w14:paraId="6E8772EA" w14:textId="77777777" w:rsidTr="00A1032E">
        <w:tc>
          <w:tcPr>
            <w:tcW w:w="3970" w:type="dxa"/>
            <w:tcMar>
              <w:top w:w="0" w:type="dxa"/>
              <w:left w:w="28" w:type="dxa"/>
              <w:bottom w:w="0" w:type="dxa"/>
              <w:right w:w="28" w:type="dxa"/>
            </w:tcMar>
          </w:tcPr>
          <w:p w14:paraId="35CA4685" w14:textId="77777777" w:rsidR="001F6890" w:rsidRPr="00EF28A2" w:rsidRDefault="001F6890" w:rsidP="00A1032E">
            <w:pPr>
              <w:pStyle w:val="Tabletext0"/>
              <w:rPr>
                <w:iCs/>
                <w:szCs w:val="20"/>
              </w:rPr>
            </w:pPr>
            <w:r w:rsidRPr="00EF28A2">
              <w:rPr>
                <w:iCs/>
                <w:szCs w:val="20"/>
              </w:rPr>
              <w:t>Tirzepatide insulin initiation based on not achieving proposed continuation criteria (HbA1c &lt;7% or HbA1c reduction ≥2%); semaglutide insulin initiation and all insulin intensification at HbA1c &gt;8.0%</w:t>
            </w:r>
          </w:p>
        </w:tc>
        <w:tc>
          <w:tcPr>
            <w:tcW w:w="1682" w:type="dxa"/>
            <w:tcMar>
              <w:top w:w="0" w:type="dxa"/>
              <w:left w:w="28" w:type="dxa"/>
              <w:bottom w:w="0" w:type="dxa"/>
              <w:right w:w="28" w:type="dxa"/>
            </w:tcMar>
            <w:vAlign w:val="center"/>
          </w:tcPr>
          <w:p w14:paraId="2C003F39" w14:textId="77777777" w:rsidR="001F6890" w:rsidRPr="00EF28A2" w:rsidRDefault="001F6890" w:rsidP="00A1032E">
            <w:pPr>
              <w:pStyle w:val="Tabletext0"/>
              <w:jc w:val="center"/>
              <w:rPr>
                <w:iCs/>
                <w:szCs w:val="20"/>
              </w:rPr>
            </w:pPr>
            <w:r w:rsidRPr="00EF28A2">
              <w:rPr>
                <w:iCs/>
                <w:szCs w:val="20"/>
              </w:rPr>
              <w:t>Tirzepatide dominated (NE)</w:t>
            </w:r>
          </w:p>
        </w:tc>
        <w:tc>
          <w:tcPr>
            <w:tcW w:w="1682" w:type="dxa"/>
            <w:tcMar>
              <w:top w:w="0" w:type="dxa"/>
              <w:left w:w="28" w:type="dxa"/>
              <w:bottom w:w="0" w:type="dxa"/>
              <w:right w:w="28" w:type="dxa"/>
            </w:tcMar>
            <w:vAlign w:val="center"/>
          </w:tcPr>
          <w:p w14:paraId="20863E8F" w14:textId="77777777" w:rsidR="001F6890" w:rsidRPr="00EF28A2" w:rsidRDefault="001F6890" w:rsidP="00A1032E">
            <w:pPr>
              <w:pStyle w:val="Tabletext0"/>
              <w:jc w:val="center"/>
              <w:rPr>
                <w:iCs/>
                <w:szCs w:val="20"/>
              </w:rPr>
            </w:pPr>
            <w:r w:rsidRPr="00EF28A2">
              <w:rPr>
                <w:iCs/>
                <w:szCs w:val="20"/>
              </w:rPr>
              <w:t>Tirzepatide dominated (NE)</w:t>
            </w:r>
          </w:p>
        </w:tc>
        <w:tc>
          <w:tcPr>
            <w:tcW w:w="1683" w:type="dxa"/>
            <w:tcMar>
              <w:top w:w="0" w:type="dxa"/>
              <w:left w:w="28" w:type="dxa"/>
              <w:bottom w:w="0" w:type="dxa"/>
              <w:right w:w="28" w:type="dxa"/>
            </w:tcMar>
            <w:vAlign w:val="center"/>
          </w:tcPr>
          <w:p w14:paraId="591AA70D" w14:textId="3A45C0F4"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12"/>
                <w14:textFill>
                  <w14:solidFill>
                    <w14:srgbClr w14:val="000000">
                      <w14:alpha w14:val="100000"/>
                    </w14:srgbClr>
                  </w14:solidFill>
                </w14:textFill>
              </w:rPr>
              <w:t>|||</w:t>
            </w:r>
            <w:r w:rsidR="00F111EB" w:rsidRPr="00F111EB">
              <w:rPr>
                <w:iCs/>
                <w:color w:val="000000"/>
                <w:spacing w:val="3"/>
                <w:szCs w:val="20"/>
                <w:shd w:val="solid" w:color="000000" w:fill="000000"/>
                <w:fitText w:val="326" w:id="-761014512"/>
                <w14:textFill>
                  <w14:solidFill>
                    <w14:srgbClr w14:val="000000">
                      <w14:alpha w14:val="100000"/>
                    </w14:srgbClr>
                  </w14:solidFill>
                </w14:textFill>
              </w:rPr>
              <w:t>|</w:t>
            </w:r>
            <w:r w:rsidR="00B26AD4" w:rsidRPr="00B26AD4">
              <w:rPr>
                <w:iCs/>
                <w:szCs w:val="20"/>
                <w:vertAlign w:val="superscript"/>
              </w:rPr>
              <w:t>7</w:t>
            </w:r>
            <w:r w:rsidRPr="00B26AD4">
              <w:rPr>
                <w:iCs/>
                <w:szCs w:val="20"/>
                <w:vertAlign w:val="superscript"/>
              </w:rPr>
              <w:t xml:space="preserve"> </w:t>
            </w:r>
            <w:r w:rsidRPr="00EF28A2">
              <w:rPr>
                <w:iCs/>
                <w:szCs w:val="20"/>
              </w:rPr>
              <w:t>(+</w:t>
            </w:r>
            <w:r w:rsidR="00F111EB" w:rsidRPr="00F111EB">
              <w:rPr>
                <w:iCs/>
                <w:color w:val="000000"/>
                <w:spacing w:val="55"/>
                <w:szCs w:val="20"/>
                <w:shd w:val="solid" w:color="000000" w:fill="000000"/>
                <w:fitText w:val="338" w:id="-761014528"/>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8"/>
                <w14:textFill>
                  <w14:solidFill>
                    <w14:srgbClr w14:val="000000">
                      <w14:alpha w14:val="100000"/>
                    </w14:srgbClr>
                  </w14:solidFill>
                </w14:textFill>
              </w:rPr>
              <w:t>|</w:t>
            </w:r>
            <w:r w:rsidRPr="00EF28A2">
              <w:rPr>
                <w:iCs/>
                <w:szCs w:val="20"/>
              </w:rPr>
              <w:t>%)</w:t>
            </w:r>
          </w:p>
        </w:tc>
      </w:tr>
      <w:tr w:rsidR="001F6890" w:rsidRPr="00A60A39" w14:paraId="77B4F0DB" w14:textId="77777777" w:rsidTr="00A1032E">
        <w:tc>
          <w:tcPr>
            <w:tcW w:w="3970" w:type="dxa"/>
            <w:tcMar>
              <w:top w:w="0" w:type="dxa"/>
              <w:left w:w="28" w:type="dxa"/>
              <w:bottom w:w="0" w:type="dxa"/>
              <w:right w:w="28" w:type="dxa"/>
            </w:tcMar>
          </w:tcPr>
          <w:p w14:paraId="5D506900" w14:textId="77777777" w:rsidR="001F6890" w:rsidRPr="00EF28A2" w:rsidRDefault="001F6890" w:rsidP="00A1032E">
            <w:pPr>
              <w:pStyle w:val="Tabletext0"/>
              <w:rPr>
                <w:iCs/>
                <w:szCs w:val="20"/>
              </w:rPr>
            </w:pPr>
            <w:r w:rsidRPr="00EF28A2">
              <w:rPr>
                <w:iCs/>
                <w:szCs w:val="20"/>
              </w:rPr>
              <w:t>Insulin initiation and intensification at HbA1c 7.5%</w:t>
            </w:r>
          </w:p>
        </w:tc>
        <w:tc>
          <w:tcPr>
            <w:tcW w:w="1682" w:type="dxa"/>
            <w:tcMar>
              <w:top w:w="0" w:type="dxa"/>
              <w:left w:w="28" w:type="dxa"/>
              <w:bottom w:w="0" w:type="dxa"/>
              <w:right w:w="28" w:type="dxa"/>
            </w:tcMar>
            <w:vAlign w:val="center"/>
          </w:tcPr>
          <w:p w14:paraId="70D917B6" w14:textId="4D4B5DF1" w:rsidR="001F6890" w:rsidRPr="00EF28A2" w:rsidRDefault="001F6890" w:rsidP="00A1032E">
            <w:pPr>
              <w:pStyle w:val="Tabletext0"/>
              <w:jc w:val="center"/>
              <w:rPr>
                <w:iCs/>
                <w:szCs w:val="20"/>
              </w:rPr>
            </w:pPr>
            <w:r w:rsidRPr="00EF28A2">
              <w:rPr>
                <w:iCs/>
                <w:color w:val="000000"/>
                <w:szCs w:val="20"/>
              </w:rPr>
              <w:t>$</w:t>
            </w:r>
            <w:r w:rsidR="00F111EB" w:rsidRPr="00F111EB">
              <w:rPr>
                <w:iCs/>
                <w:color w:val="000000"/>
                <w:spacing w:val="51"/>
                <w:szCs w:val="20"/>
                <w:shd w:val="solid" w:color="000000" w:fill="000000"/>
                <w:fitText w:val="325" w:id="-761014527"/>
                <w14:textFill>
                  <w14:solidFill>
                    <w14:srgbClr w14:val="000000">
                      <w14:alpha w14:val="100000"/>
                    </w14:srgbClr>
                  </w14:solidFill>
                </w14:textFill>
              </w:rPr>
              <w:t>|||</w:t>
            </w:r>
            <w:r w:rsidR="00F111EB" w:rsidRPr="00F111EB">
              <w:rPr>
                <w:iCs/>
                <w:color w:val="000000"/>
                <w:spacing w:val="2"/>
                <w:szCs w:val="20"/>
                <w:shd w:val="solid" w:color="000000" w:fill="000000"/>
                <w:fitText w:val="325" w:id="-761014527"/>
                <w14:textFill>
                  <w14:solidFill>
                    <w14:srgbClr w14:val="000000">
                      <w14:alpha w14:val="100000"/>
                    </w14:srgbClr>
                  </w14:solidFill>
                </w14:textFill>
              </w:rPr>
              <w:t>|</w:t>
            </w:r>
            <w:r w:rsidR="00420F44">
              <w:rPr>
                <w:iCs/>
                <w:color w:val="000000"/>
                <w:szCs w:val="20"/>
                <w:vertAlign w:val="superscript"/>
              </w:rPr>
              <w:t>1</w:t>
            </w:r>
            <w:r w:rsidRPr="00EF28A2">
              <w:rPr>
                <w:iCs/>
                <w:color w:val="000000"/>
                <w:szCs w:val="20"/>
              </w:rPr>
              <w:t xml:space="preserve"> (-</w:t>
            </w:r>
            <w:r w:rsidR="00F111EB" w:rsidRPr="00F111EB">
              <w:rPr>
                <w:iCs/>
                <w:color w:val="000000"/>
                <w:spacing w:val="55"/>
                <w:szCs w:val="20"/>
                <w:shd w:val="solid" w:color="000000" w:fill="000000"/>
                <w:fitText w:val="338" w:id="-761014526"/>
                <w14:textFill>
                  <w14:solidFill>
                    <w14:srgbClr w14:val="000000">
                      <w14:alpha w14:val="100000"/>
                    </w14:srgbClr>
                  </w14:solidFill>
                </w14:textFill>
              </w:rPr>
              <w:t>|||</w:t>
            </w:r>
            <w:r w:rsidR="00F111EB" w:rsidRPr="00F111EB">
              <w:rPr>
                <w:iCs/>
                <w:color w:val="000000"/>
                <w:spacing w:val="3"/>
                <w:szCs w:val="20"/>
                <w:shd w:val="solid" w:color="000000" w:fill="000000"/>
                <w:fitText w:val="338" w:id="-761014526"/>
                <w14:textFill>
                  <w14:solidFill>
                    <w14:srgbClr w14:val="000000">
                      <w14:alpha w14:val="100000"/>
                    </w14:srgbClr>
                  </w14:solidFill>
                </w14:textFill>
              </w:rPr>
              <w:t>|</w:t>
            </w:r>
            <w:r w:rsidRPr="00ED606C">
              <w:rPr>
                <w:iCs/>
                <w:color w:val="000000"/>
                <w:szCs w:val="20"/>
              </w:rPr>
              <w:t>%)</w:t>
            </w:r>
          </w:p>
        </w:tc>
        <w:tc>
          <w:tcPr>
            <w:tcW w:w="1682" w:type="dxa"/>
            <w:tcMar>
              <w:top w:w="0" w:type="dxa"/>
              <w:left w:w="28" w:type="dxa"/>
              <w:bottom w:w="0" w:type="dxa"/>
              <w:right w:w="28" w:type="dxa"/>
            </w:tcMar>
            <w:vAlign w:val="center"/>
          </w:tcPr>
          <w:p w14:paraId="536FA4D7" w14:textId="120E5F6D"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525"/>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5"/>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524"/>
                <w14:textFill>
                  <w14:solidFill>
                    <w14:srgbClr w14:val="000000">
                      <w14:alpha w14:val="100000"/>
                    </w14:srgbClr>
                  </w14:solidFill>
                </w14:textFill>
              </w:rPr>
              <w:t>|||</w:t>
            </w:r>
            <w:r w:rsidR="00F111EB" w:rsidRPr="00F111EB">
              <w:rPr>
                <w:iCs/>
                <w:color w:val="000000"/>
                <w:spacing w:val="3"/>
                <w:szCs w:val="20"/>
                <w:shd w:val="solid" w:color="000000" w:fill="000000"/>
                <w:fitText w:val="326" w:id="-761014524"/>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7D13B287" w14:textId="2C8ADACF"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7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2"/>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7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1"/>
                <w14:textFill>
                  <w14:solidFill>
                    <w14:srgbClr w14:val="000000">
                      <w14:alpha w14:val="100000"/>
                    </w14:srgbClr>
                  </w14:solidFill>
                </w14:textFill>
              </w:rPr>
              <w:t>|</w:t>
            </w:r>
            <w:r w:rsidRPr="00EF28A2">
              <w:rPr>
                <w:iCs/>
                <w:szCs w:val="20"/>
              </w:rPr>
              <w:t>%)</w:t>
            </w:r>
          </w:p>
        </w:tc>
      </w:tr>
      <w:tr w:rsidR="001F6890" w:rsidRPr="00A60A39" w14:paraId="2CBF5FA9" w14:textId="77777777" w:rsidTr="00A1032E">
        <w:tc>
          <w:tcPr>
            <w:tcW w:w="3970" w:type="dxa"/>
            <w:tcMar>
              <w:top w:w="0" w:type="dxa"/>
              <w:left w:w="28" w:type="dxa"/>
              <w:bottom w:w="0" w:type="dxa"/>
              <w:right w:w="28" w:type="dxa"/>
            </w:tcMar>
          </w:tcPr>
          <w:p w14:paraId="7388FFA9" w14:textId="77777777" w:rsidR="001F6890" w:rsidRPr="00EF28A2" w:rsidRDefault="001F6890" w:rsidP="00A1032E">
            <w:pPr>
              <w:pStyle w:val="Tabletext0"/>
              <w:rPr>
                <w:iCs/>
                <w:szCs w:val="20"/>
              </w:rPr>
            </w:pPr>
            <w:r w:rsidRPr="00EF28A2">
              <w:rPr>
                <w:iCs/>
                <w:szCs w:val="20"/>
              </w:rPr>
              <w:t>Insulin initiation and intensification at HbA1c 8.0%</w:t>
            </w:r>
          </w:p>
        </w:tc>
        <w:tc>
          <w:tcPr>
            <w:tcW w:w="1682" w:type="dxa"/>
            <w:tcMar>
              <w:top w:w="0" w:type="dxa"/>
              <w:left w:w="28" w:type="dxa"/>
              <w:bottom w:w="0" w:type="dxa"/>
              <w:right w:w="28" w:type="dxa"/>
            </w:tcMar>
            <w:vAlign w:val="center"/>
          </w:tcPr>
          <w:p w14:paraId="69C4EB35" w14:textId="725F0E8F" w:rsidR="001F6890" w:rsidRPr="00EF28A2" w:rsidRDefault="001F6890" w:rsidP="00A1032E">
            <w:pPr>
              <w:pStyle w:val="Tabletext0"/>
              <w:jc w:val="center"/>
              <w:rPr>
                <w:iCs/>
                <w:szCs w:val="20"/>
              </w:rPr>
            </w:pPr>
            <w:r w:rsidRPr="00EF28A2">
              <w:rPr>
                <w:iCs/>
                <w:color w:val="000000"/>
                <w:szCs w:val="20"/>
              </w:rPr>
              <w:t>$</w:t>
            </w:r>
            <w:r w:rsidR="00F111EB" w:rsidRPr="00F111EB">
              <w:rPr>
                <w:iCs/>
                <w:color w:val="000000"/>
                <w:spacing w:val="51"/>
                <w:szCs w:val="20"/>
                <w:shd w:val="solid" w:color="000000" w:fill="000000"/>
                <w:fitText w:val="325" w:id="-76101427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0"/>
                <w14:textFill>
                  <w14:solidFill>
                    <w14:srgbClr w14:val="000000">
                      <w14:alpha w14:val="100000"/>
                    </w14:srgbClr>
                  </w14:solidFill>
                </w14:textFill>
              </w:rPr>
              <w:t>|</w:t>
            </w:r>
            <w:r w:rsidR="00ED0E94" w:rsidRPr="009E093F">
              <w:rPr>
                <w:iCs/>
                <w:szCs w:val="20"/>
                <w:vertAlign w:val="superscript"/>
              </w:rPr>
              <w:t>5</w:t>
            </w:r>
            <w:r w:rsidRPr="00EF28A2">
              <w:rPr>
                <w:iCs/>
                <w:color w:val="000000"/>
                <w:szCs w:val="20"/>
              </w:rPr>
              <w:t xml:space="preserve"> (+</w:t>
            </w:r>
            <w:r w:rsidR="00F111EB" w:rsidRPr="00F111EB">
              <w:rPr>
                <w:iCs/>
                <w:color w:val="000000"/>
                <w:spacing w:val="51"/>
                <w:szCs w:val="20"/>
                <w:shd w:val="solid" w:color="000000" w:fill="000000"/>
                <w:fitText w:val="325" w:id="-76101426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9"/>
                <w14:textFill>
                  <w14:solidFill>
                    <w14:srgbClr w14:val="000000">
                      <w14:alpha w14:val="100000"/>
                    </w14:srgbClr>
                  </w14:solidFill>
                </w14:textFill>
              </w:rPr>
              <w:t>|</w:t>
            </w:r>
            <w:r w:rsidRPr="00EF28A2">
              <w:rPr>
                <w:iCs/>
                <w:color w:val="000000"/>
                <w:szCs w:val="20"/>
              </w:rPr>
              <w:t>%)</w:t>
            </w:r>
          </w:p>
        </w:tc>
        <w:tc>
          <w:tcPr>
            <w:tcW w:w="1682" w:type="dxa"/>
            <w:tcMar>
              <w:top w:w="0" w:type="dxa"/>
              <w:left w:w="28" w:type="dxa"/>
              <w:bottom w:w="0" w:type="dxa"/>
              <w:right w:w="28" w:type="dxa"/>
            </w:tcMar>
            <w:vAlign w:val="center"/>
          </w:tcPr>
          <w:p w14:paraId="428030FD" w14:textId="78B5BB43"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E9198E"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4AE4207E" w14:textId="7A5E6E07"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00D94031"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5"/>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5"/>
                <w14:textFill>
                  <w14:solidFill>
                    <w14:srgbClr w14:val="000000">
                      <w14:alpha w14:val="100000"/>
                    </w14:srgbClr>
                  </w14:solidFill>
                </w14:textFill>
              </w:rPr>
              <w:t>|</w:t>
            </w:r>
            <w:r w:rsidRPr="00EF28A2">
              <w:rPr>
                <w:iCs/>
                <w:szCs w:val="20"/>
              </w:rPr>
              <w:t>%)</w:t>
            </w:r>
          </w:p>
        </w:tc>
      </w:tr>
      <w:tr w:rsidR="001F6890" w:rsidRPr="00A60A39" w14:paraId="3918EE0B" w14:textId="77777777" w:rsidTr="00A1032E">
        <w:tc>
          <w:tcPr>
            <w:tcW w:w="3970" w:type="dxa"/>
            <w:tcMar>
              <w:top w:w="0" w:type="dxa"/>
              <w:left w:w="28" w:type="dxa"/>
              <w:bottom w:w="0" w:type="dxa"/>
              <w:right w:w="28" w:type="dxa"/>
            </w:tcMar>
          </w:tcPr>
          <w:p w14:paraId="44C5A0B9" w14:textId="432F7705" w:rsidR="001F6890" w:rsidRPr="00EF28A2" w:rsidRDefault="001F6890" w:rsidP="00A1032E">
            <w:pPr>
              <w:pStyle w:val="Tabletext0"/>
              <w:rPr>
                <w:iCs/>
                <w:szCs w:val="20"/>
              </w:rPr>
            </w:pPr>
            <w:r w:rsidRPr="00EF28A2">
              <w:rPr>
                <w:iCs/>
                <w:szCs w:val="20"/>
              </w:rPr>
              <w:t>Assume that semaglutide will be continued after insulin intensification (no reversion to baseline, insulin effects applied in addition to semaglutide, costs of semaglutide maintained for duration of the model)</w:t>
            </w:r>
            <w:r w:rsidR="00C57B48" w:rsidRPr="00EF28A2">
              <w:rPr>
                <w:iCs/>
                <w:szCs w:val="20"/>
                <w:vertAlign w:val="superscript"/>
              </w:rPr>
              <w:t>a</w:t>
            </w:r>
          </w:p>
        </w:tc>
        <w:tc>
          <w:tcPr>
            <w:tcW w:w="1682" w:type="dxa"/>
            <w:tcMar>
              <w:top w:w="0" w:type="dxa"/>
              <w:left w:w="28" w:type="dxa"/>
              <w:bottom w:w="0" w:type="dxa"/>
              <w:right w:w="28" w:type="dxa"/>
            </w:tcMar>
            <w:vAlign w:val="center"/>
          </w:tcPr>
          <w:p w14:paraId="6CB3BA3D" w14:textId="4FBD8F41"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4"/>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4"/>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savings per QALY forgone (NE)</w:t>
            </w:r>
          </w:p>
        </w:tc>
        <w:tc>
          <w:tcPr>
            <w:tcW w:w="1682" w:type="dxa"/>
            <w:tcMar>
              <w:top w:w="0" w:type="dxa"/>
              <w:left w:w="28" w:type="dxa"/>
              <w:bottom w:w="0" w:type="dxa"/>
              <w:right w:w="28" w:type="dxa"/>
            </w:tcMar>
            <w:vAlign w:val="center"/>
          </w:tcPr>
          <w:p w14:paraId="45FC989E" w14:textId="04B0D17C"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00D94031" w:rsidRPr="00472E1F">
              <w:rPr>
                <w:iCs/>
                <w:szCs w:val="20"/>
                <w:vertAlign w:val="superscript"/>
              </w:rPr>
              <w:t>6</w:t>
            </w:r>
            <w:r w:rsidRPr="00EF28A2">
              <w:rPr>
                <w:iCs/>
                <w:szCs w:val="20"/>
              </w:rPr>
              <w:t xml:space="preserve"> savings per QALY forgone (NE)</w:t>
            </w:r>
          </w:p>
        </w:tc>
        <w:tc>
          <w:tcPr>
            <w:tcW w:w="1683" w:type="dxa"/>
            <w:tcMar>
              <w:top w:w="0" w:type="dxa"/>
              <w:left w:w="28" w:type="dxa"/>
              <w:bottom w:w="0" w:type="dxa"/>
              <w:right w:w="28" w:type="dxa"/>
            </w:tcMar>
            <w:vAlign w:val="center"/>
          </w:tcPr>
          <w:p w14:paraId="0677B2F4" w14:textId="61747644" w:rsidR="001F6890" w:rsidRPr="00EF28A2" w:rsidRDefault="001F6890" w:rsidP="00A1032E">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Pr="00EF28A2">
              <w:rPr>
                <w:iCs/>
                <w:szCs w:val="20"/>
              </w:rPr>
              <w:t xml:space="preserve"> </w:t>
            </w:r>
            <w:r w:rsidR="00B73BE5" w:rsidRPr="00004C03">
              <w:rPr>
                <w:szCs w:val="20"/>
                <w:vertAlign w:val="superscript"/>
              </w:rPr>
              <w:t>4</w:t>
            </w:r>
            <w:r w:rsidRPr="00EF28A2">
              <w:rPr>
                <w:iCs/>
                <w:szCs w:val="20"/>
              </w:rPr>
              <w:t>savings per QALY forgone (NE)</w:t>
            </w:r>
          </w:p>
        </w:tc>
      </w:tr>
      <w:tr w:rsidR="00B3186A" w:rsidRPr="00A60A39" w14:paraId="20B80DD5" w14:textId="77777777" w:rsidTr="00A1032E">
        <w:tc>
          <w:tcPr>
            <w:tcW w:w="3970" w:type="dxa"/>
            <w:tcMar>
              <w:top w:w="0" w:type="dxa"/>
              <w:left w:w="28" w:type="dxa"/>
              <w:bottom w:w="0" w:type="dxa"/>
              <w:right w:w="28" w:type="dxa"/>
            </w:tcMar>
            <w:vAlign w:val="center"/>
          </w:tcPr>
          <w:p w14:paraId="51450FB0" w14:textId="6862F089" w:rsidR="00B3186A" w:rsidRPr="00EF28A2" w:rsidRDefault="00B3186A" w:rsidP="00B3186A">
            <w:pPr>
              <w:pStyle w:val="Tabletext0"/>
              <w:rPr>
                <w:iCs/>
                <w:szCs w:val="20"/>
              </w:rPr>
            </w:pPr>
            <w:r w:rsidRPr="00EF28A2">
              <w:rPr>
                <w:iCs/>
                <w:szCs w:val="20"/>
              </w:rPr>
              <w:t>Reduce insulin hypoglycaemia rate to 23 per 100 patient years (based on the SURPASS-4 trial)</w:t>
            </w:r>
            <w:proofErr w:type="spellStart"/>
            <w:r w:rsidR="00C57B48" w:rsidRPr="00EF28A2">
              <w:rPr>
                <w:iCs/>
                <w:szCs w:val="20"/>
                <w:vertAlign w:val="superscript"/>
              </w:rPr>
              <w:t>b</w:t>
            </w:r>
            <w:r w:rsidRPr="00EF28A2">
              <w:rPr>
                <w:iCs/>
                <w:szCs w:val="20"/>
                <w:vertAlign w:val="superscript"/>
              </w:rPr>
              <w:t>,</w:t>
            </w:r>
            <w:r w:rsidR="00C57B48" w:rsidRPr="00EF28A2">
              <w:rPr>
                <w:iCs/>
                <w:szCs w:val="20"/>
                <w:vertAlign w:val="superscript"/>
              </w:rPr>
              <w:t>c</w:t>
            </w:r>
            <w:proofErr w:type="spellEnd"/>
          </w:p>
        </w:tc>
        <w:tc>
          <w:tcPr>
            <w:tcW w:w="1682" w:type="dxa"/>
            <w:tcMar>
              <w:top w:w="0" w:type="dxa"/>
              <w:left w:w="28" w:type="dxa"/>
              <w:bottom w:w="0" w:type="dxa"/>
              <w:right w:w="28" w:type="dxa"/>
            </w:tcMar>
            <w:vAlign w:val="center"/>
          </w:tcPr>
          <w:p w14:paraId="6177B099" w14:textId="1CA2D42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1"/>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26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0"/>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7BEB95E" w14:textId="2B981BC0" w:rsidR="00B3186A" w:rsidRPr="00EF28A2" w:rsidRDefault="003122A7"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5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9"/>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5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8"/>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7ADA388A" w14:textId="633BBCD9" w:rsidR="00B3186A" w:rsidRPr="00EF28A2" w:rsidRDefault="00CD17F6"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7"/>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7"/>
                <w14:textFill>
                  <w14:solidFill>
                    <w14:srgbClr w14:val="000000">
                      <w14:alpha w14:val="100000"/>
                    </w14:srgbClr>
                  </w14:solidFill>
                </w14:textFill>
              </w:rPr>
              <w:t>|</w:t>
            </w:r>
            <w:r w:rsidRPr="00EF28A2">
              <w:rPr>
                <w:iCs/>
                <w:szCs w:val="20"/>
              </w:rPr>
              <w:t xml:space="preserve"> </w:t>
            </w:r>
            <w:r w:rsidR="00FC1293" w:rsidRPr="00472E1F">
              <w:rPr>
                <w:iCs/>
                <w:szCs w:val="20"/>
                <w:vertAlign w:val="superscript"/>
              </w:rPr>
              <w:t>6</w:t>
            </w:r>
            <w:r w:rsidR="00FC1293" w:rsidRPr="00EF28A2">
              <w:rPr>
                <w:iCs/>
                <w:szCs w:val="20"/>
              </w:rPr>
              <w:t xml:space="preserve"> </w:t>
            </w:r>
            <w:r w:rsidRPr="00EF28A2">
              <w:rPr>
                <w:iCs/>
                <w:szCs w:val="20"/>
              </w:rPr>
              <w:t>(+</w:t>
            </w:r>
            <w:r w:rsidR="00F111EB" w:rsidRPr="00F111EB">
              <w:rPr>
                <w:iCs/>
                <w:color w:val="000000"/>
                <w:spacing w:val="55"/>
                <w:szCs w:val="20"/>
                <w:shd w:val="solid" w:color="000000" w:fill="000000"/>
                <w:fitText w:val="338" w:id="-761014256"/>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6"/>
                <w14:textFill>
                  <w14:solidFill>
                    <w14:srgbClr w14:val="000000">
                      <w14:alpha w14:val="100000"/>
                    </w14:srgbClr>
                  </w14:solidFill>
                </w14:textFill>
              </w:rPr>
              <w:t>|</w:t>
            </w:r>
            <w:r w:rsidRPr="00EF28A2">
              <w:rPr>
                <w:iCs/>
                <w:szCs w:val="20"/>
              </w:rPr>
              <w:t>%)</w:t>
            </w:r>
          </w:p>
        </w:tc>
      </w:tr>
      <w:tr w:rsidR="00B3186A" w:rsidRPr="00A60A39" w14:paraId="624F3E89" w14:textId="77777777" w:rsidTr="00A1032E">
        <w:tc>
          <w:tcPr>
            <w:tcW w:w="9017" w:type="dxa"/>
            <w:gridSpan w:val="4"/>
            <w:tcMar>
              <w:top w:w="0" w:type="dxa"/>
              <w:left w:w="28" w:type="dxa"/>
              <w:bottom w:w="0" w:type="dxa"/>
              <w:right w:w="28" w:type="dxa"/>
            </w:tcMar>
          </w:tcPr>
          <w:p w14:paraId="0C70E6B4" w14:textId="77777777" w:rsidR="00B3186A" w:rsidRPr="00EF28A2" w:rsidRDefault="00B3186A" w:rsidP="005663E5">
            <w:pPr>
              <w:pStyle w:val="Tabletext0"/>
              <w:keepNext/>
              <w:keepLines/>
              <w:rPr>
                <w:b/>
                <w:iCs/>
                <w:szCs w:val="20"/>
              </w:rPr>
            </w:pPr>
            <w:r w:rsidRPr="00EF28A2">
              <w:rPr>
                <w:b/>
                <w:iCs/>
                <w:szCs w:val="20"/>
              </w:rPr>
              <w:t xml:space="preserve">Utility values (base case: diabetes complication disutility values primarily based on Clarke 2002; age disutility values based on Clemens 2014; nausea disutility based on Matza 2007; hypoglycaemia disutility based on Evans 2013; first year weight loss utility values based on Boye 2022; subsequent year weight disutility values based on </w:t>
            </w:r>
            <w:proofErr w:type="spellStart"/>
            <w:r w:rsidRPr="00EF28A2">
              <w:rPr>
                <w:b/>
                <w:iCs/>
                <w:szCs w:val="20"/>
              </w:rPr>
              <w:t>Bagust</w:t>
            </w:r>
            <w:proofErr w:type="spellEnd"/>
            <w:r w:rsidRPr="00EF28A2">
              <w:rPr>
                <w:b/>
                <w:iCs/>
                <w:szCs w:val="20"/>
              </w:rPr>
              <w:t xml:space="preserve"> and Beale 2005)</w:t>
            </w:r>
          </w:p>
        </w:tc>
      </w:tr>
      <w:tr w:rsidR="00B3186A" w:rsidRPr="00A60A39" w14:paraId="4C674AF1" w14:textId="77777777" w:rsidTr="00A1032E">
        <w:tc>
          <w:tcPr>
            <w:tcW w:w="3970" w:type="dxa"/>
            <w:tcMar>
              <w:top w:w="0" w:type="dxa"/>
              <w:left w:w="28" w:type="dxa"/>
              <w:bottom w:w="0" w:type="dxa"/>
              <w:right w:w="28" w:type="dxa"/>
            </w:tcMar>
            <w:vAlign w:val="center"/>
          </w:tcPr>
          <w:p w14:paraId="151F01FC" w14:textId="77777777" w:rsidR="00B3186A" w:rsidRPr="00EF28A2" w:rsidRDefault="00B3186A" w:rsidP="00B3186A">
            <w:pPr>
              <w:pStyle w:val="Tabletext0"/>
              <w:rPr>
                <w:iCs/>
                <w:szCs w:val="20"/>
              </w:rPr>
            </w:pPr>
            <w:r w:rsidRPr="00EF28A2">
              <w:rPr>
                <w:iCs/>
                <w:szCs w:val="20"/>
              </w:rPr>
              <w:t>Replace baseline utility, BMI, nausea and hypoglycaemia utilities while on first-line therapy with SURPASS-2 BMI ≥35 kg/m</w:t>
            </w:r>
            <w:r w:rsidRPr="00EF28A2">
              <w:rPr>
                <w:iCs/>
                <w:szCs w:val="20"/>
                <w:vertAlign w:val="superscript"/>
              </w:rPr>
              <w:t>2</w:t>
            </w:r>
            <w:r w:rsidRPr="00EF28A2">
              <w:rPr>
                <w:iCs/>
                <w:szCs w:val="20"/>
              </w:rPr>
              <w:t xml:space="preserve"> subgroup estimates</w:t>
            </w:r>
          </w:p>
        </w:tc>
        <w:tc>
          <w:tcPr>
            <w:tcW w:w="1682" w:type="dxa"/>
            <w:tcMar>
              <w:top w:w="0" w:type="dxa"/>
              <w:left w:w="28" w:type="dxa"/>
              <w:bottom w:w="0" w:type="dxa"/>
              <w:right w:w="28" w:type="dxa"/>
            </w:tcMar>
            <w:vAlign w:val="center"/>
          </w:tcPr>
          <w:p w14:paraId="619BEFD2" w14:textId="5A0A9F8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2"/>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2"/>
                <w14:textFill>
                  <w14:solidFill>
                    <w14:srgbClr w14:val="000000">
                      <w14:alpha w14:val="100000"/>
                    </w14:srgbClr>
                  </w14:solidFill>
                </w14:textFill>
              </w:rPr>
              <w:t>|</w:t>
            </w:r>
            <w:r w:rsidR="00800A22" w:rsidRPr="00800A22">
              <w:rPr>
                <w:iCs/>
                <w:szCs w:val="20"/>
                <w:vertAlign w:val="superscript"/>
              </w:rPr>
              <w:t>8</w:t>
            </w:r>
            <w:r w:rsidRPr="00EF28A2">
              <w:rPr>
                <w:iCs/>
                <w:szCs w:val="20"/>
              </w:rPr>
              <w:t xml:space="preserve"> (+</w:t>
            </w:r>
            <w:r w:rsidR="00F111EB" w:rsidRPr="00F111EB">
              <w:rPr>
                <w:iCs/>
                <w:color w:val="000000"/>
                <w:spacing w:val="51"/>
                <w:szCs w:val="20"/>
                <w:shd w:val="solid" w:color="000000" w:fill="000000"/>
                <w:fitText w:val="325" w:id="-76101427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1"/>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364C2BDF" w14:textId="53D9912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7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70"/>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9"/>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33BE906" w14:textId="1A8EAC95"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F28A2">
              <w:rPr>
                <w:iCs/>
                <w:szCs w:val="20"/>
              </w:rPr>
              <w:t>%)</w:t>
            </w:r>
          </w:p>
        </w:tc>
      </w:tr>
      <w:tr w:rsidR="00B3186A" w:rsidRPr="00A60A39" w14:paraId="0AA73332" w14:textId="77777777" w:rsidTr="00A1032E">
        <w:tc>
          <w:tcPr>
            <w:tcW w:w="3970" w:type="dxa"/>
            <w:tcMar>
              <w:top w:w="0" w:type="dxa"/>
              <w:left w:w="28" w:type="dxa"/>
              <w:bottom w:w="0" w:type="dxa"/>
              <w:right w:w="28" w:type="dxa"/>
            </w:tcMar>
          </w:tcPr>
          <w:p w14:paraId="31B2EF7F" w14:textId="77777777" w:rsidR="00B3186A" w:rsidRPr="00EF28A2" w:rsidRDefault="00B3186A" w:rsidP="00B3186A">
            <w:pPr>
              <w:pStyle w:val="Tabletext0"/>
              <w:rPr>
                <w:iCs/>
                <w:szCs w:val="20"/>
              </w:rPr>
            </w:pPr>
            <w:r w:rsidRPr="00EF28A2">
              <w:rPr>
                <w:iCs/>
                <w:szCs w:val="20"/>
              </w:rPr>
              <w:lastRenderedPageBreak/>
              <w:t>Hypoglycaemia disutility removed</w:t>
            </w:r>
          </w:p>
        </w:tc>
        <w:tc>
          <w:tcPr>
            <w:tcW w:w="1682" w:type="dxa"/>
            <w:tcMar>
              <w:top w:w="0" w:type="dxa"/>
              <w:left w:w="28" w:type="dxa"/>
              <w:bottom w:w="0" w:type="dxa"/>
              <w:right w:w="28" w:type="dxa"/>
            </w:tcMar>
            <w:vAlign w:val="center"/>
          </w:tcPr>
          <w:p w14:paraId="389A9CDA" w14:textId="2317F4E6"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6"/>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6"/>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5" w:id="-761014265"/>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5"/>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E801623" w14:textId="7C675C06"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4"/>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4"/>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32DE065F" w14:textId="2417D205" w:rsidR="00B3186A" w:rsidRPr="00EF28A2" w:rsidRDefault="00B3186A" w:rsidP="00B3186A">
            <w:pPr>
              <w:pStyle w:val="Tabletext0"/>
              <w:jc w:val="center"/>
              <w:rPr>
                <w:iCs/>
                <w:szCs w:val="20"/>
              </w:rPr>
            </w:pPr>
            <w:r w:rsidRPr="00EF28A2">
              <w:rPr>
                <w:iCs/>
                <w:szCs w:val="20"/>
              </w:rPr>
              <w:t>$</w:t>
            </w:r>
            <w:r w:rsidR="00F111EB" w:rsidRPr="00603563">
              <w:rPr>
                <w:iCs/>
                <w:color w:val="000000"/>
                <w:spacing w:val="51"/>
                <w:szCs w:val="20"/>
                <w:shd w:val="solid" w:color="000000" w:fill="000000"/>
                <w:fitText w:val="326" w:id="-761014262"/>
                <w14:textFill>
                  <w14:solidFill>
                    <w14:srgbClr w14:val="000000">
                      <w14:alpha w14:val="100000"/>
                    </w14:srgbClr>
                  </w14:solidFill>
                </w14:textFill>
              </w:rPr>
              <w:t>|||</w:t>
            </w:r>
            <w:r w:rsidR="00F111EB" w:rsidRPr="00603563">
              <w:rPr>
                <w:iCs/>
                <w:color w:val="000000"/>
                <w:spacing w:val="3"/>
                <w:szCs w:val="20"/>
                <w:shd w:val="solid" w:color="000000" w:fill="000000"/>
                <w:fitText w:val="326" w:id="-761014262"/>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603563">
              <w:rPr>
                <w:iCs/>
                <w:color w:val="000000"/>
                <w:spacing w:val="51"/>
                <w:szCs w:val="20"/>
                <w:shd w:val="solid" w:color="000000" w:fill="000000"/>
                <w:fitText w:val="326" w:id="-761014261"/>
                <w14:textFill>
                  <w14:solidFill>
                    <w14:srgbClr w14:val="000000">
                      <w14:alpha w14:val="100000"/>
                    </w14:srgbClr>
                  </w14:solidFill>
                </w14:textFill>
              </w:rPr>
              <w:t>|||</w:t>
            </w:r>
            <w:r w:rsidR="00F111EB" w:rsidRPr="00603563">
              <w:rPr>
                <w:iCs/>
                <w:color w:val="000000"/>
                <w:spacing w:val="3"/>
                <w:szCs w:val="20"/>
                <w:shd w:val="solid" w:color="000000" w:fill="000000"/>
                <w:fitText w:val="326" w:id="-761014261"/>
                <w14:textFill>
                  <w14:solidFill>
                    <w14:srgbClr w14:val="000000">
                      <w14:alpha w14:val="100000"/>
                    </w14:srgbClr>
                  </w14:solidFill>
                </w14:textFill>
              </w:rPr>
              <w:t>|</w:t>
            </w:r>
            <w:r w:rsidRPr="00EF28A2">
              <w:rPr>
                <w:iCs/>
                <w:szCs w:val="20"/>
              </w:rPr>
              <w:t>%)</w:t>
            </w:r>
          </w:p>
        </w:tc>
      </w:tr>
      <w:tr w:rsidR="00B3186A" w:rsidRPr="00A60A39" w14:paraId="1C1A7AC1" w14:textId="77777777" w:rsidTr="00A1032E">
        <w:tc>
          <w:tcPr>
            <w:tcW w:w="3970" w:type="dxa"/>
            <w:tcMar>
              <w:top w:w="0" w:type="dxa"/>
              <w:left w:w="28" w:type="dxa"/>
              <w:bottom w:w="0" w:type="dxa"/>
              <w:right w:w="28" w:type="dxa"/>
            </w:tcMar>
          </w:tcPr>
          <w:p w14:paraId="4B63BFFB" w14:textId="77777777" w:rsidR="00B3186A" w:rsidRPr="00EF28A2" w:rsidRDefault="00B3186A" w:rsidP="00B3186A">
            <w:pPr>
              <w:pStyle w:val="Tabletext0"/>
              <w:rPr>
                <w:iCs/>
                <w:szCs w:val="20"/>
              </w:rPr>
            </w:pPr>
            <w:r w:rsidRPr="00EF28A2">
              <w:rPr>
                <w:iCs/>
                <w:szCs w:val="20"/>
              </w:rPr>
              <w:t>Hypoglycaemia disutility 0.005 (July 2023 submission base case)</w:t>
            </w:r>
          </w:p>
        </w:tc>
        <w:tc>
          <w:tcPr>
            <w:tcW w:w="1682" w:type="dxa"/>
            <w:tcMar>
              <w:top w:w="0" w:type="dxa"/>
              <w:left w:w="28" w:type="dxa"/>
              <w:bottom w:w="0" w:type="dxa"/>
              <w:right w:w="28" w:type="dxa"/>
            </w:tcMar>
            <w:vAlign w:val="center"/>
          </w:tcPr>
          <w:p w14:paraId="4CC8F093" w14:textId="7FEBCC4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0"/>
                <w14:textFill>
                  <w14:solidFill>
                    <w14:srgbClr w14:val="000000">
                      <w14:alpha w14:val="100000"/>
                    </w14:srgbClr>
                  </w14:solidFill>
                </w14:textFill>
              </w:rPr>
              <w:t>|</w:t>
            </w:r>
            <w:r w:rsidR="00447A0F" w:rsidRPr="00D23E94">
              <w:rPr>
                <w:iCs/>
                <w:szCs w:val="20"/>
                <w:vertAlign w:val="superscript"/>
              </w:rPr>
              <w:t>9</w:t>
            </w:r>
            <w:r w:rsidRPr="00EF28A2">
              <w:rPr>
                <w:iCs/>
                <w:szCs w:val="20"/>
              </w:rPr>
              <w:t xml:space="preserve"> (-</w:t>
            </w:r>
            <w:r w:rsidR="00F111EB" w:rsidRPr="00F111EB">
              <w:rPr>
                <w:iCs/>
                <w:color w:val="000000"/>
                <w:spacing w:val="55"/>
                <w:szCs w:val="20"/>
                <w:shd w:val="solid" w:color="000000" w:fill="000000"/>
                <w:fitText w:val="338" w:id="-761014259"/>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9"/>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53C222EC" w14:textId="51188E3A"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8"/>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8"/>
                <w14:textFill>
                  <w14:solidFill>
                    <w14:srgbClr w14:val="000000">
                      <w14:alpha w14:val="100000"/>
                    </w14:srgbClr>
                  </w14:solidFill>
                </w14:textFill>
              </w:rPr>
              <w:t>|</w:t>
            </w:r>
            <w:r w:rsidR="007137E2" w:rsidRPr="007137E2">
              <w:rPr>
                <w:iCs/>
                <w:szCs w:val="20"/>
                <w:vertAlign w:val="superscript"/>
              </w:rPr>
              <w:t>10</w:t>
            </w:r>
            <w:r w:rsidRPr="00EF28A2">
              <w:rPr>
                <w:iCs/>
                <w:szCs w:val="20"/>
              </w:rPr>
              <w:t xml:space="preserve"> (-</w:t>
            </w:r>
            <w:r w:rsidR="00F111EB" w:rsidRPr="00F111EB">
              <w:rPr>
                <w:iCs/>
                <w:color w:val="000000"/>
                <w:spacing w:val="51"/>
                <w:szCs w:val="20"/>
                <w:shd w:val="solid" w:color="000000" w:fill="000000"/>
                <w:fitText w:val="325" w:id="-761014257"/>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7"/>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9C2AAAC" w14:textId="5B4C5149"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6"/>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6"/>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5"/>
                <w:szCs w:val="20"/>
                <w:shd w:val="solid" w:color="000000" w:fill="000000"/>
                <w:fitText w:val="338" w:id="-761014272"/>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2"/>
                <w14:textFill>
                  <w14:solidFill>
                    <w14:srgbClr w14:val="000000">
                      <w14:alpha w14:val="100000"/>
                    </w14:srgbClr>
                  </w14:solidFill>
                </w14:textFill>
              </w:rPr>
              <w:t>|</w:t>
            </w:r>
            <w:r w:rsidRPr="00EF28A2">
              <w:rPr>
                <w:iCs/>
                <w:szCs w:val="20"/>
              </w:rPr>
              <w:t>%)</w:t>
            </w:r>
          </w:p>
        </w:tc>
      </w:tr>
      <w:tr w:rsidR="00B3186A" w:rsidRPr="00A60A39" w14:paraId="5BA12358" w14:textId="77777777" w:rsidTr="00A1032E">
        <w:tc>
          <w:tcPr>
            <w:tcW w:w="3970" w:type="dxa"/>
            <w:tcMar>
              <w:top w:w="0" w:type="dxa"/>
              <w:left w:w="28" w:type="dxa"/>
              <w:bottom w:w="0" w:type="dxa"/>
              <w:right w:w="28" w:type="dxa"/>
            </w:tcMar>
          </w:tcPr>
          <w:p w14:paraId="3EE3F1AA" w14:textId="77777777" w:rsidR="00B3186A" w:rsidRPr="00EF28A2" w:rsidRDefault="00B3186A" w:rsidP="00B3186A">
            <w:pPr>
              <w:pStyle w:val="Tabletext0"/>
              <w:rPr>
                <w:iCs/>
                <w:szCs w:val="20"/>
              </w:rPr>
            </w:pPr>
            <w:r w:rsidRPr="00EF28A2">
              <w:rPr>
                <w:iCs/>
                <w:szCs w:val="20"/>
              </w:rPr>
              <w:t>Weight-related utility/disutility removed</w:t>
            </w:r>
          </w:p>
        </w:tc>
        <w:tc>
          <w:tcPr>
            <w:tcW w:w="1682" w:type="dxa"/>
            <w:tcMar>
              <w:top w:w="0" w:type="dxa"/>
              <w:left w:w="28" w:type="dxa"/>
              <w:bottom w:w="0" w:type="dxa"/>
              <w:right w:w="28" w:type="dxa"/>
            </w:tcMar>
            <w:vAlign w:val="center"/>
          </w:tcPr>
          <w:p w14:paraId="49BADF66" w14:textId="0C8AFBB9"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1"/>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1"/>
                <w14:textFill>
                  <w14:solidFill>
                    <w14:srgbClr w14:val="000000">
                      <w14:alpha w14:val="100000"/>
                    </w14:srgbClr>
                  </w14:solidFill>
                </w14:textFill>
              </w:rPr>
              <w:t>|</w:t>
            </w:r>
            <w:r w:rsidR="00E20EB7" w:rsidRPr="00E20EB7">
              <w:rPr>
                <w:iCs/>
                <w:szCs w:val="20"/>
                <w:vertAlign w:val="superscript"/>
              </w:rPr>
              <w:t>11</w:t>
            </w:r>
            <w:r w:rsidRPr="00EF28A2">
              <w:rPr>
                <w:iCs/>
                <w:szCs w:val="20"/>
              </w:rPr>
              <w:t xml:space="preserve"> (+</w:t>
            </w:r>
            <w:r w:rsidR="00F111EB" w:rsidRPr="00F111EB">
              <w:rPr>
                <w:iCs/>
                <w:color w:val="000000"/>
                <w:spacing w:val="55"/>
                <w:szCs w:val="20"/>
                <w:shd w:val="solid" w:color="000000" w:fill="000000"/>
                <w:fitText w:val="338" w:id="-761014270"/>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0"/>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21192153" w14:textId="100CA962"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9"/>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5C203BC0" w14:textId="6B5DBF93"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009D463B" w:rsidRPr="009E093F">
              <w:rPr>
                <w:iCs/>
                <w:szCs w:val="20"/>
                <w:vertAlign w:val="superscript"/>
              </w:rPr>
              <w:t>5</w:t>
            </w:r>
            <w:r w:rsidRPr="00EF28A2">
              <w:rPr>
                <w:iCs/>
                <w:szCs w:val="20"/>
              </w:rPr>
              <w:t xml:space="preserve"> (+</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Pr="00EF28A2">
              <w:rPr>
                <w:iCs/>
                <w:szCs w:val="20"/>
              </w:rPr>
              <w:t>%)</w:t>
            </w:r>
          </w:p>
        </w:tc>
      </w:tr>
      <w:tr w:rsidR="00B3186A" w:rsidRPr="00A60A39" w14:paraId="1075BFE3" w14:textId="77777777" w:rsidTr="00A1032E">
        <w:tc>
          <w:tcPr>
            <w:tcW w:w="3970" w:type="dxa"/>
            <w:tcMar>
              <w:top w:w="0" w:type="dxa"/>
              <w:left w:w="28" w:type="dxa"/>
              <w:bottom w:w="0" w:type="dxa"/>
              <w:right w:w="28" w:type="dxa"/>
            </w:tcMar>
          </w:tcPr>
          <w:p w14:paraId="4FD5C4B4" w14:textId="0DFDFF34" w:rsidR="00B3186A" w:rsidRPr="00EF28A2" w:rsidRDefault="00B3186A" w:rsidP="00B3186A">
            <w:pPr>
              <w:pStyle w:val="Tabletext0"/>
              <w:rPr>
                <w:iCs/>
                <w:szCs w:val="20"/>
              </w:rPr>
            </w:pPr>
            <w:r w:rsidRPr="00EF28A2">
              <w:rPr>
                <w:iCs/>
                <w:szCs w:val="20"/>
              </w:rPr>
              <w:t>Subsequent weight disutility based on Soltoft 2009</w:t>
            </w:r>
          </w:p>
        </w:tc>
        <w:tc>
          <w:tcPr>
            <w:tcW w:w="1682" w:type="dxa"/>
            <w:tcMar>
              <w:top w:w="0" w:type="dxa"/>
              <w:left w:w="28" w:type="dxa"/>
              <w:bottom w:w="0" w:type="dxa"/>
              <w:right w:w="28" w:type="dxa"/>
            </w:tcMar>
            <w:vAlign w:val="center"/>
          </w:tcPr>
          <w:p w14:paraId="56E81025" w14:textId="22DA534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5"/>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5"/>
                <w14:textFill>
                  <w14:solidFill>
                    <w14:srgbClr w14:val="000000">
                      <w14:alpha w14:val="100000"/>
                    </w14:srgbClr>
                  </w14:solidFill>
                </w14:textFill>
              </w:rPr>
              <w:t>|</w:t>
            </w:r>
            <w:r w:rsidR="00184123" w:rsidRPr="00184123">
              <w:rPr>
                <w:iCs/>
                <w:szCs w:val="20"/>
                <w:vertAlign w:val="superscript"/>
              </w:rPr>
              <w:t>12</w:t>
            </w:r>
            <w:r w:rsidRPr="00EF28A2">
              <w:rPr>
                <w:iCs/>
                <w:szCs w:val="20"/>
              </w:rPr>
              <w:t xml:space="preserve"> (+</w:t>
            </w:r>
            <w:r w:rsidR="00F111EB" w:rsidRPr="00F111EB">
              <w:rPr>
                <w:iCs/>
                <w:color w:val="000000"/>
                <w:spacing w:val="55"/>
                <w:szCs w:val="20"/>
                <w:shd w:val="solid" w:color="000000" w:fill="000000"/>
                <w:fitText w:val="338" w:id="-761014264"/>
                <w14:textFill>
                  <w14:solidFill>
                    <w14:srgbClr w14:val="000000">
                      <w14:alpha w14:val="100000"/>
                    </w14:srgbClr>
                  </w14:solidFill>
                </w14:textFill>
              </w:rPr>
              <w:t>|||</w:t>
            </w:r>
            <w:r w:rsidR="00F111EB" w:rsidRPr="00F111EB">
              <w:rPr>
                <w:iCs/>
                <w:color w:val="000000"/>
                <w:spacing w:val="3"/>
                <w:szCs w:val="20"/>
                <w:shd w:val="solid" w:color="000000" w:fill="000000"/>
                <w:fitText w:val="338" w:id="-761014264"/>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1FC044B8" w14:textId="4AC8E79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3"/>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3"/>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Pr="00ED606C">
              <w:rPr>
                <w:iCs/>
                <w:szCs w:val="20"/>
              </w:rPr>
              <w:t>%)</w:t>
            </w:r>
          </w:p>
        </w:tc>
        <w:tc>
          <w:tcPr>
            <w:tcW w:w="1683" w:type="dxa"/>
            <w:tcMar>
              <w:top w:w="0" w:type="dxa"/>
              <w:left w:w="28" w:type="dxa"/>
              <w:bottom w:w="0" w:type="dxa"/>
              <w:right w:w="28" w:type="dxa"/>
            </w:tcMar>
            <w:vAlign w:val="center"/>
          </w:tcPr>
          <w:p w14:paraId="2E190230" w14:textId="31CA447F"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1"/>
                <w14:textFill>
                  <w14:solidFill>
                    <w14:srgbClr w14:val="000000">
                      <w14:alpha w14:val="100000"/>
                    </w14:srgbClr>
                  </w14:solidFill>
                </w14:textFill>
              </w:rPr>
              <w:t>|</w:t>
            </w:r>
            <w:r w:rsidR="00FC1293" w:rsidRPr="00472E1F">
              <w:rPr>
                <w:iCs/>
                <w:szCs w:val="20"/>
                <w:vertAlign w:val="superscript"/>
              </w:rPr>
              <w:t>6</w:t>
            </w:r>
            <w:r w:rsidRPr="00EF28A2">
              <w:rPr>
                <w:iCs/>
                <w:szCs w:val="20"/>
              </w:rPr>
              <w:t xml:space="preserve"> (+</w:t>
            </w:r>
            <w:r w:rsidR="00F111EB" w:rsidRPr="00F111EB">
              <w:rPr>
                <w:iCs/>
                <w:color w:val="000000"/>
                <w:spacing w:val="51"/>
                <w:szCs w:val="20"/>
                <w:shd w:val="solid" w:color="000000" w:fill="000000"/>
                <w:fitText w:val="326" w:id="-76101426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0"/>
                <w14:textFill>
                  <w14:solidFill>
                    <w14:srgbClr w14:val="000000">
                      <w14:alpha w14:val="100000"/>
                    </w14:srgbClr>
                  </w14:solidFill>
                </w14:textFill>
              </w:rPr>
              <w:t>|</w:t>
            </w:r>
            <w:r w:rsidRPr="00EF28A2">
              <w:rPr>
                <w:iCs/>
                <w:szCs w:val="20"/>
              </w:rPr>
              <w:t>%)</w:t>
            </w:r>
          </w:p>
        </w:tc>
      </w:tr>
      <w:tr w:rsidR="00B3186A" w:rsidRPr="00A60A39" w14:paraId="57C2EA78" w14:textId="77777777" w:rsidTr="00A1032E">
        <w:tc>
          <w:tcPr>
            <w:tcW w:w="3970" w:type="dxa"/>
            <w:tcMar>
              <w:top w:w="0" w:type="dxa"/>
              <w:left w:w="28" w:type="dxa"/>
              <w:bottom w:w="0" w:type="dxa"/>
              <w:right w:w="28" w:type="dxa"/>
            </w:tcMar>
          </w:tcPr>
          <w:p w14:paraId="104F0FC8" w14:textId="77777777" w:rsidR="00B3186A" w:rsidRPr="00EF28A2" w:rsidRDefault="00B3186A" w:rsidP="00B3186A">
            <w:pPr>
              <w:pStyle w:val="Tabletext0"/>
              <w:rPr>
                <w:iCs/>
                <w:szCs w:val="20"/>
              </w:rPr>
            </w:pPr>
            <w:r w:rsidRPr="00EF28A2">
              <w:rPr>
                <w:iCs/>
                <w:szCs w:val="20"/>
              </w:rPr>
              <w:t>Subsequent weight disutility based on Lane 2014</w:t>
            </w:r>
          </w:p>
        </w:tc>
        <w:tc>
          <w:tcPr>
            <w:tcW w:w="1682" w:type="dxa"/>
            <w:tcMar>
              <w:top w:w="0" w:type="dxa"/>
              <w:left w:w="28" w:type="dxa"/>
              <w:bottom w:w="0" w:type="dxa"/>
              <w:right w:w="28" w:type="dxa"/>
            </w:tcMar>
            <w:vAlign w:val="center"/>
          </w:tcPr>
          <w:p w14:paraId="441D147E" w14:textId="65666FE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5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9"/>
                <w14:textFill>
                  <w14:solidFill>
                    <w14:srgbClr w14:val="000000">
                      <w14:alpha w14:val="100000"/>
                    </w14:srgbClr>
                  </w14:solidFill>
                </w14:textFill>
              </w:rPr>
              <w:t>|</w:t>
            </w:r>
            <w:r w:rsidR="00D23E94" w:rsidRPr="00D23E94">
              <w:rPr>
                <w:iCs/>
                <w:szCs w:val="20"/>
                <w:vertAlign w:val="superscript"/>
              </w:rPr>
              <w:t>9</w:t>
            </w:r>
            <w:r w:rsidRPr="00EF28A2">
              <w:rPr>
                <w:iCs/>
                <w:szCs w:val="20"/>
              </w:rPr>
              <w:t xml:space="preserve"> (-</w:t>
            </w:r>
            <w:r w:rsidR="00F111EB" w:rsidRPr="00F111EB">
              <w:rPr>
                <w:iCs/>
                <w:color w:val="000000"/>
                <w:spacing w:val="55"/>
                <w:szCs w:val="20"/>
                <w:shd w:val="solid" w:color="000000" w:fill="000000"/>
                <w:fitText w:val="338" w:id="-761014258"/>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8"/>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2AA7FF64" w14:textId="4D4C92DE"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57"/>
                <w14:textFill>
                  <w14:solidFill>
                    <w14:srgbClr w14:val="000000">
                      <w14:alpha w14:val="100000"/>
                    </w14:srgbClr>
                  </w14:solidFill>
                </w14:textFill>
              </w:rPr>
              <w:t>|||</w:t>
            </w:r>
            <w:r w:rsidR="00F111EB" w:rsidRPr="00F111EB">
              <w:rPr>
                <w:iCs/>
                <w:color w:val="000000"/>
                <w:spacing w:val="3"/>
                <w:szCs w:val="20"/>
                <w:shd w:val="solid" w:color="000000" w:fill="000000"/>
                <w:fitText w:val="338" w:id="-761014257"/>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1"/>
                <w:szCs w:val="20"/>
                <w:shd w:val="solid" w:color="000000" w:fill="000000"/>
                <w:fitText w:val="325" w:id="-761014256"/>
                <w14:textFill>
                  <w14:solidFill>
                    <w14:srgbClr w14:val="000000">
                      <w14:alpha w14:val="100000"/>
                    </w14:srgbClr>
                  </w14:solidFill>
                </w14:textFill>
              </w:rPr>
              <w:t>|||</w:t>
            </w:r>
            <w:r w:rsidR="00F111EB" w:rsidRPr="00F111EB">
              <w:rPr>
                <w:iCs/>
                <w:color w:val="000000"/>
                <w:spacing w:val="2"/>
                <w:szCs w:val="20"/>
                <w:shd w:val="solid" w:color="000000" w:fill="000000"/>
                <w:fitText w:val="325" w:id="-761014256"/>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09FD5C19" w14:textId="5EB0643E" w:rsidR="00B3186A" w:rsidRPr="00EF28A2" w:rsidRDefault="00B3186A" w:rsidP="00B3186A">
            <w:pPr>
              <w:pStyle w:val="Tabletext0"/>
              <w:jc w:val="center"/>
              <w:rPr>
                <w:iCs/>
                <w:szCs w:val="20"/>
              </w:rPr>
            </w:pPr>
            <w:r w:rsidRPr="00EF28A2">
              <w:rPr>
                <w:iCs/>
                <w:szCs w:val="20"/>
              </w:rPr>
              <w:t>$</w:t>
            </w:r>
            <w:r w:rsidR="00F111EB" w:rsidRPr="00F111EB">
              <w:rPr>
                <w:iCs/>
                <w:color w:val="000000"/>
                <w:spacing w:val="55"/>
                <w:szCs w:val="20"/>
                <w:shd w:val="solid" w:color="000000" w:fill="000000"/>
                <w:fitText w:val="338" w:id="-761014272"/>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2"/>
                <w14:textFill>
                  <w14:solidFill>
                    <w14:srgbClr w14:val="000000">
                      <w14:alpha w14:val="100000"/>
                    </w14:srgbClr>
                  </w14:solidFill>
                </w14:textFill>
              </w:rPr>
              <w:t>|</w:t>
            </w:r>
            <w:r w:rsidR="00AC078F" w:rsidRPr="007137E2">
              <w:rPr>
                <w:iCs/>
                <w:szCs w:val="20"/>
                <w:vertAlign w:val="superscript"/>
              </w:rPr>
              <w:t>10</w:t>
            </w:r>
            <w:r w:rsidRPr="00EF28A2">
              <w:rPr>
                <w:iCs/>
                <w:szCs w:val="20"/>
              </w:rPr>
              <w:t xml:space="preserve"> (-</w:t>
            </w:r>
            <w:r w:rsidR="00F111EB" w:rsidRPr="00F111EB">
              <w:rPr>
                <w:iCs/>
                <w:color w:val="000000"/>
                <w:spacing w:val="55"/>
                <w:szCs w:val="20"/>
                <w:shd w:val="solid" w:color="000000" w:fill="000000"/>
                <w:fitText w:val="338" w:id="-761014271"/>
                <w14:textFill>
                  <w14:solidFill>
                    <w14:srgbClr w14:val="000000">
                      <w14:alpha w14:val="100000"/>
                    </w14:srgbClr>
                  </w14:solidFill>
                </w14:textFill>
              </w:rPr>
              <w:t>|||</w:t>
            </w:r>
            <w:r w:rsidR="00F111EB" w:rsidRPr="00F111EB">
              <w:rPr>
                <w:iCs/>
                <w:color w:val="000000"/>
                <w:spacing w:val="3"/>
                <w:szCs w:val="20"/>
                <w:shd w:val="solid" w:color="000000" w:fill="000000"/>
                <w:fitText w:val="338" w:id="-761014271"/>
                <w14:textFill>
                  <w14:solidFill>
                    <w14:srgbClr w14:val="000000">
                      <w14:alpha w14:val="100000"/>
                    </w14:srgbClr>
                  </w14:solidFill>
                </w14:textFill>
              </w:rPr>
              <w:t>|</w:t>
            </w:r>
            <w:r w:rsidRPr="00EF28A2">
              <w:rPr>
                <w:iCs/>
                <w:szCs w:val="20"/>
              </w:rPr>
              <w:t>%)</w:t>
            </w:r>
          </w:p>
        </w:tc>
      </w:tr>
      <w:tr w:rsidR="00B3186A" w:rsidRPr="00A60A39" w14:paraId="7191A2C4" w14:textId="77777777" w:rsidTr="00A1032E">
        <w:tc>
          <w:tcPr>
            <w:tcW w:w="9017" w:type="dxa"/>
            <w:gridSpan w:val="4"/>
            <w:tcMar>
              <w:top w:w="0" w:type="dxa"/>
              <w:left w:w="28" w:type="dxa"/>
              <w:bottom w:w="0" w:type="dxa"/>
              <w:right w:w="28" w:type="dxa"/>
            </w:tcMar>
            <w:vAlign w:val="center"/>
          </w:tcPr>
          <w:p w14:paraId="6BA9F10E" w14:textId="77777777" w:rsidR="00B3186A" w:rsidRPr="00EF28A2" w:rsidRDefault="00B3186A" w:rsidP="00B3186A">
            <w:pPr>
              <w:pStyle w:val="Tabletext0"/>
              <w:keepNext/>
              <w:jc w:val="both"/>
              <w:rPr>
                <w:iCs/>
                <w:szCs w:val="20"/>
              </w:rPr>
            </w:pPr>
            <w:r w:rsidRPr="00EF28A2">
              <w:rPr>
                <w:b/>
                <w:iCs/>
                <w:szCs w:val="20"/>
              </w:rPr>
              <w:t>Costs (base case: drug costs based on effective DPMQ, dose titration health professional visits excluded, insulin administration costs based on Diabetes Shop NSW and other assumptions, diabetes complications costs based on Clarke 2008 with CPI Medical and hospital services index adjustment)</w:t>
            </w:r>
          </w:p>
        </w:tc>
      </w:tr>
      <w:tr w:rsidR="00B3186A" w:rsidRPr="00A60A39" w14:paraId="6E69B100" w14:textId="77777777" w:rsidTr="00A1032E">
        <w:tc>
          <w:tcPr>
            <w:tcW w:w="3970" w:type="dxa"/>
            <w:tcMar>
              <w:top w:w="0" w:type="dxa"/>
              <w:left w:w="28" w:type="dxa"/>
              <w:bottom w:w="0" w:type="dxa"/>
              <w:right w:w="28" w:type="dxa"/>
            </w:tcMar>
          </w:tcPr>
          <w:p w14:paraId="7B1E1CA1" w14:textId="718F00A5" w:rsidR="00B3186A" w:rsidRPr="00EF28A2" w:rsidRDefault="00B3186A" w:rsidP="00B3186A">
            <w:pPr>
              <w:pStyle w:val="Tabletext0"/>
              <w:rPr>
                <w:iCs/>
                <w:szCs w:val="20"/>
              </w:rPr>
            </w:pPr>
            <w:r w:rsidRPr="00EF28A2">
              <w:rPr>
                <w:iCs/>
                <w:szCs w:val="20"/>
              </w:rPr>
              <w:t xml:space="preserve">Include GP/endocrinologist visit costs for GLP-1 RA/GIP dose </w:t>
            </w:r>
            <w:proofErr w:type="spellStart"/>
            <w:r w:rsidRPr="00EF28A2">
              <w:rPr>
                <w:iCs/>
                <w:szCs w:val="20"/>
              </w:rPr>
              <w:t>titration</w:t>
            </w:r>
            <w:r w:rsidR="00DD3570" w:rsidRPr="00EF28A2">
              <w:rPr>
                <w:iCs/>
                <w:szCs w:val="20"/>
                <w:vertAlign w:val="superscript"/>
              </w:rPr>
              <w:t>d</w:t>
            </w:r>
            <w:proofErr w:type="spellEnd"/>
          </w:p>
        </w:tc>
        <w:tc>
          <w:tcPr>
            <w:tcW w:w="1682" w:type="dxa"/>
            <w:tcMar>
              <w:top w:w="0" w:type="dxa"/>
              <w:left w:w="28" w:type="dxa"/>
              <w:bottom w:w="0" w:type="dxa"/>
              <w:right w:w="28" w:type="dxa"/>
            </w:tcMar>
            <w:vAlign w:val="center"/>
          </w:tcPr>
          <w:p w14:paraId="4D3D4E30" w14:textId="6D0D438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70"/>
                <w14:textFill>
                  <w14:solidFill>
                    <w14:srgbClr w14:val="000000">
                      <w14:alpha w14:val="100000"/>
                    </w14:srgbClr>
                  </w14:solidFill>
                </w14:textFill>
              </w:rPr>
              <w:t>|||</w:t>
            </w:r>
            <w:r w:rsidR="00F111EB" w:rsidRPr="00F111EB">
              <w:rPr>
                <w:iCs/>
                <w:color w:val="000000"/>
                <w:spacing w:val="2"/>
                <w:szCs w:val="20"/>
                <w:shd w:val="solid" w:color="000000" w:fill="000000"/>
                <w:fitText w:val="325" w:id="-761014270"/>
                <w14:textFill>
                  <w14:solidFill>
                    <w14:srgbClr w14:val="000000">
                      <w14:alpha w14:val="100000"/>
                    </w14:srgbClr>
                  </w14:solidFill>
                </w14:textFill>
              </w:rPr>
              <w:t>|</w:t>
            </w:r>
            <w:r w:rsidR="003A6CA8">
              <w:rPr>
                <w:iCs/>
                <w:color w:val="000000"/>
                <w:szCs w:val="20"/>
                <w:vertAlign w:val="superscript"/>
              </w:rPr>
              <w:t>1</w:t>
            </w:r>
            <w:r w:rsidRPr="00EF28A2">
              <w:rPr>
                <w:iCs/>
                <w:szCs w:val="20"/>
              </w:rPr>
              <w:t xml:space="preserve"> (+</w:t>
            </w:r>
            <w:r w:rsidR="00F111EB" w:rsidRPr="00F111EB">
              <w:rPr>
                <w:iCs/>
                <w:color w:val="000000"/>
                <w:spacing w:val="51"/>
                <w:szCs w:val="20"/>
                <w:shd w:val="solid" w:color="000000" w:fill="000000"/>
                <w:fitText w:val="325" w:id="-761014269"/>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9"/>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3ED7176" w14:textId="4D30D8E0"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8"/>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8"/>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7"/>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7"/>
                <w14:textFill>
                  <w14:solidFill>
                    <w14:srgbClr w14:val="000000">
                      <w14:alpha w14:val="100000"/>
                    </w14:srgbClr>
                  </w14:solidFill>
                </w14:textFill>
              </w:rPr>
              <w:t>|</w:t>
            </w:r>
            <w:r w:rsidRPr="00ED606C">
              <w:rPr>
                <w:iCs/>
                <w:szCs w:val="20"/>
              </w:rPr>
              <w:t>%)</w:t>
            </w:r>
          </w:p>
        </w:tc>
        <w:tc>
          <w:tcPr>
            <w:tcW w:w="1683" w:type="dxa"/>
            <w:tcMar>
              <w:top w:w="0" w:type="dxa"/>
              <w:left w:w="28" w:type="dxa"/>
              <w:bottom w:w="0" w:type="dxa"/>
              <w:right w:w="28" w:type="dxa"/>
            </w:tcMar>
            <w:vAlign w:val="center"/>
          </w:tcPr>
          <w:p w14:paraId="07269689" w14:textId="23926EFB"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6"/>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6"/>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5"/>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5"/>
                <w14:textFill>
                  <w14:solidFill>
                    <w14:srgbClr w14:val="000000">
                      <w14:alpha w14:val="100000"/>
                    </w14:srgbClr>
                  </w14:solidFill>
                </w14:textFill>
              </w:rPr>
              <w:t>|</w:t>
            </w:r>
            <w:r w:rsidRPr="00ED606C">
              <w:rPr>
                <w:iCs/>
                <w:szCs w:val="20"/>
              </w:rPr>
              <w:t>%)</w:t>
            </w:r>
          </w:p>
        </w:tc>
      </w:tr>
      <w:tr w:rsidR="00B3186A" w:rsidRPr="00A60A39" w14:paraId="0527F8A0" w14:textId="77777777" w:rsidTr="00A1032E">
        <w:tc>
          <w:tcPr>
            <w:tcW w:w="3970" w:type="dxa"/>
            <w:tcMar>
              <w:top w:w="0" w:type="dxa"/>
              <w:left w:w="28" w:type="dxa"/>
              <w:bottom w:w="0" w:type="dxa"/>
              <w:right w:w="28" w:type="dxa"/>
            </w:tcMar>
          </w:tcPr>
          <w:p w14:paraId="67B845C8" w14:textId="77777777" w:rsidR="00B3186A" w:rsidRPr="00EF28A2" w:rsidRDefault="00B3186A" w:rsidP="00B3186A">
            <w:pPr>
              <w:pStyle w:val="Tabletext0"/>
              <w:rPr>
                <w:iCs/>
                <w:szCs w:val="20"/>
              </w:rPr>
            </w:pPr>
            <w:r w:rsidRPr="00EF28A2">
              <w:rPr>
                <w:iCs/>
                <w:szCs w:val="20"/>
              </w:rPr>
              <w:t>CPI Medical and hospital services index adjustment excluded</w:t>
            </w:r>
          </w:p>
        </w:tc>
        <w:tc>
          <w:tcPr>
            <w:tcW w:w="1682" w:type="dxa"/>
            <w:tcMar>
              <w:top w:w="0" w:type="dxa"/>
              <w:left w:w="28" w:type="dxa"/>
              <w:bottom w:w="0" w:type="dxa"/>
              <w:right w:w="28" w:type="dxa"/>
            </w:tcMar>
            <w:vAlign w:val="center"/>
          </w:tcPr>
          <w:p w14:paraId="235A025E" w14:textId="33E6289B"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5" w:id="-761014264"/>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4"/>
                <w14:textFill>
                  <w14:solidFill>
                    <w14:srgbClr w14:val="000000">
                      <w14:alpha w14:val="100000"/>
                    </w14:srgbClr>
                  </w14:solidFill>
                </w14:textFill>
              </w:rPr>
              <w:t>|</w:t>
            </w:r>
            <w:r w:rsidR="003A6CA8">
              <w:rPr>
                <w:iCs/>
                <w:color w:val="000000"/>
                <w:szCs w:val="20"/>
                <w:vertAlign w:val="superscript"/>
              </w:rPr>
              <w:t>1</w:t>
            </w:r>
            <w:r w:rsidRPr="00EF28A2">
              <w:rPr>
                <w:iCs/>
                <w:szCs w:val="20"/>
              </w:rPr>
              <w:t xml:space="preserve"> (+</w:t>
            </w:r>
            <w:r w:rsidR="00F111EB" w:rsidRPr="00F111EB">
              <w:rPr>
                <w:iCs/>
                <w:color w:val="000000"/>
                <w:spacing w:val="51"/>
                <w:szCs w:val="20"/>
                <w:shd w:val="solid" w:color="000000" w:fill="000000"/>
                <w:fitText w:val="325" w:id="-761014263"/>
                <w14:textFill>
                  <w14:solidFill>
                    <w14:srgbClr w14:val="000000">
                      <w14:alpha w14:val="100000"/>
                    </w14:srgbClr>
                  </w14:solidFill>
                </w14:textFill>
              </w:rPr>
              <w:t>|||</w:t>
            </w:r>
            <w:r w:rsidR="00F111EB" w:rsidRPr="00F111EB">
              <w:rPr>
                <w:iCs/>
                <w:color w:val="000000"/>
                <w:spacing w:val="2"/>
                <w:szCs w:val="20"/>
                <w:shd w:val="solid" w:color="000000" w:fill="000000"/>
                <w:fitText w:val="325" w:id="-761014263"/>
                <w14:textFill>
                  <w14:solidFill>
                    <w14:srgbClr w14:val="000000">
                      <w14:alpha w14:val="100000"/>
                    </w14:srgbClr>
                  </w14:solidFill>
                </w14:textFill>
              </w:rPr>
              <w:t>|</w:t>
            </w:r>
            <w:r w:rsidRPr="00EF28A2">
              <w:rPr>
                <w:iCs/>
                <w:szCs w:val="20"/>
              </w:rPr>
              <w:t>%)</w:t>
            </w:r>
          </w:p>
        </w:tc>
        <w:tc>
          <w:tcPr>
            <w:tcW w:w="1682" w:type="dxa"/>
            <w:tcMar>
              <w:top w:w="0" w:type="dxa"/>
              <w:left w:w="28" w:type="dxa"/>
              <w:bottom w:w="0" w:type="dxa"/>
              <w:right w:w="28" w:type="dxa"/>
            </w:tcMar>
            <w:vAlign w:val="center"/>
          </w:tcPr>
          <w:p w14:paraId="4F199B87" w14:textId="3D66EB05"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2"/>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2"/>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61"/>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1"/>
                <w14:textFill>
                  <w14:solidFill>
                    <w14:srgbClr w14:val="000000">
                      <w14:alpha w14:val="100000"/>
                    </w14:srgbClr>
                  </w14:solidFill>
                </w14:textFill>
              </w:rPr>
              <w:t>|</w:t>
            </w:r>
            <w:r w:rsidRPr="00EF28A2">
              <w:rPr>
                <w:iCs/>
                <w:szCs w:val="20"/>
              </w:rPr>
              <w:t>%)</w:t>
            </w:r>
          </w:p>
        </w:tc>
        <w:tc>
          <w:tcPr>
            <w:tcW w:w="1683" w:type="dxa"/>
            <w:tcMar>
              <w:top w:w="0" w:type="dxa"/>
              <w:left w:w="28" w:type="dxa"/>
              <w:bottom w:w="0" w:type="dxa"/>
              <w:right w:w="28" w:type="dxa"/>
            </w:tcMar>
            <w:vAlign w:val="center"/>
          </w:tcPr>
          <w:p w14:paraId="2470598B" w14:textId="2719FE9D" w:rsidR="00B3186A" w:rsidRPr="00EF28A2" w:rsidRDefault="00B3186A" w:rsidP="00B3186A">
            <w:pPr>
              <w:pStyle w:val="Tabletext0"/>
              <w:jc w:val="center"/>
              <w:rPr>
                <w:iCs/>
                <w:szCs w:val="20"/>
              </w:rPr>
            </w:pPr>
            <w:r w:rsidRPr="00EF28A2">
              <w:rPr>
                <w:iCs/>
                <w:szCs w:val="20"/>
              </w:rPr>
              <w:t>$</w:t>
            </w:r>
            <w:r w:rsidR="00F111EB" w:rsidRPr="00F111EB">
              <w:rPr>
                <w:iCs/>
                <w:color w:val="000000"/>
                <w:spacing w:val="51"/>
                <w:szCs w:val="20"/>
                <w:shd w:val="solid" w:color="000000" w:fill="000000"/>
                <w:fitText w:val="326" w:id="-761014260"/>
                <w14:textFill>
                  <w14:solidFill>
                    <w14:srgbClr w14:val="000000">
                      <w14:alpha w14:val="100000"/>
                    </w14:srgbClr>
                  </w14:solidFill>
                </w14:textFill>
              </w:rPr>
              <w:t>|||</w:t>
            </w:r>
            <w:r w:rsidR="00F111EB" w:rsidRPr="00F111EB">
              <w:rPr>
                <w:iCs/>
                <w:color w:val="000000"/>
                <w:spacing w:val="3"/>
                <w:szCs w:val="20"/>
                <w:shd w:val="solid" w:color="000000" w:fill="000000"/>
                <w:fitText w:val="326" w:id="-761014260"/>
                <w14:textFill>
                  <w14:solidFill>
                    <w14:srgbClr w14:val="000000">
                      <w14:alpha w14:val="100000"/>
                    </w14:srgbClr>
                  </w14:solidFill>
                </w14:textFill>
              </w:rPr>
              <w:t>|</w:t>
            </w:r>
            <w:r w:rsidR="00417127" w:rsidRPr="008E47DC">
              <w:rPr>
                <w:b/>
                <w:bCs/>
                <w:szCs w:val="20"/>
                <w:vertAlign w:val="superscript"/>
              </w:rPr>
              <w:t>2</w:t>
            </w:r>
            <w:r w:rsidRPr="00EF28A2">
              <w:rPr>
                <w:iCs/>
                <w:szCs w:val="20"/>
              </w:rPr>
              <w:t xml:space="preserve"> (+</w:t>
            </w:r>
            <w:r w:rsidR="00F111EB" w:rsidRPr="00F111EB">
              <w:rPr>
                <w:iCs/>
                <w:color w:val="000000"/>
                <w:spacing w:val="51"/>
                <w:szCs w:val="20"/>
                <w:shd w:val="solid" w:color="000000" w:fill="000000"/>
                <w:fitText w:val="326" w:id="-761014259"/>
                <w14:textFill>
                  <w14:solidFill>
                    <w14:srgbClr w14:val="000000">
                      <w14:alpha w14:val="100000"/>
                    </w14:srgbClr>
                  </w14:solidFill>
                </w14:textFill>
              </w:rPr>
              <w:t>|||</w:t>
            </w:r>
            <w:r w:rsidR="00F111EB" w:rsidRPr="00F111EB">
              <w:rPr>
                <w:iCs/>
                <w:color w:val="000000"/>
                <w:spacing w:val="3"/>
                <w:szCs w:val="20"/>
                <w:shd w:val="solid" w:color="000000" w:fill="000000"/>
                <w:fitText w:val="326" w:id="-761014259"/>
                <w14:textFill>
                  <w14:solidFill>
                    <w14:srgbClr w14:val="000000">
                      <w14:alpha w14:val="100000"/>
                    </w14:srgbClr>
                  </w14:solidFill>
                </w14:textFill>
              </w:rPr>
              <w:t>|</w:t>
            </w:r>
            <w:r w:rsidRPr="00EF28A2">
              <w:rPr>
                <w:iCs/>
                <w:szCs w:val="20"/>
              </w:rPr>
              <w:t>%)</w:t>
            </w:r>
          </w:p>
        </w:tc>
      </w:tr>
    </w:tbl>
    <w:p w14:paraId="6979BE68" w14:textId="77777777" w:rsidR="001F6890" w:rsidRPr="005E04CE" w:rsidRDefault="001F6890" w:rsidP="001F6890">
      <w:pPr>
        <w:pStyle w:val="COMTablefooter"/>
      </w:pPr>
      <w:r w:rsidRPr="005E04CE">
        <w:t xml:space="preserve">Source: </w:t>
      </w:r>
      <w:r>
        <w:t xml:space="preserve">Table 3.9-2, pp254-255 of the resubmission; and </w:t>
      </w:r>
      <w:r w:rsidRPr="005E04CE">
        <w:t>‘A7.1_TZP Section 3 Model’ spreadsheet provided with the resubmission.</w:t>
      </w:r>
    </w:p>
    <w:p w14:paraId="7E8A8307" w14:textId="77777777" w:rsidR="001F6890" w:rsidRDefault="001F6890" w:rsidP="001F6890">
      <w:pPr>
        <w:pStyle w:val="COMTablefooter"/>
      </w:pPr>
      <w:r w:rsidRPr="00FA1E86">
        <w:t xml:space="preserve">Abbreviations: BMI, body mass index; </w:t>
      </w:r>
      <w:r>
        <w:t xml:space="preserve">CPI, consumer price index; DPMQ, dispensed price for maximum quantity; </w:t>
      </w:r>
      <w:r w:rsidRPr="00FA1E86">
        <w:t>eGFR, estimated glomerular filtration rate; GIP, glucose-dependent insulinotropic peptide; GLP-1 RA glucagon-like peptide-1 receptor agonists; GP, general practitioner; HbA1c, glycated haemoglobin; HDL, high density lipoprotein cholesterol; ICER, incremental cost effectiveness ratio; LDL, low density lipoprotein cholesterol; NE, not estimated; QALY, quality-adjusted life year; SBP, systolic blood pressure; UKPDS OM2, United Kingdom Prospective Diabetes Study Outcomes Model 2</w:t>
      </w:r>
      <w:r>
        <w:t>; WBC, white blood cell.</w:t>
      </w:r>
    </w:p>
    <w:p w14:paraId="64725CC9" w14:textId="77943A8C" w:rsidR="00C57B48" w:rsidRPr="00C57B48" w:rsidRDefault="00C57B48" w:rsidP="00953339">
      <w:pPr>
        <w:pStyle w:val="COMTablefooter"/>
      </w:pPr>
      <w:r>
        <w:rPr>
          <w:vertAlign w:val="superscript"/>
        </w:rPr>
        <w:t xml:space="preserve">a </w:t>
      </w:r>
      <w:r>
        <w:t>Note that this sensitivity analysis has no impact on HbA1c</w:t>
      </w:r>
      <w:r w:rsidR="00807CCD">
        <w:t>, given the model base case assumes</w:t>
      </w:r>
      <w:r w:rsidR="00807CCD" w:rsidRPr="00807CCD">
        <w:t xml:space="preserve"> HbA1c levels remain unaffected by patients discontinuing GLP-1 RA/GIP therapy when initiating insulin therapy.</w:t>
      </w:r>
    </w:p>
    <w:p w14:paraId="2849D65C" w14:textId="0434461C" w:rsidR="00953339" w:rsidRDefault="00C57B48" w:rsidP="00953339">
      <w:pPr>
        <w:pStyle w:val="COMTablefooter"/>
      </w:pPr>
      <w:r>
        <w:rPr>
          <w:vertAlign w:val="superscript"/>
        </w:rPr>
        <w:t>b</w:t>
      </w:r>
      <w:r w:rsidR="00953339">
        <w:rPr>
          <w:vertAlign w:val="superscript"/>
        </w:rPr>
        <w:t xml:space="preserve"> </w:t>
      </w:r>
      <w:r w:rsidR="00953339">
        <w:t>Reverts the disutility associated with a hypoglycaemia event to 0.005, given the disutility of 0.003 was selected based on the high frequency of hypoglycaemia events assumed in the base case (approximately monthly).</w:t>
      </w:r>
    </w:p>
    <w:p w14:paraId="33B156FF" w14:textId="7E771D96" w:rsidR="00953339" w:rsidRDefault="00C57B48" w:rsidP="00953339">
      <w:pPr>
        <w:pStyle w:val="COMTablefooter"/>
      </w:pPr>
      <w:r>
        <w:rPr>
          <w:vertAlign w:val="superscript"/>
        </w:rPr>
        <w:t>c</w:t>
      </w:r>
      <w:r w:rsidR="00953339" w:rsidRPr="00C57B48">
        <w:rPr>
          <w:vertAlign w:val="superscript"/>
        </w:rPr>
        <w:t xml:space="preserve"> </w:t>
      </w:r>
      <w:r w:rsidR="00953339" w:rsidRPr="00A95FC9">
        <w:t xml:space="preserve">Based on the rate per year in patients </w:t>
      </w:r>
      <w:r w:rsidR="007F7FD2">
        <w:t xml:space="preserve">in the insulin glargine arm </w:t>
      </w:r>
      <w:r w:rsidR="006D2906">
        <w:t>(</w:t>
      </w:r>
      <w:r w:rsidR="00953339" w:rsidRPr="00A95FC9">
        <w:t>without sulfonylurea</w:t>
      </w:r>
      <w:r w:rsidR="006D2906">
        <w:t>)</w:t>
      </w:r>
      <w:r w:rsidR="00953339" w:rsidRPr="00A95FC9">
        <w:t xml:space="preserve"> </w:t>
      </w:r>
      <w:r w:rsidR="006D2906">
        <w:t>of</w:t>
      </w:r>
      <w:r w:rsidR="00953339" w:rsidRPr="00A95FC9">
        <w:t xml:space="preserve"> the SURPASS-4 trial using the same </w:t>
      </w:r>
      <w:r w:rsidR="008A407C">
        <w:t xml:space="preserve">hypoglycaemia </w:t>
      </w:r>
      <w:r w:rsidR="00953339" w:rsidRPr="00A95FC9">
        <w:t xml:space="preserve">definition </w:t>
      </w:r>
      <w:r w:rsidR="008A407C">
        <w:t>as</w:t>
      </w:r>
      <w:r w:rsidR="00953339" w:rsidRPr="00A95FC9">
        <w:t xml:space="preserve"> the SURPASS-2 trial (severe event requiring assistance or an event with or without symptoms which was confirmed to be caused by blood glucose &lt; 3.0 mmol/L).</w:t>
      </w:r>
    </w:p>
    <w:p w14:paraId="6C4C29EA" w14:textId="71CC1420" w:rsidR="00DD3570" w:rsidRDefault="00DD3570" w:rsidP="00ED606C">
      <w:pPr>
        <w:pStyle w:val="COMTablefooter"/>
        <w:spacing w:after="0"/>
      </w:pPr>
      <w:r>
        <w:rPr>
          <w:vertAlign w:val="superscript"/>
        </w:rPr>
        <w:t>d</w:t>
      </w:r>
      <w:r w:rsidRPr="0082099A">
        <w:rPr>
          <w:vertAlign w:val="superscript"/>
        </w:rPr>
        <w:t xml:space="preserve"> </w:t>
      </w:r>
      <w:r>
        <w:t xml:space="preserve">Includes 3 GP visits for semaglutide titration (1 level C visit (#36) $82.90 and 2 level B visits (#23) $42.85); 2 endocrinologist visits for tirzepatide </w:t>
      </w:r>
      <w:r w:rsidR="00DF2B6D">
        <w:t>5</w:t>
      </w:r>
      <w:r w:rsidR="00337D3D">
        <w:t xml:space="preserve"> mg </w:t>
      </w:r>
      <w:r>
        <w:t>titration (1 initial visit (#110) $174.50 and 1 subsequent visit (#116) $87.30)</w:t>
      </w:r>
      <w:r w:rsidR="00337D3D">
        <w:t xml:space="preserve">; 4 endocrinologist visits for tirzepatide 10 mg titration (1 initial visit and 3 subsequent visits); and 6 endocrinologist visits for tirzepatide </w:t>
      </w:r>
      <w:r w:rsidR="00496456">
        <w:t xml:space="preserve">15 mg </w:t>
      </w:r>
      <w:r w:rsidR="00337D3D">
        <w:t>titration (1 initial visit and 5 subsequent visits).</w:t>
      </w:r>
    </w:p>
    <w:p w14:paraId="68C31FEA" w14:textId="77777777" w:rsidR="00142626" w:rsidRPr="00944922" w:rsidRDefault="00142626" w:rsidP="00142626">
      <w:pPr>
        <w:rPr>
          <w:rFonts w:ascii="Arial Narrow" w:hAnsi="Arial Narrow"/>
          <w:i/>
          <w:iCs/>
          <w:sz w:val="18"/>
          <w:szCs w:val="18"/>
        </w:rPr>
      </w:pPr>
      <w:r w:rsidRPr="00944922">
        <w:rPr>
          <w:rFonts w:ascii="Arial Narrow" w:hAnsi="Arial Narrow"/>
          <w:i/>
          <w:iCs/>
          <w:sz w:val="18"/>
          <w:szCs w:val="18"/>
        </w:rPr>
        <w:t>The redacted values correspond to the following ranges:</w:t>
      </w:r>
    </w:p>
    <w:p w14:paraId="58C6C96E" w14:textId="3A90FFEA" w:rsidR="002C2A9C" w:rsidRPr="00944922" w:rsidRDefault="00322321" w:rsidP="002C2A9C">
      <w:pPr>
        <w:rPr>
          <w:rFonts w:ascii="Arial Narrow" w:hAnsi="Arial Narrow"/>
          <w:i/>
          <w:iCs/>
          <w:sz w:val="18"/>
          <w:szCs w:val="18"/>
        </w:rPr>
      </w:pPr>
      <w:r w:rsidRPr="00944922">
        <w:rPr>
          <w:rFonts w:ascii="Arial Narrow" w:hAnsi="Arial Narrow"/>
          <w:i/>
          <w:iCs/>
          <w:sz w:val="18"/>
          <w:szCs w:val="18"/>
        </w:rPr>
        <w:t xml:space="preserve">1 </w:t>
      </w:r>
      <w:r w:rsidR="002C2A9C" w:rsidRPr="00944922">
        <w:rPr>
          <w:rFonts w:ascii="Arial Narrow" w:hAnsi="Arial Narrow"/>
          <w:i/>
          <w:iCs/>
          <w:sz w:val="18"/>
          <w:szCs w:val="18"/>
        </w:rPr>
        <w:t>$95,000 to &lt; $115,000</w:t>
      </w:r>
    </w:p>
    <w:p w14:paraId="7F5963FF" w14:textId="0BD69730" w:rsidR="008E47DC" w:rsidRPr="00944922" w:rsidRDefault="008E47DC" w:rsidP="008E47DC">
      <w:pPr>
        <w:rPr>
          <w:rFonts w:ascii="Arial Narrow" w:hAnsi="Arial Narrow"/>
          <w:i/>
          <w:iCs/>
          <w:sz w:val="18"/>
          <w:szCs w:val="18"/>
        </w:rPr>
      </w:pPr>
      <w:r w:rsidRPr="00944922">
        <w:rPr>
          <w:rFonts w:ascii="Arial Narrow" w:hAnsi="Arial Narrow"/>
          <w:i/>
          <w:iCs/>
          <w:sz w:val="18"/>
          <w:szCs w:val="18"/>
        </w:rPr>
        <w:t>2 $45,000 to &lt; $55,000</w:t>
      </w:r>
    </w:p>
    <w:p w14:paraId="5FABA064" w14:textId="2471FD27" w:rsidR="00D36B9D" w:rsidRPr="00944922" w:rsidRDefault="00D36B9D" w:rsidP="00D36B9D">
      <w:pPr>
        <w:rPr>
          <w:rFonts w:ascii="Arial Narrow" w:hAnsi="Arial Narrow"/>
          <w:i/>
          <w:iCs/>
          <w:sz w:val="18"/>
          <w:szCs w:val="18"/>
        </w:rPr>
      </w:pPr>
      <w:r w:rsidRPr="00944922">
        <w:rPr>
          <w:rFonts w:ascii="Arial Narrow" w:hAnsi="Arial Narrow"/>
          <w:i/>
          <w:iCs/>
          <w:sz w:val="18"/>
          <w:szCs w:val="18"/>
        </w:rPr>
        <w:t>3 $35,000 to &lt; $45,000</w:t>
      </w:r>
    </w:p>
    <w:p w14:paraId="24F488C3" w14:textId="610EAAB1" w:rsidR="00B144A3" w:rsidRPr="00944922" w:rsidRDefault="00B144A3" w:rsidP="00B144A3">
      <w:pPr>
        <w:rPr>
          <w:rFonts w:ascii="Arial Narrow" w:hAnsi="Arial Narrow"/>
          <w:i/>
          <w:iCs/>
          <w:sz w:val="18"/>
          <w:szCs w:val="18"/>
        </w:rPr>
      </w:pPr>
      <w:r w:rsidRPr="00944922">
        <w:rPr>
          <w:rFonts w:ascii="Arial Narrow" w:hAnsi="Arial Narrow"/>
          <w:i/>
          <w:iCs/>
          <w:sz w:val="18"/>
          <w:szCs w:val="18"/>
        </w:rPr>
        <w:t>4 $75,000 to &lt; $95,000</w:t>
      </w:r>
    </w:p>
    <w:p w14:paraId="20AC544A" w14:textId="0A681CCB" w:rsidR="00142626" w:rsidRPr="00944922" w:rsidRDefault="007B0EAE" w:rsidP="00142626">
      <w:pPr>
        <w:rPr>
          <w:rFonts w:ascii="Arial Narrow" w:hAnsi="Arial Narrow"/>
          <w:i/>
          <w:iCs/>
          <w:sz w:val="18"/>
          <w:szCs w:val="18"/>
        </w:rPr>
      </w:pPr>
      <w:r w:rsidRPr="00944922">
        <w:rPr>
          <w:rFonts w:ascii="Arial Narrow" w:hAnsi="Arial Narrow"/>
          <w:i/>
          <w:iCs/>
          <w:sz w:val="18"/>
          <w:szCs w:val="18"/>
        </w:rPr>
        <w:t xml:space="preserve">5 </w:t>
      </w:r>
      <w:r w:rsidR="00142626" w:rsidRPr="00944922">
        <w:rPr>
          <w:rFonts w:ascii="Arial Narrow" w:hAnsi="Arial Narrow"/>
          <w:i/>
          <w:iCs/>
          <w:sz w:val="18"/>
          <w:szCs w:val="18"/>
        </w:rPr>
        <w:t>$115,000 to &lt; $135,000</w:t>
      </w:r>
    </w:p>
    <w:p w14:paraId="414EAC06" w14:textId="77777777" w:rsidR="00873544" w:rsidRPr="00944922" w:rsidRDefault="00873544" w:rsidP="00873544">
      <w:pPr>
        <w:rPr>
          <w:rFonts w:ascii="Arial Narrow" w:hAnsi="Arial Narrow"/>
          <w:i/>
          <w:iCs/>
          <w:sz w:val="18"/>
          <w:szCs w:val="18"/>
        </w:rPr>
      </w:pPr>
      <w:r w:rsidRPr="00944922">
        <w:rPr>
          <w:rFonts w:ascii="Arial Narrow" w:hAnsi="Arial Narrow"/>
          <w:i/>
          <w:iCs/>
          <w:sz w:val="18"/>
          <w:szCs w:val="18"/>
        </w:rPr>
        <w:t>6 $55,000 to &lt; $75,000</w:t>
      </w:r>
    </w:p>
    <w:p w14:paraId="4C3D9135" w14:textId="77777777" w:rsidR="003D1B44" w:rsidRPr="00944922" w:rsidRDefault="003D1B44" w:rsidP="003D1B44">
      <w:pPr>
        <w:rPr>
          <w:rFonts w:ascii="Arial Narrow" w:hAnsi="Arial Narrow"/>
          <w:i/>
          <w:iCs/>
          <w:sz w:val="18"/>
          <w:szCs w:val="18"/>
        </w:rPr>
      </w:pPr>
      <w:r w:rsidRPr="00944922">
        <w:rPr>
          <w:rFonts w:ascii="Arial Narrow" w:hAnsi="Arial Narrow"/>
          <w:i/>
          <w:iCs/>
          <w:sz w:val="18"/>
          <w:szCs w:val="18"/>
        </w:rPr>
        <w:t>7 &gt; $1,055,000</w:t>
      </w:r>
    </w:p>
    <w:p w14:paraId="6503A62B" w14:textId="77777777" w:rsidR="009C75E9" w:rsidRPr="00944922" w:rsidRDefault="009C75E9" w:rsidP="009C75E9">
      <w:pPr>
        <w:rPr>
          <w:rFonts w:ascii="Arial Narrow" w:hAnsi="Arial Narrow"/>
          <w:i/>
          <w:iCs/>
          <w:sz w:val="18"/>
          <w:szCs w:val="18"/>
        </w:rPr>
      </w:pPr>
      <w:r w:rsidRPr="00944922">
        <w:rPr>
          <w:rFonts w:ascii="Arial Narrow" w:hAnsi="Arial Narrow"/>
          <w:i/>
          <w:iCs/>
          <w:sz w:val="18"/>
          <w:szCs w:val="18"/>
        </w:rPr>
        <w:t>8 $355,000 to &lt; $455,000</w:t>
      </w:r>
    </w:p>
    <w:p w14:paraId="149937F8" w14:textId="77777777" w:rsidR="007E6627" w:rsidRPr="00944922" w:rsidRDefault="007E6627" w:rsidP="007E6627">
      <w:pPr>
        <w:rPr>
          <w:rFonts w:ascii="Arial Narrow" w:hAnsi="Arial Narrow"/>
          <w:i/>
          <w:iCs/>
          <w:sz w:val="18"/>
          <w:szCs w:val="18"/>
        </w:rPr>
      </w:pPr>
      <w:r w:rsidRPr="00944922">
        <w:rPr>
          <w:rFonts w:ascii="Arial Narrow" w:hAnsi="Arial Narrow"/>
          <w:i/>
          <w:iCs/>
          <w:sz w:val="18"/>
          <w:szCs w:val="18"/>
        </w:rPr>
        <w:t>9 $25,000 to &lt; $35,000</w:t>
      </w:r>
    </w:p>
    <w:p w14:paraId="015FEEBE" w14:textId="77777777" w:rsidR="0072060A" w:rsidRPr="00944922" w:rsidRDefault="0072060A" w:rsidP="0072060A">
      <w:pPr>
        <w:rPr>
          <w:rFonts w:ascii="Arial Narrow" w:hAnsi="Arial Narrow"/>
          <w:i/>
          <w:iCs/>
          <w:sz w:val="18"/>
          <w:szCs w:val="18"/>
        </w:rPr>
      </w:pPr>
      <w:r w:rsidRPr="00944922">
        <w:rPr>
          <w:rFonts w:ascii="Arial Narrow" w:hAnsi="Arial Narrow"/>
          <w:i/>
          <w:iCs/>
          <w:sz w:val="18"/>
          <w:szCs w:val="18"/>
        </w:rPr>
        <w:t xml:space="preserve">10 $5,000 to &lt; $15,000 </w:t>
      </w:r>
    </w:p>
    <w:p w14:paraId="1C8CF6CD" w14:textId="51BA7D28" w:rsidR="002656EF" w:rsidRPr="00944922" w:rsidRDefault="002656EF" w:rsidP="002656EF">
      <w:pPr>
        <w:rPr>
          <w:rFonts w:ascii="Arial Narrow" w:hAnsi="Arial Narrow"/>
          <w:i/>
          <w:iCs/>
          <w:sz w:val="18"/>
          <w:szCs w:val="18"/>
        </w:rPr>
      </w:pPr>
      <w:r w:rsidRPr="00944922">
        <w:rPr>
          <w:rFonts w:ascii="Arial Narrow" w:hAnsi="Arial Narrow"/>
          <w:i/>
          <w:iCs/>
          <w:sz w:val="18"/>
          <w:szCs w:val="18"/>
        </w:rPr>
        <w:t>11 $255,000 to &lt; $355,000</w:t>
      </w:r>
    </w:p>
    <w:p w14:paraId="29D272FC" w14:textId="1C01B037" w:rsidR="00142626" w:rsidRPr="00944922" w:rsidRDefault="00773FB0" w:rsidP="00ED606C">
      <w:pPr>
        <w:spacing w:after="120"/>
        <w:rPr>
          <w:rFonts w:ascii="Arial Narrow" w:hAnsi="Arial Narrow"/>
        </w:rPr>
      </w:pPr>
      <w:r w:rsidRPr="00944922">
        <w:rPr>
          <w:rFonts w:ascii="Arial Narrow" w:hAnsi="Arial Narrow"/>
          <w:i/>
          <w:iCs/>
          <w:sz w:val="18"/>
          <w:szCs w:val="18"/>
        </w:rPr>
        <w:t>12</w:t>
      </w:r>
      <w:r w:rsidR="00142626" w:rsidRPr="00944922">
        <w:rPr>
          <w:rFonts w:ascii="Arial Narrow" w:hAnsi="Arial Narrow"/>
          <w:i/>
          <w:iCs/>
          <w:sz w:val="18"/>
          <w:szCs w:val="18"/>
        </w:rPr>
        <w:t xml:space="preserve"> $135,000 to &lt; $155,000</w:t>
      </w:r>
    </w:p>
    <w:p w14:paraId="4B21D820" w14:textId="77777777" w:rsidR="00410940" w:rsidRDefault="001F6890" w:rsidP="001F6890">
      <w:pPr>
        <w:pStyle w:val="COMexecsummnumbered"/>
      </w:pPr>
      <w:r w:rsidRPr="00EF28A2">
        <w:t xml:space="preserve">The results of the sensitivity analyses indicated that the model was most sensitive to baseline patient characteristics, biomarker drift factors, HbA1c and BMI treatment effects, </w:t>
      </w:r>
      <w:r w:rsidR="00D87033" w:rsidRPr="00EF28A2">
        <w:t>incorporating the proposed tirzepatide continuation criteria</w:t>
      </w:r>
      <w:r w:rsidR="00CD3E58" w:rsidRPr="00EF28A2">
        <w:t xml:space="preserve"> (with a higher </w:t>
      </w:r>
      <w:r w:rsidR="00060A6E" w:rsidRPr="00EF28A2">
        <w:t xml:space="preserve">HbA1c threshold for </w:t>
      </w:r>
      <w:r w:rsidR="00CD3E58" w:rsidRPr="00EF28A2">
        <w:t xml:space="preserve">insulin initiation for </w:t>
      </w:r>
      <w:r w:rsidR="00A82ADE" w:rsidRPr="00EF28A2">
        <w:t>semaglutide which does not have continuation criteria</w:t>
      </w:r>
      <w:r w:rsidR="00970189" w:rsidRPr="00EF28A2">
        <w:t xml:space="preserve">; and a higher </w:t>
      </w:r>
      <w:r w:rsidR="00060A6E" w:rsidRPr="00EF28A2">
        <w:t>HbA1c</w:t>
      </w:r>
      <w:r w:rsidR="00970189" w:rsidRPr="00EF28A2">
        <w:t xml:space="preserve"> threshold </w:t>
      </w:r>
      <w:r w:rsidR="00060A6E" w:rsidRPr="00EF28A2">
        <w:t xml:space="preserve">for </w:t>
      </w:r>
      <w:r w:rsidR="00055E02" w:rsidRPr="00EF28A2">
        <w:t xml:space="preserve">subsequent </w:t>
      </w:r>
      <w:r w:rsidR="00060A6E" w:rsidRPr="00EF28A2">
        <w:t>insulin intensification</w:t>
      </w:r>
      <w:r w:rsidR="00A82ADE" w:rsidRPr="00EF28A2">
        <w:t>)</w:t>
      </w:r>
      <w:r w:rsidR="00D87033" w:rsidRPr="00EF28A2">
        <w:t>,</w:t>
      </w:r>
      <w:r w:rsidRPr="00EF28A2">
        <w:t xml:space="preserve"> </w:t>
      </w:r>
      <w:r w:rsidR="00573D7F" w:rsidRPr="00EF28A2">
        <w:t xml:space="preserve">using trial-based utilities for first-line therapy, </w:t>
      </w:r>
      <w:r w:rsidRPr="00EF28A2">
        <w:t>hypoglycaemia rates with insulin, hypoglycaemia and weight-related utility values</w:t>
      </w:r>
      <w:r w:rsidR="0016178C" w:rsidRPr="00EF28A2">
        <w:t>,</w:t>
      </w:r>
      <w:r w:rsidRPr="00EF28A2">
        <w:t xml:space="preserve"> as well as the use of concomitant semaglutide with insulin.</w:t>
      </w:r>
      <w:r w:rsidR="005D1DA1">
        <w:t xml:space="preserve"> </w:t>
      </w:r>
    </w:p>
    <w:p w14:paraId="4AC03D76" w14:textId="7F8AEFD7" w:rsidR="00A54C08" w:rsidRDefault="00A54C08" w:rsidP="00A54C08">
      <w:pPr>
        <w:pStyle w:val="COMexecsummnumbered"/>
      </w:pPr>
      <w:r w:rsidRPr="00EF28A2">
        <w:lastRenderedPageBreak/>
        <w:t xml:space="preserve">Given the limited differences in clinical outcomes between tirzepatide and semaglutide (weight, adverse events, diabetes complications), the model was largely driven by differences between treatments in the time to insulin therapy (as insulin is associated with substantially worse weight and hypoglycaemia outcomes). </w:t>
      </w:r>
    </w:p>
    <w:p w14:paraId="74630557" w14:textId="736AE60B" w:rsidR="00A54C08" w:rsidRPr="00A54C08" w:rsidRDefault="00A54C08" w:rsidP="00A54C08">
      <w:pPr>
        <w:widowControl w:val="0"/>
        <w:numPr>
          <w:ilvl w:val="1"/>
          <w:numId w:val="1"/>
        </w:numPr>
        <w:spacing w:after="120"/>
        <w:rPr>
          <w:rFonts w:asciiTheme="minorHAnsi" w:eastAsiaTheme="minorHAnsi" w:hAnsiTheme="minorHAnsi" w:cstheme="minorBidi"/>
          <w:szCs w:val="22"/>
        </w:rPr>
      </w:pPr>
      <w:bookmarkStart w:id="54" w:name="_Ref179787164"/>
      <w:bookmarkStart w:id="55" w:name="_Ref179549301"/>
      <w:r w:rsidRPr="00A54C08">
        <w:rPr>
          <w:rFonts w:asciiTheme="minorHAnsi" w:eastAsiaTheme="minorHAnsi" w:hAnsiTheme="minorHAnsi" w:cstheme="minorBidi"/>
          <w:szCs w:val="22"/>
        </w:rPr>
        <w:t xml:space="preserve">The ESC advised </w:t>
      </w:r>
      <w:r>
        <w:rPr>
          <w:rFonts w:asciiTheme="minorHAnsi" w:eastAsiaTheme="minorHAnsi" w:hAnsiTheme="minorHAnsi" w:cstheme="minorBidi"/>
          <w:szCs w:val="22"/>
        </w:rPr>
        <w:t xml:space="preserve">that </w:t>
      </w:r>
      <w:r w:rsidRPr="00A54C08">
        <w:rPr>
          <w:rFonts w:asciiTheme="minorHAnsi" w:eastAsiaTheme="minorHAnsi" w:hAnsiTheme="minorHAnsi" w:cstheme="minorBidi"/>
          <w:szCs w:val="22"/>
        </w:rPr>
        <w:t xml:space="preserve">the economic evaluation as presented may not provide a basis for the PBAC to recommend tirzepatide for the proposed population. The </w:t>
      </w:r>
      <w:r>
        <w:rPr>
          <w:rFonts w:asciiTheme="minorHAnsi" w:eastAsiaTheme="minorHAnsi" w:hAnsiTheme="minorHAnsi" w:cstheme="minorBidi"/>
          <w:szCs w:val="22"/>
        </w:rPr>
        <w:t>ESC considered the ICER</w:t>
      </w:r>
      <w:r w:rsidRPr="00A54C08">
        <w:rPr>
          <w:rFonts w:asciiTheme="minorHAnsi" w:eastAsiaTheme="minorHAnsi" w:hAnsiTheme="minorHAnsi" w:cstheme="minorBidi"/>
          <w:szCs w:val="22"/>
        </w:rPr>
        <w:t xml:space="preserve"> remain</w:t>
      </w:r>
      <w:r>
        <w:rPr>
          <w:rFonts w:asciiTheme="minorHAnsi" w:eastAsiaTheme="minorHAnsi" w:hAnsiTheme="minorHAnsi" w:cstheme="minorBidi"/>
          <w:szCs w:val="22"/>
        </w:rPr>
        <w:t>ed</w:t>
      </w:r>
      <w:r w:rsidRPr="00A54C08">
        <w:rPr>
          <w:rFonts w:asciiTheme="minorHAnsi" w:eastAsiaTheme="minorHAnsi" w:hAnsiTheme="minorHAnsi" w:cstheme="minorBidi"/>
          <w:szCs w:val="22"/>
        </w:rPr>
        <w:t xml:space="preserve"> uncertain and higher than previously advised would be acceptable in this indication.</w:t>
      </w:r>
    </w:p>
    <w:p w14:paraId="28A96F0A" w14:textId="0BB686EE" w:rsidR="00410940" w:rsidRPr="001F3166" w:rsidRDefault="001F3166" w:rsidP="001F6890">
      <w:pPr>
        <w:pStyle w:val="COMexecsummnumbered"/>
      </w:pPr>
      <w:bookmarkStart w:id="56" w:name="_Ref184281802"/>
      <w:r w:rsidRPr="001F3166">
        <w:t xml:space="preserve">The </w:t>
      </w:r>
      <w:r w:rsidR="005D1DA1" w:rsidRPr="001F3166">
        <w:t>ESC advised that a revised base case should</w:t>
      </w:r>
      <w:r w:rsidR="000550D0" w:rsidRPr="001F3166">
        <w:t xml:space="preserve"> include</w:t>
      </w:r>
      <w:r w:rsidR="00410940" w:rsidRPr="001F3166">
        <w:t>:</w:t>
      </w:r>
      <w:bookmarkEnd w:id="54"/>
      <w:bookmarkEnd w:id="56"/>
    </w:p>
    <w:p w14:paraId="128AF607" w14:textId="7B2E9CEE" w:rsidR="00410940" w:rsidRPr="001F3166" w:rsidRDefault="00410940" w:rsidP="00C41DE7">
      <w:pPr>
        <w:pStyle w:val="COMexecsummnumbered"/>
        <w:numPr>
          <w:ilvl w:val="0"/>
          <w:numId w:val="17"/>
        </w:numPr>
      </w:pPr>
      <w:r w:rsidRPr="001F3166">
        <w:t>switching to insulin</w:t>
      </w:r>
      <w:r w:rsidR="000550D0" w:rsidRPr="001F3166">
        <w:t>/insulin intensification</w:t>
      </w:r>
      <w:r w:rsidRPr="001F3166">
        <w:t xml:space="preserve"> </w:t>
      </w:r>
      <w:r w:rsidR="000550D0" w:rsidRPr="001F3166">
        <w:t>when</w:t>
      </w:r>
      <w:r w:rsidRPr="001F3166">
        <w:t xml:space="preserve"> HbA1c </w:t>
      </w:r>
      <w:r w:rsidR="000550D0" w:rsidRPr="001F3166">
        <w:t>&gt;</w:t>
      </w:r>
      <w:r w:rsidRPr="001F3166">
        <w:t xml:space="preserve"> 8.0%</w:t>
      </w:r>
      <w:r w:rsidR="00BA0B37">
        <w:t>;</w:t>
      </w:r>
      <w:r w:rsidRPr="001F3166">
        <w:t xml:space="preserve"> </w:t>
      </w:r>
    </w:p>
    <w:p w14:paraId="3C3BA00B" w14:textId="756FDE14" w:rsidR="00410940" w:rsidRPr="001F3166" w:rsidRDefault="005D1DA1" w:rsidP="00C41DE7">
      <w:pPr>
        <w:pStyle w:val="COMexecsummnumbered"/>
        <w:numPr>
          <w:ilvl w:val="0"/>
          <w:numId w:val="17"/>
        </w:numPr>
      </w:pPr>
      <w:r w:rsidRPr="001F3166">
        <w:t xml:space="preserve">apply </w:t>
      </w:r>
      <w:r w:rsidR="000550D0" w:rsidRPr="001F3166">
        <w:t>UKPDS biomarker</w:t>
      </w:r>
      <w:r w:rsidRPr="001F3166">
        <w:t xml:space="preserve"> drift for all biomarkers</w:t>
      </w:r>
      <w:r w:rsidR="000550D0" w:rsidRPr="001F3166">
        <w:t xml:space="preserve"> and test using more recent data.</w:t>
      </w:r>
    </w:p>
    <w:p w14:paraId="22D1AF49" w14:textId="3FB1FB24" w:rsidR="001F6890" w:rsidRPr="001F3166" w:rsidRDefault="000550D0" w:rsidP="000550D0">
      <w:pPr>
        <w:pStyle w:val="COMexecsummnumbered"/>
        <w:numPr>
          <w:ilvl w:val="0"/>
          <w:numId w:val="0"/>
        </w:numPr>
        <w:ind w:left="720"/>
      </w:pPr>
      <w:r w:rsidRPr="001F3166">
        <w:t xml:space="preserve">The </w:t>
      </w:r>
      <w:r w:rsidR="005D1DA1" w:rsidRPr="001F3166">
        <w:t>ESC</w:t>
      </w:r>
      <w:r w:rsidRPr="001F3166">
        <w:t xml:space="preserve"> also</w:t>
      </w:r>
      <w:r w:rsidR="005D1DA1" w:rsidRPr="001F3166">
        <w:t xml:space="preserve"> </w:t>
      </w:r>
      <w:r w:rsidRPr="001F3166">
        <w:t>suggest</w:t>
      </w:r>
      <w:r w:rsidR="005D1DA1" w:rsidRPr="001F3166">
        <w:t xml:space="preserve">ed </w:t>
      </w:r>
      <w:r w:rsidRPr="001F3166">
        <w:t xml:space="preserve">testing the </w:t>
      </w:r>
      <w:r w:rsidR="009C1146" w:rsidRPr="001F3166">
        <w:t>replacement of</w:t>
      </w:r>
      <w:r w:rsidR="005D1DA1" w:rsidRPr="001F3166">
        <w:t xml:space="preserve"> </w:t>
      </w:r>
      <w:r w:rsidR="009C1146" w:rsidRPr="001F3166">
        <w:t>baseline utility, BMI, nausea and hypoglycaemia while on first line therapy with the</w:t>
      </w:r>
      <w:r w:rsidR="005D1DA1" w:rsidRPr="001F3166">
        <w:t xml:space="preserve"> SUPRPASS</w:t>
      </w:r>
      <w:r w:rsidR="005D1DA1" w:rsidRPr="001F3166">
        <w:noBreakHyphen/>
        <w:t xml:space="preserve">2 BMI </w:t>
      </w:r>
      <w:r w:rsidR="005D1DA1" w:rsidRPr="001F3166">
        <w:rPr>
          <w:szCs w:val="20"/>
        </w:rPr>
        <w:t>≥35</w:t>
      </w:r>
      <w:r w:rsidR="00D91A61">
        <w:rPr>
          <w:szCs w:val="20"/>
        </w:rPr>
        <w:t> </w:t>
      </w:r>
      <w:r w:rsidR="005D1DA1" w:rsidRPr="001F3166">
        <w:rPr>
          <w:szCs w:val="20"/>
        </w:rPr>
        <w:t>kg/m</w:t>
      </w:r>
      <w:r w:rsidR="005D1DA1" w:rsidRPr="001F3166">
        <w:rPr>
          <w:szCs w:val="20"/>
          <w:vertAlign w:val="superscript"/>
        </w:rPr>
        <w:t>2</w:t>
      </w:r>
      <w:r w:rsidR="005D1DA1" w:rsidRPr="001F3166">
        <w:rPr>
          <w:szCs w:val="20"/>
        </w:rPr>
        <w:t xml:space="preserve"> subgroup </w:t>
      </w:r>
      <w:r w:rsidR="009C1146" w:rsidRPr="001F3166">
        <w:t>estimates, or removing some of the utility effects from weight gain/loss in year one to account for potential double counting</w:t>
      </w:r>
      <w:r w:rsidR="005D1DA1" w:rsidRPr="001F3166">
        <w:t>.</w:t>
      </w:r>
      <w:bookmarkEnd w:id="55"/>
      <w:r w:rsidR="005D1DA1" w:rsidRPr="001F3166">
        <w:t xml:space="preserve"> </w:t>
      </w:r>
    </w:p>
    <w:p w14:paraId="2782F4E6" w14:textId="79056C87" w:rsidR="007013AA" w:rsidRDefault="007013AA" w:rsidP="007013AA">
      <w:pPr>
        <w:pStyle w:val="COMexecsummnumbered"/>
      </w:pPr>
      <w:r>
        <w:t>The pre-PBAC response provided a revised base case that included:</w:t>
      </w:r>
    </w:p>
    <w:p w14:paraId="65F9E4FC" w14:textId="0201BC46" w:rsidR="007013AA" w:rsidRDefault="007013AA" w:rsidP="007013AA">
      <w:pPr>
        <w:pStyle w:val="COMexecsummnumbered"/>
        <w:numPr>
          <w:ilvl w:val="0"/>
          <w:numId w:val="17"/>
        </w:numPr>
      </w:pPr>
      <w:r>
        <w:t>S</w:t>
      </w:r>
      <w:r w:rsidRPr="001F3166">
        <w:t>witching to insulin/insulin intensification when HbA1c &gt;</w:t>
      </w:r>
      <w:r>
        <w:t xml:space="preserve"> 7.5%;</w:t>
      </w:r>
    </w:p>
    <w:p w14:paraId="3ED271B0" w14:textId="5BD151F7" w:rsidR="007013AA" w:rsidRDefault="002E3D86" w:rsidP="007013AA">
      <w:pPr>
        <w:pStyle w:val="COMexecsummnumbered"/>
        <w:numPr>
          <w:ilvl w:val="0"/>
          <w:numId w:val="17"/>
        </w:numPr>
      </w:pPr>
      <w:r>
        <w:t xml:space="preserve">Systolic blood pressure (SBP), heart rate and BMI remaining constant while on either tirzepatide or semaglutide. </w:t>
      </w:r>
      <w:r w:rsidR="007013AA" w:rsidRPr="001F3166">
        <w:t xml:space="preserve">UKPDS biomarker drift </w:t>
      </w:r>
      <w:r>
        <w:t xml:space="preserve">applied </w:t>
      </w:r>
      <w:r w:rsidR="00C710CC">
        <w:t>for BMI, SBP and heart rate while on insulin</w:t>
      </w:r>
      <w:r w:rsidR="007013AA">
        <w:t>;</w:t>
      </w:r>
    </w:p>
    <w:p w14:paraId="5222C2EB" w14:textId="721BC99E" w:rsidR="007013AA" w:rsidRDefault="007013AA" w:rsidP="007013AA">
      <w:pPr>
        <w:pStyle w:val="COMexecsummnumbered"/>
        <w:numPr>
          <w:ilvl w:val="0"/>
          <w:numId w:val="17"/>
        </w:numPr>
      </w:pPr>
      <w:r>
        <w:t xml:space="preserve">A price reduction for all doses of tirzepatide (see paragraph </w:t>
      </w:r>
      <w:r>
        <w:fldChar w:fldCharType="begin" w:fldLock="1"/>
      </w:r>
      <w:r>
        <w:instrText xml:space="preserve"> REF _Ref184112046 \r \h </w:instrText>
      </w:r>
      <w:r>
        <w:fldChar w:fldCharType="separate"/>
      </w:r>
      <w:r w:rsidR="00EE035D">
        <w:t>3.2</w:t>
      </w:r>
      <w:r>
        <w:fldChar w:fldCharType="end"/>
      </w:r>
      <w:r>
        <w:t>).</w:t>
      </w:r>
    </w:p>
    <w:p w14:paraId="5A5CFF57" w14:textId="71797C80" w:rsidR="002A2F0A" w:rsidRPr="00EF28A2" w:rsidRDefault="007013AA" w:rsidP="006D38B4">
      <w:pPr>
        <w:pStyle w:val="COMexecsummnumbered"/>
        <w:numPr>
          <w:ilvl w:val="0"/>
          <w:numId w:val="0"/>
        </w:numPr>
        <w:ind w:left="720"/>
      </w:pPr>
      <w:r>
        <w:t xml:space="preserve">The pre-PBAC response stated the revised base case resulted in an ICER of </w:t>
      </w:r>
      <w:r w:rsidR="00133ACE" w:rsidRPr="00133ACE">
        <w:t>$45,000</w:t>
      </w:r>
      <w:r w:rsidR="007641F8">
        <w:t> </w:t>
      </w:r>
      <w:r w:rsidR="00133ACE" w:rsidRPr="00133ACE">
        <w:t>to</w:t>
      </w:r>
      <w:r w:rsidR="007641F8">
        <w:t> </w:t>
      </w:r>
      <w:r w:rsidR="00133ACE" w:rsidRPr="00133ACE">
        <w:t>&lt;</w:t>
      </w:r>
      <w:r w:rsidR="007641F8">
        <w:t> </w:t>
      </w:r>
      <w:r w:rsidR="00133ACE" w:rsidRPr="00133ACE">
        <w:t>$55,000</w:t>
      </w:r>
      <w:r w:rsidR="00D91A61">
        <w:t xml:space="preserve"> </w:t>
      </w:r>
      <w:r>
        <w:t>per QALY gained for tirzepatide 15 mg versus semaglutide 1.0</w:t>
      </w:r>
      <w:r w:rsidR="007641F8">
        <w:t> </w:t>
      </w:r>
      <w:r>
        <w:t xml:space="preserve">mg. The ICERs for the comparison of tirzepatide 10 mg </w:t>
      </w:r>
      <w:bookmarkStart w:id="57" w:name="_Hlk184204448"/>
      <w:r>
        <w:t>versus semaglutide 1</w:t>
      </w:r>
      <w:r w:rsidR="007641F8">
        <w:t> </w:t>
      </w:r>
      <w:r>
        <w:t xml:space="preserve">mg </w:t>
      </w:r>
      <w:bookmarkEnd w:id="57"/>
      <w:r>
        <w:t xml:space="preserve">and tirzepatide 5 mg versus semaglutide 1 mg were </w:t>
      </w:r>
      <w:r w:rsidR="00133ACE" w:rsidRPr="00133ACE">
        <w:t>$45,000 to &lt; $55,000</w:t>
      </w:r>
      <w:r w:rsidR="00D91A61">
        <w:t xml:space="preserve"> </w:t>
      </w:r>
      <w:r>
        <w:t xml:space="preserve">per QALY gained and </w:t>
      </w:r>
      <w:r w:rsidR="00C3789F" w:rsidRPr="00C3789F">
        <w:t>$75,000 to &lt; $95,000</w:t>
      </w:r>
      <w:r w:rsidR="00D91A61">
        <w:t xml:space="preserve"> </w:t>
      </w:r>
      <w:r>
        <w:t>per QALY gained respectively.</w:t>
      </w:r>
      <w:r w:rsidR="00F231A7">
        <w:t xml:space="preserve"> </w:t>
      </w:r>
      <w:bookmarkStart w:id="58" w:name="_Hlk184208801"/>
      <w:r w:rsidR="00F231A7">
        <w:t xml:space="preserve">The pre-PBAC response maintained that the proposed population are of sufficiently high unmet need to warrant an ICER of </w:t>
      </w:r>
      <w:r w:rsidR="00BF3B47" w:rsidRPr="00BF3B47">
        <w:t>$45,000 to &lt; $55,000</w:t>
      </w:r>
      <w:r w:rsidR="00D91A61">
        <w:t xml:space="preserve"> </w:t>
      </w:r>
      <w:r w:rsidR="00F231A7">
        <w:t>per QALY</w:t>
      </w:r>
      <w:r w:rsidR="00EE035D">
        <w:t xml:space="preserve"> gained</w:t>
      </w:r>
      <w:r w:rsidR="00F231A7">
        <w:t xml:space="preserve">. </w:t>
      </w:r>
      <w:bookmarkEnd w:id="58"/>
      <w:r w:rsidR="002A2F0A">
        <w:t>The PBAC noted that raising insulin initiation</w:t>
      </w:r>
      <w:r w:rsidR="00A61F47">
        <w:t>/</w:t>
      </w:r>
      <w:r w:rsidR="002A2F0A">
        <w:t xml:space="preserve">intensification to </w:t>
      </w:r>
      <w:r w:rsidR="006D38B4" w:rsidRPr="001F3166">
        <w:t>HbA1c &gt; 8.0%</w:t>
      </w:r>
      <w:r w:rsidR="006D38B4">
        <w:t xml:space="preserve"> </w:t>
      </w:r>
      <w:r w:rsidR="00A61F47">
        <w:t xml:space="preserve">and applying UKPDS biomarker drift for all biomarkers </w:t>
      </w:r>
      <w:r w:rsidR="006D38B4">
        <w:t xml:space="preserve">in the pre-PBAC response model increased the ICERs for the comparison of tirzepatide 15 mg versus semaglutide 1 mg, tirzepatide </w:t>
      </w:r>
      <w:r w:rsidR="007641F8">
        <w:t>10 </w:t>
      </w:r>
      <w:r w:rsidR="006D38B4">
        <w:t xml:space="preserve">mg versus semaglutide 1 mg and tirzepatide 5 mg versus semaglutide 1 mg </w:t>
      </w:r>
      <w:r w:rsidR="00A61F47">
        <w:t xml:space="preserve">to </w:t>
      </w:r>
      <w:r w:rsidR="008C5AFC" w:rsidRPr="008C5AFC">
        <w:t>$55,000</w:t>
      </w:r>
      <w:r w:rsidR="007641F8">
        <w:t> </w:t>
      </w:r>
      <w:r w:rsidR="008C5AFC" w:rsidRPr="008C5AFC">
        <w:t>to</w:t>
      </w:r>
      <w:r w:rsidR="007641F8">
        <w:t> </w:t>
      </w:r>
      <w:r w:rsidR="008C5AFC" w:rsidRPr="008C5AFC">
        <w:t>&lt;</w:t>
      </w:r>
      <w:r w:rsidR="007641F8">
        <w:t> </w:t>
      </w:r>
      <w:r w:rsidR="008C5AFC" w:rsidRPr="008C5AFC">
        <w:t xml:space="preserve">$75,000 </w:t>
      </w:r>
      <w:r w:rsidR="00A61F47">
        <w:t>per QALY</w:t>
      </w:r>
      <w:r w:rsidR="00EE035D">
        <w:t xml:space="preserve"> gained</w:t>
      </w:r>
      <w:r w:rsidR="00A61F47">
        <w:t xml:space="preserve">, </w:t>
      </w:r>
      <w:r w:rsidR="008C5AFC" w:rsidRPr="008C5AFC">
        <w:t xml:space="preserve">$55,000 to &lt; $75,000 </w:t>
      </w:r>
      <w:r w:rsidR="00A61F47">
        <w:t>per QALY</w:t>
      </w:r>
      <w:r w:rsidR="00EE035D">
        <w:t xml:space="preserve"> gained</w:t>
      </w:r>
      <w:r w:rsidR="00A61F47">
        <w:t xml:space="preserve"> and </w:t>
      </w:r>
      <w:r w:rsidR="00923FD7" w:rsidRPr="00923FD7">
        <w:t>$115,000</w:t>
      </w:r>
      <w:r w:rsidR="007641F8">
        <w:t> </w:t>
      </w:r>
      <w:r w:rsidR="00923FD7" w:rsidRPr="00923FD7">
        <w:t>to</w:t>
      </w:r>
      <w:r w:rsidR="007641F8">
        <w:t> </w:t>
      </w:r>
      <w:r w:rsidR="00923FD7" w:rsidRPr="00923FD7">
        <w:t>&lt;</w:t>
      </w:r>
      <w:r w:rsidR="007641F8">
        <w:t> </w:t>
      </w:r>
      <w:r w:rsidR="00923FD7" w:rsidRPr="00923FD7">
        <w:t>$135,000</w:t>
      </w:r>
      <w:r w:rsidR="007641F8">
        <w:t xml:space="preserve"> </w:t>
      </w:r>
      <w:r w:rsidR="00A61F47">
        <w:t>per QALY</w:t>
      </w:r>
      <w:r w:rsidR="00EE035D">
        <w:t xml:space="preserve"> gained</w:t>
      </w:r>
      <w:r w:rsidR="00A61F47">
        <w:t xml:space="preserve"> respectively. </w:t>
      </w:r>
    </w:p>
    <w:p w14:paraId="1B52BDF7" w14:textId="77777777" w:rsidR="00FC268E" w:rsidRPr="0076762E" w:rsidRDefault="00FC268E" w:rsidP="00FC268E">
      <w:pPr>
        <w:pStyle w:val="COMH2-non-numbered"/>
      </w:pPr>
      <w:bookmarkStart w:id="59" w:name="_Toc22897646"/>
      <w:bookmarkStart w:id="60" w:name="_Toc176618572"/>
      <w:r w:rsidRPr="0076762E">
        <w:lastRenderedPageBreak/>
        <w:t>Drug</w:t>
      </w:r>
      <w:r>
        <w:t xml:space="preserve"> </w:t>
      </w:r>
      <w:r w:rsidRPr="0076762E">
        <w:t>cost/patient/year</w:t>
      </w:r>
      <w:bookmarkEnd w:id="59"/>
      <w:bookmarkEnd w:id="60"/>
    </w:p>
    <w:p w14:paraId="4042F195" w14:textId="11AC07D4" w:rsidR="00346F9F" w:rsidRDefault="005B1A91" w:rsidP="001E2F24">
      <w:pPr>
        <w:pStyle w:val="COMexecsummnumbered"/>
      </w:pPr>
      <w:r w:rsidRPr="005B1A91">
        <w:t>The estimated drug cost for semaglutide (0.5 or 1 mg) per patient per year is $</w:t>
      </w:r>
      <w:r w:rsidR="00F111EB" w:rsidRPr="00F111EB">
        <w:rPr>
          <w:color w:val="000000"/>
          <w:w w:val="60"/>
          <w:shd w:val="solid" w:color="000000" w:fill="000000"/>
          <w:fitText w:val="468" w:id="-761014258"/>
          <w14:textFill>
            <w14:solidFill>
              <w14:srgbClr w14:val="000000">
                <w14:alpha w14:val="100000"/>
              </w14:srgbClr>
            </w14:solidFill>
          </w14:textFill>
        </w:rPr>
        <w:t>|||  ||</w:t>
      </w:r>
      <w:r w:rsidR="00F111EB" w:rsidRPr="00F111EB">
        <w:rPr>
          <w:color w:val="000000"/>
          <w:spacing w:val="4"/>
          <w:w w:val="60"/>
          <w:shd w:val="solid" w:color="000000" w:fill="000000"/>
          <w:fitText w:val="468" w:id="-761014258"/>
          <w14:textFill>
            <w14:solidFill>
              <w14:srgbClr w14:val="000000">
                <w14:alpha w14:val="100000"/>
              </w14:srgbClr>
            </w14:solidFill>
          </w14:textFill>
        </w:rPr>
        <w:t>|</w:t>
      </w:r>
      <w:r w:rsidRPr="005B1A91">
        <w:t xml:space="preserve"> (based on the effective DPMQ per script of $</w:t>
      </w:r>
      <w:r w:rsidR="00F111EB" w:rsidRPr="00F111EB">
        <w:rPr>
          <w:color w:val="000000"/>
          <w:w w:val="60"/>
          <w:shd w:val="solid" w:color="000000" w:fill="000000"/>
          <w:fitText w:val="468" w:id="-761014257"/>
          <w14:textFill>
            <w14:solidFill>
              <w14:srgbClr w14:val="000000">
                <w14:alpha w14:val="100000"/>
              </w14:srgbClr>
            </w14:solidFill>
          </w14:textFill>
        </w:rPr>
        <w:t>|||  ||</w:t>
      </w:r>
      <w:r w:rsidR="00F111EB" w:rsidRPr="00F111EB">
        <w:rPr>
          <w:color w:val="000000"/>
          <w:spacing w:val="4"/>
          <w:w w:val="60"/>
          <w:shd w:val="solid" w:color="000000" w:fill="000000"/>
          <w:fitText w:val="468" w:id="-761014257"/>
          <w14:textFill>
            <w14:solidFill>
              <w14:srgbClr w14:val="000000">
                <w14:alpha w14:val="100000"/>
              </w14:srgbClr>
            </w14:solidFill>
          </w14:textFill>
        </w:rPr>
        <w:t>|</w:t>
      </w:r>
      <w:r w:rsidRPr="005B1A91">
        <w:t>/28 days per script × 365.25 days per year).</w:t>
      </w:r>
    </w:p>
    <w:p w14:paraId="57BF8CBD" w14:textId="263DE4FE" w:rsidR="00DE4273" w:rsidRPr="00342C5C" w:rsidRDefault="00425D0F" w:rsidP="001E2F24">
      <w:pPr>
        <w:pStyle w:val="COMexecsummnumbered"/>
        <w:rPr>
          <w:i/>
          <w:iCs/>
        </w:rPr>
      </w:pPr>
      <w:r w:rsidRPr="00CA5347">
        <w:t xml:space="preserve">The estimated drug costs per patient per year for tirzepatide are summarised in </w:t>
      </w:r>
      <w:r w:rsidR="00EE1E47">
        <w:fldChar w:fldCharType="begin" w:fldLock="1"/>
      </w:r>
      <w:r w:rsidR="00EE1E47">
        <w:instrText xml:space="preserve"> REF _Ref104805102 \h </w:instrText>
      </w:r>
      <w:r w:rsidR="00EE1E47">
        <w:fldChar w:fldCharType="separate"/>
      </w:r>
      <w:r w:rsidR="00EE035D" w:rsidRPr="0076762E">
        <w:t xml:space="preserve">Table </w:t>
      </w:r>
      <w:r w:rsidR="00EE035D">
        <w:rPr>
          <w:noProof/>
        </w:rPr>
        <w:t>14</w:t>
      </w:r>
      <w:r w:rsidR="00EE1E47">
        <w:fldChar w:fldCharType="end"/>
      </w:r>
      <w:r w:rsidR="00EE1E47">
        <w:t>.</w:t>
      </w:r>
      <w:r w:rsidR="004B2660">
        <w:t xml:space="preserve"> </w:t>
      </w:r>
      <w:r w:rsidR="004B2660" w:rsidRPr="001F3166">
        <w:t>For patients using the 15 mg strength, the estimated drug cost for tirzepatide per patient per year was higher than the July 2023 PBAC submission ($</w:t>
      </w:r>
      <w:r w:rsidR="00F111EB" w:rsidRPr="00F111EB">
        <w:rPr>
          <w:color w:val="000000"/>
          <w:w w:val="60"/>
          <w:shd w:val="solid" w:color="000000" w:fill="000000"/>
          <w:fitText w:val="468" w:id="-761014256"/>
          <w14:textFill>
            <w14:solidFill>
              <w14:srgbClr w14:val="000000">
                <w14:alpha w14:val="100000"/>
              </w14:srgbClr>
            </w14:solidFill>
          </w14:textFill>
        </w:rPr>
        <w:t>|||  ||</w:t>
      </w:r>
      <w:r w:rsidR="00F111EB" w:rsidRPr="00F111EB">
        <w:rPr>
          <w:color w:val="000000"/>
          <w:spacing w:val="4"/>
          <w:w w:val="60"/>
          <w:shd w:val="solid" w:color="000000" w:fill="000000"/>
          <w:fitText w:val="468" w:id="-761014256"/>
          <w14:textFill>
            <w14:solidFill>
              <w14:srgbClr w14:val="000000">
                <w14:alpha w14:val="100000"/>
              </w14:srgbClr>
            </w14:solidFill>
          </w14:textFill>
        </w:rPr>
        <w:t>|</w:t>
      </w:r>
      <w:r w:rsidR="004B2660" w:rsidRPr="001F3166">
        <w:t xml:space="preserve"> vs $</w:t>
      </w:r>
      <w:r w:rsidR="00F111EB" w:rsidRPr="00F111EB">
        <w:rPr>
          <w:color w:val="000000"/>
          <w:w w:val="60"/>
          <w:shd w:val="solid" w:color="000000" w:fill="000000"/>
          <w:fitText w:val="468" w:id="-761014272"/>
          <w14:textFill>
            <w14:solidFill>
              <w14:srgbClr w14:val="000000">
                <w14:alpha w14:val="100000"/>
              </w14:srgbClr>
            </w14:solidFill>
          </w14:textFill>
        </w:rPr>
        <w:t>|||  ||</w:t>
      </w:r>
      <w:r w:rsidR="00F111EB" w:rsidRPr="00F111EB">
        <w:rPr>
          <w:color w:val="000000"/>
          <w:spacing w:val="4"/>
          <w:w w:val="60"/>
          <w:shd w:val="solid" w:color="000000" w:fill="000000"/>
          <w:fitText w:val="468" w:id="-761014272"/>
          <w14:textFill>
            <w14:solidFill>
              <w14:srgbClr w14:val="000000">
                <w14:alpha w14:val="100000"/>
              </w14:srgbClr>
            </w14:solidFill>
          </w14:textFill>
        </w:rPr>
        <w:t>|</w:t>
      </w:r>
      <w:r w:rsidR="004B2660" w:rsidRPr="001F3166">
        <w:t>).</w:t>
      </w:r>
      <w:r w:rsidR="004B2660" w:rsidRPr="00342C5C">
        <w:rPr>
          <w:i/>
          <w:iCs/>
        </w:rPr>
        <w:t xml:space="preserve"> </w:t>
      </w:r>
    </w:p>
    <w:p w14:paraId="129E7251" w14:textId="2B1631D7" w:rsidR="00CA5347" w:rsidRDefault="00CA5347" w:rsidP="00CA5347">
      <w:pPr>
        <w:pStyle w:val="COMtablefigcaption"/>
      </w:pPr>
      <w:bookmarkStart w:id="61" w:name="_Ref104805102"/>
      <w:r w:rsidRPr="0076762E">
        <w:t xml:space="preserve">Table </w:t>
      </w:r>
      <w:r w:rsidR="00EE035D">
        <w:fldChar w:fldCharType="begin" w:fldLock="1"/>
      </w:r>
      <w:r w:rsidR="00EE035D">
        <w:instrText xml:space="preserve"> SEQ Table \* ARABIC </w:instrText>
      </w:r>
      <w:r w:rsidR="00EE035D">
        <w:fldChar w:fldCharType="separate"/>
      </w:r>
      <w:r w:rsidR="00EE035D">
        <w:rPr>
          <w:noProof/>
        </w:rPr>
        <w:t>14</w:t>
      </w:r>
      <w:r w:rsidR="00EE035D">
        <w:rPr>
          <w:noProof/>
        </w:rPr>
        <w:fldChar w:fldCharType="end"/>
      </w:r>
      <w:bookmarkEnd w:id="61"/>
      <w:r w:rsidRPr="0076762E">
        <w:t xml:space="preserve">: Drug cost per patient </w:t>
      </w:r>
      <w:r>
        <w:t>per year for tirzepatide</w:t>
      </w:r>
    </w:p>
    <w:tbl>
      <w:tblPr>
        <w:tblStyle w:val="TableGrid"/>
        <w:tblW w:w="0" w:type="auto"/>
        <w:tblCellMar>
          <w:left w:w="28" w:type="dxa"/>
          <w:right w:w="28" w:type="dxa"/>
        </w:tblCellMar>
        <w:tblLook w:val="04A0" w:firstRow="1" w:lastRow="0" w:firstColumn="1" w:lastColumn="0" w:noHBand="0" w:noVBand="1"/>
        <w:tblCaption w:val="Table 14: Drug cost per patient per year for tirzepatide"/>
      </w:tblPr>
      <w:tblGrid>
        <w:gridCol w:w="2254"/>
        <w:gridCol w:w="2254"/>
        <w:gridCol w:w="2254"/>
        <w:gridCol w:w="2255"/>
      </w:tblGrid>
      <w:tr w:rsidR="00CA5347" w14:paraId="72FBA63A" w14:textId="77777777" w:rsidTr="00264190">
        <w:tc>
          <w:tcPr>
            <w:tcW w:w="2254" w:type="dxa"/>
          </w:tcPr>
          <w:p w14:paraId="147B5109" w14:textId="77777777" w:rsidR="00CA5347" w:rsidRDefault="00CA5347" w:rsidP="00CA5347">
            <w:pPr>
              <w:pStyle w:val="COMTableheadingrow"/>
              <w:rPr>
                <w:lang w:val="en-AU"/>
              </w:rPr>
            </w:pPr>
          </w:p>
        </w:tc>
        <w:tc>
          <w:tcPr>
            <w:tcW w:w="2254" w:type="dxa"/>
            <w:vAlign w:val="center"/>
          </w:tcPr>
          <w:p w14:paraId="59E09219" w14:textId="20CEA1F0" w:rsidR="00CA5347" w:rsidRDefault="00CA5347" w:rsidP="00264190">
            <w:pPr>
              <w:pStyle w:val="COMTableheadingrow"/>
              <w:jc w:val="center"/>
              <w:rPr>
                <w:lang w:val="en-AU"/>
              </w:rPr>
            </w:pPr>
            <w:r>
              <w:rPr>
                <w:lang w:val="en-AU"/>
              </w:rPr>
              <w:t>SURPASS-2</w:t>
            </w:r>
          </w:p>
        </w:tc>
        <w:tc>
          <w:tcPr>
            <w:tcW w:w="2254" w:type="dxa"/>
            <w:vAlign w:val="center"/>
          </w:tcPr>
          <w:p w14:paraId="17519C08" w14:textId="159E8A40" w:rsidR="00CA5347" w:rsidRDefault="00CA5347" w:rsidP="00264190">
            <w:pPr>
              <w:pStyle w:val="COMTableheadingrow"/>
              <w:jc w:val="center"/>
              <w:rPr>
                <w:lang w:val="en-AU"/>
              </w:rPr>
            </w:pPr>
            <w:r>
              <w:rPr>
                <w:lang w:val="en-AU"/>
              </w:rPr>
              <w:t>Economic model</w:t>
            </w:r>
          </w:p>
        </w:tc>
        <w:tc>
          <w:tcPr>
            <w:tcW w:w="2255" w:type="dxa"/>
            <w:vAlign w:val="center"/>
          </w:tcPr>
          <w:p w14:paraId="30DB954E" w14:textId="6912D0C8" w:rsidR="00CA5347" w:rsidRDefault="00CA5347" w:rsidP="00264190">
            <w:pPr>
              <w:pStyle w:val="COMTableheadingrow"/>
              <w:jc w:val="center"/>
              <w:rPr>
                <w:lang w:val="en-AU"/>
              </w:rPr>
            </w:pPr>
            <w:r>
              <w:rPr>
                <w:lang w:val="en-AU"/>
              </w:rPr>
              <w:t>Financial estimates</w:t>
            </w:r>
          </w:p>
        </w:tc>
      </w:tr>
      <w:tr w:rsidR="00CA5347" w14:paraId="3D4739D7" w14:textId="77777777" w:rsidTr="00455C82">
        <w:tc>
          <w:tcPr>
            <w:tcW w:w="2254" w:type="dxa"/>
            <w:vAlign w:val="center"/>
          </w:tcPr>
          <w:p w14:paraId="3B24F78E" w14:textId="1B33B1AF" w:rsidR="00CA5347" w:rsidRDefault="00182D11" w:rsidP="00455C82">
            <w:pPr>
              <w:pStyle w:val="COMTabletext"/>
            </w:pPr>
            <w:r>
              <w:t>Dose distribution</w:t>
            </w:r>
          </w:p>
        </w:tc>
        <w:tc>
          <w:tcPr>
            <w:tcW w:w="2254" w:type="dxa"/>
            <w:vAlign w:val="center"/>
          </w:tcPr>
          <w:p w14:paraId="1439DF6D" w14:textId="5297C3C5" w:rsidR="00CA5347" w:rsidRDefault="00932C51" w:rsidP="00264190">
            <w:pPr>
              <w:pStyle w:val="COMTabletext"/>
              <w:jc w:val="center"/>
            </w:pPr>
            <w:r>
              <w:t>-</w:t>
            </w:r>
          </w:p>
        </w:tc>
        <w:tc>
          <w:tcPr>
            <w:tcW w:w="2254" w:type="dxa"/>
            <w:vAlign w:val="center"/>
          </w:tcPr>
          <w:p w14:paraId="0B3D0E1A" w14:textId="233E44D5" w:rsidR="00CA5347" w:rsidRDefault="00932C51" w:rsidP="00264190">
            <w:pPr>
              <w:pStyle w:val="COMTabletext"/>
              <w:jc w:val="center"/>
            </w:pPr>
            <w:r>
              <w:t>-</w:t>
            </w:r>
          </w:p>
        </w:tc>
        <w:tc>
          <w:tcPr>
            <w:tcW w:w="2255" w:type="dxa"/>
            <w:vAlign w:val="center"/>
          </w:tcPr>
          <w:p w14:paraId="342E32AB" w14:textId="1A17749B" w:rsidR="00CA5347" w:rsidRPr="008F74A5" w:rsidRDefault="00932C51" w:rsidP="00264190">
            <w:pPr>
              <w:pStyle w:val="COMTabletext"/>
              <w:jc w:val="center"/>
            </w:pPr>
            <w:r w:rsidRPr="008F74A5">
              <w:t xml:space="preserve">5 mg: </w:t>
            </w:r>
            <w:r w:rsidR="00F111EB" w:rsidRPr="00F111EB">
              <w:rPr>
                <w:color w:val="000000"/>
                <w:spacing w:val="55"/>
                <w:shd w:val="solid" w:color="000000" w:fill="000000"/>
                <w:fitText w:val="338" w:id="-761014271"/>
                <w14:textFill>
                  <w14:solidFill>
                    <w14:srgbClr w14:val="000000">
                      <w14:alpha w14:val="100000"/>
                    </w14:srgbClr>
                  </w14:solidFill>
                </w14:textFill>
              </w:rPr>
              <w:t>|||</w:t>
            </w:r>
            <w:r w:rsidR="00F111EB" w:rsidRPr="00F111EB">
              <w:rPr>
                <w:color w:val="000000"/>
                <w:spacing w:val="3"/>
                <w:shd w:val="solid" w:color="000000" w:fill="000000"/>
                <w:fitText w:val="338" w:id="-761014271"/>
                <w14:textFill>
                  <w14:solidFill>
                    <w14:srgbClr w14:val="000000">
                      <w14:alpha w14:val="100000"/>
                    </w14:srgbClr>
                  </w14:solidFill>
                </w14:textFill>
              </w:rPr>
              <w:t>|</w:t>
            </w:r>
            <w:r w:rsidRPr="008F74A5">
              <w:t>%</w:t>
            </w:r>
          </w:p>
          <w:p w14:paraId="34B54A17" w14:textId="4D1E1066" w:rsidR="00932C51" w:rsidRPr="008F74A5" w:rsidRDefault="00932C51" w:rsidP="00264190">
            <w:pPr>
              <w:pStyle w:val="COMTabletext"/>
              <w:jc w:val="center"/>
            </w:pPr>
            <w:r w:rsidRPr="008F74A5">
              <w:t xml:space="preserve">10 mg: </w:t>
            </w:r>
            <w:r w:rsidR="00F111EB" w:rsidRPr="00F111EB">
              <w:rPr>
                <w:color w:val="000000"/>
                <w:spacing w:val="51"/>
                <w:shd w:val="solid" w:color="000000" w:fill="000000"/>
                <w:fitText w:val="326" w:id="-761014270"/>
                <w14:textFill>
                  <w14:solidFill>
                    <w14:srgbClr w14:val="000000">
                      <w14:alpha w14:val="100000"/>
                    </w14:srgbClr>
                  </w14:solidFill>
                </w14:textFill>
              </w:rPr>
              <w:t>|||</w:t>
            </w:r>
            <w:r w:rsidR="00F111EB" w:rsidRPr="00F111EB">
              <w:rPr>
                <w:color w:val="000000"/>
                <w:spacing w:val="3"/>
                <w:shd w:val="solid" w:color="000000" w:fill="000000"/>
                <w:fitText w:val="326" w:id="-761014270"/>
                <w14:textFill>
                  <w14:solidFill>
                    <w14:srgbClr w14:val="000000">
                      <w14:alpha w14:val="100000"/>
                    </w14:srgbClr>
                  </w14:solidFill>
                </w14:textFill>
              </w:rPr>
              <w:t>|</w:t>
            </w:r>
            <w:r w:rsidRPr="008F74A5">
              <w:t>%</w:t>
            </w:r>
          </w:p>
          <w:p w14:paraId="4052A315" w14:textId="43422232" w:rsidR="00932C51" w:rsidRDefault="00932C51" w:rsidP="00264190">
            <w:pPr>
              <w:pStyle w:val="COMTabletext"/>
              <w:jc w:val="center"/>
            </w:pPr>
            <w:r w:rsidRPr="008F74A5">
              <w:t xml:space="preserve">15 mg: </w:t>
            </w:r>
            <w:r w:rsidR="00F111EB" w:rsidRPr="00F111EB">
              <w:rPr>
                <w:color w:val="000000"/>
                <w:spacing w:val="51"/>
                <w:shd w:val="solid" w:color="000000" w:fill="000000"/>
                <w:fitText w:val="326" w:id="-761014269"/>
                <w14:textFill>
                  <w14:solidFill>
                    <w14:srgbClr w14:val="000000">
                      <w14:alpha w14:val="100000"/>
                    </w14:srgbClr>
                  </w14:solidFill>
                </w14:textFill>
              </w:rPr>
              <w:t>|||</w:t>
            </w:r>
            <w:r w:rsidR="00F111EB" w:rsidRPr="00F111EB">
              <w:rPr>
                <w:color w:val="000000"/>
                <w:spacing w:val="3"/>
                <w:shd w:val="solid" w:color="000000" w:fill="000000"/>
                <w:fitText w:val="326" w:id="-761014269"/>
                <w14:textFill>
                  <w14:solidFill>
                    <w14:srgbClr w14:val="000000">
                      <w14:alpha w14:val="100000"/>
                    </w14:srgbClr>
                  </w14:solidFill>
                </w14:textFill>
              </w:rPr>
              <w:t>|</w:t>
            </w:r>
            <w:r w:rsidRPr="008F74A5">
              <w:t>%</w:t>
            </w:r>
          </w:p>
        </w:tc>
      </w:tr>
      <w:tr w:rsidR="00CA5347" w14:paraId="786018AB" w14:textId="77777777" w:rsidTr="00455C82">
        <w:tc>
          <w:tcPr>
            <w:tcW w:w="2254" w:type="dxa"/>
            <w:vAlign w:val="center"/>
          </w:tcPr>
          <w:p w14:paraId="7082C571" w14:textId="291D39D4" w:rsidR="00CA5347" w:rsidRDefault="008113E2" w:rsidP="00455C82">
            <w:pPr>
              <w:pStyle w:val="COMTabletext"/>
            </w:pPr>
            <w:r>
              <w:t>Cost per 28 days (effective DPMQ)</w:t>
            </w:r>
          </w:p>
        </w:tc>
        <w:tc>
          <w:tcPr>
            <w:tcW w:w="2254" w:type="dxa"/>
            <w:vAlign w:val="center"/>
          </w:tcPr>
          <w:p w14:paraId="63DD862C" w14:textId="614043E5" w:rsidR="00CA5347" w:rsidRDefault="008113E2" w:rsidP="00264190">
            <w:pPr>
              <w:pStyle w:val="COMTabletext"/>
              <w:jc w:val="center"/>
            </w:pPr>
            <w:r>
              <w:t>-</w:t>
            </w:r>
          </w:p>
        </w:tc>
        <w:tc>
          <w:tcPr>
            <w:tcW w:w="2254" w:type="dxa"/>
            <w:vAlign w:val="center"/>
          </w:tcPr>
          <w:p w14:paraId="3A8CC2C0" w14:textId="59E1397D" w:rsidR="00CA5347" w:rsidRDefault="008113E2" w:rsidP="00264190">
            <w:pPr>
              <w:pStyle w:val="COMTabletext"/>
              <w:jc w:val="center"/>
            </w:pPr>
            <w:r>
              <w:t>5 mg:</w:t>
            </w:r>
            <w:r w:rsidR="00D6335D">
              <w:t xml:space="preserve"> $</w:t>
            </w:r>
            <w:r w:rsidR="00F111EB" w:rsidRPr="00F111EB">
              <w:rPr>
                <w:color w:val="000000"/>
                <w:spacing w:val="51"/>
                <w:shd w:val="solid" w:color="000000" w:fill="000000"/>
                <w:fitText w:val="326" w:id="-761014268"/>
                <w14:textFill>
                  <w14:solidFill>
                    <w14:srgbClr w14:val="000000">
                      <w14:alpha w14:val="100000"/>
                    </w14:srgbClr>
                  </w14:solidFill>
                </w14:textFill>
              </w:rPr>
              <w:t>|||</w:t>
            </w:r>
            <w:r w:rsidR="00F111EB" w:rsidRPr="00F111EB">
              <w:rPr>
                <w:color w:val="000000"/>
                <w:spacing w:val="3"/>
                <w:shd w:val="solid" w:color="000000" w:fill="000000"/>
                <w:fitText w:val="326" w:id="-761014268"/>
                <w14:textFill>
                  <w14:solidFill>
                    <w14:srgbClr w14:val="000000">
                      <w14:alpha w14:val="100000"/>
                    </w14:srgbClr>
                  </w14:solidFill>
                </w14:textFill>
              </w:rPr>
              <w:t>|</w:t>
            </w:r>
          </w:p>
          <w:p w14:paraId="09502B7E" w14:textId="15A91757" w:rsidR="008113E2" w:rsidRDefault="008113E2" w:rsidP="00264190">
            <w:pPr>
              <w:pStyle w:val="COMTabletext"/>
              <w:jc w:val="center"/>
            </w:pPr>
            <w:r>
              <w:t>10 mg:</w:t>
            </w:r>
            <w:r w:rsidR="00D6335D">
              <w:t xml:space="preserve"> $</w:t>
            </w:r>
            <w:r w:rsidR="00F111EB" w:rsidRPr="00F111EB">
              <w:rPr>
                <w:color w:val="000000"/>
                <w:spacing w:val="51"/>
                <w:shd w:val="solid" w:color="000000" w:fill="000000"/>
                <w:fitText w:val="325" w:id="-761014267"/>
                <w14:textFill>
                  <w14:solidFill>
                    <w14:srgbClr w14:val="000000">
                      <w14:alpha w14:val="100000"/>
                    </w14:srgbClr>
                  </w14:solidFill>
                </w14:textFill>
              </w:rPr>
              <w:t>|||</w:t>
            </w:r>
            <w:r w:rsidR="00F111EB" w:rsidRPr="00F111EB">
              <w:rPr>
                <w:color w:val="000000"/>
                <w:spacing w:val="2"/>
                <w:shd w:val="solid" w:color="000000" w:fill="000000"/>
                <w:fitText w:val="325" w:id="-761014267"/>
                <w14:textFill>
                  <w14:solidFill>
                    <w14:srgbClr w14:val="000000">
                      <w14:alpha w14:val="100000"/>
                    </w14:srgbClr>
                  </w14:solidFill>
                </w14:textFill>
              </w:rPr>
              <w:t>|</w:t>
            </w:r>
          </w:p>
          <w:p w14:paraId="44712538" w14:textId="50886B5B" w:rsidR="008113E2" w:rsidRDefault="008113E2" w:rsidP="00264190">
            <w:pPr>
              <w:pStyle w:val="COMTabletext"/>
              <w:jc w:val="center"/>
            </w:pPr>
            <w:r>
              <w:t>15 mg:</w:t>
            </w:r>
            <w:r w:rsidR="00D6335D">
              <w:t xml:space="preserve"> $</w:t>
            </w:r>
            <w:r w:rsidR="00F111EB" w:rsidRPr="00F111EB">
              <w:rPr>
                <w:color w:val="000000"/>
                <w:spacing w:val="51"/>
                <w:shd w:val="solid" w:color="000000" w:fill="000000"/>
                <w:fitText w:val="325" w:id="-761014266"/>
                <w14:textFill>
                  <w14:solidFill>
                    <w14:srgbClr w14:val="000000">
                      <w14:alpha w14:val="100000"/>
                    </w14:srgbClr>
                  </w14:solidFill>
                </w14:textFill>
              </w:rPr>
              <w:t>|||</w:t>
            </w:r>
            <w:r w:rsidR="00F111EB" w:rsidRPr="00F111EB">
              <w:rPr>
                <w:color w:val="000000"/>
                <w:spacing w:val="2"/>
                <w:shd w:val="solid" w:color="000000" w:fill="000000"/>
                <w:fitText w:val="325" w:id="-761014266"/>
                <w14:textFill>
                  <w14:solidFill>
                    <w14:srgbClr w14:val="000000">
                      <w14:alpha w14:val="100000"/>
                    </w14:srgbClr>
                  </w14:solidFill>
                </w14:textFill>
              </w:rPr>
              <w:t>|</w:t>
            </w:r>
          </w:p>
        </w:tc>
        <w:tc>
          <w:tcPr>
            <w:tcW w:w="2255" w:type="dxa"/>
            <w:vAlign w:val="center"/>
          </w:tcPr>
          <w:p w14:paraId="3CAD6CFB" w14:textId="18548EC3" w:rsidR="00F85137" w:rsidRDefault="00F85137" w:rsidP="00264190">
            <w:pPr>
              <w:pStyle w:val="COMTabletext"/>
              <w:jc w:val="center"/>
            </w:pPr>
            <w:r>
              <w:t>5 mg: $</w:t>
            </w:r>
            <w:r w:rsidR="00F111EB" w:rsidRPr="00F111EB">
              <w:rPr>
                <w:color w:val="000000"/>
                <w:spacing w:val="51"/>
                <w:shd w:val="solid" w:color="000000" w:fill="000000"/>
                <w:fitText w:val="326" w:id="-761014265"/>
                <w14:textFill>
                  <w14:solidFill>
                    <w14:srgbClr w14:val="000000">
                      <w14:alpha w14:val="100000"/>
                    </w14:srgbClr>
                  </w14:solidFill>
                </w14:textFill>
              </w:rPr>
              <w:t>|||</w:t>
            </w:r>
            <w:r w:rsidR="00F111EB" w:rsidRPr="00F111EB">
              <w:rPr>
                <w:color w:val="000000"/>
                <w:spacing w:val="3"/>
                <w:shd w:val="solid" w:color="000000" w:fill="000000"/>
                <w:fitText w:val="326" w:id="-761014265"/>
                <w14:textFill>
                  <w14:solidFill>
                    <w14:srgbClr w14:val="000000">
                      <w14:alpha w14:val="100000"/>
                    </w14:srgbClr>
                  </w14:solidFill>
                </w14:textFill>
              </w:rPr>
              <w:t>|</w:t>
            </w:r>
          </w:p>
          <w:p w14:paraId="643AAD40" w14:textId="5136F452" w:rsidR="00F85137" w:rsidRDefault="00F85137" w:rsidP="00264190">
            <w:pPr>
              <w:pStyle w:val="COMTabletext"/>
              <w:jc w:val="center"/>
            </w:pPr>
            <w:r>
              <w:t>10 mg: $</w:t>
            </w:r>
            <w:r w:rsidR="00F111EB" w:rsidRPr="00F111EB">
              <w:rPr>
                <w:color w:val="000000"/>
                <w:spacing w:val="51"/>
                <w:shd w:val="solid" w:color="000000" w:fill="000000"/>
                <w:fitText w:val="325" w:id="-761014264"/>
                <w14:textFill>
                  <w14:solidFill>
                    <w14:srgbClr w14:val="000000">
                      <w14:alpha w14:val="100000"/>
                    </w14:srgbClr>
                  </w14:solidFill>
                </w14:textFill>
              </w:rPr>
              <w:t>|||</w:t>
            </w:r>
            <w:r w:rsidR="00F111EB" w:rsidRPr="00F111EB">
              <w:rPr>
                <w:color w:val="000000"/>
                <w:spacing w:val="2"/>
                <w:shd w:val="solid" w:color="000000" w:fill="000000"/>
                <w:fitText w:val="325" w:id="-761014264"/>
                <w14:textFill>
                  <w14:solidFill>
                    <w14:srgbClr w14:val="000000">
                      <w14:alpha w14:val="100000"/>
                    </w14:srgbClr>
                  </w14:solidFill>
                </w14:textFill>
              </w:rPr>
              <w:t>|</w:t>
            </w:r>
          </w:p>
          <w:p w14:paraId="43ADAA03" w14:textId="6D48A9FA" w:rsidR="00CA5347" w:rsidRDefault="00F85137" w:rsidP="00264190">
            <w:pPr>
              <w:pStyle w:val="COMTabletext"/>
              <w:jc w:val="center"/>
            </w:pPr>
            <w:r>
              <w:t>15 mg: $</w:t>
            </w:r>
            <w:r w:rsidR="00F111EB" w:rsidRPr="00F111EB">
              <w:rPr>
                <w:color w:val="000000"/>
                <w:spacing w:val="51"/>
                <w:shd w:val="solid" w:color="000000" w:fill="000000"/>
                <w:fitText w:val="325" w:id="-761014263"/>
                <w14:textFill>
                  <w14:solidFill>
                    <w14:srgbClr w14:val="000000">
                      <w14:alpha w14:val="100000"/>
                    </w14:srgbClr>
                  </w14:solidFill>
                </w14:textFill>
              </w:rPr>
              <w:t>|||</w:t>
            </w:r>
            <w:r w:rsidR="00F111EB" w:rsidRPr="00F111EB">
              <w:rPr>
                <w:color w:val="000000"/>
                <w:spacing w:val="2"/>
                <w:shd w:val="solid" w:color="000000" w:fill="000000"/>
                <w:fitText w:val="325" w:id="-761014263"/>
                <w14:textFill>
                  <w14:solidFill>
                    <w14:srgbClr w14:val="000000">
                      <w14:alpha w14:val="100000"/>
                    </w14:srgbClr>
                  </w14:solidFill>
                </w14:textFill>
              </w:rPr>
              <w:t>|</w:t>
            </w:r>
          </w:p>
        </w:tc>
      </w:tr>
      <w:tr w:rsidR="00CA5347" w14:paraId="30F2892E" w14:textId="77777777" w:rsidTr="00455C82">
        <w:tc>
          <w:tcPr>
            <w:tcW w:w="2254" w:type="dxa"/>
            <w:vAlign w:val="center"/>
          </w:tcPr>
          <w:p w14:paraId="199F4153" w14:textId="41C16D83" w:rsidR="00CA5347" w:rsidRDefault="00DA63B3" w:rsidP="00455C82">
            <w:pPr>
              <w:pStyle w:val="COMTabletext"/>
            </w:pPr>
            <w:r>
              <w:t>Adherence</w:t>
            </w:r>
          </w:p>
        </w:tc>
        <w:tc>
          <w:tcPr>
            <w:tcW w:w="2254" w:type="dxa"/>
            <w:vAlign w:val="center"/>
          </w:tcPr>
          <w:p w14:paraId="7D12791E" w14:textId="55C15DD9" w:rsidR="00E20FA0" w:rsidRPr="00967C79" w:rsidRDefault="00E20FA0" w:rsidP="00264190">
            <w:pPr>
              <w:pStyle w:val="COMTabletext"/>
              <w:jc w:val="center"/>
              <w:rPr>
                <w:vertAlign w:val="superscript"/>
              </w:rPr>
            </w:pPr>
            <w:r>
              <w:t xml:space="preserve">5 mg: </w:t>
            </w:r>
            <w:r w:rsidR="002B4204">
              <w:t>95.7%</w:t>
            </w:r>
            <w:r w:rsidR="00967C79">
              <w:t xml:space="preserve"> </w:t>
            </w:r>
            <w:r w:rsidR="00967C79">
              <w:rPr>
                <w:vertAlign w:val="superscript"/>
              </w:rPr>
              <w:t>a</w:t>
            </w:r>
          </w:p>
          <w:p w14:paraId="48BD77FF" w14:textId="33695C9E" w:rsidR="00E20FA0" w:rsidRPr="00967C79" w:rsidRDefault="00E20FA0" w:rsidP="00264190">
            <w:pPr>
              <w:pStyle w:val="COMTabletext"/>
              <w:jc w:val="center"/>
              <w:rPr>
                <w:vertAlign w:val="superscript"/>
              </w:rPr>
            </w:pPr>
            <w:r>
              <w:t xml:space="preserve">10 mg: </w:t>
            </w:r>
            <w:r w:rsidR="002B4204">
              <w:t>93.4%</w:t>
            </w:r>
            <w:r w:rsidR="00967C79">
              <w:t xml:space="preserve"> </w:t>
            </w:r>
            <w:r w:rsidR="00967C79">
              <w:rPr>
                <w:vertAlign w:val="superscript"/>
              </w:rPr>
              <w:t>a</w:t>
            </w:r>
          </w:p>
          <w:p w14:paraId="0D99C188" w14:textId="2DE7BE63" w:rsidR="00CA5347" w:rsidRPr="00967C79" w:rsidRDefault="00E20FA0" w:rsidP="00264190">
            <w:pPr>
              <w:pStyle w:val="COMTabletext"/>
              <w:jc w:val="center"/>
              <w:rPr>
                <w:vertAlign w:val="superscript"/>
              </w:rPr>
            </w:pPr>
            <w:r>
              <w:t xml:space="preserve">15 mg: </w:t>
            </w:r>
            <w:r w:rsidR="002B4204">
              <w:t>94.7%</w:t>
            </w:r>
            <w:r w:rsidR="00967C79">
              <w:t xml:space="preserve"> </w:t>
            </w:r>
            <w:r w:rsidR="00967C79">
              <w:rPr>
                <w:vertAlign w:val="superscript"/>
              </w:rPr>
              <w:t>a</w:t>
            </w:r>
          </w:p>
        </w:tc>
        <w:tc>
          <w:tcPr>
            <w:tcW w:w="2254" w:type="dxa"/>
            <w:vAlign w:val="center"/>
          </w:tcPr>
          <w:p w14:paraId="5EA2309B" w14:textId="5137380C" w:rsidR="002D5E2A" w:rsidRDefault="002937AA" w:rsidP="00264190">
            <w:pPr>
              <w:pStyle w:val="COMTabletext"/>
              <w:jc w:val="center"/>
            </w:pPr>
            <w:r>
              <w:t>100% for all doses</w:t>
            </w:r>
          </w:p>
        </w:tc>
        <w:tc>
          <w:tcPr>
            <w:tcW w:w="2255" w:type="dxa"/>
            <w:vAlign w:val="center"/>
          </w:tcPr>
          <w:p w14:paraId="0F2F9EFA" w14:textId="4342E69F" w:rsidR="00CA5347" w:rsidRDefault="002937AA" w:rsidP="000B7CE6">
            <w:pPr>
              <w:pStyle w:val="COMTabletext"/>
              <w:jc w:val="center"/>
            </w:pPr>
            <w:r>
              <w:t>100% for all doses</w:t>
            </w:r>
          </w:p>
        </w:tc>
      </w:tr>
      <w:tr w:rsidR="00CA5347" w14:paraId="51988740" w14:textId="77777777" w:rsidTr="00455C82">
        <w:tc>
          <w:tcPr>
            <w:tcW w:w="2254" w:type="dxa"/>
            <w:vAlign w:val="center"/>
          </w:tcPr>
          <w:p w14:paraId="63857191" w14:textId="5ADB365F" w:rsidR="00CA5347" w:rsidRPr="00760881" w:rsidRDefault="00264190" w:rsidP="00455C82">
            <w:pPr>
              <w:pStyle w:val="COMTabletext"/>
            </w:pPr>
            <w:r>
              <w:t xml:space="preserve">Cost per year </w:t>
            </w:r>
            <w:r w:rsidR="00760881">
              <w:rPr>
                <w:vertAlign w:val="superscript"/>
              </w:rPr>
              <w:t>b</w:t>
            </w:r>
          </w:p>
        </w:tc>
        <w:tc>
          <w:tcPr>
            <w:tcW w:w="2254" w:type="dxa"/>
            <w:vAlign w:val="center"/>
          </w:tcPr>
          <w:p w14:paraId="1162A8F0" w14:textId="29AECC56" w:rsidR="00CA5347" w:rsidRDefault="00264190" w:rsidP="00264190">
            <w:pPr>
              <w:pStyle w:val="COMTabletext"/>
              <w:jc w:val="center"/>
            </w:pPr>
            <w:r>
              <w:t>-</w:t>
            </w:r>
          </w:p>
        </w:tc>
        <w:tc>
          <w:tcPr>
            <w:tcW w:w="2254" w:type="dxa"/>
            <w:vAlign w:val="center"/>
          </w:tcPr>
          <w:p w14:paraId="2A31E993" w14:textId="597032B9" w:rsidR="002D5E2A" w:rsidRDefault="002D5E2A" w:rsidP="002D5E2A">
            <w:pPr>
              <w:pStyle w:val="COMTabletext"/>
              <w:jc w:val="center"/>
            </w:pPr>
            <w:r>
              <w:t>5 mg: $</w:t>
            </w:r>
            <w:r w:rsidR="00F111EB" w:rsidRPr="00F111EB">
              <w:rPr>
                <w:color w:val="000000"/>
                <w:spacing w:val="51"/>
                <w:shd w:val="solid" w:color="000000" w:fill="000000"/>
                <w:fitText w:val="326" w:id="-761014262"/>
                <w14:textFill>
                  <w14:solidFill>
                    <w14:srgbClr w14:val="000000">
                      <w14:alpha w14:val="100000"/>
                    </w14:srgbClr>
                  </w14:solidFill>
                </w14:textFill>
              </w:rPr>
              <w:t>|||</w:t>
            </w:r>
            <w:r w:rsidR="00F111EB" w:rsidRPr="00F111EB">
              <w:rPr>
                <w:color w:val="000000"/>
                <w:spacing w:val="3"/>
                <w:shd w:val="solid" w:color="000000" w:fill="000000"/>
                <w:fitText w:val="326" w:id="-761014262"/>
                <w14:textFill>
                  <w14:solidFill>
                    <w14:srgbClr w14:val="000000">
                      <w14:alpha w14:val="100000"/>
                    </w14:srgbClr>
                  </w14:solidFill>
                </w14:textFill>
              </w:rPr>
              <w:t>|</w:t>
            </w:r>
          </w:p>
          <w:p w14:paraId="57DA8065" w14:textId="0A8482AA" w:rsidR="002D5E2A" w:rsidRDefault="002D5E2A" w:rsidP="002D5E2A">
            <w:pPr>
              <w:pStyle w:val="COMTabletext"/>
              <w:jc w:val="center"/>
            </w:pPr>
            <w:r>
              <w:t>10 mg: $</w:t>
            </w:r>
            <w:r w:rsidR="00F111EB" w:rsidRPr="00F111EB">
              <w:rPr>
                <w:color w:val="000000"/>
                <w:spacing w:val="51"/>
                <w:shd w:val="solid" w:color="000000" w:fill="000000"/>
                <w:fitText w:val="325" w:id="-761014261"/>
                <w14:textFill>
                  <w14:solidFill>
                    <w14:srgbClr w14:val="000000">
                      <w14:alpha w14:val="100000"/>
                    </w14:srgbClr>
                  </w14:solidFill>
                </w14:textFill>
              </w:rPr>
              <w:t>|||</w:t>
            </w:r>
            <w:r w:rsidR="00F111EB" w:rsidRPr="00F111EB">
              <w:rPr>
                <w:color w:val="000000"/>
                <w:spacing w:val="2"/>
                <w:shd w:val="solid" w:color="000000" w:fill="000000"/>
                <w:fitText w:val="325" w:id="-761014261"/>
                <w14:textFill>
                  <w14:solidFill>
                    <w14:srgbClr w14:val="000000">
                      <w14:alpha w14:val="100000"/>
                    </w14:srgbClr>
                  </w14:solidFill>
                </w14:textFill>
              </w:rPr>
              <w:t>|</w:t>
            </w:r>
          </w:p>
          <w:p w14:paraId="10F7A9D3" w14:textId="1A4B863B" w:rsidR="00CA5347" w:rsidRDefault="002D5E2A" w:rsidP="002D5E2A">
            <w:pPr>
              <w:pStyle w:val="COMTabletext"/>
              <w:jc w:val="center"/>
            </w:pPr>
            <w:r>
              <w:t>15 mg:</w:t>
            </w:r>
            <w:r w:rsidR="002937AA">
              <w:t xml:space="preserve"> $</w:t>
            </w:r>
            <w:r w:rsidR="00F111EB" w:rsidRPr="00F111EB">
              <w:rPr>
                <w:color w:val="000000"/>
                <w:spacing w:val="51"/>
                <w:shd w:val="solid" w:color="000000" w:fill="000000"/>
                <w:fitText w:val="325" w:id="-761014260"/>
                <w14:textFill>
                  <w14:solidFill>
                    <w14:srgbClr w14:val="000000">
                      <w14:alpha w14:val="100000"/>
                    </w14:srgbClr>
                  </w14:solidFill>
                </w14:textFill>
              </w:rPr>
              <w:t>|||</w:t>
            </w:r>
            <w:r w:rsidR="00F111EB" w:rsidRPr="00F111EB">
              <w:rPr>
                <w:color w:val="000000"/>
                <w:spacing w:val="2"/>
                <w:shd w:val="solid" w:color="000000" w:fill="000000"/>
                <w:fitText w:val="325" w:id="-761014260"/>
                <w14:textFill>
                  <w14:solidFill>
                    <w14:srgbClr w14:val="000000">
                      <w14:alpha w14:val="100000"/>
                    </w14:srgbClr>
                  </w14:solidFill>
                </w14:textFill>
              </w:rPr>
              <w:t>|</w:t>
            </w:r>
          </w:p>
        </w:tc>
        <w:tc>
          <w:tcPr>
            <w:tcW w:w="2255" w:type="dxa"/>
            <w:vAlign w:val="center"/>
          </w:tcPr>
          <w:p w14:paraId="243B956B" w14:textId="59BA1128" w:rsidR="002937AA" w:rsidRDefault="002937AA" w:rsidP="002937AA">
            <w:pPr>
              <w:pStyle w:val="COMTabletext"/>
              <w:jc w:val="center"/>
            </w:pPr>
            <w:r>
              <w:t>5 mg: $</w:t>
            </w:r>
            <w:r w:rsidR="00F111EB" w:rsidRPr="00F111EB">
              <w:rPr>
                <w:color w:val="000000"/>
                <w:spacing w:val="51"/>
                <w:shd w:val="solid" w:color="000000" w:fill="000000"/>
                <w:fitText w:val="326" w:id="-761014259"/>
                <w14:textFill>
                  <w14:solidFill>
                    <w14:srgbClr w14:val="000000">
                      <w14:alpha w14:val="100000"/>
                    </w14:srgbClr>
                  </w14:solidFill>
                </w14:textFill>
              </w:rPr>
              <w:t>|||</w:t>
            </w:r>
            <w:r w:rsidR="00F111EB" w:rsidRPr="00F111EB">
              <w:rPr>
                <w:color w:val="000000"/>
                <w:spacing w:val="3"/>
                <w:shd w:val="solid" w:color="000000" w:fill="000000"/>
                <w:fitText w:val="326" w:id="-761014259"/>
                <w14:textFill>
                  <w14:solidFill>
                    <w14:srgbClr w14:val="000000">
                      <w14:alpha w14:val="100000"/>
                    </w14:srgbClr>
                  </w14:solidFill>
                </w14:textFill>
              </w:rPr>
              <w:t>|</w:t>
            </w:r>
          </w:p>
          <w:p w14:paraId="1CDFE30B" w14:textId="21407CAA" w:rsidR="002937AA" w:rsidRDefault="002937AA" w:rsidP="002937AA">
            <w:pPr>
              <w:pStyle w:val="COMTabletext"/>
              <w:jc w:val="center"/>
            </w:pPr>
            <w:r>
              <w:t>10 mg: $</w:t>
            </w:r>
            <w:r w:rsidR="00F111EB" w:rsidRPr="00F111EB">
              <w:rPr>
                <w:color w:val="000000"/>
                <w:spacing w:val="51"/>
                <w:shd w:val="solid" w:color="000000" w:fill="000000"/>
                <w:fitText w:val="325" w:id="-761014258"/>
                <w14:textFill>
                  <w14:solidFill>
                    <w14:srgbClr w14:val="000000">
                      <w14:alpha w14:val="100000"/>
                    </w14:srgbClr>
                  </w14:solidFill>
                </w14:textFill>
              </w:rPr>
              <w:t>|||</w:t>
            </w:r>
            <w:r w:rsidR="00F111EB" w:rsidRPr="00F111EB">
              <w:rPr>
                <w:color w:val="000000"/>
                <w:spacing w:val="2"/>
                <w:shd w:val="solid" w:color="000000" w:fill="000000"/>
                <w:fitText w:val="325" w:id="-761014258"/>
                <w14:textFill>
                  <w14:solidFill>
                    <w14:srgbClr w14:val="000000">
                      <w14:alpha w14:val="100000"/>
                    </w14:srgbClr>
                  </w14:solidFill>
                </w14:textFill>
              </w:rPr>
              <w:t>|</w:t>
            </w:r>
          </w:p>
          <w:p w14:paraId="083AC4B2" w14:textId="1C8D9004" w:rsidR="00CA5347" w:rsidRDefault="002937AA" w:rsidP="002937AA">
            <w:pPr>
              <w:pStyle w:val="COMTabletext"/>
              <w:jc w:val="center"/>
            </w:pPr>
            <w:r>
              <w:t>15 mg: $</w:t>
            </w:r>
            <w:r w:rsidR="00F111EB" w:rsidRPr="00F111EB">
              <w:rPr>
                <w:color w:val="000000"/>
                <w:spacing w:val="51"/>
                <w:shd w:val="solid" w:color="000000" w:fill="000000"/>
                <w:fitText w:val="325" w:id="-761014257"/>
                <w14:textFill>
                  <w14:solidFill>
                    <w14:srgbClr w14:val="000000">
                      <w14:alpha w14:val="100000"/>
                    </w14:srgbClr>
                  </w14:solidFill>
                </w14:textFill>
              </w:rPr>
              <w:t>|||</w:t>
            </w:r>
            <w:r w:rsidR="00F111EB" w:rsidRPr="00F111EB">
              <w:rPr>
                <w:color w:val="000000"/>
                <w:spacing w:val="2"/>
                <w:shd w:val="solid" w:color="000000" w:fill="000000"/>
                <w:fitText w:val="325" w:id="-761014257"/>
                <w14:textFill>
                  <w14:solidFill>
                    <w14:srgbClr w14:val="000000">
                      <w14:alpha w14:val="100000"/>
                    </w14:srgbClr>
                  </w14:solidFill>
                </w14:textFill>
              </w:rPr>
              <w:t>|</w:t>
            </w:r>
          </w:p>
        </w:tc>
      </w:tr>
      <w:tr w:rsidR="00CA5347" w14:paraId="242A966D" w14:textId="77777777" w:rsidTr="00455C82">
        <w:tc>
          <w:tcPr>
            <w:tcW w:w="2254" w:type="dxa"/>
            <w:vAlign w:val="center"/>
          </w:tcPr>
          <w:p w14:paraId="638990FE" w14:textId="07639736" w:rsidR="00A97085" w:rsidRDefault="00DB2B65" w:rsidP="00455C82">
            <w:pPr>
              <w:pStyle w:val="COMTabletext"/>
            </w:pPr>
            <w:r>
              <w:t>Proportion of patients on treatment</w:t>
            </w:r>
            <w:r w:rsidR="00A97085">
              <w:t xml:space="preserve"> in subsequent years</w:t>
            </w:r>
          </w:p>
        </w:tc>
        <w:tc>
          <w:tcPr>
            <w:tcW w:w="2254" w:type="dxa"/>
            <w:vAlign w:val="center"/>
          </w:tcPr>
          <w:p w14:paraId="4821C0A1" w14:textId="77777777" w:rsidR="00CA5347" w:rsidRDefault="008945EC" w:rsidP="00264190">
            <w:pPr>
              <w:pStyle w:val="COMTabletext"/>
              <w:jc w:val="center"/>
            </w:pPr>
            <w:r>
              <w:t>Treatment discontinuation at 40 weeks:</w:t>
            </w:r>
          </w:p>
          <w:p w14:paraId="79A11D5E" w14:textId="6E03CFFA" w:rsidR="008945EC" w:rsidRDefault="008945EC" w:rsidP="00264190">
            <w:pPr>
              <w:pStyle w:val="COMTabletext"/>
              <w:jc w:val="center"/>
            </w:pPr>
            <w:r>
              <w:t xml:space="preserve">5 mg: </w:t>
            </w:r>
            <w:r w:rsidR="0054622F">
              <w:t>8.3%</w:t>
            </w:r>
          </w:p>
          <w:p w14:paraId="60AFAD52" w14:textId="0BD3F36F" w:rsidR="008945EC" w:rsidRDefault="008945EC" w:rsidP="00264190">
            <w:pPr>
              <w:pStyle w:val="COMTabletext"/>
              <w:jc w:val="center"/>
            </w:pPr>
            <w:r>
              <w:t>10 mg:</w:t>
            </w:r>
            <w:r w:rsidR="0054622F">
              <w:t xml:space="preserve"> 12.4%</w:t>
            </w:r>
          </w:p>
          <w:p w14:paraId="2F8C4BF2" w14:textId="7BCDE804" w:rsidR="008945EC" w:rsidRDefault="008945EC" w:rsidP="00264190">
            <w:pPr>
              <w:pStyle w:val="COMTabletext"/>
              <w:jc w:val="center"/>
            </w:pPr>
            <w:r>
              <w:t xml:space="preserve">15 mg: </w:t>
            </w:r>
            <w:r w:rsidR="0054622F">
              <w:t>13</w:t>
            </w:r>
            <w:r w:rsidR="002833A1">
              <w:t>.2%</w:t>
            </w:r>
          </w:p>
        </w:tc>
        <w:tc>
          <w:tcPr>
            <w:tcW w:w="2254" w:type="dxa"/>
            <w:vAlign w:val="center"/>
          </w:tcPr>
          <w:p w14:paraId="612BDBE7" w14:textId="14F6EB0B" w:rsidR="00CA5347" w:rsidRPr="001A6183" w:rsidRDefault="00CB6380" w:rsidP="00264190">
            <w:pPr>
              <w:pStyle w:val="COMTabletext"/>
              <w:jc w:val="center"/>
              <w:rPr>
                <w:vertAlign w:val="superscript"/>
              </w:rPr>
            </w:pPr>
            <w:r w:rsidRPr="001A6183">
              <w:t xml:space="preserve">Year </w:t>
            </w:r>
            <w:r w:rsidR="00BD60AD" w:rsidRPr="001A6183">
              <w:t>2</w:t>
            </w:r>
            <w:r w:rsidRPr="001A6183">
              <w:t xml:space="preserve">: </w:t>
            </w:r>
            <w:r w:rsidR="0067289D" w:rsidRPr="001A6183">
              <w:t>76%</w:t>
            </w:r>
            <w:r w:rsidR="0067772B" w:rsidRPr="001A6183">
              <w:t xml:space="preserve"> </w:t>
            </w:r>
            <w:r w:rsidR="0067772B" w:rsidRPr="001A6183">
              <w:rPr>
                <w:vertAlign w:val="superscript"/>
              </w:rPr>
              <w:t>c</w:t>
            </w:r>
          </w:p>
          <w:p w14:paraId="31D3BD44" w14:textId="26815049" w:rsidR="00CB6380" w:rsidRPr="001A6183" w:rsidRDefault="00CB6380" w:rsidP="00264190">
            <w:pPr>
              <w:pStyle w:val="COMTabletext"/>
              <w:jc w:val="center"/>
              <w:rPr>
                <w:vertAlign w:val="superscript"/>
              </w:rPr>
            </w:pPr>
            <w:r w:rsidRPr="001A6183">
              <w:t xml:space="preserve">Year </w:t>
            </w:r>
            <w:r w:rsidR="00A97085" w:rsidRPr="001A6183">
              <w:t>3</w:t>
            </w:r>
            <w:r w:rsidRPr="001A6183">
              <w:t>:</w:t>
            </w:r>
            <w:r w:rsidR="0067289D" w:rsidRPr="001A6183">
              <w:t xml:space="preserve"> 59%</w:t>
            </w:r>
            <w:r w:rsidR="0067772B" w:rsidRPr="001A6183">
              <w:t xml:space="preserve"> </w:t>
            </w:r>
            <w:r w:rsidR="0067772B" w:rsidRPr="001A6183">
              <w:rPr>
                <w:vertAlign w:val="superscript"/>
              </w:rPr>
              <w:t>c</w:t>
            </w:r>
          </w:p>
          <w:p w14:paraId="77B10958" w14:textId="5D7E16AA" w:rsidR="00CB6380" w:rsidRPr="001A6183" w:rsidRDefault="00CB6380" w:rsidP="00264190">
            <w:pPr>
              <w:pStyle w:val="COMTabletext"/>
              <w:jc w:val="center"/>
              <w:rPr>
                <w:vertAlign w:val="superscript"/>
              </w:rPr>
            </w:pPr>
            <w:r w:rsidRPr="001A6183">
              <w:t xml:space="preserve">Year </w:t>
            </w:r>
            <w:r w:rsidR="00A97085" w:rsidRPr="001A6183">
              <w:t>4</w:t>
            </w:r>
            <w:r w:rsidRPr="001A6183">
              <w:t>:</w:t>
            </w:r>
            <w:r w:rsidR="0067289D" w:rsidRPr="001A6183">
              <w:t xml:space="preserve"> 35%</w:t>
            </w:r>
            <w:r w:rsidR="0067772B" w:rsidRPr="001A6183">
              <w:t xml:space="preserve"> </w:t>
            </w:r>
            <w:r w:rsidR="0067772B" w:rsidRPr="001A6183">
              <w:rPr>
                <w:vertAlign w:val="superscript"/>
              </w:rPr>
              <w:t>c</w:t>
            </w:r>
          </w:p>
          <w:p w14:paraId="7621415E" w14:textId="10433065" w:rsidR="00CB6380" w:rsidRPr="001A6183" w:rsidRDefault="00CB6380" w:rsidP="00264190">
            <w:pPr>
              <w:pStyle w:val="COMTabletext"/>
              <w:jc w:val="center"/>
              <w:rPr>
                <w:vertAlign w:val="superscript"/>
              </w:rPr>
            </w:pPr>
            <w:r w:rsidRPr="001A6183">
              <w:t xml:space="preserve">Year </w:t>
            </w:r>
            <w:r w:rsidR="00A97085" w:rsidRPr="001A6183">
              <w:t>5</w:t>
            </w:r>
            <w:r w:rsidRPr="001A6183">
              <w:t>:</w:t>
            </w:r>
            <w:r w:rsidR="0067289D" w:rsidRPr="001A6183">
              <w:t xml:space="preserve"> 14%</w:t>
            </w:r>
            <w:r w:rsidR="0067772B" w:rsidRPr="001A6183">
              <w:t xml:space="preserve"> </w:t>
            </w:r>
            <w:r w:rsidR="0067772B" w:rsidRPr="001A6183">
              <w:rPr>
                <w:vertAlign w:val="superscript"/>
              </w:rPr>
              <w:t>c</w:t>
            </w:r>
          </w:p>
          <w:p w14:paraId="344A5D6E" w14:textId="4797551A" w:rsidR="00CB6380" w:rsidRPr="0067772B" w:rsidRDefault="00CB6380" w:rsidP="00A97085">
            <w:pPr>
              <w:pStyle w:val="COMTabletext"/>
              <w:jc w:val="center"/>
              <w:rPr>
                <w:vertAlign w:val="superscript"/>
              </w:rPr>
            </w:pPr>
            <w:r w:rsidRPr="001A6183">
              <w:t xml:space="preserve">Year </w:t>
            </w:r>
            <w:r w:rsidR="00A97085" w:rsidRPr="001A6183">
              <w:t>6</w:t>
            </w:r>
            <w:r w:rsidRPr="001A6183">
              <w:t>:</w:t>
            </w:r>
            <w:r w:rsidR="0067289D" w:rsidRPr="001A6183">
              <w:t xml:space="preserve"> 4%</w:t>
            </w:r>
            <w:r w:rsidR="0067772B" w:rsidRPr="001A6183">
              <w:t xml:space="preserve"> </w:t>
            </w:r>
            <w:r w:rsidR="0067772B" w:rsidRPr="001A6183">
              <w:rPr>
                <w:vertAlign w:val="superscript"/>
              </w:rPr>
              <w:t>c</w:t>
            </w:r>
          </w:p>
        </w:tc>
        <w:tc>
          <w:tcPr>
            <w:tcW w:w="2255" w:type="dxa"/>
            <w:vAlign w:val="center"/>
          </w:tcPr>
          <w:p w14:paraId="133EEAE3" w14:textId="024FFEB5" w:rsidR="00FE55B5" w:rsidRPr="00497EDE" w:rsidRDefault="00FE55B5" w:rsidP="00264190">
            <w:pPr>
              <w:pStyle w:val="COMTabletext"/>
              <w:jc w:val="center"/>
              <w:rPr>
                <w:vertAlign w:val="superscript"/>
              </w:rPr>
            </w:pPr>
            <w:r>
              <w:t xml:space="preserve">Year 2: </w:t>
            </w:r>
            <w:r w:rsidR="00843C03">
              <w:t>91%</w:t>
            </w:r>
            <w:r w:rsidR="00497EDE">
              <w:t xml:space="preserve"> </w:t>
            </w:r>
            <w:r w:rsidR="00497EDE">
              <w:rPr>
                <w:vertAlign w:val="superscript"/>
              </w:rPr>
              <w:t>d</w:t>
            </w:r>
          </w:p>
          <w:p w14:paraId="3138AA09" w14:textId="40A17BB9" w:rsidR="00843C03" w:rsidRPr="00497EDE" w:rsidRDefault="00843C03" w:rsidP="00264190">
            <w:pPr>
              <w:pStyle w:val="COMTabletext"/>
              <w:jc w:val="center"/>
              <w:rPr>
                <w:vertAlign w:val="superscript"/>
              </w:rPr>
            </w:pPr>
            <w:r>
              <w:t>Year 3: 83%</w:t>
            </w:r>
            <w:r w:rsidR="00497EDE">
              <w:t xml:space="preserve"> </w:t>
            </w:r>
            <w:r w:rsidR="00497EDE">
              <w:rPr>
                <w:vertAlign w:val="superscript"/>
              </w:rPr>
              <w:t>d</w:t>
            </w:r>
          </w:p>
          <w:p w14:paraId="239DF5CD" w14:textId="3B4A8B9E" w:rsidR="00843C03" w:rsidRPr="00497EDE" w:rsidRDefault="00843C03" w:rsidP="00264190">
            <w:pPr>
              <w:pStyle w:val="COMTabletext"/>
              <w:jc w:val="center"/>
              <w:rPr>
                <w:vertAlign w:val="superscript"/>
              </w:rPr>
            </w:pPr>
            <w:r>
              <w:t>Year 4: 75%</w:t>
            </w:r>
            <w:r w:rsidR="00497EDE">
              <w:t xml:space="preserve"> </w:t>
            </w:r>
            <w:r w:rsidR="00497EDE">
              <w:rPr>
                <w:vertAlign w:val="superscript"/>
              </w:rPr>
              <w:t>d</w:t>
            </w:r>
          </w:p>
          <w:p w14:paraId="4FEC1B8E" w14:textId="2CADF94D" w:rsidR="00843C03" w:rsidRPr="00497EDE" w:rsidRDefault="00843C03" w:rsidP="00264190">
            <w:pPr>
              <w:pStyle w:val="COMTabletext"/>
              <w:jc w:val="center"/>
              <w:rPr>
                <w:vertAlign w:val="superscript"/>
              </w:rPr>
            </w:pPr>
            <w:r>
              <w:t>Year 5: 69%</w:t>
            </w:r>
            <w:r w:rsidR="00497EDE">
              <w:t xml:space="preserve"> </w:t>
            </w:r>
            <w:r w:rsidR="00497EDE">
              <w:rPr>
                <w:vertAlign w:val="superscript"/>
              </w:rPr>
              <w:t>d</w:t>
            </w:r>
          </w:p>
          <w:p w14:paraId="23EF08A0" w14:textId="5D1F0122" w:rsidR="00843C03" w:rsidRPr="00497EDE" w:rsidRDefault="00FB7417" w:rsidP="00264190">
            <w:pPr>
              <w:pStyle w:val="COMTabletext"/>
              <w:jc w:val="center"/>
              <w:rPr>
                <w:vertAlign w:val="superscript"/>
              </w:rPr>
            </w:pPr>
            <w:r>
              <w:t>Year 6: 62%</w:t>
            </w:r>
            <w:r w:rsidR="00497EDE">
              <w:t xml:space="preserve"> </w:t>
            </w:r>
            <w:r w:rsidR="00497EDE">
              <w:rPr>
                <w:vertAlign w:val="superscript"/>
              </w:rPr>
              <w:t>d</w:t>
            </w:r>
          </w:p>
        </w:tc>
      </w:tr>
    </w:tbl>
    <w:p w14:paraId="482BFF5E" w14:textId="0EFB03C5" w:rsidR="00CA5347" w:rsidRDefault="00CA5347" w:rsidP="00CA5347">
      <w:pPr>
        <w:pStyle w:val="COMTablefooter"/>
      </w:pPr>
      <w:r w:rsidRPr="0076762E">
        <w:t xml:space="preserve">Source: </w:t>
      </w:r>
      <w:r w:rsidR="0067772B">
        <w:t xml:space="preserve">constructed during the evaluation </w:t>
      </w:r>
      <w:r w:rsidR="00D25423">
        <w:t xml:space="preserve">using the Section 3 </w:t>
      </w:r>
      <w:r w:rsidR="00BA3CD1">
        <w:t>Model and Section 4 Model</w:t>
      </w:r>
      <w:r w:rsidR="009E32D2">
        <w:t>, Excel workbooks of the resubmission</w:t>
      </w:r>
    </w:p>
    <w:p w14:paraId="704CA119" w14:textId="745B93C9" w:rsidR="00967C79" w:rsidRDefault="00967C79" w:rsidP="00967C79">
      <w:pPr>
        <w:pStyle w:val="COMTablefooter"/>
      </w:pPr>
      <w:r>
        <w:rPr>
          <w:vertAlign w:val="superscript"/>
        </w:rPr>
        <w:t>a</w:t>
      </w:r>
      <w:r>
        <w:t xml:space="preserve"> </w:t>
      </w:r>
      <w:r w:rsidR="00BC2A58" w:rsidRPr="00BC2A58">
        <w:t xml:space="preserve">Based on the proportion of patients taking at least 75% of required </w:t>
      </w:r>
      <w:r w:rsidR="004F76AC" w:rsidRPr="00BC2A58">
        <w:t>doses.</w:t>
      </w:r>
    </w:p>
    <w:p w14:paraId="6FE5F5BA" w14:textId="7FAD3216" w:rsidR="00760881" w:rsidRDefault="00760881" w:rsidP="00760881">
      <w:pPr>
        <w:pStyle w:val="COMTablefooter"/>
      </w:pPr>
      <w:r>
        <w:rPr>
          <w:vertAlign w:val="superscript"/>
        </w:rPr>
        <w:t>b</w:t>
      </w:r>
      <w:r>
        <w:t xml:space="preserve"> Cost per year for persistent patients</w:t>
      </w:r>
    </w:p>
    <w:p w14:paraId="46A6E87B" w14:textId="05E6975E" w:rsidR="00760881" w:rsidRDefault="00760881" w:rsidP="00760881">
      <w:pPr>
        <w:pStyle w:val="COMTablefooter"/>
      </w:pPr>
      <w:r>
        <w:rPr>
          <w:vertAlign w:val="superscript"/>
        </w:rPr>
        <w:t>c</w:t>
      </w:r>
      <w:r>
        <w:t xml:space="preserve"> </w:t>
      </w:r>
      <w:r w:rsidR="008945EC" w:rsidRPr="008945EC">
        <w:t xml:space="preserve">Based on proportion </w:t>
      </w:r>
      <w:r w:rsidR="00497EDE">
        <w:t xml:space="preserve">of patients </w:t>
      </w:r>
      <w:r w:rsidR="008945EC" w:rsidRPr="008945EC">
        <w:t xml:space="preserve">on treatment at the </w:t>
      </w:r>
      <w:r w:rsidR="004D6FE2">
        <w:t xml:space="preserve">start </w:t>
      </w:r>
      <w:r w:rsidR="008945EC" w:rsidRPr="008945EC">
        <w:t>of each year</w:t>
      </w:r>
      <w:r w:rsidR="00F630DC">
        <w:t xml:space="preserve">, </w:t>
      </w:r>
      <w:r w:rsidR="008945EC" w:rsidRPr="008945EC">
        <w:t>incorporat</w:t>
      </w:r>
      <w:r w:rsidR="00F630DC">
        <w:t>ing</w:t>
      </w:r>
      <w:r w:rsidR="008945EC" w:rsidRPr="008945EC">
        <w:t xml:space="preserve"> discontinuation due to death.</w:t>
      </w:r>
      <w:r w:rsidR="008945EC">
        <w:t xml:space="preserve"> Weighted estimates were calculated using the fixed dose distribution used in the budget impact analysis. </w:t>
      </w:r>
    </w:p>
    <w:p w14:paraId="77B30EFB" w14:textId="10C72157" w:rsidR="00F630DC" w:rsidRDefault="00F630DC" w:rsidP="00603563">
      <w:pPr>
        <w:pStyle w:val="COMTablefooter"/>
        <w:spacing w:after="0"/>
      </w:pPr>
      <w:r>
        <w:rPr>
          <w:vertAlign w:val="superscript"/>
        </w:rPr>
        <w:t>d</w:t>
      </w:r>
      <w:r>
        <w:t xml:space="preserve"> Based on a fixed yearly persistence ra</w:t>
      </w:r>
      <w:r w:rsidRPr="001A6183">
        <w:t>te of 91.02%</w:t>
      </w:r>
    </w:p>
    <w:p w14:paraId="0968730B" w14:textId="20C746D7" w:rsidR="00603563" w:rsidRPr="00602A62" w:rsidRDefault="00602A62" w:rsidP="00603563">
      <w:pPr>
        <w:rPr>
          <w:rFonts w:ascii="Arial Narrow" w:hAnsi="Arial Narrow"/>
          <w:i/>
          <w:iCs/>
          <w:snapToGrid w:val="0"/>
          <w:sz w:val="18"/>
          <w:szCs w:val="22"/>
        </w:rPr>
      </w:pPr>
      <w:r w:rsidRPr="00602A62">
        <w:rPr>
          <w:rFonts w:ascii="Arial Narrow" w:hAnsi="Arial Narrow"/>
          <w:i/>
          <w:iCs/>
          <w:snapToGrid w:val="0"/>
          <w:sz w:val="18"/>
          <w:szCs w:val="22"/>
        </w:rPr>
        <w:t>Note that the results presented in Table 14 are derived from ad-hoc/post-hoc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0D93BB27" w14:textId="22E51848" w:rsidR="008403CC" w:rsidRDefault="00BB64C5" w:rsidP="005B1A91">
      <w:pPr>
        <w:pStyle w:val="COMexecsummnumbered"/>
      </w:pPr>
      <w:r w:rsidRPr="005B1A91">
        <w:t xml:space="preserve">Treatment persistence in the economic model was based on </w:t>
      </w:r>
      <w:r w:rsidR="00893654">
        <w:t>a switch to insulin</w:t>
      </w:r>
      <w:r w:rsidR="00DF59A7" w:rsidRPr="005B1A91">
        <w:t xml:space="preserve"> threshold of</w:t>
      </w:r>
      <w:r w:rsidR="0069665B" w:rsidRPr="005B1A91">
        <w:t xml:space="preserve"> HbA1c </w:t>
      </w:r>
      <w:r w:rsidR="008403CC" w:rsidRPr="005B1A91">
        <w:t>&gt;</w:t>
      </w:r>
      <w:r w:rsidR="0069665B" w:rsidRPr="005B1A91">
        <w:t>7.0%</w:t>
      </w:r>
      <w:r w:rsidR="00DF59A7" w:rsidRPr="005B1A91">
        <w:t xml:space="preserve"> with </w:t>
      </w:r>
      <w:r w:rsidR="008403CC" w:rsidRPr="005B1A91">
        <w:t>modelled</w:t>
      </w:r>
      <w:r w:rsidR="00DF59A7" w:rsidRPr="005B1A91">
        <w:t xml:space="preserve"> HbA1c drift over time based on UKPDS data, while</w:t>
      </w:r>
      <w:r w:rsidR="004D4045" w:rsidRPr="005B1A91">
        <w:t xml:space="preserve"> </w:t>
      </w:r>
      <w:r w:rsidR="00DE7D48" w:rsidRPr="005B1A91">
        <w:t xml:space="preserve">persistence in the financial estimates </w:t>
      </w:r>
      <w:r w:rsidR="00920916" w:rsidRPr="005B1A91">
        <w:t xml:space="preserve">was based on </w:t>
      </w:r>
      <w:r w:rsidR="00497C5B" w:rsidRPr="005B1A91">
        <w:t>the proportion of patients achieving HbA1c &lt;7.0% at 40 weeks in the trial</w:t>
      </w:r>
      <w:r w:rsidR="00E24D5A" w:rsidRPr="005B1A91">
        <w:t>.</w:t>
      </w:r>
      <w:r w:rsidR="008F198D" w:rsidRPr="00846137">
        <w:rPr>
          <w:iCs/>
        </w:rPr>
        <w:t xml:space="preserve"> </w:t>
      </w:r>
      <w:r w:rsidR="00444F93" w:rsidRPr="001F3166">
        <w:rPr>
          <w:iCs/>
        </w:rPr>
        <w:t>The ESC note</w:t>
      </w:r>
      <w:r w:rsidR="00D22D3D" w:rsidRPr="001F3166">
        <w:rPr>
          <w:iCs/>
        </w:rPr>
        <w:t>d</w:t>
      </w:r>
      <w:r w:rsidR="00444F93" w:rsidRPr="001F3166">
        <w:rPr>
          <w:iCs/>
        </w:rPr>
        <w:t xml:space="preserve"> that the two approaches lead to significantly different patterns of use, and believe</w:t>
      </w:r>
      <w:r w:rsidR="00D22D3D" w:rsidRPr="001F3166">
        <w:rPr>
          <w:iCs/>
        </w:rPr>
        <w:t>d</w:t>
      </w:r>
      <w:r w:rsidR="00444F93" w:rsidRPr="001F3166">
        <w:rPr>
          <w:iCs/>
        </w:rPr>
        <w:t xml:space="preserve"> that</w:t>
      </w:r>
      <w:r w:rsidR="00444F93">
        <w:rPr>
          <w:iCs/>
        </w:rPr>
        <w:t xml:space="preserve"> n</w:t>
      </w:r>
      <w:r w:rsidR="008F198D" w:rsidRPr="00EF28A2">
        <w:t xml:space="preserve">either approach is likely to be </w:t>
      </w:r>
      <w:r w:rsidR="008F198D" w:rsidRPr="00A80453">
        <w:t xml:space="preserve">applicable to the circumstances of use of tirzepatide in clinical practice. </w:t>
      </w:r>
    </w:p>
    <w:p w14:paraId="05D7BF18" w14:textId="0939C81B" w:rsidR="00A74DA5" w:rsidRPr="00A80453" w:rsidRDefault="00A74DA5" w:rsidP="005B1A91">
      <w:pPr>
        <w:pStyle w:val="COMexecsummnumbered"/>
      </w:pPr>
      <w:r>
        <w:t>The pre-PBAC response offered a price reduction with effective DPMQs of $</w:t>
      </w:r>
      <w:r w:rsidR="00F111EB" w:rsidRPr="00F111EB">
        <w:rPr>
          <w:color w:val="000000"/>
          <w:w w:val="60"/>
          <w:shd w:val="solid" w:color="000000" w:fill="000000"/>
          <w:fitText w:val="468" w:id="-761014256"/>
          <w14:textFill>
            <w14:solidFill>
              <w14:srgbClr w14:val="000000">
                <w14:alpha w14:val="100000"/>
              </w14:srgbClr>
            </w14:solidFill>
          </w14:textFill>
        </w:rPr>
        <w:t>|||  ||</w:t>
      </w:r>
      <w:r w:rsidR="00F111EB" w:rsidRPr="00F111EB">
        <w:rPr>
          <w:color w:val="000000"/>
          <w:spacing w:val="4"/>
          <w:w w:val="60"/>
          <w:shd w:val="solid" w:color="000000" w:fill="000000"/>
          <w:fitText w:val="468" w:id="-761014256"/>
          <w14:textFill>
            <w14:solidFill>
              <w14:srgbClr w14:val="000000">
                <w14:alpha w14:val="100000"/>
              </w14:srgbClr>
            </w14:solidFill>
          </w14:textFill>
        </w:rPr>
        <w:t>|</w:t>
      </w:r>
      <w:r>
        <w:t xml:space="preserve"> for the 2.5 mg and 5 mg doses, $</w:t>
      </w:r>
      <w:r w:rsidR="00F111EB" w:rsidRPr="00F111EB">
        <w:rPr>
          <w:color w:val="000000"/>
          <w:w w:val="60"/>
          <w:shd w:val="solid" w:color="000000" w:fill="000000"/>
          <w:fitText w:val="468" w:id="-761014272"/>
          <w14:textFill>
            <w14:solidFill>
              <w14:srgbClr w14:val="000000">
                <w14:alpha w14:val="100000"/>
              </w14:srgbClr>
            </w14:solidFill>
          </w14:textFill>
        </w:rPr>
        <w:t>|||  ||</w:t>
      </w:r>
      <w:r w:rsidR="00F111EB" w:rsidRPr="00F111EB">
        <w:rPr>
          <w:color w:val="000000"/>
          <w:spacing w:val="4"/>
          <w:w w:val="60"/>
          <w:shd w:val="solid" w:color="000000" w:fill="000000"/>
          <w:fitText w:val="468" w:id="-761014272"/>
          <w14:textFill>
            <w14:solidFill>
              <w14:srgbClr w14:val="000000">
                <w14:alpha w14:val="100000"/>
              </w14:srgbClr>
            </w14:solidFill>
          </w14:textFill>
        </w:rPr>
        <w:t>|</w:t>
      </w:r>
      <w:r>
        <w:t xml:space="preserve"> for the 7.5 mg and 10 mg doses, and $</w:t>
      </w:r>
      <w:r w:rsidR="00F111EB" w:rsidRPr="00F111EB">
        <w:rPr>
          <w:color w:val="000000"/>
          <w:w w:val="60"/>
          <w:shd w:val="solid" w:color="000000" w:fill="000000"/>
          <w:fitText w:val="468" w:id="-761014271"/>
          <w14:textFill>
            <w14:solidFill>
              <w14:srgbClr w14:val="000000">
                <w14:alpha w14:val="100000"/>
              </w14:srgbClr>
            </w14:solidFill>
          </w14:textFill>
        </w:rPr>
        <w:t>|||  ||</w:t>
      </w:r>
      <w:r w:rsidR="00F111EB" w:rsidRPr="00F111EB">
        <w:rPr>
          <w:color w:val="000000"/>
          <w:spacing w:val="4"/>
          <w:w w:val="60"/>
          <w:shd w:val="solid" w:color="000000" w:fill="000000"/>
          <w:fitText w:val="468" w:id="-761014271"/>
          <w14:textFill>
            <w14:solidFill>
              <w14:srgbClr w14:val="000000">
                <w14:alpha w14:val="100000"/>
              </w14:srgbClr>
            </w14:solidFill>
          </w14:textFill>
        </w:rPr>
        <w:t>|</w:t>
      </w:r>
      <w:r>
        <w:t xml:space="preserve"> for the 12.5 mg and 15 mg doses (see paragraph </w:t>
      </w:r>
      <w:r>
        <w:fldChar w:fldCharType="begin" w:fldLock="1"/>
      </w:r>
      <w:r>
        <w:instrText xml:space="preserve"> REF _Ref184036709 \r \h </w:instrText>
      </w:r>
      <w:r>
        <w:fldChar w:fldCharType="separate"/>
      </w:r>
      <w:r w:rsidR="00EE035D">
        <w:t>3.2</w:t>
      </w:r>
      <w:r>
        <w:fldChar w:fldCharType="end"/>
      </w:r>
      <w:r>
        <w:t>).</w:t>
      </w:r>
    </w:p>
    <w:p w14:paraId="268768EF" w14:textId="3626F292" w:rsidR="00B60939" w:rsidRPr="00A80453" w:rsidRDefault="00B60939" w:rsidP="003D5DE7">
      <w:pPr>
        <w:pStyle w:val="COMH2-non-numbered"/>
      </w:pPr>
      <w:bookmarkStart w:id="62" w:name="_Toc22897647"/>
      <w:bookmarkStart w:id="63" w:name="_Toc176618573"/>
      <w:r w:rsidRPr="00A80453">
        <w:lastRenderedPageBreak/>
        <w:t>Estimated PBS usage &amp; financial implications</w:t>
      </w:r>
      <w:bookmarkEnd w:id="62"/>
      <w:bookmarkEnd w:id="63"/>
    </w:p>
    <w:p w14:paraId="4E212F06" w14:textId="74AAFAFD" w:rsidR="00410565" w:rsidRPr="00410565" w:rsidRDefault="00C25D9C" w:rsidP="0085786F">
      <w:pPr>
        <w:pStyle w:val="COMexecsummnumbered"/>
        <w:rPr>
          <w:color w:val="0066FF"/>
        </w:rPr>
      </w:pPr>
      <w:r w:rsidRPr="00A80453">
        <w:t xml:space="preserve">This </w:t>
      </w:r>
      <w:r w:rsidR="00803BAD" w:rsidRPr="00A80453">
        <w:t>re</w:t>
      </w:r>
      <w:r w:rsidRPr="00A80453">
        <w:t xml:space="preserve">submission </w:t>
      </w:r>
      <w:r w:rsidR="00C507F3" w:rsidRPr="00A80453">
        <w:t>was not</w:t>
      </w:r>
      <w:r w:rsidR="00D23D11" w:rsidRPr="00A80453">
        <w:t xml:space="preserve"> </w:t>
      </w:r>
      <w:r w:rsidRPr="00A80453">
        <w:t>considered</w:t>
      </w:r>
      <w:r w:rsidRPr="0076762E">
        <w:t xml:space="preserve"> by DUSC</w:t>
      </w:r>
      <w:r w:rsidRPr="00DB64DA">
        <w:t>.</w:t>
      </w:r>
      <w:r w:rsidR="00BC591F" w:rsidRPr="00DB64DA">
        <w:t xml:space="preserve"> </w:t>
      </w:r>
    </w:p>
    <w:p w14:paraId="721B50F6" w14:textId="280C9A23" w:rsidR="00673F53" w:rsidRPr="003422FF" w:rsidRDefault="00673F53" w:rsidP="00EE1E47">
      <w:pPr>
        <w:pStyle w:val="COMexecsummnumbered"/>
        <w:spacing w:after="0"/>
        <w:rPr>
          <w:color w:val="0066FF"/>
        </w:rPr>
      </w:pPr>
      <w:r w:rsidRPr="00803BAD">
        <w:t>The</w:t>
      </w:r>
      <w:r>
        <w:t xml:space="preserve"> resubmission used a</w:t>
      </w:r>
      <w:r w:rsidR="00D34EBB">
        <w:t xml:space="preserve"> mixed</w:t>
      </w:r>
      <w:r>
        <w:t xml:space="preserve"> epidemiologica</w:t>
      </w:r>
      <w:r w:rsidR="00D97FA9">
        <w:t>l/market share</w:t>
      </w:r>
      <w:r>
        <w:t xml:space="preserve"> approach to estimate the utilisation and financial implications of listing tirzepatide on the PBS/RPBS for the treatment of type 2 diabetes based on four mutually exclusive subgroups:</w:t>
      </w:r>
    </w:p>
    <w:p w14:paraId="1CFDD871" w14:textId="14C02060" w:rsidR="00673F53" w:rsidRDefault="00673F53" w:rsidP="00EF2904">
      <w:pPr>
        <w:pStyle w:val="COMexecsummnumbered"/>
        <w:numPr>
          <w:ilvl w:val="0"/>
          <w:numId w:val="18"/>
        </w:numPr>
      </w:pPr>
      <w:r>
        <w:t xml:space="preserve">Established eligible patients with type 2 diabetes and BMI </w:t>
      </w:r>
      <w:r w:rsidRPr="00EF2904">
        <w:t>≥</w:t>
      </w:r>
      <w:r>
        <w:t xml:space="preserve"> 35 kg/m</w:t>
      </w:r>
      <w:r w:rsidRPr="003F0A3B">
        <w:rPr>
          <w:vertAlign w:val="superscript"/>
        </w:rPr>
        <w:t>2</w:t>
      </w:r>
      <w:r w:rsidR="00EE1E47">
        <w:t>.</w:t>
      </w:r>
    </w:p>
    <w:p w14:paraId="51653041" w14:textId="29A6C4BD" w:rsidR="00673F53" w:rsidRDefault="00673F53" w:rsidP="00EF2904">
      <w:pPr>
        <w:pStyle w:val="COMexecsummnumbered"/>
        <w:numPr>
          <w:ilvl w:val="0"/>
          <w:numId w:val="18"/>
        </w:numPr>
      </w:pPr>
      <w:r>
        <w:t xml:space="preserve">Newly eligible patients with type 2 diabetes and BMI </w:t>
      </w:r>
      <w:r w:rsidRPr="00EF2904">
        <w:t>≥</w:t>
      </w:r>
      <w:r>
        <w:t xml:space="preserve"> 35 kg/m</w:t>
      </w:r>
      <w:r w:rsidRPr="003F0A3B">
        <w:rPr>
          <w:vertAlign w:val="superscript"/>
        </w:rPr>
        <w:t>2</w:t>
      </w:r>
      <w:r w:rsidR="00EE1E47">
        <w:t>.</w:t>
      </w:r>
    </w:p>
    <w:p w14:paraId="31F91936" w14:textId="7DD65388" w:rsidR="00673F53" w:rsidRDefault="00673F53" w:rsidP="00EF2904">
      <w:pPr>
        <w:pStyle w:val="COMexecsummnumbered"/>
        <w:numPr>
          <w:ilvl w:val="0"/>
          <w:numId w:val="18"/>
        </w:numPr>
      </w:pPr>
      <w:r>
        <w:t>Established eligible Aboriginal and Torres Strait Islander</w:t>
      </w:r>
      <w:r w:rsidR="00174F4B">
        <w:t xml:space="preserve"> peoples</w:t>
      </w:r>
      <w:r>
        <w:t xml:space="preserve"> with type 2 diabetes and BMI &lt;35 kg/m</w:t>
      </w:r>
      <w:r w:rsidRPr="003F0A3B">
        <w:rPr>
          <w:vertAlign w:val="superscript"/>
        </w:rPr>
        <w:t>2</w:t>
      </w:r>
      <w:r w:rsidR="00EE1E47">
        <w:t>.</w:t>
      </w:r>
    </w:p>
    <w:p w14:paraId="3C49002A" w14:textId="2A4E3125" w:rsidR="00673F53" w:rsidRPr="0076762E" w:rsidRDefault="00673F53" w:rsidP="00EF2904">
      <w:pPr>
        <w:pStyle w:val="COMexecsummnumbered"/>
        <w:numPr>
          <w:ilvl w:val="0"/>
          <w:numId w:val="18"/>
        </w:numPr>
      </w:pPr>
      <w:r>
        <w:t>Newly eligible Aboriginal and Torres Strait Islander</w:t>
      </w:r>
      <w:r w:rsidR="00174F4B">
        <w:t xml:space="preserve"> peoples</w:t>
      </w:r>
      <w:r>
        <w:t xml:space="preserve"> with type 2 diabetes and BMI &lt;35 kg/m</w:t>
      </w:r>
      <w:r w:rsidRPr="003F0A3B">
        <w:rPr>
          <w:vertAlign w:val="superscript"/>
        </w:rPr>
        <w:t>2</w:t>
      </w:r>
      <w:r w:rsidR="00EE1E47">
        <w:t>.</w:t>
      </w:r>
    </w:p>
    <w:p w14:paraId="42F75DAC" w14:textId="481360C5" w:rsidR="00673F53" w:rsidRPr="00EF28A2" w:rsidRDefault="00673F53" w:rsidP="0085786F">
      <w:pPr>
        <w:pStyle w:val="COMexecsummnumbered"/>
      </w:pPr>
      <w:r w:rsidRPr="00EF28A2">
        <w:t xml:space="preserve">During the evaluation, the sponsor identified an error in the parameterisation of the 10% PBS sample analysis that formed the basis of the utilisation and financial estimates. The sponsor provided an updated analysis and </w:t>
      </w:r>
      <w:r w:rsidR="000D5167" w:rsidRPr="00EF28A2">
        <w:t>financial estimates</w:t>
      </w:r>
      <w:r w:rsidRPr="00EF28A2">
        <w:t xml:space="preserve"> model with corrections for this error. All utilisation and financial estimates were revised accordingly.</w:t>
      </w:r>
    </w:p>
    <w:p w14:paraId="695DE2F9" w14:textId="56FF7F44" w:rsidR="00500868" w:rsidRPr="0076762E" w:rsidRDefault="00500868" w:rsidP="00D63EE4">
      <w:pPr>
        <w:pStyle w:val="COMtablefigcaption"/>
        <w:keepLines/>
        <w:widowControl w:val="0"/>
      </w:pPr>
      <w:bookmarkStart w:id="64" w:name="_Ref104805262"/>
      <w:r w:rsidRPr="0076762E">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15</w:t>
      </w:r>
      <w:r w:rsidR="00EE035D">
        <w:rPr>
          <w:noProof/>
        </w:rPr>
        <w:fldChar w:fldCharType="end"/>
      </w:r>
      <w:bookmarkEnd w:id="64"/>
      <w:r w:rsidRPr="0076762E">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269"/>
        <w:gridCol w:w="3874"/>
        <w:gridCol w:w="3874"/>
      </w:tblGrid>
      <w:tr w:rsidR="00500868" w:rsidRPr="0076762E" w14:paraId="74160F1C" w14:textId="77777777" w:rsidTr="009000B1">
        <w:trPr>
          <w:cantSplit/>
          <w:tblHeader/>
        </w:trPr>
        <w:tc>
          <w:tcPr>
            <w:tcW w:w="704" w:type="pct"/>
            <w:shd w:val="clear" w:color="auto" w:fill="auto"/>
            <w:vAlign w:val="center"/>
          </w:tcPr>
          <w:p w14:paraId="51D9554E" w14:textId="77777777" w:rsidR="00500868" w:rsidRPr="0076762E" w:rsidRDefault="00500868" w:rsidP="0005239F">
            <w:pPr>
              <w:pStyle w:val="COMTableheadingrow"/>
              <w:keepNext w:val="0"/>
              <w:widowControl w:val="0"/>
              <w:rPr>
                <w:lang w:val="en-AU"/>
              </w:rPr>
            </w:pPr>
            <w:r w:rsidRPr="0076762E">
              <w:rPr>
                <w:lang w:val="en-AU"/>
              </w:rPr>
              <w:t>Parameter</w:t>
            </w:r>
          </w:p>
        </w:tc>
        <w:tc>
          <w:tcPr>
            <w:tcW w:w="2148" w:type="pct"/>
            <w:shd w:val="clear" w:color="auto" w:fill="auto"/>
            <w:vAlign w:val="center"/>
          </w:tcPr>
          <w:p w14:paraId="19AA6BED" w14:textId="77777777" w:rsidR="00500868" w:rsidRPr="0076762E" w:rsidRDefault="00500868" w:rsidP="0005239F">
            <w:pPr>
              <w:pStyle w:val="COMTableheadingrow"/>
              <w:keepNext w:val="0"/>
              <w:widowControl w:val="0"/>
              <w:rPr>
                <w:lang w:val="en-AU"/>
              </w:rPr>
            </w:pPr>
            <w:r w:rsidRPr="0076762E">
              <w:rPr>
                <w:lang w:val="en-AU"/>
              </w:rPr>
              <w:t>Value applied and source</w:t>
            </w:r>
          </w:p>
        </w:tc>
        <w:tc>
          <w:tcPr>
            <w:tcW w:w="2148" w:type="pct"/>
            <w:shd w:val="clear" w:color="auto" w:fill="auto"/>
            <w:vAlign w:val="center"/>
          </w:tcPr>
          <w:p w14:paraId="39FB2DBA" w14:textId="77777777" w:rsidR="00500868" w:rsidRPr="0076762E" w:rsidRDefault="00500868" w:rsidP="0005239F">
            <w:pPr>
              <w:pStyle w:val="COMTableheadingrow"/>
              <w:keepNext w:val="0"/>
              <w:widowControl w:val="0"/>
              <w:rPr>
                <w:lang w:val="en-AU"/>
              </w:rPr>
            </w:pPr>
            <w:r w:rsidRPr="0076762E">
              <w:rPr>
                <w:lang w:val="en-AU"/>
              </w:rPr>
              <w:t>Comment</w:t>
            </w:r>
          </w:p>
        </w:tc>
      </w:tr>
      <w:tr w:rsidR="00500868" w:rsidRPr="0076762E" w14:paraId="5A4964F7" w14:textId="77777777" w:rsidTr="009000B1">
        <w:trPr>
          <w:cantSplit/>
        </w:trPr>
        <w:tc>
          <w:tcPr>
            <w:tcW w:w="704" w:type="pct"/>
            <w:shd w:val="clear" w:color="auto" w:fill="auto"/>
            <w:vAlign w:val="center"/>
          </w:tcPr>
          <w:p w14:paraId="0D4E9D83" w14:textId="12543CFB" w:rsidR="00500868" w:rsidRPr="0076762E" w:rsidRDefault="00D63B22" w:rsidP="0005239F">
            <w:pPr>
              <w:pStyle w:val="COMTabletext"/>
              <w:keepNext w:val="0"/>
              <w:widowControl w:val="0"/>
            </w:pPr>
            <w:r>
              <w:t>Patients who switched out of SGLT2i</w:t>
            </w:r>
          </w:p>
        </w:tc>
        <w:tc>
          <w:tcPr>
            <w:tcW w:w="2148" w:type="pct"/>
            <w:shd w:val="clear" w:color="auto" w:fill="auto"/>
            <w:vAlign w:val="center"/>
          </w:tcPr>
          <w:p w14:paraId="5B17814D" w14:textId="7490C72F" w:rsidR="00E938C4" w:rsidRPr="001B7199" w:rsidRDefault="00D63B22" w:rsidP="00EE1E47">
            <w:pPr>
              <w:pStyle w:val="COMTabletext"/>
              <w:keepNext w:val="0"/>
              <w:widowControl w:val="0"/>
              <w:spacing w:after="60"/>
            </w:pPr>
            <w:r w:rsidRPr="001B7199">
              <w:t xml:space="preserve">Established eligibility: </w:t>
            </w:r>
            <w:r w:rsidR="00F111EB" w:rsidRPr="00F111EB">
              <w:rPr>
                <w:color w:val="000000"/>
                <w:spacing w:val="51"/>
                <w:shd w:val="solid" w:color="000000" w:fill="000000"/>
                <w:fitText w:val="325" w:id="-761014270"/>
                <w14:textFill>
                  <w14:solidFill>
                    <w14:srgbClr w14:val="000000">
                      <w14:alpha w14:val="100000"/>
                    </w14:srgbClr>
                  </w14:solidFill>
                </w14:textFill>
              </w:rPr>
              <w:t>|||</w:t>
            </w:r>
            <w:r w:rsidR="00F111EB" w:rsidRPr="00F111EB">
              <w:rPr>
                <w:color w:val="000000"/>
                <w:spacing w:val="2"/>
                <w:shd w:val="solid" w:color="000000" w:fill="000000"/>
                <w:fitText w:val="325" w:id="-761014270"/>
                <w14:textFill>
                  <w14:solidFill>
                    <w14:srgbClr w14:val="000000">
                      <w14:alpha w14:val="100000"/>
                    </w14:srgbClr>
                  </w14:solidFill>
                </w14:textFill>
              </w:rPr>
              <w:t>|</w:t>
            </w:r>
            <w:r w:rsidR="009E58BC">
              <w:t xml:space="preserve"> </w:t>
            </w:r>
            <w:r w:rsidR="009E58BC">
              <w:rPr>
                <w:vertAlign w:val="superscript"/>
              </w:rPr>
              <w:t>1</w:t>
            </w:r>
            <w:r w:rsidRPr="001B7199">
              <w:t xml:space="preserve"> (</w:t>
            </w:r>
            <w:r w:rsidR="00443116" w:rsidRPr="001B7199">
              <w:t xml:space="preserve">cumulative over 6 years between </w:t>
            </w:r>
            <w:r w:rsidRPr="001B7199">
              <w:t>2019-2024</w:t>
            </w:r>
            <w:r w:rsidR="005A23C8" w:rsidRPr="001B7199">
              <w:t xml:space="preserve">). </w:t>
            </w:r>
          </w:p>
          <w:p w14:paraId="0376AAF7" w14:textId="09859469" w:rsidR="00E201CC" w:rsidRPr="001B7199" w:rsidRDefault="005A23C8" w:rsidP="00EE1E47">
            <w:pPr>
              <w:pStyle w:val="COMTabletext"/>
              <w:keepNext w:val="0"/>
              <w:widowControl w:val="0"/>
              <w:spacing w:after="60"/>
            </w:pPr>
            <w:r w:rsidRPr="001B7199">
              <w:t>Newly</w:t>
            </w:r>
            <w:r w:rsidR="00D63B22" w:rsidRPr="001B7199">
              <w:t xml:space="preserve"> eligible</w:t>
            </w:r>
            <w:r w:rsidR="00D63B22" w:rsidRPr="009E58BC">
              <w:t xml:space="preserve">: </w:t>
            </w:r>
            <w:r w:rsidR="00F111EB" w:rsidRPr="00F111EB">
              <w:rPr>
                <w:color w:val="000000"/>
                <w:spacing w:val="51"/>
                <w:shd w:val="solid" w:color="000000" w:fill="000000"/>
                <w:fitText w:val="326" w:id="-761014269"/>
                <w14:textFill>
                  <w14:solidFill>
                    <w14:srgbClr w14:val="000000">
                      <w14:alpha w14:val="100000"/>
                    </w14:srgbClr>
                  </w14:solidFill>
                </w14:textFill>
              </w:rPr>
              <w:t>|||</w:t>
            </w:r>
            <w:r w:rsidR="00F111EB" w:rsidRPr="00F111EB">
              <w:rPr>
                <w:color w:val="000000"/>
                <w:spacing w:val="3"/>
                <w:shd w:val="solid" w:color="000000" w:fill="000000"/>
                <w:fitText w:val="326" w:id="-761014269"/>
                <w14:textFill>
                  <w14:solidFill>
                    <w14:srgbClr w14:val="000000">
                      <w14:alpha w14:val="100000"/>
                    </w14:srgbClr>
                  </w14:solidFill>
                </w14:textFill>
              </w:rPr>
              <w:t>|</w:t>
            </w:r>
            <w:r w:rsidR="00D63B22" w:rsidRPr="001B7199">
              <w:t xml:space="preserve"> </w:t>
            </w:r>
            <w:r w:rsidR="009E58BC">
              <w:rPr>
                <w:vertAlign w:val="superscript"/>
              </w:rPr>
              <w:t>2</w:t>
            </w:r>
            <w:r w:rsidR="009E58BC" w:rsidRPr="001B7199">
              <w:t xml:space="preserve"> </w:t>
            </w:r>
            <w:r w:rsidR="00D63B22" w:rsidRPr="001B7199">
              <w:t xml:space="preserve">in Year 1 increasing to </w:t>
            </w:r>
            <w:r w:rsidR="00F111EB" w:rsidRPr="00F111EB">
              <w:rPr>
                <w:color w:val="000000"/>
                <w:spacing w:val="51"/>
                <w:shd w:val="solid" w:color="000000" w:fill="000000"/>
                <w:fitText w:val="326" w:id="-761014268"/>
                <w14:textFill>
                  <w14:solidFill>
                    <w14:srgbClr w14:val="000000">
                      <w14:alpha w14:val="100000"/>
                    </w14:srgbClr>
                  </w14:solidFill>
                </w14:textFill>
              </w:rPr>
              <w:t>|||</w:t>
            </w:r>
            <w:r w:rsidR="00F111EB" w:rsidRPr="00F111EB">
              <w:rPr>
                <w:color w:val="000000"/>
                <w:spacing w:val="3"/>
                <w:shd w:val="solid" w:color="000000" w:fill="000000"/>
                <w:fitText w:val="326" w:id="-761014268"/>
                <w14:textFill>
                  <w14:solidFill>
                    <w14:srgbClr w14:val="000000">
                      <w14:alpha w14:val="100000"/>
                    </w14:srgbClr>
                  </w14:solidFill>
                </w14:textFill>
              </w:rPr>
              <w:t>|</w:t>
            </w:r>
            <w:r w:rsidR="009E58BC" w:rsidRPr="001B7199">
              <w:t xml:space="preserve"> </w:t>
            </w:r>
            <w:r w:rsidR="009E58BC">
              <w:rPr>
                <w:vertAlign w:val="superscript"/>
              </w:rPr>
              <w:t>2</w:t>
            </w:r>
            <w:r w:rsidR="009E58BC" w:rsidRPr="001B7199">
              <w:t xml:space="preserve"> </w:t>
            </w:r>
            <w:r w:rsidR="00D63B22" w:rsidRPr="001B7199">
              <w:t>in Year 6</w:t>
            </w:r>
            <w:r w:rsidRPr="001B7199">
              <w:t>.</w:t>
            </w:r>
          </w:p>
          <w:p w14:paraId="1BFD5347" w14:textId="41D337DC" w:rsidR="00500868" w:rsidRPr="0076762E" w:rsidRDefault="0094267A" w:rsidP="0005239F">
            <w:pPr>
              <w:pStyle w:val="COMTabletext"/>
              <w:keepNext w:val="0"/>
              <w:widowControl w:val="0"/>
            </w:pPr>
            <w:r w:rsidRPr="001B7199">
              <w:t>S</w:t>
            </w:r>
            <w:r w:rsidR="00D63B22" w:rsidRPr="001B7199">
              <w:t>ponsor-commissioned 10% PBS sample analysis. Estimated based on patients treated for type 2 diabetes with an SGLT2i (including combinations with metformin, DPP4i or sulfonylurea, excluding insulin and GLP</w:t>
            </w:r>
            <w:r w:rsidR="00D63B22" w:rsidRPr="001B7199">
              <w:noBreakHyphen/>
              <w:t>1 RAs) who switched to another therapy (including GLP-1 RAs, DPP4i, metformin, sulfonylurea and insulin).</w:t>
            </w:r>
          </w:p>
        </w:tc>
        <w:tc>
          <w:tcPr>
            <w:tcW w:w="2148" w:type="pct"/>
            <w:shd w:val="clear" w:color="auto" w:fill="auto"/>
            <w:vAlign w:val="center"/>
          </w:tcPr>
          <w:p w14:paraId="721A799B" w14:textId="01CDF1C9" w:rsidR="004A340E" w:rsidRPr="00EF28A2" w:rsidRDefault="004A340E" w:rsidP="001B7199">
            <w:pPr>
              <w:pStyle w:val="TableText"/>
              <w:spacing w:after="60"/>
              <w:rPr>
                <w:i w:val="0"/>
                <w:iCs w:val="0"/>
              </w:rPr>
            </w:pPr>
            <w:r w:rsidRPr="00EF28A2">
              <w:rPr>
                <w:i w:val="0"/>
                <w:iCs w:val="0"/>
              </w:rPr>
              <w:t xml:space="preserve">Regimens included in the analysis did not appear to align with prior therapy requirements in the proposed restriction (e.g. included SGLT2i monotherapy, excluded SGLT2i in combination with insulin). </w:t>
            </w:r>
          </w:p>
          <w:p w14:paraId="3EB08108" w14:textId="1B5DAD29" w:rsidR="004A340E" w:rsidRPr="001F3166" w:rsidRDefault="00A73CA4" w:rsidP="001B7199">
            <w:pPr>
              <w:pStyle w:val="TableText"/>
              <w:spacing w:after="60"/>
              <w:rPr>
                <w:i w:val="0"/>
                <w:iCs w:val="0"/>
              </w:rPr>
            </w:pPr>
            <w:r w:rsidRPr="001F3166">
              <w:rPr>
                <w:i w:val="0"/>
                <w:iCs w:val="0"/>
              </w:rPr>
              <w:t xml:space="preserve">The PSCR confirmed that monthly proportion of patients who switched out/dropped off SGLT2i therapy in the 10% PBS sample analysis were representative of unique patients and not episodes of care. However, the ESC noted the estimated proportion of patients who switched out/dropped off SGLT2i </w:t>
            </w:r>
            <w:r w:rsidRPr="005B2F4E">
              <w:rPr>
                <w:i w:val="0"/>
                <w:iCs w:val="0"/>
              </w:rPr>
              <w:t>therapy (68%) over the 5-year analysis period appeared high.</w:t>
            </w:r>
            <w:r w:rsidRPr="001F3166">
              <w:rPr>
                <w:i w:val="0"/>
                <w:iCs w:val="0"/>
              </w:rPr>
              <w:t xml:space="preserve"> </w:t>
            </w:r>
          </w:p>
          <w:p w14:paraId="4D2B870E" w14:textId="61ACAECB" w:rsidR="004A340E" w:rsidRPr="00EF28A2" w:rsidRDefault="004A340E" w:rsidP="001B7199">
            <w:pPr>
              <w:pStyle w:val="TableText"/>
              <w:spacing w:after="60"/>
              <w:rPr>
                <w:i w:val="0"/>
                <w:iCs w:val="0"/>
              </w:rPr>
            </w:pPr>
            <w:r w:rsidRPr="00EF28A2">
              <w:rPr>
                <w:i w:val="0"/>
                <w:iCs w:val="0"/>
              </w:rPr>
              <w:t>The 10% PBS sample analysis indicated instability in SGLT2i switch outs from 2022-2023 (marked increase then decrease), which may be a flow-on consequence of GLP-1 RA shortages. This introduced added uncertainty in extrapolated estimates.</w:t>
            </w:r>
            <w:r w:rsidR="008511CE">
              <w:rPr>
                <w:i w:val="0"/>
                <w:iCs w:val="0"/>
              </w:rPr>
              <w:t xml:space="preserve"> The pre-PBAC response adjusted the starting point for extrapolating the newly eligible incident population to October 2022</w:t>
            </w:r>
            <w:r w:rsidR="002B40A2">
              <w:rPr>
                <w:i w:val="0"/>
                <w:iCs w:val="0"/>
              </w:rPr>
              <w:t xml:space="preserve"> with linear extrapolation applied. </w:t>
            </w:r>
          </w:p>
          <w:p w14:paraId="60709678" w14:textId="18E02469" w:rsidR="00500868" w:rsidRPr="004A340E" w:rsidRDefault="004A340E" w:rsidP="004A340E">
            <w:pPr>
              <w:pStyle w:val="COMTabletext"/>
              <w:keepNext w:val="0"/>
              <w:widowControl w:val="0"/>
              <w:rPr>
                <w:i/>
                <w:iCs/>
              </w:rPr>
            </w:pPr>
            <w:r w:rsidRPr="00EF28A2">
              <w:t>The assumed duration of established eligibility based on patients with changes in therapy up to 6 years prior may not be reasonable as it does not account for patients who achieve adequate response following initiation of other therapies.</w:t>
            </w:r>
            <w:r w:rsidR="00D9351E">
              <w:t xml:space="preserve"> The pre-PBAC response changed the assumed duration of established eligibility of prevalent patients from 6 years to 3 years prior to the first PBS listing.</w:t>
            </w:r>
          </w:p>
        </w:tc>
      </w:tr>
      <w:tr w:rsidR="00500868" w:rsidRPr="0076762E" w14:paraId="7327F1A9" w14:textId="77777777" w:rsidTr="009000B1">
        <w:trPr>
          <w:cantSplit/>
        </w:trPr>
        <w:tc>
          <w:tcPr>
            <w:tcW w:w="704" w:type="pct"/>
            <w:shd w:val="clear" w:color="auto" w:fill="auto"/>
            <w:vAlign w:val="center"/>
          </w:tcPr>
          <w:p w14:paraId="4CB33CBC" w14:textId="2FC118A7" w:rsidR="00500868" w:rsidRPr="0076762E" w:rsidRDefault="00E74B1D" w:rsidP="0005239F">
            <w:pPr>
              <w:pStyle w:val="COMTabletext"/>
              <w:keepNext w:val="0"/>
              <w:widowControl w:val="0"/>
            </w:pPr>
            <w:r>
              <w:t xml:space="preserve">Patients with type 2 diabetes and eGFR &lt;30 </w:t>
            </w:r>
          </w:p>
        </w:tc>
        <w:tc>
          <w:tcPr>
            <w:tcW w:w="2148" w:type="pct"/>
            <w:shd w:val="clear" w:color="auto" w:fill="auto"/>
            <w:vAlign w:val="center"/>
          </w:tcPr>
          <w:p w14:paraId="132DCC72" w14:textId="1D9E7FD6" w:rsidR="00500868" w:rsidRPr="0076762E" w:rsidRDefault="00E74B1D" w:rsidP="0005239F">
            <w:pPr>
              <w:pStyle w:val="COMTabletext"/>
              <w:keepNext w:val="0"/>
              <w:widowControl w:val="0"/>
            </w:pPr>
            <w:r>
              <w:t xml:space="preserve">3.1%. Cross-sectional study of CKD prevalence in US adults with type 2 diabetes based on the National Health and Nutrition Examination survey datasets from 2007-2012 (Wu 2016). </w:t>
            </w:r>
          </w:p>
        </w:tc>
        <w:tc>
          <w:tcPr>
            <w:tcW w:w="2148" w:type="pct"/>
            <w:shd w:val="clear" w:color="auto" w:fill="auto"/>
            <w:vAlign w:val="center"/>
          </w:tcPr>
          <w:p w14:paraId="5F08E437" w14:textId="268375BE" w:rsidR="00500868" w:rsidRPr="00EF28A2" w:rsidRDefault="00E74B1D" w:rsidP="0005239F">
            <w:pPr>
              <w:pStyle w:val="TableText"/>
              <w:rPr>
                <w:i w:val="0"/>
                <w:iCs w:val="0"/>
              </w:rPr>
            </w:pPr>
            <w:r w:rsidRPr="00EF28A2">
              <w:rPr>
                <w:i w:val="0"/>
                <w:iCs w:val="0"/>
              </w:rPr>
              <w:t>CKD prevalence estimates in the US setting may not be applicable to the Australian setting due to differences in population characteristics.</w:t>
            </w:r>
          </w:p>
        </w:tc>
      </w:tr>
      <w:tr w:rsidR="00500868" w:rsidRPr="0076762E" w14:paraId="4C0EF1ED" w14:textId="77777777" w:rsidTr="009000B1">
        <w:trPr>
          <w:cantSplit/>
        </w:trPr>
        <w:tc>
          <w:tcPr>
            <w:tcW w:w="704" w:type="pct"/>
            <w:shd w:val="clear" w:color="auto" w:fill="auto"/>
            <w:vAlign w:val="center"/>
          </w:tcPr>
          <w:p w14:paraId="5E6EDEDF" w14:textId="0A79BBCB" w:rsidR="00500868" w:rsidRPr="0076762E" w:rsidRDefault="00E74B1D" w:rsidP="0005239F">
            <w:pPr>
              <w:pStyle w:val="COMTabletext"/>
              <w:keepNext w:val="0"/>
              <w:widowControl w:val="0"/>
            </w:pPr>
            <w:r w:rsidRPr="00312866">
              <w:t>Patients who switched out of metformin monotherapy</w:t>
            </w:r>
            <w:r>
              <w:t xml:space="preserve"> due to eGFR &lt;30</w:t>
            </w:r>
          </w:p>
        </w:tc>
        <w:tc>
          <w:tcPr>
            <w:tcW w:w="2148" w:type="pct"/>
            <w:shd w:val="clear" w:color="auto" w:fill="auto"/>
            <w:vAlign w:val="center"/>
          </w:tcPr>
          <w:p w14:paraId="2FF84269" w14:textId="0E82A6A0" w:rsidR="00E938C4" w:rsidRPr="00F726E8" w:rsidRDefault="00E74B1D" w:rsidP="00EE1E47">
            <w:pPr>
              <w:pStyle w:val="COMTabletext"/>
              <w:keepNext w:val="0"/>
              <w:widowControl w:val="0"/>
              <w:spacing w:after="60"/>
            </w:pPr>
            <w:r w:rsidRPr="00F726E8">
              <w:t xml:space="preserve">Established eligibility: </w:t>
            </w:r>
            <w:r w:rsidR="00F111EB" w:rsidRPr="00F111EB">
              <w:rPr>
                <w:color w:val="000000"/>
                <w:spacing w:val="51"/>
                <w:shd w:val="solid" w:color="000000" w:fill="000000"/>
                <w:fitText w:val="325" w:id="-761014267"/>
                <w14:textFill>
                  <w14:solidFill>
                    <w14:srgbClr w14:val="000000">
                      <w14:alpha w14:val="100000"/>
                    </w14:srgbClr>
                  </w14:solidFill>
                </w14:textFill>
              </w:rPr>
              <w:t>|||</w:t>
            </w:r>
            <w:r w:rsidR="00F111EB" w:rsidRPr="00F111EB">
              <w:rPr>
                <w:color w:val="000000"/>
                <w:spacing w:val="2"/>
                <w:shd w:val="solid" w:color="000000" w:fill="000000"/>
                <w:fitText w:val="325" w:id="-761014267"/>
                <w14:textFill>
                  <w14:solidFill>
                    <w14:srgbClr w14:val="000000">
                      <w14:alpha w14:val="100000"/>
                    </w14:srgbClr>
                  </w14:solidFill>
                </w14:textFill>
              </w:rPr>
              <w:t>|</w:t>
            </w:r>
            <w:r w:rsidR="00422B48" w:rsidRPr="001B7199">
              <w:t xml:space="preserve"> </w:t>
            </w:r>
            <w:r w:rsidR="00422B48">
              <w:rPr>
                <w:vertAlign w:val="superscript"/>
              </w:rPr>
              <w:t>3</w:t>
            </w:r>
            <w:r w:rsidR="00617DC1" w:rsidRPr="00F726E8">
              <w:t xml:space="preserve"> (cumulative over 6 years between 2019-2024).</w:t>
            </w:r>
          </w:p>
          <w:p w14:paraId="5396A9D7" w14:textId="36652293" w:rsidR="005A23C8" w:rsidRPr="00F726E8" w:rsidRDefault="005A23C8" w:rsidP="00EE1E47">
            <w:pPr>
              <w:pStyle w:val="COMTabletext"/>
              <w:keepNext w:val="0"/>
              <w:widowControl w:val="0"/>
              <w:spacing w:after="60"/>
            </w:pPr>
            <w:r w:rsidRPr="00F726E8">
              <w:t xml:space="preserve">Newly eligible: </w:t>
            </w:r>
            <w:r w:rsidR="00F111EB" w:rsidRPr="00F111EB">
              <w:rPr>
                <w:color w:val="000000"/>
                <w:spacing w:val="51"/>
                <w:shd w:val="solid" w:color="000000" w:fill="000000"/>
                <w:fitText w:val="326" w:id="-761014266"/>
                <w14:textFill>
                  <w14:solidFill>
                    <w14:srgbClr w14:val="000000">
                      <w14:alpha w14:val="100000"/>
                    </w14:srgbClr>
                  </w14:solidFill>
                </w14:textFill>
              </w:rPr>
              <w:t>|||</w:t>
            </w:r>
            <w:r w:rsidR="00F111EB" w:rsidRPr="00F111EB">
              <w:rPr>
                <w:color w:val="000000"/>
                <w:spacing w:val="3"/>
                <w:shd w:val="solid" w:color="000000" w:fill="000000"/>
                <w:fitText w:val="326" w:id="-761014266"/>
                <w14:textFill>
                  <w14:solidFill>
                    <w14:srgbClr w14:val="000000">
                      <w14:alpha w14:val="100000"/>
                    </w14:srgbClr>
                  </w14:solidFill>
                </w14:textFill>
              </w:rPr>
              <w:t>|</w:t>
            </w:r>
            <w:r w:rsidR="00F46A0B" w:rsidRPr="001B7199">
              <w:t xml:space="preserve"> </w:t>
            </w:r>
            <w:r w:rsidR="00F46A0B">
              <w:rPr>
                <w:vertAlign w:val="superscript"/>
              </w:rPr>
              <w:t>4</w:t>
            </w:r>
            <w:r w:rsidRPr="00F726E8">
              <w:t xml:space="preserve"> in Year 1 increasing to </w:t>
            </w:r>
            <w:r w:rsidR="00F111EB" w:rsidRPr="00F111EB">
              <w:rPr>
                <w:color w:val="000000"/>
                <w:spacing w:val="51"/>
                <w:shd w:val="solid" w:color="000000" w:fill="000000"/>
                <w:fitText w:val="326" w:id="-761014265"/>
                <w14:textFill>
                  <w14:solidFill>
                    <w14:srgbClr w14:val="000000">
                      <w14:alpha w14:val="100000"/>
                    </w14:srgbClr>
                  </w14:solidFill>
                </w14:textFill>
              </w:rPr>
              <w:t>|||</w:t>
            </w:r>
            <w:r w:rsidR="00F111EB" w:rsidRPr="00F111EB">
              <w:rPr>
                <w:color w:val="000000"/>
                <w:spacing w:val="3"/>
                <w:shd w:val="solid" w:color="000000" w:fill="000000"/>
                <w:fitText w:val="326" w:id="-761014265"/>
                <w14:textFill>
                  <w14:solidFill>
                    <w14:srgbClr w14:val="000000">
                      <w14:alpha w14:val="100000"/>
                    </w14:srgbClr>
                  </w14:solidFill>
                </w14:textFill>
              </w:rPr>
              <w:t>|</w:t>
            </w:r>
            <w:r w:rsidR="00842C82">
              <w:t> </w:t>
            </w:r>
            <w:r w:rsidR="00842C82">
              <w:rPr>
                <w:vertAlign w:val="superscript"/>
              </w:rPr>
              <w:t>4</w:t>
            </w:r>
            <w:r w:rsidRPr="00F726E8">
              <w:t xml:space="preserve"> in Year 6.</w:t>
            </w:r>
          </w:p>
          <w:p w14:paraId="5E69023A" w14:textId="7B260E4B" w:rsidR="005A23C8" w:rsidRPr="0076762E" w:rsidRDefault="0094267A" w:rsidP="0005239F">
            <w:pPr>
              <w:pStyle w:val="COMTabletext"/>
              <w:keepNext w:val="0"/>
              <w:widowControl w:val="0"/>
            </w:pPr>
            <w:r w:rsidRPr="00F726E8">
              <w:t>S</w:t>
            </w:r>
            <w:r w:rsidR="005A23C8" w:rsidRPr="00F726E8">
              <w:t>ponsor-commissioned 10% PBS sample analysis. Estimated based on patients who switched out of metformin monotherapy to non-SGLT2i therapy (i.e. GLP-1 RA, DPP4i, insulin, acarbose, sulfonylurea, thiazolidinedione).</w:t>
            </w:r>
            <w:r w:rsidRPr="00F726E8">
              <w:t xml:space="preserve"> Patient estimates were multiplied by the proportion of patients with eGFR &lt;30 (3.1%, see above).</w:t>
            </w:r>
          </w:p>
        </w:tc>
        <w:tc>
          <w:tcPr>
            <w:tcW w:w="2148" w:type="pct"/>
            <w:shd w:val="clear" w:color="auto" w:fill="auto"/>
            <w:vAlign w:val="center"/>
          </w:tcPr>
          <w:p w14:paraId="63F8C94D" w14:textId="3191A3C8" w:rsidR="00BA1AE6" w:rsidRPr="00EF28A2" w:rsidRDefault="004A340E" w:rsidP="001B7199">
            <w:pPr>
              <w:pStyle w:val="TableText"/>
              <w:spacing w:after="60"/>
              <w:rPr>
                <w:i w:val="0"/>
                <w:iCs w:val="0"/>
              </w:rPr>
            </w:pPr>
            <w:r w:rsidRPr="00EF28A2">
              <w:rPr>
                <w:i w:val="0"/>
                <w:iCs w:val="0"/>
              </w:rPr>
              <w:t xml:space="preserve">It was unclear whether metformin monotherapy switch outs were representative of unique patients or episodes of care due to inconsistencies in the information provided by the sponsor. </w:t>
            </w:r>
          </w:p>
          <w:p w14:paraId="433F91DA" w14:textId="5AFC4A24" w:rsidR="0094267A" w:rsidRPr="00EF28A2" w:rsidRDefault="0094267A" w:rsidP="001B7199">
            <w:pPr>
              <w:pStyle w:val="TableText"/>
              <w:spacing w:after="60"/>
              <w:rPr>
                <w:i w:val="0"/>
                <w:iCs w:val="0"/>
              </w:rPr>
            </w:pPr>
            <w:r w:rsidRPr="00EF28A2">
              <w:rPr>
                <w:i w:val="0"/>
                <w:iCs w:val="0"/>
              </w:rPr>
              <w:t>The assumed duration of established eligibility based on patients with changes in therapy up to 6</w:t>
            </w:r>
            <w:r w:rsidR="007641F8">
              <w:rPr>
                <w:i w:val="0"/>
                <w:iCs w:val="0"/>
              </w:rPr>
              <w:t> </w:t>
            </w:r>
            <w:r w:rsidRPr="00EF28A2">
              <w:rPr>
                <w:i w:val="0"/>
                <w:iCs w:val="0"/>
              </w:rPr>
              <w:t>years prior may not be reasonable as it does not account for patients who achieve adequate response following initiation of other therapies.</w:t>
            </w:r>
          </w:p>
          <w:p w14:paraId="7D875684" w14:textId="78CB3EB2" w:rsidR="00500868" w:rsidRPr="00EF28A2" w:rsidRDefault="0094267A" w:rsidP="0005239F">
            <w:pPr>
              <w:pStyle w:val="COMTabletext"/>
              <w:keepNext w:val="0"/>
              <w:widowControl w:val="0"/>
            </w:pPr>
            <w:r w:rsidRPr="00EF28A2">
              <w:t>CKD prevalence among the general type 2 diabetes population may not be applicable to patients who switched out of metformin monotherapy.</w:t>
            </w:r>
          </w:p>
        </w:tc>
      </w:tr>
      <w:tr w:rsidR="00500868" w:rsidRPr="0076762E" w14:paraId="51C04ED1" w14:textId="77777777" w:rsidTr="009000B1">
        <w:trPr>
          <w:cantSplit/>
        </w:trPr>
        <w:tc>
          <w:tcPr>
            <w:tcW w:w="704" w:type="pct"/>
            <w:shd w:val="clear" w:color="auto" w:fill="auto"/>
            <w:vAlign w:val="center"/>
          </w:tcPr>
          <w:p w14:paraId="36C31BAC" w14:textId="4E64CA97" w:rsidR="00500868" w:rsidRPr="0076762E" w:rsidRDefault="0094267A" w:rsidP="0005239F">
            <w:pPr>
              <w:pStyle w:val="COMTabletext"/>
              <w:keepNext w:val="0"/>
              <w:widowControl w:val="0"/>
            </w:pPr>
            <w:r w:rsidRPr="0076762E">
              <w:lastRenderedPageBreak/>
              <w:t>Patients on GLP</w:t>
            </w:r>
            <w:r>
              <w:noBreakHyphen/>
            </w:r>
            <w:r w:rsidRPr="0076762E">
              <w:t>1 RA without prior SGLT2i treatment</w:t>
            </w:r>
          </w:p>
        </w:tc>
        <w:tc>
          <w:tcPr>
            <w:tcW w:w="2148" w:type="pct"/>
            <w:shd w:val="clear" w:color="auto" w:fill="auto"/>
            <w:vAlign w:val="center"/>
          </w:tcPr>
          <w:p w14:paraId="76096D86" w14:textId="20D88F4D" w:rsidR="00500868" w:rsidRPr="0076762E" w:rsidRDefault="00F111EB" w:rsidP="0005239F">
            <w:pPr>
              <w:pStyle w:val="COMTabletext"/>
              <w:keepNext w:val="0"/>
              <w:widowControl w:val="0"/>
            </w:pPr>
            <w:r w:rsidRPr="00F111EB">
              <w:rPr>
                <w:color w:val="000000"/>
                <w:spacing w:val="51"/>
                <w:shd w:val="solid" w:color="000000" w:fill="000000"/>
                <w:fitText w:val="326" w:id="-761014264"/>
                <w14:textFill>
                  <w14:solidFill>
                    <w14:srgbClr w14:val="000000">
                      <w14:alpha w14:val="100000"/>
                    </w14:srgbClr>
                  </w14:solidFill>
                </w14:textFill>
              </w:rPr>
              <w:t>|||</w:t>
            </w:r>
            <w:r w:rsidRPr="00F111EB">
              <w:rPr>
                <w:color w:val="000000"/>
                <w:spacing w:val="3"/>
                <w:shd w:val="solid" w:color="000000" w:fill="000000"/>
                <w:fitText w:val="326" w:id="-761014264"/>
                <w14:textFill>
                  <w14:solidFill>
                    <w14:srgbClr w14:val="000000">
                      <w14:alpha w14:val="100000"/>
                    </w14:srgbClr>
                  </w14:solidFill>
                </w14:textFill>
              </w:rPr>
              <w:t>|</w:t>
            </w:r>
            <w:r w:rsidR="00687001">
              <w:t xml:space="preserve"> </w:t>
            </w:r>
            <w:r w:rsidR="00915CA3">
              <w:rPr>
                <w:vertAlign w:val="superscript"/>
              </w:rPr>
              <w:t>2</w:t>
            </w:r>
            <w:r w:rsidR="0094267A">
              <w:t>. Sponsor-commissioned 10% PBS sample analysis. Estimated based on patients treated with GLP-1 RA (alone or in combination with any other therapy) without prior use of SGLT2i</w:t>
            </w:r>
            <w:r w:rsidR="00B816F3">
              <w:t>, prior to the June 2024 restriction changes.</w:t>
            </w:r>
          </w:p>
        </w:tc>
        <w:tc>
          <w:tcPr>
            <w:tcW w:w="2148" w:type="pct"/>
            <w:shd w:val="clear" w:color="auto" w:fill="auto"/>
            <w:vAlign w:val="center"/>
          </w:tcPr>
          <w:p w14:paraId="62BB97ED" w14:textId="5C0CEC70" w:rsidR="00500868" w:rsidRPr="00EF28A2" w:rsidRDefault="00B816F3" w:rsidP="0005239F">
            <w:pPr>
              <w:pStyle w:val="TableText"/>
              <w:rPr>
                <w:i w:val="0"/>
                <w:iCs w:val="0"/>
              </w:rPr>
            </w:pPr>
            <w:r w:rsidRPr="00EF28A2">
              <w:rPr>
                <w:i w:val="0"/>
                <w:iCs w:val="0"/>
              </w:rPr>
              <w:t>The analysis, based on GLP-1 RA grandfathering provisions, was inconsistent with the proposed grandfathering provisions for tirzepatide that require patients to meet the same criteria as the proposed initial restriction. The inclusion of these estimates would overestimate the size of the eligible population.</w:t>
            </w:r>
            <w:r w:rsidR="00124B29">
              <w:t xml:space="preserve"> </w:t>
            </w:r>
            <w:r w:rsidR="00124B29" w:rsidRPr="001F3166">
              <w:rPr>
                <w:i w:val="0"/>
                <w:iCs w:val="0"/>
              </w:rPr>
              <w:t>The PSCR proposed the addition of a clinical criterion to the initial treatment restriction, which would enable patients treated with a GLP-1 RA prior to June 2024 restriction change to switch to tirzepatide. Details of this proposal were not presented.</w:t>
            </w:r>
          </w:p>
        </w:tc>
      </w:tr>
      <w:tr w:rsidR="00500868" w:rsidRPr="0076762E" w14:paraId="5AA10261" w14:textId="77777777" w:rsidTr="009000B1">
        <w:trPr>
          <w:cantSplit/>
        </w:trPr>
        <w:tc>
          <w:tcPr>
            <w:tcW w:w="704" w:type="pct"/>
            <w:shd w:val="clear" w:color="auto" w:fill="auto"/>
            <w:vAlign w:val="center"/>
          </w:tcPr>
          <w:p w14:paraId="599C7B18" w14:textId="4869F09A" w:rsidR="00500868" w:rsidRPr="0076762E" w:rsidRDefault="00B816F3" w:rsidP="0005239F">
            <w:pPr>
              <w:pStyle w:val="COMTabletext"/>
              <w:keepNext w:val="0"/>
              <w:widowControl w:val="0"/>
            </w:pPr>
            <w:r>
              <w:t>Proportion of patients with type 2 diabetes and BMI ≥35 kg/m</w:t>
            </w:r>
            <w:r>
              <w:rPr>
                <w:vertAlign w:val="superscript"/>
              </w:rPr>
              <w:t>2</w:t>
            </w:r>
          </w:p>
        </w:tc>
        <w:tc>
          <w:tcPr>
            <w:tcW w:w="2148" w:type="pct"/>
            <w:shd w:val="clear" w:color="auto" w:fill="auto"/>
            <w:vAlign w:val="center"/>
          </w:tcPr>
          <w:p w14:paraId="632B3962" w14:textId="279ED88F" w:rsidR="00500868" w:rsidRPr="00B816F3" w:rsidRDefault="00B816F3" w:rsidP="0005239F">
            <w:pPr>
              <w:pStyle w:val="COMTabletext"/>
              <w:keepNext w:val="0"/>
              <w:widowControl w:val="0"/>
            </w:pPr>
            <w:r>
              <w:t xml:space="preserve">42%. </w:t>
            </w:r>
            <w:r w:rsidRPr="00B816F3">
              <w:t>Retrospective analysis of data from adult patients with type 2 diabetes who attended a specialist diabetes outpatient service in Sydney between 2017 and 2019 (Thakur 2021).</w:t>
            </w:r>
            <w:r>
              <w:t xml:space="preserve"> </w:t>
            </w:r>
            <w:r w:rsidRPr="00B816F3">
              <w:t>Of the 700 people seen in the service, 291 (42%) had BMI</w:t>
            </w:r>
            <w:r w:rsidR="009000B1">
              <w:t> </w:t>
            </w:r>
            <w:r w:rsidRPr="00B816F3">
              <w:t>≥35</w:t>
            </w:r>
            <w:r w:rsidR="009000B1">
              <w:t> </w:t>
            </w:r>
            <w:r w:rsidRPr="00B816F3">
              <w:t>kg/m</w:t>
            </w:r>
            <w:r w:rsidRPr="00B816F3">
              <w:rPr>
                <w:vertAlign w:val="superscript"/>
              </w:rPr>
              <w:t>2</w:t>
            </w:r>
            <w:r w:rsidRPr="00B816F3">
              <w:t>.</w:t>
            </w:r>
          </w:p>
        </w:tc>
        <w:tc>
          <w:tcPr>
            <w:tcW w:w="2148" w:type="pct"/>
            <w:shd w:val="clear" w:color="auto" w:fill="auto"/>
            <w:vAlign w:val="center"/>
          </w:tcPr>
          <w:p w14:paraId="0C455380" w14:textId="75E7BBDD" w:rsidR="00500868" w:rsidRPr="00EF28A2" w:rsidRDefault="00B816F3" w:rsidP="0005239F">
            <w:pPr>
              <w:pStyle w:val="TableText"/>
              <w:rPr>
                <w:i w:val="0"/>
                <w:iCs w:val="0"/>
              </w:rPr>
            </w:pPr>
            <w:r w:rsidRPr="00EF28A2">
              <w:rPr>
                <w:i w:val="0"/>
                <w:iCs w:val="0"/>
              </w:rPr>
              <w:t xml:space="preserve">The applicability of these estimates </w:t>
            </w:r>
            <w:r w:rsidR="0032469A">
              <w:rPr>
                <w:i w:val="0"/>
                <w:iCs w:val="0"/>
              </w:rPr>
              <w:t>wa</w:t>
            </w:r>
            <w:r w:rsidRPr="00EF28A2">
              <w:rPr>
                <w:i w:val="0"/>
                <w:iCs w:val="0"/>
              </w:rPr>
              <w:t>s uncertain given the relatively small sample from a single centre. The study was also conducted in a broader population, which is unlikely to be applicable to patients who meet prior therapy criteria in the proposed restriction.</w:t>
            </w:r>
          </w:p>
        </w:tc>
      </w:tr>
      <w:tr w:rsidR="00500868" w:rsidRPr="0076762E" w14:paraId="2D621033" w14:textId="77777777" w:rsidTr="009000B1">
        <w:trPr>
          <w:cantSplit/>
        </w:trPr>
        <w:tc>
          <w:tcPr>
            <w:tcW w:w="704" w:type="pct"/>
            <w:shd w:val="clear" w:color="auto" w:fill="auto"/>
            <w:vAlign w:val="center"/>
          </w:tcPr>
          <w:p w14:paraId="6DE53BDF" w14:textId="34A077AA" w:rsidR="00500868" w:rsidRPr="0076762E" w:rsidRDefault="00514280" w:rsidP="0005239F">
            <w:pPr>
              <w:pStyle w:val="COMTabletext"/>
              <w:keepNext w:val="0"/>
              <w:widowControl w:val="0"/>
            </w:pPr>
            <w:r w:rsidRPr="0076762E">
              <w:t>Uptake rate</w:t>
            </w:r>
            <w:r>
              <w:t xml:space="preserve"> in patients with established eligibility</w:t>
            </w:r>
          </w:p>
        </w:tc>
        <w:tc>
          <w:tcPr>
            <w:tcW w:w="2148" w:type="pct"/>
            <w:shd w:val="clear" w:color="auto" w:fill="auto"/>
            <w:vAlign w:val="center"/>
          </w:tcPr>
          <w:p w14:paraId="0E36C4CA" w14:textId="6921B1D7" w:rsidR="00500868" w:rsidRPr="00514280" w:rsidRDefault="00F111EB" w:rsidP="0005239F">
            <w:pPr>
              <w:pStyle w:val="COMTabletext"/>
              <w:keepNext w:val="0"/>
              <w:widowControl w:val="0"/>
            </w:pPr>
            <w:r w:rsidRPr="00F111EB">
              <w:rPr>
                <w:color w:val="000000"/>
                <w:spacing w:val="51"/>
                <w:shd w:val="solid" w:color="000000" w:fill="000000"/>
                <w:fitText w:val="326" w:id="-761014263"/>
                <w14:textFill>
                  <w14:solidFill>
                    <w14:srgbClr w14:val="000000">
                      <w14:alpha w14:val="100000"/>
                    </w14:srgbClr>
                  </w14:solidFill>
                </w14:textFill>
              </w:rPr>
              <w:t>|||</w:t>
            </w:r>
            <w:r w:rsidRPr="00F111EB">
              <w:rPr>
                <w:color w:val="000000"/>
                <w:spacing w:val="3"/>
                <w:shd w:val="solid" w:color="000000" w:fill="000000"/>
                <w:fitText w:val="326" w:id="-761014263"/>
                <w14:textFill>
                  <w14:solidFill>
                    <w14:srgbClr w14:val="000000">
                      <w14:alpha w14:val="100000"/>
                    </w14:srgbClr>
                  </w14:solidFill>
                </w14:textFill>
              </w:rPr>
              <w:t>|</w:t>
            </w:r>
            <w:r w:rsidR="008027C4">
              <w:t xml:space="preserve">% within 3 years (Year 1: </w:t>
            </w:r>
            <w:r w:rsidRPr="00F111EB">
              <w:rPr>
                <w:color w:val="000000"/>
                <w:spacing w:val="51"/>
                <w:shd w:val="solid" w:color="000000" w:fill="000000"/>
                <w:fitText w:val="326" w:id="-761014262"/>
                <w14:textFill>
                  <w14:solidFill>
                    <w14:srgbClr w14:val="000000">
                      <w14:alpha w14:val="100000"/>
                    </w14:srgbClr>
                  </w14:solidFill>
                </w14:textFill>
              </w:rPr>
              <w:t>|||</w:t>
            </w:r>
            <w:r w:rsidRPr="00F111EB">
              <w:rPr>
                <w:color w:val="000000"/>
                <w:spacing w:val="3"/>
                <w:shd w:val="solid" w:color="000000" w:fill="000000"/>
                <w:fitText w:val="326" w:id="-761014262"/>
                <w14:textFill>
                  <w14:solidFill>
                    <w14:srgbClr w14:val="000000">
                      <w14:alpha w14:val="100000"/>
                    </w14:srgbClr>
                  </w14:solidFill>
                </w14:textFill>
              </w:rPr>
              <w:t>|</w:t>
            </w:r>
            <w:r w:rsidR="008027C4">
              <w:t xml:space="preserve">%, Year 2: </w:t>
            </w:r>
            <w:r w:rsidRPr="00F111EB">
              <w:rPr>
                <w:color w:val="000000"/>
                <w:spacing w:val="51"/>
                <w:shd w:val="solid" w:color="000000" w:fill="000000"/>
                <w:fitText w:val="326" w:id="-761014261"/>
                <w14:textFill>
                  <w14:solidFill>
                    <w14:srgbClr w14:val="000000">
                      <w14:alpha w14:val="100000"/>
                    </w14:srgbClr>
                  </w14:solidFill>
                </w14:textFill>
              </w:rPr>
              <w:t>|||</w:t>
            </w:r>
            <w:r w:rsidRPr="00F111EB">
              <w:rPr>
                <w:color w:val="000000"/>
                <w:spacing w:val="3"/>
                <w:shd w:val="solid" w:color="000000" w:fill="000000"/>
                <w:fitText w:val="326" w:id="-761014261"/>
                <w14:textFill>
                  <w14:solidFill>
                    <w14:srgbClr w14:val="000000">
                      <w14:alpha w14:val="100000"/>
                    </w14:srgbClr>
                  </w14:solidFill>
                </w14:textFill>
              </w:rPr>
              <w:t>|</w:t>
            </w:r>
            <w:r w:rsidR="008027C4">
              <w:t>%, Year 3: 10%). Assumed in the resubmission accounting for access to endocrinologists.</w:t>
            </w:r>
          </w:p>
        </w:tc>
        <w:tc>
          <w:tcPr>
            <w:tcW w:w="2148" w:type="pct"/>
            <w:shd w:val="clear" w:color="auto" w:fill="auto"/>
            <w:vAlign w:val="center"/>
          </w:tcPr>
          <w:p w14:paraId="71154300" w14:textId="14D602DC" w:rsidR="008027C4" w:rsidRPr="00EF28A2" w:rsidRDefault="008027C4" w:rsidP="001B7199">
            <w:pPr>
              <w:pStyle w:val="TableText"/>
              <w:spacing w:after="60"/>
              <w:rPr>
                <w:i w:val="0"/>
                <w:iCs w:val="0"/>
              </w:rPr>
            </w:pPr>
            <w:r w:rsidRPr="00EF28A2">
              <w:rPr>
                <w:i w:val="0"/>
                <w:iCs w:val="0"/>
              </w:rPr>
              <w:t>Uptake estimates appeared optimistic given the proposed restriction is more stringent compared to the current GLP-1 RA restriction in terms of authority level, prescriber, treatment regimen (dual therapy with metformin only)</w:t>
            </w:r>
            <w:r w:rsidR="00287C76" w:rsidRPr="00EF28A2">
              <w:rPr>
                <w:i w:val="0"/>
                <w:iCs w:val="0"/>
              </w:rPr>
              <w:t>,</w:t>
            </w:r>
            <w:r w:rsidRPr="00EF28A2">
              <w:rPr>
                <w:i w:val="0"/>
                <w:iCs w:val="0"/>
              </w:rPr>
              <w:t xml:space="preserve"> </w:t>
            </w:r>
            <w:r w:rsidR="007C2FF5" w:rsidRPr="00EF28A2">
              <w:rPr>
                <w:i w:val="0"/>
                <w:iCs w:val="0"/>
              </w:rPr>
              <w:t>continuing treatment</w:t>
            </w:r>
            <w:r w:rsidRPr="00EF28A2">
              <w:rPr>
                <w:i w:val="0"/>
                <w:iCs w:val="0"/>
              </w:rPr>
              <w:t xml:space="preserve"> criteria</w:t>
            </w:r>
            <w:r w:rsidR="007C2FF5" w:rsidRPr="00EF28A2">
              <w:rPr>
                <w:i w:val="0"/>
                <w:iCs w:val="0"/>
              </w:rPr>
              <w:t xml:space="preserve"> and administrative requirements</w:t>
            </w:r>
            <w:r w:rsidRPr="00EF28A2">
              <w:rPr>
                <w:i w:val="0"/>
                <w:iCs w:val="0"/>
              </w:rPr>
              <w:t xml:space="preserve">. The estimates also appear optimistic given the expected size of the population </w:t>
            </w:r>
            <w:r w:rsidR="005337ED" w:rsidRPr="00EF28A2">
              <w:rPr>
                <w:i w:val="0"/>
                <w:iCs w:val="0"/>
              </w:rPr>
              <w:t>requiring</w:t>
            </w:r>
            <w:r w:rsidRPr="00EF28A2">
              <w:rPr>
                <w:i w:val="0"/>
                <w:iCs w:val="0"/>
              </w:rPr>
              <w:t xml:space="preserve"> access to endocrinologists. </w:t>
            </w:r>
          </w:p>
          <w:p w14:paraId="662826B6" w14:textId="2CA428B7" w:rsidR="00500868" w:rsidRPr="00EF28A2" w:rsidRDefault="008027C4" w:rsidP="0005239F">
            <w:pPr>
              <w:pStyle w:val="COMTabletext"/>
              <w:keepNext w:val="0"/>
              <w:widowControl w:val="0"/>
            </w:pPr>
            <w:r w:rsidRPr="00EF28A2">
              <w:t xml:space="preserve">The </w:t>
            </w:r>
            <w:r w:rsidR="004530E3" w:rsidRPr="00EF28A2">
              <w:t>assumption</w:t>
            </w:r>
            <w:r w:rsidRPr="00EF28A2">
              <w:t xml:space="preserve"> that the vast majority of patients with established eligibility based </w:t>
            </w:r>
            <w:r w:rsidR="004530E3" w:rsidRPr="00EF28A2">
              <w:t>historical treatment patterns (</w:t>
            </w:r>
            <w:r w:rsidRPr="00EF28A2">
              <w:t>up to 6 years prior</w:t>
            </w:r>
            <w:r w:rsidR="004530E3" w:rsidRPr="00EF28A2">
              <w:t>)</w:t>
            </w:r>
            <w:r w:rsidRPr="00EF28A2">
              <w:t xml:space="preserve"> would be considered suitable for treatment with tirzepatide as dual therapy with metformin only</w:t>
            </w:r>
            <w:r w:rsidR="004530E3" w:rsidRPr="00EF28A2">
              <w:t xml:space="preserve"> </w:t>
            </w:r>
            <w:r w:rsidRPr="00EF28A2">
              <w:t>was inadequately justified.</w:t>
            </w:r>
          </w:p>
        </w:tc>
      </w:tr>
      <w:tr w:rsidR="00500868" w:rsidRPr="0076762E" w14:paraId="1A459E6D" w14:textId="77777777" w:rsidTr="009000B1">
        <w:trPr>
          <w:cantSplit/>
        </w:trPr>
        <w:tc>
          <w:tcPr>
            <w:tcW w:w="704" w:type="pct"/>
            <w:shd w:val="clear" w:color="auto" w:fill="auto"/>
            <w:vAlign w:val="center"/>
          </w:tcPr>
          <w:p w14:paraId="26144693" w14:textId="1D279896" w:rsidR="00500868" w:rsidRPr="0076762E" w:rsidRDefault="00E3196C" w:rsidP="0005239F">
            <w:pPr>
              <w:pStyle w:val="COMTabletext"/>
              <w:keepNext w:val="0"/>
              <w:widowControl w:val="0"/>
            </w:pPr>
            <w:r w:rsidRPr="0076762E">
              <w:t>Uptake rate</w:t>
            </w:r>
            <w:r>
              <w:t xml:space="preserve"> in newly eligible patients</w:t>
            </w:r>
          </w:p>
        </w:tc>
        <w:tc>
          <w:tcPr>
            <w:tcW w:w="2148" w:type="pct"/>
            <w:shd w:val="clear" w:color="auto" w:fill="auto"/>
            <w:vAlign w:val="center"/>
          </w:tcPr>
          <w:p w14:paraId="72E44B44" w14:textId="66059441" w:rsidR="00500868" w:rsidRPr="0076762E" w:rsidRDefault="00C31A8B" w:rsidP="0005239F">
            <w:pPr>
              <w:pStyle w:val="COMTabletext"/>
              <w:keepNext w:val="0"/>
              <w:widowControl w:val="0"/>
            </w:pPr>
            <w:r>
              <w:t xml:space="preserve">Year 1: </w:t>
            </w:r>
            <w:r w:rsidR="00F111EB" w:rsidRPr="00F111EB">
              <w:rPr>
                <w:color w:val="000000"/>
                <w:spacing w:val="51"/>
                <w:shd w:val="solid" w:color="000000" w:fill="000000"/>
                <w:fitText w:val="326" w:id="-761014260"/>
                <w14:textFill>
                  <w14:solidFill>
                    <w14:srgbClr w14:val="000000">
                      <w14:alpha w14:val="100000"/>
                    </w14:srgbClr>
                  </w14:solidFill>
                </w14:textFill>
              </w:rPr>
              <w:t>|||</w:t>
            </w:r>
            <w:r w:rsidR="00F111EB" w:rsidRPr="00F111EB">
              <w:rPr>
                <w:color w:val="000000"/>
                <w:spacing w:val="3"/>
                <w:shd w:val="solid" w:color="000000" w:fill="000000"/>
                <w:fitText w:val="326" w:id="-761014260"/>
                <w14:textFill>
                  <w14:solidFill>
                    <w14:srgbClr w14:val="000000">
                      <w14:alpha w14:val="100000"/>
                    </w14:srgbClr>
                  </w14:solidFill>
                </w14:textFill>
              </w:rPr>
              <w:t>|</w:t>
            </w:r>
            <w:r>
              <w:t xml:space="preserve">%, Year 2: </w:t>
            </w:r>
            <w:r w:rsidR="00F111EB" w:rsidRPr="00F111EB">
              <w:rPr>
                <w:color w:val="000000"/>
                <w:spacing w:val="55"/>
                <w:shd w:val="solid" w:color="000000" w:fill="000000"/>
                <w:fitText w:val="338" w:id="-761014259"/>
                <w14:textFill>
                  <w14:solidFill>
                    <w14:srgbClr w14:val="000000">
                      <w14:alpha w14:val="100000"/>
                    </w14:srgbClr>
                  </w14:solidFill>
                </w14:textFill>
              </w:rPr>
              <w:t>|||</w:t>
            </w:r>
            <w:r w:rsidR="00F111EB" w:rsidRPr="00F111EB">
              <w:rPr>
                <w:color w:val="000000"/>
                <w:spacing w:val="3"/>
                <w:shd w:val="solid" w:color="000000" w:fill="000000"/>
                <w:fitText w:val="338" w:id="-761014259"/>
                <w14:textFill>
                  <w14:solidFill>
                    <w14:srgbClr w14:val="000000">
                      <w14:alpha w14:val="100000"/>
                    </w14:srgbClr>
                  </w14:solidFill>
                </w14:textFill>
              </w:rPr>
              <w:t>|</w:t>
            </w:r>
            <w:r>
              <w:t xml:space="preserve">%. Years 3-6: </w:t>
            </w:r>
            <w:r w:rsidR="00F111EB" w:rsidRPr="00F111EB">
              <w:rPr>
                <w:color w:val="000000"/>
                <w:spacing w:val="55"/>
                <w:shd w:val="solid" w:color="000000" w:fill="000000"/>
                <w:fitText w:val="338" w:id="-761014258"/>
                <w14:textFill>
                  <w14:solidFill>
                    <w14:srgbClr w14:val="000000">
                      <w14:alpha w14:val="100000"/>
                    </w14:srgbClr>
                  </w14:solidFill>
                </w14:textFill>
              </w:rPr>
              <w:t>|||</w:t>
            </w:r>
            <w:r w:rsidR="00F111EB" w:rsidRPr="00F111EB">
              <w:rPr>
                <w:color w:val="000000"/>
                <w:spacing w:val="3"/>
                <w:shd w:val="solid" w:color="000000" w:fill="000000"/>
                <w:fitText w:val="338" w:id="-761014258"/>
                <w14:textFill>
                  <w14:solidFill>
                    <w14:srgbClr w14:val="000000">
                      <w14:alpha w14:val="100000"/>
                    </w14:srgbClr>
                  </w14:solidFill>
                </w14:textFill>
              </w:rPr>
              <w:t>|</w:t>
            </w:r>
            <w:r>
              <w:t xml:space="preserve">%. </w:t>
            </w:r>
            <w:r w:rsidR="00237FB0">
              <w:t xml:space="preserve">Based on a survey of clinicians in the sponsor’s advisory board, where </w:t>
            </w:r>
            <w:r w:rsidR="00F111EB" w:rsidRPr="00F111EB">
              <w:rPr>
                <w:color w:val="000000"/>
                <w:spacing w:val="51"/>
                <w:shd w:val="solid" w:color="000000" w:fill="000000"/>
                <w:fitText w:val="325" w:id="-761014257"/>
                <w14:textFill>
                  <w14:solidFill>
                    <w14:srgbClr w14:val="000000">
                      <w14:alpha w14:val="100000"/>
                    </w14:srgbClr>
                  </w14:solidFill>
                </w14:textFill>
              </w:rPr>
              <w:t>|||</w:t>
            </w:r>
            <w:r w:rsidR="00F111EB" w:rsidRPr="00F111EB">
              <w:rPr>
                <w:color w:val="000000"/>
                <w:spacing w:val="2"/>
                <w:shd w:val="solid" w:color="000000" w:fill="000000"/>
                <w:fitText w:val="325" w:id="-761014257"/>
                <w14:textFill>
                  <w14:solidFill>
                    <w14:srgbClr w14:val="000000">
                      <w14:alpha w14:val="100000"/>
                    </w14:srgbClr>
                  </w14:solidFill>
                </w14:textFill>
              </w:rPr>
              <w:t>|</w:t>
            </w:r>
            <w:r w:rsidR="00237FB0" w:rsidRPr="0015458E">
              <w:t>%</w:t>
            </w:r>
            <w:r w:rsidR="00237FB0">
              <w:t xml:space="preserve"> of respondents indicated that they would prescribe a GIP/GLP-1 RA in the majority of patients who have trialled an SGLT2i.</w:t>
            </w:r>
          </w:p>
        </w:tc>
        <w:tc>
          <w:tcPr>
            <w:tcW w:w="2148" w:type="pct"/>
            <w:shd w:val="clear" w:color="auto" w:fill="auto"/>
            <w:vAlign w:val="center"/>
          </w:tcPr>
          <w:p w14:paraId="3B28760D" w14:textId="32CBE87B" w:rsidR="00500868" w:rsidRPr="005B2916" w:rsidRDefault="00237FB0" w:rsidP="0005239F">
            <w:pPr>
              <w:pStyle w:val="COMTabletext"/>
              <w:keepNext w:val="0"/>
              <w:widowControl w:val="0"/>
              <w:rPr>
                <w:i/>
                <w:iCs/>
              </w:rPr>
            </w:pPr>
            <w:r w:rsidRPr="00EF28A2">
              <w:t xml:space="preserve">Uptake estimates appeared optimistic given the proposed restriction is more stringent compared to the current GLP-1 RA restriction. The estimates also appear optimistic given the expected size of the population </w:t>
            </w:r>
            <w:r w:rsidR="00236188" w:rsidRPr="00EF28A2">
              <w:t>requiring</w:t>
            </w:r>
            <w:r w:rsidRPr="00EF28A2">
              <w:t xml:space="preserve"> access to endocrinologists.</w:t>
            </w:r>
            <w:r w:rsidR="005B2916">
              <w:t xml:space="preserve"> </w:t>
            </w:r>
            <w:r w:rsidR="005B2916" w:rsidRPr="001F3166">
              <w:t>The ESC noted the financial estimates were highly sensitive to the assumed uptake rates.</w:t>
            </w:r>
          </w:p>
        </w:tc>
      </w:tr>
      <w:tr w:rsidR="00500868" w:rsidRPr="0076762E" w14:paraId="030F145C" w14:textId="77777777" w:rsidTr="009000B1">
        <w:trPr>
          <w:cantSplit/>
        </w:trPr>
        <w:tc>
          <w:tcPr>
            <w:tcW w:w="704" w:type="pct"/>
            <w:shd w:val="clear" w:color="auto" w:fill="auto"/>
            <w:vAlign w:val="center"/>
          </w:tcPr>
          <w:p w14:paraId="7BDB7CEF" w14:textId="15A5E909" w:rsidR="00500868" w:rsidRPr="0076762E" w:rsidRDefault="00DA5290" w:rsidP="0005239F">
            <w:pPr>
              <w:pStyle w:val="COMTabletext"/>
              <w:keepNext w:val="0"/>
              <w:widowControl w:val="0"/>
            </w:pPr>
            <w:r>
              <w:t>Adherence</w:t>
            </w:r>
          </w:p>
        </w:tc>
        <w:tc>
          <w:tcPr>
            <w:tcW w:w="2148" w:type="pct"/>
            <w:shd w:val="clear" w:color="auto" w:fill="auto"/>
            <w:vAlign w:val="center"/>
          </w:tcPr>
          <w:p w14:paraId="2E54C5A6" w14:textId="6720ABA0" w:rsidR="00500868" w:rsidRPr="0076762E" w:rsidRDefault="00CC46BD" w:rsidP="0005239F">
            <w:pPr>
              <w:pStyle w:val="COMTabletext"/>
              <w:keepNext w:val="0"/>
              <w:widowControl w:val="0"/>
            </w:pPr>
            <w:r>
              <w:t>100</w:t>
            </w:r>
            <w:r w:rsidR="00C0264A">
              <w:t xml:space="preserve">%. Assumed. </w:t>
            </w:r>
          </w:p>
        </w:tc>
        <w:tc>
          <w:tcPr>
            <w:tcW w:w="2148" w:type="pct"/>
            <w:shd w:val="clear" w:color="auto" w:fill="auto"/>
            <w:vAlign w:val="center"/>
          </w:tcPr>
          <w:p w14:paraId="052F4FA5" w14:textId="15353471" w:rsidR="00500868" w:rsidRPr="00EF28A2" w:rsidRDefault="000C414D" w:rsidP="0005239F">
            <w:pPr>
              <w:pStyle w:val="COMTabletext"/>
              <w:keepNext w:val="0"/>
              <w:widowControl w:val="0"/>
            </w:pPr>
            <w:r w:rsidRPr="00EF28A2">
              <w:t xml:space="preserve">This was inconsistent with trial data indicating imperfect adherence in the trial depending on dose (5 mg: 95.7%, 10 mg: 93.4%, 15 mg: 94.7%). </w:t>
            </w:r>
            <w:r w:rsidR="001F3166">
              <w:t xml:space="preserve">The </w:t>
            </w:r>
            <w:r w:rsidR="002B7307" w:rsidRPr="001F3166">
              <w:t>ESC considered a</w:t>
            </w:r>
            <w:r w:rsidRPr="001F3166">
              <w:t>dherence in practice is likely to be lower than observed in the trial.</w:t>
            </w:r>
            <w:r w:rsidR="00D9351E">
              <w:t xml:space="preserve"> The pre-PBAC response</w:t>
            </w:r>
            <w:r w:rsidR="008511CE">
              <w:t xml:space="preserve"> </w:t>
            </w:r>
            <w:r w:rsidR="00D9351E">
              <w:t xml:space="preserve">reduced the adherence rate from 100% </w:t>
            </w:r>
            <w:r w:rsidR="00D9351E" w:rsidRPr="00C759EC">
              <w:t>to 93%.</w:t>
            </w:r>
            <w:r w:rsidR="00D9351E">
              <w:t xml:space="preserve"> </w:t>
            </w:r>
          </w:p>
        </w:tc>
      </w:tr>
      <w:tr w:rsidR="00244916" w:rsidRPr="0076762E" w14:paraId="265E7C5A" w14:textId="77777777" w:rsidTr="009000B1">
        <w:trPr>
          <w:cantSplit/>
        </w:trPr>
        <w:tc>
          <w:tcPr>
            <w:tcW w:w="704" w:type="pct"/>
            <w:shd w:val="clear" w:color="auto" w:fill="auto"/>
            <w:vAlign w:val="center"/>
          </w:tcPr>
          <w:p w14:paraId="546699AD" w14:textId="290574D7" w:rsidR="00244916" w:rsidRDefault="00244916" w:rsidP="0005239F">
            <w:pPr>
              <w:pStyle w:val="COMTabletext"/>
              <w:keepNext w:val="0"/>
              <w:widowControl w:val="0"/>
            </w:pPr>
            <w:r>
              <w:lastRenderedPageBreak/>
              <w:t>Persistence</w:t>
            </w:r>
          </w:p>
        </w:tc>
        <w:tc>
          <w:tcPr>
            <w:tcW w:w="2148" w:type="pct"/>
            <w:shd w:val="clear" w:color="auto" w:fill="auto"/>
            <w:vAlign w:val="center"/>
          </w:tcPr>
          <w:p w14:paraId="737BFF7E" w14:textId="4AE6B010" w:rsidR="00201283" w:rsidRPr="00034AAE" w:rsidRDefault="00244916" w:rsidP="00EE1E47">
            <w:pPr>
              <w:pStyle w:val="COMTabletext"/>
              <w:keepNext w:val="0"/>
              <w:widowControl w:val="0"/>
              <w:spacing w:after="60"/>
            </w:pPr>
            <w:r w:rsidRPr="00034AAE">
              <w:t>100% in Year 1 then 91.02%</w:t>
            </w:r>
            <w:r w:rsidR="009D75B6">
              <w:t xml:space="preserve"> </w:t>
            </w:r>
            <w:proofErr w:type="spellStart"/>
            <w:r w:rsidR="009D75B6">
              <w:rPr>
                <w:vertAlign w:val="superscript"/>
              </w:rPr>
              <w:t>a</w:t>
            </w:r>
            <w:proofErr w:type="spellEnd"/>
            <w:r w:rsidRPr="00034AAE">
              <w:t xml:space="preserve"> every year thereafter. The resubmission claimed the proportion of patients achieving HbA1c &lt;7.0% in trial would be a reasonable proxy for persistence given continuing treatment criteria in the proposed restriction. Data from the subgroup with BMI ≥35 kg/m</w:t>
            </w:r>
            <w:r w:rsidRPr="00034AAE">
              <w:rPr>
                <w:vertAlign w:val="superscript"/>
              </w:rPr>
              <w:t xml:space="preserve">2 </w:t>
            </w:r>
            <w:r w:rsidRPr="00034AAE">
              <w:t xml:space="preserve">and the dose distribution used in the resubmission (see below) were used to calculate a weighted response estimate. </w:t>
            </w:r>
          </w:p>
          <w:p w14:paraId="7F2267D2" w14:textId="69DC0432" w:rsidR="00244916" w:rsidRPr="00034AAE" w:rsidRDefault="00244916" w:rsidP="0005239F">
            <w:pPr>
              <w:pStyle w:val="COMTabletext"/>
              <w:keepNext w:val="0"/>
              <w:widowControl w:val="0"/>
            </w:pPr>
            <w:r w:rsidRPr="00034AAE">
              <w:t>The weighted response estimate was applied as a persistence rate, kept constant in each year.</w:t>
            </w:r>
            <w:r w:rsidR="00201283" w:rsidRPr="00034AAE">
              <w:t xml:space="preserve"> The resubmission claimed that this was reasonable given the same approach based on the semaglutide 1 mg arm would result in 53%</w:t>
            </w:r>
            <w:r w:rsidR="00D5388A">
              <w:t xml:space="preserve"> </w:t>
            </w:r>
            <w:r w:rsidR="00D5388A">
              <w:rPr>
                <w:vertAlign w:val="superscript"/>
              </w:rPr>
              <w:t>a</w:t>
            </w:r>
            <w:r w:rsidR="00201283" w:rsidRPr="00034AAE">
              <w:t xml:space="preserve"> of patients remaining on treatment in Year 3, similar to </w:t>
            </w:r>
            <w:r w:rsidR="00B17595" w:rsidRPr="00034AAE">
              <w:t xml:space="preserve">length of treatment </w:t>
            </w:r>
            <w:r w:rsidR="00201283" w:rsidRPr="00034AAE">
              <w:t xml:space="preserve">estimates in the June 2024 DUSC review of semaglutide (median </w:t>
            </w:r>
            <w:r w:rsidR="00B17595" w:rsidRPr="00034AAE">
              <w:t xml:space="preserve">length of treatment </w:t>
            </w:r>
            <w:r w:rsidR="00201283" w:rsidRPr="00034AAE">
              <w:t>of 3 years for patients on GLP-1 RAs). The resubmission noted that the proportion of patients remaining on tirzepatide in Year 3 was higher (75%</w:t>
            </w:r>
            <w:r w:rsidR="000212DA">
              <w:t xml:space="preserve"> </w:t>
            </w:r>
            <w:r w:rsidR="000212DA">
              <w:rPr>
                <w:vertAlign w:val="superscript"/>
              </w:rPr>
              <w:t>b</w:t>
            </w:r>
            <w:r w:rsidR="00201283" w:rsidRPr="00034AAE">
              <w:t>) but claimed that this was expected given higher response rates for tirzepatide compared to semaglutide 1 mg.</w:t>
            </w:r>
          </w:p>
        </w:tc>
        <w:tc>
          <w:tcPr>
            <w:tcW w:w="2148" w:type="pct"/>
            <w:shd w:val="clear" w:color="auto" w:fill="auto"/>
            <w:vAlign w:val="center"/>
          </w:tcPr>
          <w:p w14:paraId="2E7B7347" w14:textId="1116AAB7" w:rsidR="00244916" w:rsidRPr="00034AAE" w:rsidRDefault="00244916" w:rsidP="001B7199">
            <w:pPr>
              <w:pStyle w:val="TableText"/>
              <w:spacing w:after="60"/>
              <w:rPr>
                <w:i w:val="0"/>
                <w:iCs w:val="0"/>
              </w:rPr>
            </w:pPr>
            <w:r w:rsidRPr="00034AAE">
              <w:rPr>
                <w:i w:val="0"/>
                <w:iCs w:val="0"/>
              </w:rPr>
              <w:t>The resubmission’s approach was reliant on the assumption that treatment discontinuations would only occur due to inadequate response and that improved treatment response with tirzepatide would result in improved persistence compared to semaglutide. In practice, persistence with tirzepatide is likely to be lower compared to GLP-1 RAs given the likelihood of increased adverse events with higher doses, the proposed treatment continuation criteria and allowed use as dual therapy with metformin only</w:t>
            </w:r>
            <w:r w:rsidR="000E0603" w:rsidRPr="00034AAE">
              <w:rPr>
                <w:i w:val="0"/>
                <w:iCs w:val="0"/>
              </w:rPr>
              <w:t>.</w:t>
            </w:r>
          </w:p>
          <w:p w14:paraId="5DFBD8F0" w14:textId="39ABEDCD" w:rsidR="00244916" w:rsidRPr="00034AAE" w:rsidRDefault="00244916" w:rsidP="001B7199">
            <w:pPr>
              <w:pStyle w:val="TableText"/>
              <w:spacing w:after="60"/>
              <w:rPr>
                <w:i w:val="0"/>
                <w:iCs w:val="0"/>
              </w:rPr>
            </w:pPr>
            <w:r w:rsidRPr="00034AAE">
              <w:rPr>
                <w:i w:val="0"/>
                <w:iCs w:val="0"/>
              </w:rPr>
              <w:t xml:space="preserve">The resubmission’s estimate does not account for adequate response based on a reduction in HbA1c of at least 2%, as </w:t>
            </w:r>
            <w:r w:rsidR="00A87B77" w:rsidRPr="00034AAE">
              <w:rPr>
                <w:i w:val="0"/>
                <w:iCs w:val="0"/>
              </w:rPr>
              <w:t>per</w:t>
            </w:r>
            <w:r w:rsidRPr="00034AAE">
              <w:rPr>
                <w:i w:val="0"/>
                <w:iCs w:val="0"/>
              </w:rPr>
              <w:t xml:space="preserve"> the proposed restriction.</w:t>
            </w:r>
          </w:p>
          <w:p w14:paraId="1DBF0F4D" w14:textId="10137D4D" w:rsidR="00244916" w:rsidRPr="00034AAE" w:rsidRDefault="00244916" w:rsidP="001B7199">
            <w:pPr>
              <w:pStyle w:val="TableText"/>
              <w:spacing w:after="60"/>
              <w:rPr>
                <w:i w:val="0"/>
                <w:iCs w:val="0"/>
              </w:rPr>
            </w:pPr>
            <w:r w:rsidRPr="00034AAE">
              <w:rPr>
                <w:i w:val="0"/>
                <w:iCs w:val="0"/>
              </w:rPr>
              <w:t>The use of a weighted estimate assumes no difference in persistence across tirzepatide doses</w:t>
            </w:r>
            <w:r w:rsidR="00CF1B72" w:rsidRPr="00034AAE">
              <w:rPr>
                <w:i w:val="0"/>
                <w:iCs w:val="0"/>
              </w:rPr>
              <w:t xml:space="preserve"> which was inconsistent with key trial data</w:t>
            </w:r>
            <w:r w:rsidRPr="00034AAE">
              <w:rPr>
                <w:i w:val="0"/>
                <w:iCs w:val="0"/>
              </w:rPr>
              <w:t xml:space="preserve">. </w:t>
            </w:r>
          </w:p>
          <w:p w14:paraId="43625BDE" w14:textId="77777777" w:rsidR="00B17595" w:rsidRPr="00034AAE" w:rsidRDefault="00B17595" w:rsidP="00B17595">
            <w:pPr>
              <w:pStyle w:val="TableText"/>
              <w:spacing w:after="60"/>
              <w:rPr>
                <w:i w:val="0"/>
                <w:iCs w:val="0"/>
              </w:rPr>
            </w:pPr>
            <w:r w:rsidRPr="00034AAE">
              <w:rPr>
                <w:i w:val="0"/>
                <w:iCs w:val="0"/>
              </w:rPr>
              <w:t xml:space="preserve">The use of a constant rate was inadequately justified. It may not be appropriate to align persistence estimates with length of treatment estimates in the DUSC analysis as the DUSC analysis did not account for breaks in treatment (e.g. a patient supplied dulaglutide once, followed by semaglutide 3 years later would have a time on treatment of more than 3 years). Additionally, the DUSC analysis would include discontinuations due to reasons other than inadequate treatment response. </w:t>
            </w:r>
          </w:p>
          <w:p w14:paraId="24D0B995" w14:textId="41432437" w:rsidR="000476E6" w:rsidRPr="00034AAE" w:rsidRDefault="00244916" w:rsidP="0005239F">
            <w:pPr>
              <w:pStyle w:val="TableText"/>
              <w:rPr>
                <w:i w:val="0"/>
                <w:iCs w:val="0"/>
              </w:rPr>
            </w:pPr>
            <w:r w:rsidRPr="00034AAE">
              <w:rPr>
                <w:i w:val="0"/>
                <w:iCs w:val="0"/>
              </w:rPr>
              <w:t xml:space="preserve">Persistence estimates used in the budget impact analysis were considerably higher than applied in the economic model (see </w:t>
            </w:r>
            <w:r w:rsidR="00EE1E47" w:rsidRPr="00034AAE">
              <w:rPr>
                <w:i w:val="0"/>
                <w:iCs w:val="0"/>
              </w:rPr>
              <w:fldChar w:fldCharType="begin" w:fldLock="1"/>
            </w:r>
            <w:r w:rsidR="00EE1E47" w:rsidRPr="00034AAE">
              <w:rPr>
                <w:i w:val="0"/>
                <w:iCs w:val="0"/>
              </w:rPr>
              <w:instrText xml:space="preserve"> REF _Ref104805102 \h </w:instrText>
            </w:r>
            <w:r w:rsidR="00EF28A2" w:rsidRPr="00034AAE">
              <w:rPr>
                <w:i w:val="0"/>
                <w:iCs w:val="0"/>
              </w:rPr>
              <w:instrText xml:space="preserve"> \* MERGEFORMAT </w:instrText>
            </w:r>
            <w:r w:rsidR="00EE1E47" w:rsidRPr="00034AAE">
              <w:rPr>
                <w:i w:val="0"/>
                <w:iCs w:val="0"/>
              </w:rPr>
            </w:r>
            <w:r w:rsidR="00EE1E47" w:rsidRPr="00034AAE">
              <w:rPr>
                <w:i w:val="0"/>
                <w:iCs w:val="0"/>
              </w:rPr>
              <w:fldChar w:fldCharType="separate"/>
            </w:r>
            <w:r w:rsidR="00EE035D" w:rsidRPr="00034AAE">
              <w:rPr>
                <w:i w:val="0"/>
                <w:iCs w:val="0"/>
              </w:rPr>
              <w:t xml:space="preserve">Table </w:t>
            </w:r>
            <w:r w:rsidR="00EE035D" w:rsidRPr="00034AAE">
              <w:rPr>
                <w:i w:val="0"/>
                <w:iCs w:val="0"/>
                <w:noProof/>
              </w:rPr>
              <w:t>14</w:t>
            </w:r>
            <w:r w:rsidR="00EE1E47" w:rsidRPr="00034AAE">
              <w:rPr>
                <w:i w:val="0"/>
                <w:iCs w:val="0"/>
              </w:rPr>
              <w:fldChar w:fldCharType="end"/>
            </w:r>
            <w:r w:rsidR="000423E2" w:rsidRPr="00034AAE">
              <w:rPr>
                <w:i w:val="0"/>
                <w:iCs w:val="0"/>
              </w:rPr>
              <w:t xml:space="preserve"> above</w:t>
            </w:r>
            <w:r w:rsidRPr="00034AAE">
              <w:rPr>
                <w:i w:val="0"/>
                <w:iCs w:val="0"/>
              </w:rPr>
              <w:t>).</w:t>
            </w:r>
          </w:p>
          <w:p w14:paraId="65F5EBA8" w14:textId="09827CB1" w:rsidR="00244916" w:rsidRPr="00034AAE" w:rsidRDefault="000476E6" w:rsidP="0005239F">
            <w:pPr>
              <w:pStyle w:val="TableText"/>
              <w:rPr>
                <w:i w:val="0"/>
                <w:iCs w:val="0"/>
              </w:rPr>
            </w:pPr>
            <w:r w:rsidRPr="00034AAE">
              <w:rPr>
                <w:i w:val="0"/>
                <w:iCs w:val="0"/>
              </w:rPr>
              <w:t xml:space="preserve">The pre-PBAC response </w:t>
            </w:r>
            <w:r w:rsidR="008511CE" w:rsidRPr="00034AAE">
              <w:rPr>
                <w:i w:val="0"/>
                <w:iCs w:val="0"/>
              </w:rPr>
              <w:t>corrected an error in the calculation of persistence and proposed a constant persistence rate of 91.08%</w:t>
            </w:r>
            <w:r w:rsidR="00234355">
              <w:rPr>
                <w:i w:val="0"/>
                <w:iCs w:val="0"/>
              </w:rPr>
              <w:t xml:space="preserve"> </w:t>
            </w:r>
            <w:r w:rsidR="00234355">
              <w:rPr>
                <w:i w:val="0"/>
                <w:iCs w:val="0"/>
                <w:vertAlign w:val="superscript"/>
              </w:rPr>
              <w:t>a</w:t>
            </w:r>
            <w:r w:rsidR="008511CE" w:rsidRPr="00034AAE">
              <w:rPr>
                <w:i w:val="0"/>
                <w:iCs w:val="0"/>
              </w:rPr>
              <w:t>. The pre-PBAC response noted that application of the revised persistence rate resulted in around 57%</w:t>
            </w:r>
            <w:r w:rsidR="00234355">
              <w:rPr>
                <w:i w:val="0"/>
                <w:iCs w:val="0"/>
              </w:rPr>
              <w:t xml:space="preserve"> </w:t>
            </w:r>
            <w:proofErr w:type="spellStart"/>
            <w:r w:rsidR="00234355">
              <w:rPr>
                <w:i w:val="0"/>
                <w:iCs w:val="0"/>
                <w:vertAlign w:val="superscript"/>
              </w:rPr>
              <w:t>a</w:t>
            </w:r>
            <w:proofErr w:type="spellEnd"/>
            <w:r w:rsidR="008511CE" w:rsidRPr="00034AAE">
              <w:rPr>
                <w:i w:val="0"/>
                <w:iCs w:val="0"/>
              </w:rPr>
              <w:t xml:space="preserve"> of patients remaining on tirzepatide treatment at year 6.</w:t>
            </w:r>
          </w:p>
        </w:tc>
      </w:tr>
      <w:tr w:rsidR="008F19C9" w:rsidRPr="0076762E" w14:paraId="6A1BFA14" w14:textId="77777777" w:rsidTr="009000B1">
        <w:trPr>
          <w:cantSplit/>
        </w:trPr>
        <w:tc>
          <w:tcPr>
            <w:tcW w:w="704" w:type="pct"/>
            <w:shd w:val="clear" w:color="auto" w:fill="auto"/>
            <w:vAlign w:val="center"/>
          </w:tcPr>
          <w:p w14:paraId="5BED193E" w14:textId="4A74BB3E" w:rsidR="008F19C9" w:rsidRDefault="008F19C9" w:rsidP="0005239F">
            <w:pPr>
              <w:pStyle w:val="COMTabletext"/>
              <w:keepNext w:val="0"/>
              <w:widowControl w:val="0"/>
            </w:pPr>
            <w:r>
              <w:t>Tirzepatide dose distribution</w:t>
            </w:r>
          </w:p>
        </w:tc>
        <w:tc>
          <w:tcPr>
            <w:tcW w:w="2148" w:type="pct"/>
            <w:shd w:val="clear" w:color="auto" w:fill="auto"/>
            <w:vAlign w:val="center"/>
          </w:tcPr>
          <w:p w14:paraId="31EE37DD" w14:textId="4FDE4495" w:rsidR="008F19C9" w:rsidRDefault="008F19C9" w:rsidP="0005239F">
            <w:pPr>
              <w:pStyle w:val="COMTabletext"/>
              <w:keepNext w:val="0"/>
              <w:widowControl w:val="0"/>
            </w:pPr>
            <w:r w:rsidRPr="00010582">
              <w:t>5</w:t>
            </w:r>
            <w:r>
              <w:t xml:space="preserve"> mg: </w:t>
            </w:r>
            <w:r w:rsidR="00F111EB" w:rsidRPr="00F111EB">
              <w:rPr>
                <w:color w:val="000000"/>
                <w:spacing w:val="51"/>
                <w:shd w:val="solid" w:color="000000" w:fill="000000"/>
                <w:fitText w:val="325" w:id="-761014256"/>
                <w14:textFill>
                  <w14:solidFill>
                    <w14:srgbClr w14:val="000000">
                      <w14:alpha w14:val="100000"/>
                    </w14:srgbClr>
                  </w14:solidFill>
                </w14:textFill>
              </w:rPr>
              <w:t>|||</w:t>
            </w:r>
            <w:r w:rsidR="00F111EB" w:rsidRPr="00F111EB">
              <w:rPr>
                <w:color w:val="000000"/>
                <w:spacing w:val="2"/>
                <w:shd w:val="solid" w:color="000000" w:fill="000000"/>
                <w:fitText w:val="325" w:id="-761014256"/>
                <w14:textFill>
                  <w14:solidFill>
                    <w14:srgbClr w14:val="000000">
                      <w14:alpha w14:val="100000"/>
                    </w14:srgbClr>
                  </w14:solidFill>
                </w14:textFill>
              </w:rPr>
              <w:t>|</w:t>
            </w:r>
            <w:r w:rsidRPr="004F3C18">
              <w:t xml:space="preserve">%, 10 mg: </w:t>
            </w:r>
            <w:r w:rsidR="00F111EB" w:rsidRPr="00F111EB">
              <w:rPr>
                <w:color w:val="000000"/>
                <w:spacing w:val="51"/>
                <w:shd w:val="solid" w:color="000000" w:fill="000000"/>
                <w:fitText w:val="326" w:id="-761014272"/>
                <w14:textFill>
                  <w14:solidFill>
                    <w14:srgbClr w14:val="000000">
                      <w14:alpha w14:val="100000"/>
                    </w14:srgbClr>
                  </w14:solidFill>
                </w14:textFill>
              </w:rPr>
              <w:t>|||</w:t>
            </w:r>
            <w:r w:rsidR="00F111EB" w:rsidRPr="00F111EB">
              <w:rPr>
                <w:color w:val="000000"/>
                <w:spacing w:val="3"/>
                <w:shd w:val="solid" w:color="000000" w:fill="000000"/>
                <w:fitText w:val="326" w:id="-761014272"/>
                <w14:textFill>
                  <w14:solidFill>
                    <w14:srgbClr w14:val="000000">
                      <w14:alpha w14:val="100000"/>
                    </w14:srgbClr>
                  </w14:solidFill>
                </w14:textFill>
              </w:rPr>
              <w:t>|</w:t>
            </w:r>
            <w:r w:rsidRPr="004F3C18">
              <w:t xml:space="preserve">%, 15 mg: </w:t>
            </w:r>
            <w:r w:rsidR="00F111EB" w:rsidRPr="00F111EB">
              <w:rPr>
                <w:color w:val="000000"/>
                <w:spacing w:val="55"/>
                <w:shd w:val="solid" w:color="000000" w:fill="000000"/>
                <w:fitText w:val="338" w:id="-761014271"/>
                <w14:textFill>
                  <w14:solidFill>
                    <w14:srgbClr w14:val="000000">
                      <w14:alpha w14:val="100000"/>
                    </w14:srgbClr>
                  </w14:solidFill>
                </w14:textFill>
              </w:rPr>
              <w:t>|||</w:t>
            </w:r>
            <w:r w:rsidR="00F111EB" w:rsidRPr="00F111EB">
              <w:rPr>
                <w:color w:val="000000"/>
                <w:spacing w:val="3"/>
                <w:shd w:val="solid" w:color="000000" w:fill="000000"/>
                <w:fitText w:val="338" w:id="-761014271"/>
                <w14:textFill>
                  <w14:solidFill>
                    <w14:srgbClr w14:val="000000">
                      <w14:alpha w14:val="100000"/>
                    </w14:srgbClr>
                  </w14:solidFill>
                </w14:textFill>
              </w:rPr>
              <w:t>|</w:t>
            </w:r>
            <w:r w:rsidRPr="004F3C18">
              <w:t>%.</w:t>
            </w:r>
            <w:r>
              <w:t xml:space="preserve"> </w:t>
            </w:r>
            <w:r w:rsidR="00617DC1">
              <w:t>Based on sponsor-commissioned market research data. The dose distribution was informed by responses to a survey of endocrinologists regarding target maintenance doses for tirzepatide.</w:t>
            </w:r>
          </w:p>
        </w:tc>
        <w:tc>
          <w:tcPr>
            <w:tcW w:w="2148" w:type="pct"/>
            <w:shd w:val="clear" w:color="auto" w:fill="auto"/>
            <w:vAlign w:val="center"/>
          </w:tcPr>
          <w:p w14:paraId="3F91E12B" w14:textId="20520864" w:rsidR="008F19C9" w:rsidRPr="00EF28A2" w:rsidRDefault="00617DC1" w:rsidP="001B7199">
            <w:pPr>
              <w:pStyle w:val="TableText"/>
              <w:spacing w:after="60"/>
              <w:rPr>
                <w:i w:val="0"/>
                <w:iCs w:val="0"/>
              </w:rPr>
            </w:pPr>
            <w:r w:rsidRPr="00EF28A2">
              <w:rPr>
                <w:i w:val="0"/>
                <w:iCs w:val="0"/>
              </w:rPr>
              <w:t xml:space="preserve">The applicability of target maintenance doses to doses used in practice is uncertain, with survey respondents noting that dose titration would be influenced by a range of factors including treatment response and tolerability. Differences in the utilisation of these doses in practice </w:t>
            </w:r>
            <w:r w:rsidR="001B7199" w:rsidRPr="00EF28A2">
              <w:rPr>
                <w:i w:val="0"/>
                <w:iCs w:val="0"/>
              </w:rPr>
              <w:t xml:space="preserve">will </w:t>
            </w:r>
            <w:r w:rsidRPr="00EF28A2">
              <w:rPr>
                <w:i w:val="0"/>
                <w:iCs w:val="0"/>
              </w:rPr>
              <w:t>have financial implications given the tiered pricing structure.</w:t>
            </w:r>
          </w:p>
          <w:p w14:paraId="1AE1F90C" w14:textId="5A77F953" w:rsidR="008F19C9" w:rsidRPr="00EF28A2" w:rsidRDefault="008F19C9" w:rsidP="0005239F">
            <w:pPr>
              <w:pStyle w:val="TableText"/>
              <w:rPr>
                <w:i w:val="0"/>
                <w:iCs w:val="0"/>
              </w:rPr>
            </w:pPr>
            <w:r w:rsidRPr="00EF28A2">
              <w:rPr>
                <w:i w:val="0"/>
                <w:iCs w:val="0"/>
              </w:rPr>
              <w:t>The financial estimates did not include the use of titration doses (2.5 mg, 7.5 mg, 12.5 mg).</w:t>
            </w:r>
          </w:p>
        </w:tc>
      </w:tr>
      <w:tr w:rsidR="008F19C9" w:rsidRPr="0076762E" w14:paraId="4FE32E42" w14:textId="77777777" w:rsidTr="009000B1">
        <w:trPr>
          <w:cantSplit/>
        </w:trPr>
        <w:tc>
          <w:tcPr>
            <w:tcW w:w="704" w:type="pct"/>
            <w:shd w:val="clear" w:color="auto" w:fill="auto"/>
            <w:vAlign w:val="center"/>
          </w:tcPr>
          <w:p w14:paraId="575A1C91" w14:textId="0F8C389C" w:rsidR="008F19C9" w:rsidRDefault="008F19C9" w:rsidP="0005239F">
            <w:pPr>
              <w:pStyle w:val="COMTabletext"/>
              <w:keepNext w:val="0"/>
              <w:widowControl w:val="0"/>
            </w:pPr>
            <w:r>
              <w:t>GLP-1 RA script substitution rate</w:t>
            </w:r>
          </w:p>
        </w:tc>
        <w:tc>
          <w:tcPr>
            <w:tcW w:w="2148" w:type="pct"/>
            <w:shd w:val="clear" w:color="auto" w:fill="auto"/>
            <w:vAlign w:val="center"/>
          </w:tcPr>
          <w:p w14:paraId="3706D69F" w14:textId="6831129E" w:rsidR="008F19C9" w:rsidRPr="00010582" w:rsidRDefault="008F19C9" w:rsidP="0005239F">
            <w:pPr>
              <w:pStyle w:val="COMTabletext"/>
              <w:keepNext w:val="0"/>
              <w:widowControl w:val="0"/>
            </w:pPr>
            <w:r>
              <w:t xml:space="preserve">100%. Assumption. </w:t>
            </w:r>
          </w:p>
        </w:tc>
        <w:tc>
          <w:tcPr>
            <w:tcW w:w="2148" w:type="pct"/>
            <w:shd w:val="clear" w:color="auto" w:fill="auto"/>
            <w:vAlign w:val="center"/>
          </w:tcPr>
          <w:p w14:paraId="1C64537A" w14:textId="564C5646" w:rsidR="008F19C9" w:rsidRPr="00EF28A2" w:rsidRDefault="008F19C9" w:rsidP="0005239F">
            <w:pPr>
              <w:pStyle w:val="TableText"/>
              <w:rPr>
                <w:i w:val="0"/>
                <w:iCs w:val="0"/>
              </w:rPr>
            </w:pPr>
            <w:r w:rsidRPr="00EF28A2">
              <w:rPr>
                <w:i w:val="0"/>
                <w:iCs w:val="0"/>
              </w:rPr>
              <w:t xml:space="preserve">The assumed </w:t>
            </w:r>
            <w:r w:rsidR="00F3080D" w:rsidRPr="00EF28A2">
              <w:rPr>
                <w:i w:val="0"/>
                <w:iCs w:val="0"/>
              </w:rPr>
              <w:t>1:1</w:t>
            </w:r>
            <w:r w:rsidRPr="00EF28A2">
              <w:rPr>
                <w:i w:val="0"/>
                <w:iCs w:val="0"/>
              </w:rPr>
              <w:t xml:space="preserve"> script substitution rate was inconsistent with the resubmission’s argument of higher persistence rates with tirzepatide compared with semaglutide and modelled differences in persistence in the economic model.</w:t>
            </w:r>
          </w:p>
        </w:tc>
      </w:tr>
    </w:tbl>
    <w:p w14:paraId="10A064A3" w14:textId="77777777" w:rsidR="002961B7" w:rsidRDefault="002961B7" w:rsidP="002961B7">
      <w:pPr>
        <w:pStyle w:val="COMTablefooter"/>
      </w:pPr>
      <w:r w:rsidRPr="0076762E">
        <w:lastRenderedPageBreak/>
        <w:t xml:space="preserve">Source: </w:t>
      </w:r>
      <w:r>
        <w:t>Section 4.1, pp260-275 of the resubmission; Tirzepatide Section 4 updated Excel workbook, Attachments A1, A2, A5.3 and A8.3 provided by the sponsor during the evaluation</w:t>
      </w:r>
    </w:p>
    <w:p w14:paraId="009C36E3" w14:textId="21A1982F" w:rsidR="00ED42C6" w:rsidRDefault="0005239F" w:rsidP="0040530E">
      <w:pPr>
        <w:pStyle w:val="COMTablefooter"/>
        <w:spacing w:after="0"/>
      </w:pPr>
      <w:r w:rsidRPr="00FD5D31">
        <w:t xml:space="preserve">Abbreviations: </w:t>
      </w:r>
      <w:r w:rsidR="00BE0FDA" w:rsidRPr="00FD5D31">
        <w:t>CKD, chronic kidney disease; DPP4i, dipeptidyl peptidase-4 inhibitor; eGFR, estimated glomerular filtration rate (mL/min/1.72 m2); GLP-1 RA, glucagon-like peptide-1 receptor agonist; PBS, Pharmaceutical Benefits Scheme; RPBS, Repatriation Pharmaceutical Benefits Scheme; SGLT2i, sodium-glucose cotransporter-2 inhibitor</w:t>
      </w:r>
    </w:p>
    <w:p w14:paraId="0A4C4245" w14:textId="7144DA68" w:rsidR="00CC07FB" w:rsidRPr="00CC07FB" w:rsidRDefault="00CC07FB" w:rsidP="00CC07FB">
      <w:pPr>
        <w:rPr>
          <w:vertAlign w:val="superscript"/>
        </w:rPr>
      </w:pPr>
      <w:r w:rsidRPr="00CC07FB">
        <w:rPr>
          <w:rFonts w:ascii="Arial Narrow" w:hAnsi="Arial Narrow"/>
          <w:sz w:val="18"/>
          <w:szCs w:val="18"/>
          <w:vertAlign w:val="superscript"/>
        </w:rPr>
        <w:t>a</w:t>
      </w:r>
      <w:r>
        <w:rPr>
          <w:vertAlign w:val="superscript"/>
        </w:rPr>
        <w:t xml:space="preserve"> </w:t>
      </w:r>
      <w:r w:rsidRPr="00CC07FB">
        <w:rPr>
          <w:rFonts w:ascii="Arial Narrow" w:hAnsi="Arial Narrow"/>
          <w:i/>
          <w:iCs/>
          <w:snapToGrid w:val="0"/>
          <w:sz w:val="18"/>
          <w:szCs w:val="22"/>
        </w:rPr>
        <w:t>Note that the results presented in Table 15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45B54264" w14:textId="77777777" w:rsidR="0040530E" w:rsidRPr="009A6D58" w:rsidRDefault="0040530E" w:rsidP="004053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C0D410" w14:textId="6C4735EC" w:rsidR="0040530E" w:rsidRPr="009A6D58" w:rsidRDefault="0040530E" w:rsidP="004053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F733B2" w:rsidRPr="00F733B2">
        <w:rPr>
          <w:rFonts w:ascii="Arial Narrow" w:hAnsi="Arial Narrow"/>
          <w:i/>
          <w:sz w:val="18"/>
          <w:szCs w:val="18"/>
        </w:rPr>
        <w:t>400,000 to &lt; 500,000</w:t>
      </w:r>
    </w:p>
    <w:p w14:paraId="61944C91" w14:textId="2AF9054A" w:rsidR="0040530E" w:rsidRPr="009A6D58" w:rsidRDefault="0040530E" w:rsidP="004053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422B48" w:rsidRPr="00422B48">
        <w:rPr>
          <w:rFonts w:ascii="Arial Narrow" w:hAnsi="Arial Narrow"/>
          <w:i/>
          <w:sz w:val="18"/>
          <w:szCs w:val="18"/>
        </w:rPr>
        <w:t>100,000 to &lt; 200,000</w:t>
      </w:r>
    </w:p>
    <w:p w14:paraId="114A3FF4" w14:textId="50EA9246" w:rsidR="0040530E" w:rsidRDefault="0040530E" w:rsidP="004053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B3321" w:rsidRPr="00BB3321">
        <w:rPr>
          <w:rFonts w:ascii="Arial Narrow" w:hAnsi="Arial Narrow"/>
          <w:i/>
          <w:sz w:val="18"/>
          <w:szCs w:val="18"/>
        </w:rPr>
        <w:t>10,000 to &lt; 20,000</w:t>
      </w:r>
    </w:p>
    <w:p w14:paraId="68842EFB" w14:textId="7BDB8262" w:rsidR="0040530E" w:rsidRDefault="0040530E" w:rsidP="00C81087">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87001" w:rsidRPr="00687001">
        <w:rPr>
          <w:rFonts w:ascii="Arial Narrow" w:hAnsi="Arial Narrow"/>
          <w:i/>
          <w:sz w:val="18"/>
          <w:szCs w:val="18"/>
        </w:rPr>
        <w:t>500 to &lt; 5,000</w:t>
      </w:r>
    </w:p>
    <w:p w14:paraId="0874EEC0" w14:textId="7C9A695B" w:rsidR="00500868" w:rsidRPr="00051A65" w:rsidRDefault="00051A65" w:rsidP="00051A65">
      <w:pPr>
        <w:pStyle w:val="COMexecsummnumbered"/>
      </w:pPr>
      <w:r>
        <w:t>The estimated utilisation and financial implications</w:t>
      </w:r>
      <w:r w:rsidR="002856B1">
        <w:t xml:space="preserve"> (using effective prices)</w:t>
      </w:r>
      <w:r>
        <w:t xml:space="preserve"> </w:t>
      </w:r>
      <w:r w:rsidRPr="00051A65">
        <w:t>of listing tirzepatide on the PBS/RPBS for the treatment of type 2 diabetes</w:t>
      </w:r>
      <w:r>
        <w:t xml:space="preserve"> is summarised in </w:t>
      </w:r>
      <w:r w:rsidR="00EE1E47">
        <w:fldChar w:fldCharType="begin" w:fldLock="1"/>
      </w:r>
      <w:r w:rsidR="00EE1E47">
        <w:instrText xml:space="preserve"> REF _Ref104805295 \h </w:instrText>
      </w:r>
      <w:r w:rsidR="00EE1E47">
        <w:fldChar w:fldCharType="separate"/>
      </w:r>
      <w:r w:rsidR="00EE035D" w:rsidRPr="0076762E">
        <w:t xml:space="preserve">Table </w:t>
      </w:r>
      <w:r w:rsidR="00EE035D">
        <w:rPr>
          <w:noProof/>
        </w:rPr>
        <w:t>16</w:t>
      </w:r>
      <w:r w:rsidR="00EE1E47">
        <w:fldChar w:fldCharType="end"/>
      </w:r>
      <w:r>
        <w:t>.</w:t>
      </w:r>
      <w:r w:rsidR="00AD0C76">
        <w:t xml:space="preserve"> The revised financial estimates provided in the pre-PBAC response are also provided in </w:t>
      </w:r>
      <w:r w:rsidR="00AD0C76">
        <w:fldChar w:fldCharType="begin" w:fldLock="1"/>
      </w:r>
      <w:r w:rsidR="00AD0C76">
        <w:instrText xml:space="preserve"> REF _Ref104805295 \h </w:instrText>
      </w:r>
      <w:r w:rsidR="00AD0C76">
        <w:fldChar w:fldCharType="separate"/>
      </w:r>
      <w:r w:rsidR="00EE035D" w:rsidRPr="0076762E">
        <w:t xml:space="preserve">Table </w:t>
      </w:r>
      <w:r w:rsidR="00EE035D">
        <w:rPr>
          <w:noProof/>
        </w:rPr>
        <w:t>16</w:t>
      </w:r>
      <w:r w:rsidR="00AD0C76">
        <w:fldChar w:fldCharType="end"/>
      </w:r>
      <w:r w:rsidR="00AD0C76">
        <w:t xml:space="preserve">. The revisions made in the pre-PBAC response are outlined in </w:t>
      </w:r>
      <w:r w:rsidR="00AD0C76">
        <w:fldChar w:fldCharType="begin" w:fldLock="1"/>
      </w:r>
      <w:r w:rsidR="00AD0C76">
        <w:instrText xml:space="preserve"> REF _Ref104805262 \h </w:instrText>
      </w:r>
      <w:r w:rsidR="00AD0C76">
        <w:fldChar w:fldCharType="separate"/>
      </w:r>
      <w:r w:rsidR="00EE035D" w:rsidRPr="0076762E">
        <w:t xml:space="preserve">Table </w:t>
      </w:r>
      <w:r w:rsidR="00EE035D">
        <w:rPr>
          <w:noProof/>
        </w:rPr>
        <w:t>15</w:t>
      </w:r>
      <w:r w:rsidR="00AD0C76">
        <w:fldChar w:fldCharType="end"/>
      </w:r>
      <w:r w:rsidR="00AD0C76">
        <w:t xml:space="preserve"> </w:t>
      </w:r>
      <w:proofErr w:type="gramStart"/>
      <w:r w:rsidR="00AD0C76">
        <w:t>and also</w:t>
      </w:r>
      <w:proofErr w:type="gramEnd"/>
      <w:r w:rsidR="00AD0C76">
        <w:t xml:space="preserve"> include the price reduction</w:t>
      </w:r>
      <w:r w:rsidR="007B37BF">
        <w:t>s stated</w:t>
      </w:r>
      <w:r w:rsidR="00AD0C76">
        <w:t xml:space="preserve"> in paragraph </w:t>
      </w:r>
      <w:r w:rsidR="00AD0C76">
        <w:fldChar w:fldCharType="begin" w:fldLock="1"/>
      </w:r>
      <w:r w:rsidR="00AD0C76">
        <w:instrText xml:space="preserve"> REF _Ref184036709 \r \h </w:instrText>
      </w:r>
      <w:r w:rsidR="00AD0C76">
        <w:fldChar w:fldCharType="separate"/>
      </w:r>
      <w:r w:rsidR="00EE035D">
        <w:t>3.2</w:t>
      </w:r>
      <w:r w:rsidR="00AD0C76">
        <w:fldChar w:fldCharType="end"/>
      </w:r>
      <w:r w:rsidR="00AD0C76">
        <w:t>.</w:t>
      </w:r>
    </w:p>
    <w:p w14:paraId="38EC053C" w14:textId="46AD2862" w:rsidR="00C25D9C" w:rsidRDefault="00E16AD8" w:rsidP="00FF3ECD">
      <w:pPr>
        <w:pStyle w:val="COMtablefigcaption"/>
      </w:pPr>
      <w:bookmarkStart w:id="65" w:name="_Ref104805295"/>
      <w:r w:rsidRPr="0076762E">
        <w:lastRenderedPageBreak/>
        <w:t xml:space="preserve">Table </w:t>
      </w:r>
      <w:r w:rsidR="00EE035D">
        <w:fldChar w:fldCharType="begin" w:fldLock="1"/>
      </w:r>
      <w:r w:rsidR="00EE035D">
        <w:instrText xml:space="preserve"> SEQ Table \* ARABIC </w:instrText>
      </w:r>
      <w:r w:rsidR="00EE035D">
        <w:fldChar w:fldCharType="separate"/>
      </w:r>
      <w:r w:rsidR="00EE035D">
        <w:rPr>
          <w:noProof/>
        </w:rPr>
        <w:t>16</w:t>
      </w:r>
      <w:r w:rsidR="00EE035D">
        <w:rPr>
          <w:noProof/>
        </w:rPr>
        <w:fldChar w:fldCharType="end"/>
      </w:r>
      <w:bookmarkEnd w:id="65"/>
      <w:r w:rsidRPr="0076762E">
        <w:t>:</w:t>
      </w:r>
      <w:r w:rsidR="002A2F50" w:rsidRPr="0076762E">
        <w:t xml:space="preserve">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1800"/>
        <w:gridCol w:w="1222"/>
        <w:gridCol w:w="1209"/>
        <w:gridCol w:w="1208"/>
        <w:gridCol w:w="1212"/>
        <w:gridCol w:w="1208"/>
        <w:gridCol w:w="1208"/>
      </w:tblGrid>
      <w:tr w:rsidR="00513B78" w:rsidRPr="0076762E" w14:paraId="5265C22E" w14:textId="77777777" w:rsidTr="00003BD7">
        <w:trPr>
          <w:tblHeader/>
        </w:trPr>
        <w:tc>
          <w:tcPr>
            <w:tcW w:w="1801" w:type="dxa"/>
            <w:shd w:val="clear" w:color="auto" w:fill="auto"/>
            <w:vAlign w:val="center"/>
          </w:tcPr>
          <w:p w14:paraId="1F00C7EA" w14:textId="77777777" w:rsidR="00513B78" w:rsidRPr="0076762E" w:rsidRDefault="00513B78" w:rsidP="00A1032E">
            <w:pPr>
              <w:keepNext/>
              <w:jc w:val="center"/>
              <w:rPr>
                <w:rFonts w:ascii="Arial Narrow" w:eastAsiaTheme="majorEastAsia" w:hAnsi="Arial Narrow" w:cs="Times New Roman"/>
                <w:b/>
                <w:sz w:val="20"/>
              </w:rPr>
            </w:pPr>
          </w:p>
        </w:tc>
        <w:tc>
          <w:tcPr>
            <w:tcW w:w="1223" w:type="dxa"/>
            <w:shd w:val="clear" w:color="auto" w:fill="auto"/>
            <w:vAlign w:val="center"/>
          </w:tcPr>
          <w:p w14:paraId="79BF0FAF" w14:textId="7C60C185"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1 </w:t>
            </w:r>
          </w:p>
        </w:tc>
        <w:tc>
          <w:tcPr>
            <w:tcW w:w="1208" w:type="dxa"/>
            <w:shd w:val="clear" w:color="auto" w:fill="auto"/>
            <w:vAlign w:val="center"/>
          </w:tcPr>
          <w:p w14:paraId="21691ADE" w14:textId="48444920"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2 </w:t>
            </w:r>
          </w:p>
        </w:tc>
        <w:tc>
          <w:tcPr>
            <w:tcW w:w="1208" w:type="dxa"/>
            <w:shd w:val="clear" w:color="auto" w:fill="auto"/>
            <w:vAlign w:val="center"/>
          </w:tcPr>
          <w:p w14:paraId="0C51057E" w14:textId="7A184363"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3 </w:t>
            </w:r>
          </w:p>
        </w:tc>
        <w:tc>
          <w:tcPr>
            <w:tcW w:w="1207" w:type="dxa"/>
            <w:shd w:val="clear" w:color="auto" w:fill="auto"/>
            <w:vAlign w:val="center"/>
          </w:tcPr>
          <w:p w14:paraId="5CD058DC" w14:textId="01534970"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4 </w:t>
            </w:r>
          </w:p>
        </w:tc>
        <w:tc>
          <w:tcPr>
            <w:tcW w:w="1210" w:type="dxa"/>
            <w:shd w:val="clear" w:color="auto" w:fill="auto"/>
            <w:vAlign w:val="center"/>
          </w:tcPr>
          <w:p w14:paraId="23D487D0" w14:textId="01CF7F5A"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5 </w:t>
            </w:r>
          </w:p>
        </w:tc>
        <w:tc>
          <w:tcPr>
            <w:tcW w:w="1210" w:type="dxa"/>
            <w:shd w:val="clear" w:color="auto" w:fill="auto"/>
            <w:vAlign w:val="center"/>
          </w:tcPr>
          <w:p w14:paraId="3FAFB2A9" w14:textId="421BE11A" w:rsidR="00513B78" w:rsidRPr="0076762E" w:rsidRDefault="00513B78" w:rsidP="00415E4B">
            <w:pPr>
              <w:keepNext/>
              <w:jc w:val="center"/>
              <w:rPr>
                <w:rFonts w:ascii="Arial Narrow" w:eastAsiaTheme="majorEastAsia" w:hAnsi="Arial Narrow" w:cs="Times New Roman"/>
                <w:b/>
                <w:sz w:val="20"/>
              </w:rPr>
            </w:pPr>
            <w:r w:rsidRPr="0076762E">
              <w:rPr>
                <w:rFonts w:ascii="Arial Narrow" w:eastAsiaTheme="majorEastAsia" w:hAnsi="Arial Narrow" w:cs="Times New Roman"/>
                <w:b/>
                <w:sz w:val="20"/>
              </w:rPr>
              <w:t xml:space="preserve">Year 6 </w:t>
            </w:r>
          </w:p>
        </w:tc>
      </w:tr>
      <w:tr w:rsidR="00597E78" w:rsidRPr="005A59BE" w14:paraId="47034F24" w14:textId="77777777">
        <w:trPr>
          <w:tblHeader/>
        </w:trPr>
        <w:tc>
          <w:tcPr>
            <w:tcW w:w="9067" w:type="dxa"/>
            <w:gridSpan w:val="7"/>
            <w:shd w:val="clear" w:color="auto" w:fill="auto"/>
            <w:vAlign w:val="center"/>
          </w:tcPr>
          <w:p w14:paraId="3BAF169D" w14:textId="4FAD7933" w:rsidR="00597E78" w:rsidRPr="005A59BE" w:rsidRDefault="005A59BE" w:rsidP="005A59BE">
            <w:pPr>
              <w:pStyle w:val="COMTableheadingrow"/>
              <w:rPr>
                <w:lang w:val="en-AU"/>
              </w:rPr>
            </w:pPr>
            <w:r w:rsidRPr="005A59BE">
              <w:rPr>
                <w:lang w:val="en-AU"/>
              </w:rPr>
              <w:t>Patients with BMI ≥35 kg/m</w:t>
            </w:r>
            <w:r w:rsidRPr="00D30ED6">
              <w:rPr>
                <w:vertAlign w:val="superscript"/>
                <w:lang w:val="en-AU"/>
              </w:rPr>
              <w:t>2</w:t>
            </w:r>
          </w:p>
        </w:tc>
      </w:tr>
      <w:tr w:rsidR="00D30ED6" w:rsidRPr="0076762E" w14:paraId="282A2421" w14:textId="77777777" w:rsidTr="005F2C5E">
        <w:trPr>
          <w:tblHeader/>
        </w:trPr>
        <w:tc>
          <w:tcPr>
            <w:tcW w:w="1801" w:type="dxa"/>
            <w:shd w:val="clear" w:color="auto" w:fill="auto"/>
            <w:vAlign w:val="center"/>
          </w:tcPr>
          <w:p w14:paraId="35D6B28E" w14:textId="1A03EA20" w:rsidR="00D30ED6" w:rsidRPr="005A59BE" w:rsidRDefault="00D30ED6" w:rsidP="00D30ED6">
            <w:pPr>
              <w:keepNext/>
              <w:jc w:val="left"/>
              <w:rPr>
                <w:rFonts w:ascii="Arial Narrow" w:eastAsiaTheme="majorEastAsia" w:hAnsi="Arial Narrow" w:cstheme="majorBidi"/>
                <w:bCs/>
                <w:sz w:val="20"/>
              </w:rPr>
            </w:pPr>
            <w:r>
              <w:rPr>
                <w:rFonts w:ascii="Arial Narrow" w:eastAsiaTheme="majorEastAsia" w:hAnsi="Arial Narrow" w:cstheme="majorBidi"/>
                <w:bCs/>
                <w:sz w:val="20"/>
              </w:rPr>
              <w:t>Initiating patients</w:t>
            </w:r>
          </w:p>
        </w:tc>
        <w:tc>
          <w:tcPr>
            <w:tcW w:w="1223" w:type="dxa"/>
            <w:shd w:val="clear" w:color="auto" w:fill="auto"/>
          </w:tcPr>
          <w:p w14:paraId="088CC2D0" w14:textId="4511D235" w:rsidR="00D30ED6" w:rsidRPr="000B2DDE" w:rsidRDefault="00F111EB" w:rsidP="00D30ED6">
            <w:pPr>
              <w:pStyle w:val="COMTabletext"/>
              <w:jc w:val="center"/>
              <w:rPr>
                <w:highlight w:val="darkGray"/>
              </w:rPr>
            </w:pPr>
            <w:r w:rsidRPr="00F111EB">
              <w:rPr>
                <w:color w:val="000000"/>
                <w:spacing w:val="55"/>
                <w:shd w:val="solid" w:color="000000" w:fill="000000"/>
                <w:fitText w:val="338" w:id="-761014270"/>
                <w14:textFill>
                  <w14:solidFill>
                    <w14:srgbClr w14:val="000000">
                      <w14:alpha w14:val="100000"/>
                    </w14:srgbClr>
                  </w14:solidFill>
                </w14:textFill>
              </w:rPr>
              <w:t>|||</w:t>
            </w:r>
            <w:r w:rsidRPr="00F111EB">
              <w:rPr>
                <w:color w:val="000000"/>
                <w:spacing w:val="3"/>
                <w:shd w:val="solid" w:color="000000" w:fill="000000"/>
                <w:fitText w:val="338" w:id="-761014270"/>
                <w14:textFill>
                  <w14:solidFill>
                    <w14:srgbClr w14:val="000000">
                      <w14:alpha w14:val="100000"/>
                    </w14:srgbClr>
                  </w14:solidFill>
                </w14:textFill>
              </w:rPr>
              <w:t>|</w:t>
            </w:r>
            <w:r w:rsidR="007C5162" w:rsidRPr="000A60F2">
              <w:rPr>
                <w:vertAlign w:val="superscript"/>
              </w:rPr>
              <w:t>1</w:t>
            </w:r>
          </w:p>
        </w:tc>
        <w:tc>
          <w:tcPr>
            <w:tcW w:w="1208" w:type="dxa"/>
            <w:shd w:val="clear" w:color="auto" w:fill="auto"/>
          </w:tcPr>
          <w:p w14:paraId="1B1A5525" w14:textId="54CC5C0C"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9"/>
                <w14:textFill>
                  <w14:solidFill>
                    <w14:srgbClr w14:val="000000">
                      <w14:alpha w14:val="100000"/>
                    </w14:srgbClr>
                  </w14:solidFill>
                </w14:textFill>
              </w:rPr>
              <w:t>|||</w:t>
            </w:r>
            <w:r w:rsidRPr="00F111EB">
              <w:rPr>
                <w:color w:val="000000"/>
                <w:spacing w:val="3"/>
                <w:shd w:val="solid" w:color="000000" w:fill="000000"/>
                <w:fitText w:val="326" w:id="-761014269"/>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5C412D07" w14:textId="076E9EC3" w:rsidR="00D30ED6" w:rsidRPr="000B2DDE" w:rsidRDefault="00F111EB" w:rsidP="00D30ED6">
            <w:pPr>
              <w:pStyle w:val="COMTabletext"/>
              <w:jc w:val="center"/>
              <w:rPr>
                <w:highlight w:val="darkGray"/>
              </w:rPr>
            </w:pPr>
            <w:r w:rsidRPr="00F111EB">
              <w:rPr>
                <w:color w:val="000000"/>
                <w:spacing w:val="51"/>
                <w:shd w:val="solid" w:color="000000" w:fill="000000"/>
                <w:fitText w:val="325" w:id="-761014268"/>
                <w14:textFill>
                  <w14:solidFill>
                    <w14:srgbClr w14:val="000000">
                      <w14:alpha w14:val="100000"/>
                    </w14:srgbClr>
                  </w14:solidFill>
                </w14:textFill>
              </w:rPr>
              <w:t>|||</w:t>
            </w:r>
            <w:r w:rsidRPr="00F111EB">
              <w:rPr>
                <w:color w:val="000000"/>
                <w:spacing w:val="2"/>
                <w:shd w:val="solid" w:color="000000" w:fill="000000"/>
                <w:fitText w:val="325" w:id="-761014268"/>
                <w14:textFill>
                  <w14:solidFill>
                    <w14:srgbClr w14:val="000000">
                      <w14:alpha w14:val="100000"/>
                    </w14:srgbClr>
                  </w14:solidFill>
                </w14:textFill>
              </w:rPr>
              <w:t>|</w:t>
            </w:r>
            <w:r w:rsidR="00971489" w:rsidRPr="00971489">
              <w:rPr>
                <w:vertAlign w:val="superscript"/>
              </w:rPr>
              <w:t>2</w:t>
            </w:r>
          </w:p>
        </w:tc>
        <w:tc>
          <w:tcPr>
            <w:tcW w:w="1207" w:type="dxa"/>
            <w:shd w:val="clear" w:color="auto" w:fill="auto"/>
          </w:tcPr>
          <w:p w14:paraId="4B695569" w14:textId="62741FB6" w:rsidR="00D30ED6" w:rsidRPr="00545219" w:rsidRDefault="00F111EB" w:rsidP="00D30ED6">
            <w:pPr>
              <w:pStyle w:val="COMTabletext"/>
              <w:jc w:val="center"/>
              <w:rPr>
                <w:highlight w:val="darkGray"/>
                <w:vertAlign w:val="superscript"/>
              </w:rPr>
            </w:pPr>
            <w:r w:rsidRPr="00F111EB">
              <w:rPr>
                <w:color w:val="000000"/>
                <w:spacing w:val="51"/>
                <w:shd w:val="solid" w:color="000000" w:fill="000000"/>
                <w:fitText w:val="325" w:id="-761014267"/>
                <w14:textFill>
                  <w14:solidFill>
                    <w14:srgbClr w14:val="000000">
                      <w14:alpha w14:val="100000"/>
                    </w14:srgbClr>
                  </w14:solidFill>
                </w14:textFill>
              </w:rPr>
              <w:t>|||</w:t>
            </w:r>
            <w:r w:rsidRPr="00F111EB">
              <w:rPr>
                <w:color w:val="000000"/>
                <w:spacing w:val="2"/>
                <w:shd w:val="solid" w:color="000000" w:fill="000000"/>
                <w:fitText w:val="325" w:id="-761014267"/>
                <w14:textFill>
                  <w14:solidFill>
                    <w14:srgbClr w14:val="000000">
                      <w14:alpha w14:val="100000"/>
                    </w14:srgbClr>
                  </w14:solidFill>
                </w14:textFill>
              </w:rPr>
              <w:t>|</w:t>
            </w:r>
            <w:r w:rsidR="00545219" w:rsidRPr="00A21AB2">
              <w:rPr>
                <w:vertAlign w:val="superscript"/>
              </w:rPr>
              <w:t>3</w:t>
            </w:r>
          </w:p>
        </w:tc>
        <w:tc>
          <w:tcPr>
            <w:tcW w:w="1210" w:type="dxa"/>
            <w:shd w:val="clear" w:color="auto" w:fill="auto"/>
          </w:tcPr>
          <w:p w14:paraId="22FE7E41" w14:textId="63098843"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6"/>
                <w14:textFill>
                  <w14:solidFill>
                    <w14:srgbClr w14:val="000000">
                      <w14:alpha w14:val="100000"/>
                    </w14:srgbClr>
                  </w14:solidFill>
                </w14:textFill>
              </w:rPr>
              <w:t>|||</w:t>
            </w:r>
            <w:r w:rsidRPr="00F111EB">
              <w:rPr>
                <w:color w:val="000000"/>
                <w:spacing w:val="3"/>
                <w:shd w:val="solid" w:color="000000" w:fill="000000"/>
                <w:fitText w:val="326" w:id="-761014266"/>
                <w14:textFill>
                  <w14:solidFill>
                    <w14:srgbClr w14:val="000000">
                      <w14:alpha w14:val="100000"/>
                    </w14:srgbClr>
                  </w14:solidFill>
                </w14:textFill>
              </w:rPr>
              <w:t>|</w:t>
            </w:r>
            <w:r w:rsidR="002714E7" w:rsidRPr="002714E7">
              <w:rPr>
                <w:vertAlign w:val="superscript"/>
              </w:rPr>
              <w:t>4</w:t>
            </w:r>
          </w:p>
        </w:tc>
        <w:tc>
          <w:tcPr>
            <w:tcW w:w="1210" w:type="dxa"/>
            <w:shd w:val="clear" w:color="auto" w:fill="auto"/>
          </w:tcPr>
          <w:p w14:paraId="183E46AD" w14:textId="244149CB" w:rsidR="00D30ED6" w:rsidRPr="000B2DDE" w:rsidRDefault="00F111EB" w:rsidP="00D30ED6">
            <w:pPr>
              <w:pStyle w:val="COMTabletext"/>
              <w:jc w:val="center"/>
              <w:rPr>
                <w:highlight w:val="darkGray"/>
              </w:rPr>
            </w:pPr>
            <w:r w:rsidRPr="00F111EB">
              <w:rPr>
                <w:color w:val="000000"/>
                <w:spacing w:val="51"/>
                <w:shd w:val="solid" w:color="000000" w:fill="000000"/>
                <w:fitText w:val="326" w:id="-761014265"/>
                <w14:textFill>
                  <w14:solidFill>
                    <w14:srgbClr w14:val="000000">
                      <w14:alpha w14:val="100000"/>
                    </w14:srgbClr>
                  </w14:solidFill>
                </w14:textFill>
              </w:rPr>
              <w:t>|||</w:t>
            </w:r>
            <w:r w:rsidRPr="00F111EB">
              <w:rPr>
                <w:color w:val="000000"/>
                <w:spacing w:val="3"/>
                <w:shd w:val="solid" w:color="000000" w:fill="000000"/>
                <w:fitText w:val="326" w:id="-761014265"/>
                <w14:textFill>
                  <w14:solidFill>
                    <w14:srgbClr w14:val="000000">
                      <w14:alpha w14:val="100000"/>
                    </w14:srgbClr>
                  </w14:solidFill>
                </w14:textFill>
              </w:rPr>
              <w:t>|</w:t>
            </w:r>
            <w:r w:rsidR="002714E7" w:rsidRPr="002714E7">
              <w:rPr>
                <w:vertAlign w:val="superscript"/>
              </w:rPr>
              <w:t>4</w:t>
            </w:r>
          </w:p>
        </w:tc>
      </w:tr>
      <w:tr w:rsidR="000407F1" w:rsidRPr="0076762E" w14:paraId="43AF9C11" w14:textId="77777777" w:rsidTr="005F2C5E">
        <w:trPr>
          <w:tblHeader/>
        </w:trPr>
        <w:tc>
          <w:tcPr>
            <w:tcW w:w="1801" w:type="dxa"/>
            <w:shd w:val="clear" w:color="auto" w:fill="auto"/>
            <w:vAlign w:val="center"/>
          </w:tcPr>
          <w:p w14:paraId="16419330" w14:textId="6347BA09" w:rsidR="000407F1" w:rsidRPr="005A59BE" w:rsidRDefault="000407F1" w:rsidP="000407F1">
            <w:pPr>
              <w:keepNext/>
              <w:jc w:val="left"/>
              <w:rPr>
                <w:rFonts w:ascii="Arial Narrow" w:eastAsiaTheme="majorEastAsia" w:hAnsi="Arial Narrow" w:cstheme="majorBidi"/>
                <w:bCs/>
                <w:sz w:val="20"/>
              </w:rPr>
            </w:pPr>
            <w:r>
              <w:rPr>
                <w:rFonts w:ascii="Arial Narrow" w:eastAsiaTheme="majorEastAsia" w:hAnsi="Arial Narrow" w:cstheme="majorBidi"/>
                <w:bCs/>
                <w:sz w:val="20"/>
              </w:rPr>
              <w:t>- Established eligible</w:t>
            </w:r>
          </w:p>
        </w:tc>
        <w:tc>
          <w:tcPr>
            <w:tcW w:w="1223" w:type="dxa"/>
            <w:shd w:val="clear" w:color="auto" w:fill="auto"/>
          </w:tcPr>
          <w:p w14:paraId="6CB867EF" w14:textId="2079D67D" w:rsidR="000407F1" w:rsidRPr="000B2DDE" w:rsidRDefault="00F111EB" w:rsidP="000407F1">
            <w:pPr>
              <w:pStyle w:val="COMTabletext"/>
              <w:jc w:val="center"/>
              <w:rPr>
                <w:highlight w:val="darkGray"/>
              </w:rPr>
            </w:pPr>
            <w:r w:rsidRPr="00F111EB">
              <w:rPr>
                <w:color w:val="000000"/>
                <w:spacing w:val="55"/>
                <w:shd w:val="solid" w:color="000000" w:fill="000000"/>
                <w:fitText w:val="338" w:id="-761014264"/>
                <w14:textFill>
                  <w14:solidFill>
                    <w14:srgbClr w14:val="000000">
                      <w14:alpha w14:val="100000"/>
                    </w14:srgbClr>
                  </w14:solidFill>
                </w14:textFill>
              </w:rPr>
              <w:t>|||</w:t>
            </w:r>
            <w:r w:rsidRPr="00F111EB">
              <w:rPr>
                <w:color w:val="000000"/>
                <w:spacing w:val="3"/>
                <w:shd w:val="solid" w:color="000000" w:fill="000000"/>
                <w:fitText w:val="338" w:id="-761014264"/>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7978314F" w14:textId="0B3979DC" w:rsidR="000407F1" w:rsidRPr="000B2DDE" w:rsidRDefault="00F111EB" w:rsidP="000407F1">
            <w:pPr>
              <w:pStyle w:val="COMTabletext"/>
              <w:jc w:val="center"/>
              <w:rPr>
                <w:highlight w:val="darkGray"/>
              </w:rPr>
            </w:pPr>
            <w:r w:rsidRPr="00F111EB">
              <w:rPr>
                <w:color w:val="000000"/>
                <w:spacing w:val="51"/>
                <w:shd w:val="solid" w:color="000000" w:fill="000000"/>
                <w:fitText w:val="326" w:id="-761014263"/>
                <w14:textFill>
                  <w14:solidFill>
                    <w14:srgbClr w14:val="000000">
                      <w14:alpha w14:val="100000"/>
                    </w14:srgbClr>
                  </w14:solidFill>
                </w14:textFill>
              </w:rPr>
              <w:t>|||</w:t>
            </w:r>
            <w:r w:rsidRPr="00F111EB">
              <w:rPr>
                <w:color w:val="000000"/>
                <w:spacing w:val="3"/>
                <w:shd w:val="solid" w:color="000000" w:fill="000000"/>
                <w:fitText w:val="326" w:id="-761014263"/>
                <w14:textFill>
                  <w14:solidFill>
                    <w14:srgbClr w14:val="000000">
                      <w14:alpha w14:val="100000"/>
                    </w14:srgbClr>
                  </w14:solidFill>
                </w14:textFill>
              </w:rPr>
              <w:t>|</w:t>
            </w:r>
            <w:r w:rsidR="00A21AB2" w:rsidRPr="00A21AB2">
              <w:rPr>
                <w:vertAlign w:val="superscript"/>
              </w:rPr>
              <w:t>3</w:t>
            </w:r>
          </w:p>
        </w:tc>
        <w:tc>
          <w:tcPr>
            <w:tcW w:w="1208" w:type="dxa"/>
            <w:shd w:val="clear" w:color="auto" w:fill="auto"/>
          </w:tcPr>
          <w:p w14:paraId="13089CB6" w14:textId="20DF43B8" w:rsidR="000407F1" w:rsidRPr="000B2DDE" w:rsidRDefault="00F111EB" w:rsidP="000407F1">
            <w:pPr>
              <w:pStyle w:val="COMTabletext"/>
              <w:jc w:val="center"/>
              <w:rPr>
                <w:highlight w:val="darkGray"/>
              </w:rPr>
            </w:pPr>
            <w:r w:rsidRPr="00F111EB">
              <w:rPr>
                <w:color w:val="000000"/>
                <w:spacing w:val="51"/>
                <w:shd w:val="solid" w:color="000000" w:fill="000000"/>
                <w:fitText w:val="325" w:id="-761014262"/>
                <w14:textFill>
                  <w14:solidFill>
                    <w14:srgbClr w14:val="000000">
                      <w14:alpha w14:val="100000"/>
                    </w14:srgbClr>
                  </w14:solidFill>
                </w14:textFill>
              </w:rPr>
              <w:t>|||</w:t>
            </w:r>
            <w:r w:rsidRPr="00F111EB">
              <w:rPr>
                <w:color w:val="000000"/>
                <w:spacing w:val="2"/>
                <w:shd w:val="solid" w:color="000000" w:fill="000000"/>
                <w:fitText w:val="325" w:id="-761014262"/>
                <w14:textFill>
                  <w14:solidFill>
                    <w14:srgbClr w14:val="000000">
                      <w14:alpha w14:val="100000"/>
                    </w14:srgbClr>
                  </w14:solidFill>
                </w14:textFill>
              </w:rPr>
              <w:t>|</w:t>
            </w:r>
            <w:r w:rsidR="00DD43F5" w:rsidRPr="00DD43F5">
              <w:rPr>
                <w:vertAlign w:val="superscript"/>
              </w:rPr>
              <w:t>5</w:t>
            </w:r>
          </w:p>
        </w:tc>
        <w:tc>
          <w:tcPr>
            <w:tcW w:w="1207" w:type="dxa"/>
            <w:shd w:val="clear" w:color="auto" w:fill="auto"/>
            <w:vAlign w:val="center"/>
          </w:tcPr>
          <w:p w14:paraId="4C70B314" w14:textId="0C39A01A" w:rsidR="000407F1" w:rsidRPr="000B2DDE" w:rsidRDefault="000407F1" w:rsidP="000407F1">
            <w:pPr>
              <w:pStyle w:val="COMTabletext"/>
              <w:jc w:val="center"/>
            </w:pPr>
            <w:r w:rsidRPr="000B2DDE">
              <w:t>-</w:t>
            </w:r>
          </w:p>
        </w:tc>
        <w:tc>
          <w:tcPr>
            <w:tcW w:w="1210" w:type="dxa"/>
            <w:shd w:val="clear" w:color="auto" w:fill="auto"/>
            <w:vAlign w:val="center"/>
          </w:tcPr>
          <w:p w14:paraId="1A92F29D" w14:textId="656B9FB8" w:rsidR="000407F1" w:rsidRPr="000B2DDE" w:rsidRDefault="000407F1" w:rsidP="000407F1">
            <w:pPr>
              <w:pStyle w:val="COMTabletext"/>
              <w:jc w:val="center"/>
            </w:pPr>
            <w:r w:rsidRPr="000B2DDE">
              <w:t>-</w:t>
            </w:r>
          </w:p>
        </w:tc>
        <w:tc>
          <w:tcPr>
            <w:tcW w:w="1210" w:type="dxa"/>
            <w:shd w:val="clear" w:color="auto" w:fill="auto"/>
            <w:vAlign w:val="center"/>
          </w:tcPr>
          <w:p w14:paraId="12723D8A" w14:textId="440B8D7C" w:rsidR="000407F1" w:rsidRPr="000B2DDE" w:rsidRDefault="000407F1" w:rsidP="000407F1">
            <w:pPr>
              <w:pStyle w:val="COMTabletext"/>
              <w:jc w:val="center"/>
            </w:pPr>
            <w:r w:rsidRPr="000B2DDE">
              <w:t>-</w:t>
            </w:r>
          </w:p>
        </w:tc>
      </w:tr>
      <w:tr w:rsidR="004A4997" w:rsidRPr="0076762E" w14:paraId="3DB5204C" w14:textId="77777777" w:rsidTr="005F2C5E">
        <w:trPr>
          <w:tblHeader/>
        </w:trPr>
        <w:tc>
          <w:tcPr>
            <w:tcW w:w="1801" w:type="dxa"/>
            <w:shd w:val="clear" w:color="auto" w:fill="auto"/>
            <w:vAlign w:val="center"/>
          </w:tcPr>
          <w:p w14:paraId="094567CD" w14:textId="51B8C519" w:rsidR="004A4997" w:rsidRPr="005A59BE" w:rsidRDefault="004A4997" w:rsidP="004A4997">
            <w:pPr>
              <w:keepNext/>
              <w:jc w:val="left"/>
              <w:rPr>
                <w:rFonts w:ascii="Arial Narrow" w:eastAsiaTheme="majorEastAsia" w:hAnsi="Arial Narrow" w:cstheme="majorBidi"/>
                <w:bCs/>
                <w:sz w:val="20"/>
              </w:rPr>
            </w:pPr>
            <w:r>
              <w:rPr>
                <w:rFonts w:ascii="Arial Narrow" w:eastAsiaTheme="majorEastAsia" w:hAnsi="Arial Narrow" w:cstheme="majorBidi"/>
                <w:bCs/>
                <w:sz w:val="20"/>
              </w:rPr>
              <w:t>- Newly eligible</w:t>
            </w:r>
          </w:p>
        </w:tc>
        <w:tc>
          <w:tcPr>
            <w:tcW w:w="1223" w:type="dxa"/>
            <w:shd w:val="clear" w:color="auto" w:fill="auto"/>
          </w:tcPr>
          <w:p w14:paraId="46ABEB7B" w14:textId="1D5A9165" w:rsidR="004A4997" w:rsidRPr="000B2DDE" w:rsidRDefault="00F111EB" w:rsidP="004A4997">
            <w:pPr>
              <w:pStyle w:val="COMTabletext"/>
              <w:jc w:val="center"/>
              <w:rPr>
                <w:highlight w:val="darkGray"/>
              </w:rPr>
            </w:pPr>
            <w:r w:rsidRPr="00F111EB">
              <w:rPr>
                <w:color w:val="000000"/>
                <w:spacing w:val="55"/>
                <w:shd w:val="solid" w:color="000000" w:fill="000000"/>
                <w:fitText w:val="338" w:id="-761014261"/>
                <w14:textFill>
                  <w14:solidFill>
                    <w14:srgbClr w14:val="000000">
                      <w14:alpha w14:val="100000"/>
                    </w14:srgbClr>
                  </w14:solidFill>
                </w14:textFill>
              </w:rPr>
              <w:t>|||</w:t>
            </w:r>
            <w:r w:rsidRPr="00F111EB">
              <w:rPr>
                <w:color w:val="000000"/>
                <w:spacing w:val="3"/>
                <w:shd w:val="solid" w:color="000000" w:fill="000000"/>
                <w:fitText w:val="338" w:id="-761014261"/>
                <w14:textFill>
                  <w14:solidFill>
                    <w14:srgbClr w14:val="000000">
                      <w14:alpha w14:val="100000"/>
                    </w14:srgbClr>
                  </w14:solidFill>
                </w14:textFill>
              </w:rPr>
              <w:t>|</w:t>
            </w:r>
            <w:r w:rsidR="00F6227F" w:rsidRPr="00F6227F">
              <w:rPr>
                <w:vertAlign w:val="superscript"/>
              </w:rPr>
              <w:t>6</w:t>
            </w:r>
          </w:p>
        </w:tc>
        <w:tc>
          <w:tcPr>
            <w:tcW w:w="1208" w:type="dxa"/>
            <w:shd w:val="clear" w:color="auto" w:fill="auto"/>
          </w:tcPr>
          <w:p w14:paraId="4C759683" w14:textId="7A74EB05"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60"/>
                <w14:textFill>
                  <w14:solidFill>
                    <w14:srgbClr w14:val="000000">
                      <w14:alpha w14:val="100000"/>
                    </w14:srgbClr>
                  </w14:solidFill>
                </w14:textFill>
              </w:rPr>
              <w:t>|||</w:t>
            </w:r>
            <w:r w:rsidRPr="00F111EB">
              <w:rPr>
                <w:color w:val="000000"/>
                <w:spacing w:val="3"/>
                <w:shd w:val="solid" w:color="000000" w:fill="000000"/>
                <w:fitText w:val="326" w:id="-761014260"/>
                <w14:textFill>
                  <w14:solidFill>
                    <w14:srgbClr w14:val="000000">
                      <w14:alpha w14:val="100000"/>
                    </w14:srgbClr>
                  </w14:solidFill>
                </w14:textFill>
              </w:rPr>
              <w:t>|</w:t>
            </w:r>
            <w:r w:rsidR="00F6227F" w:rsidRPr="00F6227F">
              <w:rPr>
                <w:vertAlign w:val="superscript"/>
              </w:rPr>
              <w:t>7</w:t>
            </w:r>
          </w:p>
        </w:tc>
        <w:tc>
          <w:tcPr>
            <w:tcW w:w="1208" w:type="dxa"/>
            <w:shd w:val="clear" w:color="auto" w:fill="auto"/>
          </w:tcPr>
          <w:p w14:paraId="561C0EB5" w14:textId="03EDEF8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259"/>
                <w14:textFill>
                  <w14:solidFill>
                    <w14:srgbClr w14:val="000000">
                      <w14:alpha w14:val="100000"/>
                    </w14:srgbClr>
                  </w14:solidFill>
                </w14:textFill>
              </w:rPr>
              <w:t>|||</w:t>
            </w:r>
            <w:r w:rsidRPr="00F111EB">
              <w:rPr>
                <w:color w:val="000000"/>
                <w:spacing w:val="2"/>
                <w:shd w:val="solid" w:color="000000" w:fill="000000"/>
                <w:fitText w:val="325" w:id="-761014259"/>
                <w14:textFill>
                  <w14:solidFill>
                    <w14:srgbClr w14:val="000000">
                      <w14:alpha w14:val="100000"/>
                    </w14:srgbClr>
                  </w14:solidFill>
                </w14:textFill>
              </w:rPr>
              <w:t>|</w:t>
            </w:r>
            <w:r w:rsidR="00A21AB2" w:rsidRPr="00A21AB2">
              <w:rPr>
                <w:vertAlign w:val="superscript"/>
              </w:rPr>
              <w:t>3</w:t>
            </w:r>
          </w:p>
        </w:tc>
        <w:tc>
          <w:tcPr>
            <w:tcW w:w="1207" w:type="dxa"/>
            <w:shd w:val="clear" w:color="auto" w:fill="auto"/>
          </w:tcPr>
          <w:p w14:paraId="0D6D1DE8" w14:textId="27F8000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258"/>
                <w14:textFill>
                  <w14:solidFill>
                    <w14:srgbClr w14:val="000000">
                      <w14:alpha w14:val="100000"/>
                    </w14:srgbClr>
                  </w14:solidFill>
                </w14:textFill>
              </w:rPr>
              <w:t>|||</w:t>
            </w:r>
            <w:r w:rsidRPr="00F111EB">
              <w:rPr>
                <w:color w:val="000000"/>
                <w:spacing w:val="2"/>
                <w:shd w:val="solid" w:color="000000" w:fill="000000"/>
                <w:fitText w:val="325" w:id="-761014258"/>
                <w14:textFill>
                  <w14:solidFill>
                    <w14:srgbClr w14:val="000000">
                      <w14:alpha w14:val="100000"/>
                    </w14:srgbClr>
                  </w14:solidFill>
                </w14:textFill>
              </w:rPr>
              <w:t>|</w:t>
            </w:r>
            <w:r w:rsidR="00A21AB2" w:rsidRPr="00A21AB2">
              <w:rPr>
                <w:vertAlign w:val="superscript"/>
              </w:rPr>
              <w:t>3</w:t>
            </w:r>
          </w:p>
        </w:tc>
        <w:tc>
          <w:tcPr>
            <w:tcW w:w="1210" w:type="dxa"/>
            <w:shd w:val="clear" w:color="auto" w:fill="auto"/>
          </w:tcPr>
          <w:p w14:paraId="2E211331" w14:textId="488DD954"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57"/>
                <w14:textFill>
                  <w14:solidFill>
                    <w14:srgbClr w14:val="000000">
                      <w14:alpha w14:val="100000"/>
                    </w14:srgbClr>
                  </w14:solidFill>
                </w14:textFill>
              </w:rPr>
              <w:t>|||</w:t>
            </w:r>
            <w:r w:rsidRPr="00F111EB">
              <w:rPr>
                <w:color w:val="000000"/>
                <w:spacing w:val="3"/>
                <w:shd w:val="solid" w:color="000000" w:fill="000000"/>
                <w:fitText w:val="326" w:id="-761014257"/>
                <w14:textFill>
                  <w14:solidFill>
                    <w14:srgbClr w14:val="000000">
                      <w14:alpha w14:val="100000"/>
                    </w14:srgbClr>
                  </w14:solidFill>
                </w14:textFill>
              </w:rPr>
              <w:t>|</w:t>
            </w:r>
            <w:r w:rsidR="002714E7" w:rsidRPr="002714E7">
              <w:rPr>
                <w:vertAlign w:val="superscript"/>
              </w:rPr>
              <w:t>4</w:t>
            </w:r>
          </w:p>
        </w:tc>
        <w:tc>
          <w:tcPr>
            <w:tcW w:w="1210" w:type="dxa"/>
            <w:shd w:val="clear" w:color="auto" w:fill="auto"/>
          </w:tcPr>
          <w:p w14:paraId="45EA0456" w14:textId="0B32CF98" w:rsidR="004A4997" w:rsidRPr="000B2DDE" w:rsidRDefault="00F111EB" w:rsidP="004A4997">
            <w:pPr>
              <w:pStyle w:val="COMTabletext"/>
              <w:jc w:val="center"/>
              <w:rPr>
                <w:highlight w:val="darkGray"/>
              </w:rPr>
            </w:pPr>
            <w:r w:rsidRPr="00F111EB">
              <w:rPr>
                <w:color w:val="000000"/>
                <w:spacing w:val="51"/>
                <w:shd w:val="solid" w:color="000000" w:fill="000000"/>
                <w:fitText w:val="326" w:id="-761014256"/>
                <w14:textFill>
                  <w14:solidFill>
                    <w14:srgbClr w14:val="000000">
                      <w14:alpha w14:val="100000"/>
                    </w14:srgbClr>
                  </w14:solidFill>
                </w14:textFill>
              </w:rPr>
              <w:t>|||</w:t>
            </w:r>
            <w:r w:rsidRPr="00F111EB">
              <w:rPr>
                <w:color w:val="000000"/>
                <w:spacing w:val="3"/>
                <w:shd w:val="solid" w:color="000000" w:fill="000000"/>
                <w:fitText w:val="326" w:id="-761014256"/>
                <w14:textFill>
                  <w14:solidFill>
                    <w14:srgbClr w14:val="000000">
                      <w14:alpha w14:val="100000"/>
                    </w14:srgbClr>
                  </w14:solidFill>
                </w14:textFill>
              </w:rPr>
              <w:t>|</w:t>
            </w:r>
            <w:r w:rsidR="002714E7" w:rsidRPr="002714E7">
              <w:rPr>
                <w:vertAlign w:val="superscript"/>
              </w:rPr>
              <w:t>4</w:t>
            </w:r>
          </w:p>
        </w:tc>
      </w:tr>
      <w:tr w:rsidR="00BE615C" w:rsidRPr="0076762E" w14:paraId="1680C734" w14:textId="77777777" w:rsidTr="005F2C5E">
        <w:trPr>
          <w:tblHeader/>
        </w:trPr>
        <w:tc>
          <w:tcPr>
            <w:tcW w:w="1801" w:type="dxa"/>
            <w:shd w:val="clear" w:color="auto" w:fill="auto"/>
            <w:vAlign w:val="center"/>
          </w:tcPr>
          <w:p w14:paraId="6B5BEE5F" w14:textId="386E38D5" w:rsidR="00BE615C" w:rsidRPr="005A59BE" w:rsidRDefault="00BE615C" w:rsidP="00BE615C">
            <w:pPr>
              <w:keepNext/>
              <w:jc w:val="left"/>
              <w:rPr>
                <w:rFonts w:ascii="Arial Narrow" w:eastAsiaTheme="majorEastAsia" w:hAnsi="Arial Narrow" w:cstheme="majorBidi"/>
                <w:bCs/>
                <w:sz w:val="20"/>
              </w:rPr>
            </w:pPr>
            <w:r>
              <w:rPr>
                <w:rFonts w:ascii="Arial Narrow" w:eastAsiaTheme="majorEastAsia" w:hAnsi="Arial Narrow" w:cstheme="majorBidi"/>
                <w:bCs/>
                <w:sz w:val="20"/>
              </w:rPr>
              <w:t>Continuing patients</w:t>
            </w:r>
          </w:p>
        </w:tc>
        <w:tc>
          <w:tcPr>
            <w:tcW w:w="1223" w:type="dxa"/>
            <w:shd w:val="clear" w:color="auto" w:fill="auto"/>
            <w:vAlign w:val="center"/>
          </w:tcPr>
          <w:p w14:paraId="40D4A0CE" w14:textId="74737109" w:rsidR="00BE615C" w:rsidRPr="00D30ED6" w:rsidRDefault="00BE615C" w:rsidP="00BE615C">
            <w:pPr>
              <w:pStyle w:val="COMTabletext"/>
              <w:jc w:val="center"/>
            </w:pPr>
            <w:r>
              <w:t>-</w:t>
            </w:r>
          </w:p>
        </w:tc>
        <w:tc>
          <w:tcPr>
            <w:tcW w:w="1208" w:type="dxa"/>
            <w:shd w:val="clear" w:color="auto" w:fill="auto"/>
          </w:tcPr>
          <w:p w14:paraId="3829E710" w14:textId="03C0364D"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72"/>
                <w14:textFill>
                  <w14:solidFill>
                    <w14:srgbClr w14:val="000000">
                      <w14:alpha w14:val="100000"/>
                    </w14:srgbClr>
                  </w14:solidFill>
                </w14:textFill>
              </w:rPr>
              <w:t>|||</w:t>
            </w:r>
            <w:r w:rsidRPr="00F111EB">
              <w:rPr>
                <w:color w:val="000000"/>
                <w:spacing w:val="3"/>
                <w:shd w:val="solid" w:color="000000" w:fill="000000"/>
                <w:fitText w:val="326" w:id="-761014272"/>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3A921DB1" w14:textId="7FF62B0A" w:rsidR="00BE615C" w:rsidRPr="000B2DDE" w:rsidRDefault="00F111EB" w:rsidP="00BE615C">
            <w:pPr>
              <w:pStyle w:val="COMTabletext"/>
              <w:jc w:val="center"/>
              <w:rPr>
                <w:highlight w:val="darkGray"/>
              </w:rPr>
            </w:pPr>
            <w:r w:rsidRPr="00F111EB">
              <w:rPr>
                <w:color w:val="000000"/>
                <w:spacing w:val="51"/>
                <w:shd w:val="solid" w:color="000000" w:fill="000000"/>
                <w:fitText w:val="325" w:id="-761014271"/>
                <w14:textFill>
                  <w14:solidFill>
                    <w14:srgbClr w14:val="000000">
                      <w14:alpha w14:val="100000"/>
                    </w14:srgbClr>
                  </w14:solidFill>
                </w14:textFill>
              </w:rPr>
              <w:t>|||</w:t>
            </w:r>
            <w:r w:rsidRPr="00F111EB">
              <w:rPr>
                <w:color w:val="000000"/>
                <w:spacing w:val="2"/>
                <w:shd w:val="solid" w:color="000000" w:fill="000000"/>
                <w:fitText w:val="325" w:id="-761014271"/>
                <w14:textFill>
                  <w14:solidFill>
                    <w14:srgbClr w14:val="000000">
                      <w14:alpha w14:val="100000"/>
                    </w14:srgbClr>
                  </w14:solidFill>
                </w14:textFill>
              </w:rPr>
              <w:t>|</w:t>
            </w:r>
            <w:r w:rsidR="00105FAE" w:rsidRPr="00105FAE">
              <w:rPr>
                <w:vertAlign w:val="superscript"/>
              </w:rPr>
              <w:t>8</w:t>
            </w:r>
          </w:p>
        </w:tc>
        <w:tc>
          <w:tcPr>
            <w:tcW w:w="1207" w:type="dxa"/>
            <w:shd w:val="clear" w:color="auto" w:fill="auto"/>
          </w:tcPr>
          <w:p w14:paraId="1289D0B7" w14:textId="68CEAF75" w:rsidR="00BE615C" w:rsidRPr="000B2DDE" w:rsidRDefault="00F111EB" w:rsidP="00BE615C">
            <w:pPr>
              <w:pStyle w:val="COMTabletext"/>
              <w:jc w:val="center"/>
              <w:rPr>
                <w:highlight w:val="darkGray"/>
              </w:rPr>
            </w:pPr>
            <w:r w:rsidRPr="00F111EB">
              <w:rPr>
                <w:color w:val="000000"/>
                <w:spacing w:val="51"/>
                <w:shd w:val="solid" w:color="000000" w:fill="000000"/>
                <w:fitText w:val="325" w:id="-761014270"/>
                <w14:textFill>
                  <w14:solidFill>
                    <w14:srgbClr w14:val="000000">
                      <w14:alpha w14:val="100000"/>
                    </w14:srgbClr>
                  </w14:solidFill>
                </w14:textFill>
              </w:rPr>
              <w:t>|||</w:t>
            </w:r>
            <w:r w:rsidRPr="00F111EB">
              <w:rPr>
                <w:color w:val="000000"/>
                <w:spacing w:val="2"/>
                <w:shd w:val="solid" w:color="000000" w:fill="000000"/>
                <w:fitText w:val="325" w:id="-761014270"/>
                <w14:textFill>
                  <w14:solidFill>
                    <w14:srgbClr w14:val="000000">
                      <w14:alpha w14:val="100000"/>
                    </w14:srgbClr>
                  </w14:solidFill>
                </w14:textFill>
              </w:rPr>
              <w:t>|</w:t>
            </w:r>
            <w:r w:rsidR="00964206" w:rsidRPr="00996B4E">
              <w:rPr>
                <w:vertAlign w:val="superscript"/>
              </w:rPr>
              <w:t>9</w:t>
            </w:r>
          </w:p>
        </w:tc>
        <w:tc>
          <w:tcPr>
            <w:tcW w:w="1210" w:type="dxa"/>
            <w:shd w:val="clear" w:color="auto" w:fill="auto"/>
          </w:tcPr>
          <w:p w14:paraId="4C18C5E9" w14:textId="50765086"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69"/>
                <w14:textFill>
                  <w14:solidFill>
                    <w14:srgbClr w14:val="000000">
                      <w14:alpha w14:val="100000"/>
                    </w14:srgbClr>
                  </w14:solidFill>
                </w14:textFill>
              </w:rPr>
              <w:t>|||</w:t>
            </w:r>
            <w:r w:rsidRPr="00F111EB">
              <w:rPr>
                <w:color w:val="000000"/>
                <w:spacing w:val="3"/>
                <w:shd w:val="solid" w:color="000000" w:fill="000000"/>
                <w:fitText w:val="326" w:id="-761014269"/>
                <w14:textFill>
                  <w14:solidFill>
                    <w14:srgbClr w14:val="000000">
                      <w14:alpha w14:val="100000"/>
                    </w14:srgbClr>
                  </w14:solidFill>
                </w14:textFill>
              </w:rPr>
              <w:t>|</w:t>
            </w:r>
            <w:r w:rsidR="00964206" w:rsidRPr="00996B4E">
              <w:rPr>
                <w:vertAlign w:val="superscript"/>
              </w:rPr>
              <w:t>9</w:t>
            </w:r>
          </w:p>
        </w:tc>
        <w:tc>
          <w:tcPr>
            <w:tcW w:w="1210" w:type="dxa"/>
            <w:shd w:val="clear" w:color="auto" w:fill="auto"/>
          </w:tcPr>
          <w:p w14:paraId="6D6D55C8" w14:textId="68C0B38A" w:rsidR="00BE615C" w:rsidRPr="000B2DDE" w:rsidRDefault="00F111EB" w:rsidP="00BE615C">
            <w:pPr>
              <w:pStyle w:val="COMTabletext"/>
              <w:jc w:val="center"/>
              <w:rPr>
                <w:highlight w:val="darkGray"/>
              </w:rPr>
            </w:pPr>
            <w:r w:rsidRPr="00F111EB">
              <w:rPr>
                <w:color w:val="000000"/>
                <w:spacing w:val="51"/>
                <w:shd w:val="solid" w:color="000000" w:fill="000000"/>
                <w:fitText w:val="326" w:id="-761014268"/>
                <w14:textFill>
                  <w14:solidFill>
                    <w14:srgbClr w14:val="000000">
                      <w14:alpha w14:val="100000"/>
                    </w14:srgbClr>
                  </w14:solidFill>
                </w14:textFill>
              </w:rPr>
              <w:t>|||</w:t>
            </w:r>
            <w:r w:rsidRPr="00F111EB">
              <w:rPr>
                <w:color w:val="000000"/>
                <w:spacing w:val="3"/>
                <w:shd w:val="solid" w:color="000000" w:fill="000000"/>
                <w:fitText w:val="326" w:id="-761014268"/>
                <w14:textFill>
                  <w14:solidFill>
                    <w14:srgbClr w14:val="000000">
                      <w14:alpha w14:val="100000"/>
                    </w14:srgbClr>
                  </w14:solidFill>
                </w14:textFill>
              </w:rPr>
              <w:t>|</w:t>
            </w:r>
            <w:r w:rsidR="00964206" w:rsidRPr="00996B4E">
              <w:rPr>
                <w:vertAlign w:val="superscript"/>
              </w:rPr>
              <w:t>9</w:t>
            </w:r>
          </w:p>
        </w:tc>
      </w:tr>
      <w:tr w:rsidR="004A4997" w:rsidRPr="0076762E" w14:paraId="449ADA9A" w14:textId="77777777" w:rsidTr="005F2C5E">
        <w:trPr>
          <w:tblHeader/>
        </w:trPr>
        <w:tc>
          <w:tcPr>
            <w:tcW w:w="1801" w:type="dxa"/>
            <w:shd w:val="clear" w:color="auto" w:fill="auto"/>
            <w:vAlign w:val="center"/>
          </w:tcPr>
          <w:p w14:paraId="7D25B677" w14:textId="77871AAB" w:rsidR="004A4997" w:rsidRPr="005A59BE" w:rsidRDefault="004A4997" w:rsidP="004A4997">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2AD5F023" w14:textId="5212D21E" w:rsidR="004A4997" w:rsidRPr="00D30ED6" w:rsidRDefault="00F111EB" w:rsidP="004A4997">
            <w:pPr>
              <w:pStyle w:val="COMTabletext"/>
              <w:jc w:val="center"/>
            </w:pPr>
            <w:r w:rsidRPr="00F111EB">
              <w:rPr>
                <w:color w:val="000000"/>
                <w:spacing w:val="55"/>
                <w:shd w:val="solid" w:color="000000" w:fill="000000"/>
                <w:fitText w:val="338" w:id="-761014016"/>
                <w14:textFill>
                  <w14:solidFill>
                    <w14:srgbClr w14:val="000000">
                      <w14:alpha w14:val="100000"/>
                    </w14:srgbClr>
                  </w14:solidFill>
                </w14:textFill>
              </w:rPr>
              <w:t>|||</w:t>
            </w:r>
            <w:r w:rsidRPr="00F111EB">
              <w:rPr>
                <w:color w:val="000000"/>
                <w:spacing w:val="3"/>
                <w:shd w:val="solid" w:color="000000" w:fill="000000"/>
                <w:fitText w:val="338" w:id="-761014016"/>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6C6A40C2" w14:textId="40BD8450"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5"/>
                <w14:textFill>
                  <w14:solidFill>
                    <w14:srgbClr w14:val="000000">
                      <w14:alpha w14:val="100000"/>
                    </w14:srgbClr>
                  </w14:solidFill>
                </w14:textFill>
              </w:rPr>
              <w:t>|||</w:t>
            </w:r>
            <w:r w:rsidRPr="00F111EB">
              <w:rPr>
                <w:color w:val="000000"/>
                <w:spacing w:val="3"/>
                <w:shd w:val="solid" w:color="000000" w:fill="000000"/>
                <w:fitText w:val="326" w:id="-761014015"/>
                <w14:textFill>
                  <w14:solidFill>
                    <w14:srgbClr w14:val="000000">
                      <w14:alpha w14:val="100000"/>
                    </w14:srgbClr>
                  </w14:solidFill>
                </w14:textFill>
              </w:rPr>
              <w:t>|</w:t>
            </w:r>
            <w:r w:rsidR="00D6513E" w:rsidRPr="00105FAE">
              <w:rPr>
                <w:vertAlign w:val="superscript"/>
              </w:rPr>
              <w:t>8</w:t>
            </w:r>
          </w:p>
        </w:tc>
        <w:tc>
          <w:tcPr>
            <w:tcW w:w="1208" w:type="dxa"/>
            <w:shd w:val="clear" w:color="auto" w:fill="auto"/>
          </w:tcPr>
          <w:p w14:paraId="43434EB5" w14:textId="4AF070DC" w:rsidR="004A4997" w:rsidRPr="000B2DDE" w:rsidRDefault="00F111EB" w:rsidP="004A4997">
            <w:pPr>
              <w:pStyle w:val="COMTabletext"/>
              <w:jc w:val="center"/>
              <w:rPr>
                <w:highlight w:val="darkGray"/>
              </w:rPr>
            </w:pPr>
            <w:r w:rsidRPr="00F111EB">
              <w:rPr>
                <w:color w:val="000000"/>
                <w:spacing w:val="51"/>
                <w:shd w:val="solid" w:color="000000" w:fill="000000"/>
                <w:fitText w:val="325" w:id="-761014014"/>
                <w14:textFill>
                  <w14:solidFill>
                    <w14:srgbClr w14:val="000000">
                      <w14:alpha w14:val="100000"/>
                    </w14:srgbClr>
                  </w14:solidFill>
                </w14:textFill>
              </w:rPr>
              <w:t>|||</w:t>
            </w:r>
            <w:r w:rsidRPr="00F111EB">
              <w:rPr>
                <w:color w:val="000000"/>
                <w:spacing w:val="2"/>
                <w:shd w:val="solid" w:color="000000" w:fill="000000"/>
                <w:fitText w:val="325" w:id="-761014014"/>
                <w14:textFill>
                  <w14:solidFill>
                    <w14:srgbClr w14:val="000000">
                      <w14:alpha w14:val="100000"/>
                    </w14:srgbClr>
                  </w14:solidFill>
                </w14:textFill>
              </w:rPr>
              <w:t>|</w:t>
            </w:r>
            <w:r w:rsidR="00996B4E" w:rsidRPr="00996B4E">
              <w:rPr>
                <w:vertAlign w:val="superscript"/>
              </w:rPr>
              <w:t>9</w:t>
            </w:r>
          </w:p>
        </w:tc>
        <w:tc>
          <w:tcPr>
            <w:tcW w:w="1207" w:type="dxa"/>
            <w:shd w:val="clear" w:color="auto" w:fill="auto"/>
          </w:tcPr>
          <w:p w14:paraId="082F55E4" w14:textId="34699B7B" w:rsidR="004A4997" w:rsidRPr="000B2DDE" w:rsidRDefault="00F111EB" w:rsidP="004A4997">
            <w:pPr>
              <w:pStyle w:val="COMTabletext"/>
              <w:jc w:val="center"/>
              <w:rPr>
                <w:highlight w:val="darkGray"/>
              </w:rPr>
            </w:pPr>
            <w:r w:rsidRPr="00F111EB">
              <w:rPr>
                <w:color w:val="000000"/>
                <w:spacing w:val="51"/>
                <w:shd w:val="solid" w:color="000000" w:fill="000000"/>
                <w:fitText w:val="325" w:id="-761014013"/>
                <w14:textFill>
                  <w14:solidFill>
                    <w14:srgbClr w14:val="000000">
                      <w14:alpha w14:val="100000"/>
                    </w14:srgbClr>
                  </w14:solidFill>
                </w14:textFill>
              </w:rPr>
              <w:t>|||</w:t>
            </w:r>
            <w:r w:rsidRPr="00F111EB">
              <w:rPr>
                <w:color w:val="000000"/>
                <w:spacing w:val="2"/>
                <w:shd w:val="solid" w:color="000000" w:fill="000000"/>
                <w:fitText w:val="325" w:id="-761014013"/>
                <w14:textFill>
                  <w14:solidFill>
                    <w14:srgbClr w14:val="000000">
                      <w14:alpha w14:val="100000"/>
                    </w14:srgbClr>
                  </w14:solidFill>
                </w14:textFill>
              </w:rPr>
              <w:t>|</w:t>
            </w:r>
            <w:r w:rsidR="00996B4E" w:rsidRPr="00996B4E">
              <w:rPr>
                <w:vertAlign w:val="superscript"/>
              </w:rPr>
              <w:t>9</w:t>
            </w:r>
          </w:p>
        </w:tc>
        <w:tc>
          <w:tcPr>
            <w:tcW w:w="1210" w:type="dxa"/>
            <w:shd w:val="clear" w:color="auto" w:fill="auto"/>
          </w:tcPr>
          <w:p w14:paraId="1AFEC108" w14:textId="4CA19334"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3A400209" w14:textId="31B7A27F" w:rsidR="004A4997" w:rsidRPr="000B2DDE" w:rsidRDefault="00F111EB" w:rsidP="004A4997">
            <w:pPr>
              <w:pStyle w:val="COMTabletext"/>
              <w:jc w:val="center"/>
              <w:rPr>
                <w:highlight w:val="darkGray"/>
              </w:rPr>
            </w:pPr>
            <w:r w:rsidRPr="00F111EB">
              <w:rPr>
                <w:color w:val="000000"/>
                <w:spacing w:val="51"/>
                <w:shd w:val="solid" w:color="000000" w:fill="000000"/>
                <w:fitText w:val="326" w:id="-761014011"/>
                <w14:textFill>
                  <w14:solidFill>
                    <w14:srgbClr w14:val="000000">
                      <w14:alpha w14:val="100000"/>
                    </w14:srgbClr>
                  </w14:solidFill>
                </w14:textFill>
              </w:rPr>
              <w:t>|||</w:t>
            </w:r>
            <w:r w:rsidRPr="00F111EB">
              <w:rPr>
                <w:color w:val="000000"/>
                <w:spacing w:val="3"/>
                <w:shd w:val="solid" w:color="000000" w:fill="000000"/>
                <w:fitText w:val="326" w:id="-761014011"/>
                <w14:textFill>
                  <w14:solidFill>
                    <w14:srgbClr w14:val="000000">
                      <w14:alpha w14:val="100000"/>
                    </w14:srgbClr>
                  </w14:solidFill>
                </w14:textFill>
              </w:rPr>
              <w:t>|</w:t>
            </w:r>
            <w:r w:rsidR="00996B4E" w:rsidRPr="00996B4E">
              <w:rPr>
                <w:vertAlign w:val="superscript"/>
              </w:rPr>
              <w:t>10</w:t>
            </w:r>
          </w:p>
        </w:tc>
      </w:tr>
      <w:tr w:rsidR="003F7E36" w:rsidRPr="003F7E36" w14:paraId="0C97E4AD" w14:textId="77777777">
        <w:trPr>
          <w:tblHeader/>
        </w:trPr>
        <w:tc>
          <w:tcPr>
            <w:tcW w:w="9067" w:type="dxa"/>
            <w:gridSpan w:val="7"/>
            <w:shd w:val="clear" w:color="auto" w:fill="auto"/>
            <w:vAlign w:val="center"/>
          </w:tcPr>
          <w:p w14:paraId="696CC394" w14:textId="1546ADF4" w:rsidR="003F7E36" w:rsidRPr="003F7E36" w:rsidRDefault="003F7E36" w:rsidP="003F7E36">
            <w:pPr>
              <w:pStyle w:val="COMTableheadingrow"/>
              <w:rPr>
                <w:lang w:val="en-AU"/>
              </w:rPr>
            </w:pPr>
            <w:r w:rsidRPr="003F7E36">
              <w:rPr>
                <w:lang w:val="en-AU"/>
              </w:rPr>
              <w:t>Aboriginal and Torres Strait Islander peoples with BMI &lt;35 kg/m</w:t>
            </w:r>
            <w:r w:rsidRPr="003F7E36">
              <w:rPr>
                <w:vertAlign w:val="superscript"/>
                <w:lang w:val="en-AU"/>
              </w:rPr>
              <w:t>2</w:t>
            </w:r>
          </w:p>
        </w:tc>
      </w:tr>
      <w:tr w:rsidR="00C27E3A" w:rsidRPr="0076762E" w14:paraId="13A2EBBC" w14:textId="77777777" w:rsidTr="005F2C5E">
        <w:trPr>
          <w:tblHeader/>
        </w:trPr>
        <w:tc>
          <w:tcPr>
            <w:tcW w:w="1801" w:type="dxa"/>
            <w:shd w:val="clear" w:color="auto" w:fill="auto"/>
            <w:vAlign w:val="center"/>
          </w:tcPr>
          <w:p w14:paraId="6DC069A2" w14:textId="40F6C551" w:rsidR="00C27E3A" w:rsidRPr="005A59BE" w:rsidRDefault="00C27E3A" w:rsidP="00C27E3A">
            <w:pPr>
              <w:keepNext/>
              <w:jc w:val="left"/>
              <w:rPr>
                <w:rFonts w:ascii="Arial Narrow" w:eastAsiaTheme="majorEastAsia" w:hAnsi="Arial Narrow" w:cstheme="majorBidi"/>
                <w:bCs/>
                <w:sz w:val="20"/>
              </w:rPr>
            </w:pPr>
            <w:r>
              <w:rPr>
                <w:rFonts w:ascii="Arial Narrow" w:eastAsiaTheme="majorEastAsia" w:hAnsi="Arial Narrow" w:cstheme="majorBidi"/>
                <w:bCs/>
                <w:sz w:val="20"/>
              </w:rPr>
              <w:t>Initiating patients</w:t>
            </w:r>
          </w:p>
        </w:tc>
        <w:tc>
          <w:tcPr>
            <w:tcW w:w="1223" w:type="dxa"/>
            <w:shd w:val="clear" w:color="auto" w:fill="auto"/>
          </w:tcPr>
          <w:p w14:paraId="09A15188" w14:textId="23A8438B"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8765C6" w:rsidRPr="008765C6">
              <w:rPr>
                <w:vertAlign w:val="superscript"/>
              </w:rPr>
              <w:t>11</w:t>
            </w:r>
          </w:p>
        </w:tc>
        <w:tc>
          <w:tcPr>
            <w:tcW w:w="1208" w:type="dxa"/>
            <w:shd w:val="clear" w:color="auto" w:fill="auto"/>
          </w:tcPr>
          <w:p w14:paraId="0CC1949E" w14:textId="7783DA5A"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796F2C70" w14:textId="422E50AC"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725238" w:rsidRPr="00725238">
              <w:rPr>
                <w:vertAlign w:val="superscript"/>
              </w:rPr>
              <w:t>12</w:t>
            </w:r>
          </w:p>
        </w:tc>
        <w:tc>
          <w:tcPr>
            <w:tcW w:w="1207" w:type="dxa"/>
            <w:shd w:val="clear" w:color="auto" w:fill="auto"/>
          </w:tcPr>
          <w:p w14:paraId="3908C9FC" w14:textId="7F42BD71" w:rsidR="00C27E3A" w:rsidRPr="000B2DDE" w:rsidRDefault="00F111EB" w:rsidP="00C27E3A">
            <w:pPr>
              <w:pStyle w:val="COMTabletext"/>
              <w:jc w:val="center"/>
              <w:rPr>
                <w:highlight w:val="darkGray"/>
              </w:rP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C30999" w:rsidRPr="00725238">
              <w:rPr>
                <w:vertAlign w:val="superscript"/>
              </w:rPr>
              <w:t>12</w:t>
            </w:r>
          </w:p>
        </w:tc>
        <w:tc>
          <w:tcPr>
            <w:tcW w:w="1210" w:type="dxa"/>
            <w:shd w:val="clear" w:color="auto" w:fill="auto"/>
          </w:tcPr>
          <w:p w14:paraId="2139A7C8" w14:textId="1C06BC61"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C30999" w:rsidRPr="00725238">
              <w:rPr>
                <w:vertAlign w:val="superscript"/>
              </w:rPr>
              <w:t>12</w:t>
            </w:r>
          </w:p>
        </w:tc>
        <w:tc>
          <w:tcPr>
            <w:tcW w:w="1210" w:type="dxa"/>
            <w:shd w:val="clear" w:color="auto" w:fill="auto"/>
          </w:tcPr>
          <w:p w14:paraId="3BE67853" w14:textId="689C6A56" w:rsidR="00C27E3A" w:rsidRPr="000B2DDE" w:rsidRDefault="00F111EB" w:rsidP="00C27E3A">
            <w:pPr>
              <w:pStyle w:val="COMTabletext"/>
              <w:jc w:val="center"/>
              <w:rPr>
                <w:highlight w:val="darkGray"/>
              </w:rPr>
            </w:pPr>
            <w:r w:rsidRPr="00F111EB">
              <w:rPr>
                <w:color w:val="000000"/>
                <w:spacing w:val="51"/>
                <w:shd w:val="solid" w:color="000000" w:fill="000000"/>
                <w:fitText w:val="326" w:id="-761014005"/>
                <w14:textFill>
                  <w14:solidFill>
                    <w14:srgbClr w14:val="000000">
                      <w14:alpha w14:val="100000"/>
                    </w14:srgbClr>
                  </w14:solidFill>
                </w14:textFill>
              </w:rPr>
              <w:t>|||</w:t>
            </w:r>
            <w:r w:rsidRPr="00F111EB">
              <w:rPr>
                <w:color w:val="000000"/>
                <w:spacing w:val="3"/>
                <w:shd w:val="solid" w:color="000000" w:fill="000000"/>
                <w:fitText w:val="326" w:id="-761014005"/>
                <w14:textFill>
                  <w14:solidFill>
                    <w14:srgbClr w14:val="000000">
                      <w14:alpha w14:val="100000"/>
                    </w14:srgbClr>
                  </w14:solidFill>
                </w14:textFill>
              </w:rPr>
              <w:t>|</w:t>
            </w:r>
            <w:r w:rsidR="00C30999" w:rsidRPr="00725238">
              <w:rPr>
                <w:vertAlign w:val="superscript"/>
              </w:rPr>
              <w:t>12</w:t>
            </w:r>
          </w:p>
        </w:tc>
      </w:tr>
      <w:tr w:rsidR="0051635B" w:rsidRPr="0076762E" w14:paraId="196EE426" w14:textId="77777777" w:rsidTr="005F2C5E">
        <w:trPr>
          <w:tblHeader/>
        </w:trPr>
        <w:tc>
          <w:tcPr>
            <w:tcW w:w="1801" w:type="dxa"/>
            <w:shd w:val="clear" w:color="auto" w:fill="auto"/>
            <w:vAlign w:val="center"/>
          </w:tcPr>
          <w:p w14:paraId="4C1FDE85" w14:textId="55FC924F" w:rsidR="0051635B" w:rsidRPr="005A59BE" w:rsidRDefault="0051635B" w:rsidP="0051635B">
            <w:pPr>
              <w:keepNext/>
              <w:jc w:val="left"/>
              <w:rPr>
                <w:rFonts w:ascii="Arial Narrow" w:eastAsiaTheme="majorEastAsia" w:hAnsi="Arial Narrow" w:cstheme="majorBidi"/>
                <w:bCs/>
                <w:sz w:val="20"/>
              </w:rPr>
            </w:pPr>
            <w:r>
              <w:rPr>
                <w:rFonts w:ascii="Arial Narrow" w:eastAsiaTheme="majorEastAsia" w:hAnsi="Arial Narrow" w:cstheme="majorBidi"/>
                <w:bCs/>
                <w:sz w:val="20"/>
              </w:rPr>
              <w:t>- Established eligible</w:t>
            </w:r>
          </w:p>
        </w:tc>
        <w:tc>
          <w:tcPr>
            <w:tcW w:w="1223" w:type="dxa"/>
            <w:shd w:val="clear" w:color="auto" w:fill="auto"/>
          </w:tcPr>
          <w:p w14:paraId="7DA87F03" w14:textId="616D9A64"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441D891B" w14:textId="5D2DE11F"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C30999" w:rsidRPr="00C30999">
              <w:rPr>
                <w:vertAlign w:val="superscript"/>
              </w:rPr>
              <w:t>13</w:t>
            </w:r>
          </w:p>
        </w:tc>
        <w:tc>
          <w:tcPr>
            <w:tcW w:w="1208" w:type="dxa"/>
            <w:shd w:val="clear" w:color="auto" w:fill="auto"/>
          </w:tcPr>
          <w:p w14:paraId="3C21A3C1" w14:textId="0EA06161"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C30999" w:rsidRPr="00725238">
              <w:rPr>
                <w:vertAlign w:val="superscript"/>
              </w:rPr>
              <w:t>12</w:t>
            </w:r>
          </w:p>
        </w:tc>
        <w:tc>
          <w:tcPr>
            <w:tcW w:w="1207" w:type="dxa"/>
            <w:shd w:val="clear" w:color="auto" w:fill="auto"/>
            <w:vAlign w:val="center"/>
          </w:tcPr>
          <w:p w14:paraId="7193FFDF" w14:textId="206752D3" w:rsidR="0051635B" w:rsidRPr="00D30ED6" w:rsidRDefault="0051635B" w:rsidP="0051635B">
            <w:pPr>
              <w:pStyle w:val="COMTabletext"/>
              <w:jc w:val="center"/>
            </w:pPr>
            <w:r>
              <w:t>-</w:t>
            </w:r>
          </w:p>
        </w:tc>
        <w:tc>
          <w:tcPr>
            <w:tcW w:w="1210" w:type="dxa"/>
            <w:shd w:val="clear" w:color="auto" w:fill="auto"/>
            <w:vAlign w:val="center"/>
          </w:tcPr>
          <w:p w14:paraId="55CC0945" w14:textId="2AE5A04D" w:rsidR="0051635B" w:rsidRPr="00D30ED6" w:rsidRDefault="0051635B" w:rsidP="0051635B">
            <w:pPr>
              <w:pStyle w:val="COMTabletext"/>
              <w:jc w:val="center"/>
            </w:pPr>
            <w:r>
              <w:t>-</w:t>
            </w:r>
          </w:p>
        </w:tc>
        <w:tc>
          <w:tcPr>
            <w:tcW w:w="1210" w:type="dxa"/>
            <w:shd w:val="clear" w:color="auto" w:fill="auto"/>
            <w:vAlign w:val="center"/>
          </w:tcPr>
          <w:p w14:paraId="0F8C6E44" w14:textId="4BA06586" w:rsidR="0051635B" w:rsidRPr="00D30ED6" w:rsidRDefault="0051635B" w:rsidP="0051635B">
            <w:pPr>
              <w:pStyle w:val="COMTabletext"/>
              <w:jc w:val="center"/>
            </w:pPr>
            <w:r>
              <w:t>-</w:t>
            </w:r>
          </w:p>
        </w:tc>
      </w:tr>
      <w:tr w:rsidR="0051635B" w:rsidRPr="0076762E" w14:paraId="55A75BF8" w14:textId="77777777" w:rsidTr="005F2C5E">
        <w:trPr>
          <w:tblHeader/>
        </w:trPr>
        <w:tc>
          <w:tcPr>
            <w:tcW w:w="1801" w:type="dxa"/>
            <w:shd w:val="clear" w:color="auto" w:fill="auto"/>
            <w:vAlign w:val="center"/>
          </w:tcPr>
          <w:p w14:paraId="222F1A99" w14:textId="5585D164" w:rsidR="0051635B" w:rsidRPr="005A59BE" w:rsidRDefault="0051635B" w:rsidP="0051635B">
            <w:pPr>
              <w:keepNext/>
              <w:jc w:val="left"/>
              <w:rPr>
                <w:rFonts w:ascii="Arial Narrow" w:eastAsiaTheme="majorEastAsia" w:hAnsi="Arial Narrow" w:cstheme="majorBidi"/>
                <w:bCs/>
                <w:sz w:val="20"/>
              </w:rPr>
            </w:pPr>
            <w:r>
              <w:rPr>
                <w:rFonts w:ascii="Arial Narrow" w:eastAsiaTheme="majorEastAsia" w:hAnsi="Arial Narrow" w:cstheme="majorBidi"/>
                <w:bCs/>
                <w:sz w:val="20"/>
              </w:rPr>
              <w:t>- Newly eligible</w:t>
            </w:r>
          </w:p>
        </w:tc>
        <w:tc>
          <w:tcPr>
            <w:tcW w:w="1223" w:type="dxa"/>
            <w:shd w:val="clear" w:color="auto" w:fill="auto"/>
          </w:tcPr>
          <w:p w14:paraId="041C1695" w14:textId="31B3BE1F"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01"/>
                <w14:textFill>
                  <w14:solidFill>
                    <w14:srgbClr w14:val="000000">
                      <w14:alpha w14:val="100000"/>
                    </w14:srgbClr>
                  </w14:solidFill>
                </w14:textFill>
              </w:rPr>
              <w:t>|||</w:t>
            </w:r>
            <w:r w:rsidRPr="00F111EB">
              <w:rPr>
                <w:color w:val="000000"/>
                <w:spacing w:val="2"/>
                <w:shd w:val="solid" w:color="000000" w:fill="000000"/>
                <w:fitText w:val="325" w:id="-761014001"/>
                <w14:textFill>
                  <w14:solidFill>
                    <w14:srgbClr w14:val="000000">
                      <w14:alpha w14:val="100000"/>
                    </w14:srgbClr>
                  </w14:solidFill>
                </w14:textFill>
              </w:rPr>
              <w:t>|</w:t>
            </w:r>
            <w:r w:rsidR="00C30999" w:rsidRPr="00725238">
              <w:rPr>
                <w:vertAlign w:val="superscript"/>
              </w:rPr>
              <w:t>12</w:t>
            </w:r>
          </w:p>
        </w:tc>
        <w:tc>
          <w:tcPr>
            <w:tcW w:w="1208" w:type="dxa"/>
            <w:shd w:val="clear" w:color="auto" w:fill="auto"/>
          </w:tcPr>
          <w:p w14:paraId="449B120B" w14:textId="695BBDA5"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C30999" w:rsidRPr="00725238">
              <w:rPr>
                <w:vertAlign w:val="superscript"/>
              </w:rPr>
              <w:t>12</w:t>
            </w:r>
          </w:p>
        </w:tc>
        <w:tc>
          <w:tcPr>
            <w:tcW w:w="1208" w:type="dxa"/>
            <w:shd w:val="clear" w:color="auto" w:fill="auto"/>
          </w:tcPr>
          <w:p w14:paraId="0C100784" w14:textId="49AB4933"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C30999" w:rsidRPr="00725238">
              <w:rPr>
                <w:vertAlign w:val="superscript"/>
              </w:rPr>
              <w:t>12</w:t>
            </w:r>
          </w:p>
        </w:tc>
        <w:tc>
          <w:tcPr>
            <w:tcW w:w="1207" w:type="dxa"/>
            <w:shd w:val="clear" w:color="auto" w:fill="auto"/>
          </w:tcPr>
          <w:p w14:paraId="5DFD0C6C" w14:textId="63EAABC4" w:rsidR="0051635B" w:rsidRPr="000B2DDE" w:rsidRDefault="00F111EB" w:rsidP="0051635B">
            <w:pPr>
              <w:pStyle w:val="COMTabletext"/>
              <w:jc w:val="center"/>
              <w:rPr>
                <w:highlight w:val="darkGray"/>
              </w:rPr>
            </w:pPr>
            <w:r w:rsidRPr="00F111EB">
              <w:rPr>
                <w:color w:val="000000"/>
                <w:spacing w:val="51"/>
                <w:shd w:val="solid" w:color="000000" w:fill="000000"/>
                <w:fitText w:val="325" w:id="-761014015"/>
                <w14:textFill>
                  <w14:solidFill>
                    <w14:srgbClr w14:val="000000">
                      <w14:alpha w14:val="100000"/>
                    </w14:srgbClr>
                  </w14:solidFill>
                </w14:textFill>
              </w:rPr>
              <w:t>|||</w:t>
            </w:r>
            <w:r w:rsidRPr="00F111EB">
              <w:rPr>
                <w:color w:val="000000"/>
                <w:spacing w:val="2"/>
                <w:shd w:val="solid" w:color="000000" w:fill="000000"/>
                <w:fitText w:val="325" w:id="-761014015"/>
                <w14:textFill>
                  <w14:solidFill>
                    <w14:srgbClr w14:val="000000">
                      <w14:alpha w14:val="100000"/>
                    </w14:srgbClr>
                  </w14:solidFill>
                </w14:textFill>
              </w:rPr>
              <w:t>|</w:t>
            </w:r>
            <w:r w:rsidR="00964206" w:rsidRPr="00725238">
              <w:rPr>
                <w:vertAlign w:val="superscript"/>
              </w:rPr>
              <w:t>12</w:t>
            </w:r>
          </w:p>
        </w:tc>
        <w:tc>
          <w:tcPr>
            <w:tcW w:w="1210" w:type="dxa"/>
            <w:shd w:val="clear" w:color="auto" w:fill="auto"/>
          </w:tcPr>
          <w:p w14:paraId="4FD27149" w14:textId="04C4AD9A"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964206" w:rsidRPr="00725238">
              <w:rPr>
                <w:vertAlign w:val="superscript"/>
              </w:rPr>
              <w:t>12</w:t>
            </w:r>
          </w:p>
        </w:tc>
        <w:tc>
          <w:tcPr>
            <w:tcW w:w="1210" w:type="dxa"/>
            <w:shd w:val="clear" w:color="auto" w:fill="auto"/>
          </w:tcPr>
          <w:p w14:paraId="5750E67E" w14:textId="7A686595" w:rsidR="0051635B" w:rsidRPr="000B2DDE" w:rsidRDefault="00F111EB" w:rsidP="0051635B">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964206" w:rsidRPr="00725238">
              <w:rPr>
                <w:vertAlign w:val="superscript"/>
              </w:rPr>
              <w:t>12</w:t>
            </w:r>
          </w:p>
        </w:tc>
      </w:tr>
      <w:tr w:rsidR="00A54076" w:rsidRPr="0076762E" w14:paraId="673C20B6" w14:textId="77777777" w:rsidTr="005F2C5E">
        <w:trPr>
          <w:tblHeader/>
        </w:trPr>
        <w:tc>
          <w:tcPr>
            <w:tcW w:w="1801" w:type="dxa"/>
            <w:shd w:val="clear" w:color="auto" w:fill="auto"/>
            <w:vAlign w:val="center"/>
          </w:tcPr>
          <w:p w14:paraId="2397A197" w14:textId="09BECA5D" w:rsidR="00A54076" w:rsidRPr="005A59BE" w:rsidRDefault="00A54076" w:rsidP="00A54076">
            <w:pPr>
              <w:keepNext/>
              <w:jc w:val="left"/>
              <w:rPr>
                <w:rFonts w:ascii="Arial Narrow" w:eastAsiaTheme="majorEastAsia" w:hAnsi="Arial Narrow" w:cstheme="majorBidi"/>
                <w:bCs/>
                <w:sz w:val="20"/>
              </w:rPr>
            </w:pPr>
            <w:r>
              <w:rPr>
                <w:rFonts w:ascii="Arial Narrow" w:eastAsiaTheme="majorEastAsia" w:hAnsi="Arial Narrow" w:cstheme="majorBidi"/>
                <w:bCs/>
                <w:sz w:val="20"/>
              </w:rPr>
              <w:t>Continuing patients</w:t>
            </w:r>
          </w:p>
        </w:tc>
        <w:tc>
          <w:tcPr>
            <w:tcW w:w="1223" w:type="dxa"/>
            <w:shd w:val="clear" w:color="auto" w:fill="auto"/>
            <w:vAlign w:val="center"/>
          </w:tcPr>
          <w:p w14:paraId="0B1EDC93" w14:textId="7773C9F0" w:rsidR="00A54076" w:rsidRPr="00D30ED6" w:rsidRDefault="00A54076" w:rsidP="00A54076">
            <w:pPr>
              <w:pStyle w:val="COMTabletext"/>
              <w:jc w:val="center"/>
            </w:pPr>
            <w:r>
              <w:t>-</w:t>
            </w:r>
          </w:p>
        </w:tc>
        <w:tc>
          <w:tcPr>
            <w:tcW w:w="1208" w:type="dxa"/>
            <w:shd w:val="clear" w:color="auto" w:fill="auto"/>
          </w:tcPr>
          <w:p w14:paraId="3A00A827" w14:textId="11FBB358"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463FB536" w14:textId="0A666EAC"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725238" w:rsidRPr="008765C6">
              <w:rPr>
                <w:vertAlign w:val="superscript"/>
              </w:rPr>
              <w:t>11</w:t>
            </w:r>
          </w:p>
        </w:tc>
        <w:tc>
          <w:tcPr>
            <w:tcW w:w="1207" w:type="dxa"/>
            <w:shd w:val="clear" w:color="auto" w:fill="auto"/>
          </w:tcPr>
          <w:p w14:paraId="1517B8AE" w14:textId="3B4A0963"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4A149971" w14:textId="5F446D2E"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134F60AA" w14:textId="3CCEBBE1"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8"/>
                <w14:textFill>
                  <w14:solidFill>
                    <w14:srgbClr w14:val="000000">
                      <w14:alpha w14:val="100000"/>
                    </w14:srgbClr>
                  </w14:solidFill>
                </w14:textFill>
              </w:rPr>
              <w:t>|||</w:t>
            </w:r>
            <w:r w:rsidRPr="00F111EB">
              <w:rPr>
                <w:color w:val="000000"/>
                <w:spacing w:val="3"/>
                <w:shd w:val="solid" w:color="000000" w:fill="000000"/>
                <w:fitText w:val="326" w:id="-761014008"/>
                <w14:textFill>
                  <w14:solidFill>
                    <w14:srgbClr w14:val="000000">
                      <w14:alpha w14:val="100000"/>
                    </w14:srgbClr>
                  </w14:solidFill>
                </w14:textFill>
              </w:rPr>
              <w:t>|</w:t>
            </w:r>
            <w:r w:rsidR="00DD43F5" w:rsidRPr="00DD43F5">
              <w:rPr>
                <w:vertAlign w:val="superscript"/>
              </w:rPr>
              <w:t>5</w:t>
            </w:r>
          </w:p>
        </w:tc>
      </w:tr>
      <w:tr w:rsidR="00A54076" w:rsidRPr="0076762E" w14:paraId="1A383CB1" w14:textId="77777777" w:rsidTr="005F2C5E">
        <w:trPr>
          <w:tblHeader/>
        </w:trPr>
        <w:tc>
          <w:tcPr>
            <w:tcW w:w="1801" w:type="dxa"/>
            <w:shd w:val="clear" w:color="auto" w:fill="auto"/>
            <w:vAlign w:val="center"/>
          </w:tcPr>
          <w:p w14:paraId="73691F2E" w14:textId="77660DE0" w:rsidR="00A54076" w:rsidRPr="005A59BE" w:rsidRDefault="00A54076" w:rsidP="00A54076">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22DE1E06" w14:textId="0F73FA68" w:rsidR="00A54076" w:rsidRPr="00D30ED6" w:rsidRDefault="00F111EB" w:rsidP="00A54076">
            <w:pPr>
              <w:pStyle w:val="COMTabletext"/>
              <w:jc w:val="cente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3E329ED3" w14:textId="52361B91"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725238" w:rsidRPr="008765C6">
              <w:rPr>
                <w:vertAlign w:val="superscript"/>
              </w:rPr>
              <w:t>11</w:t>
            </w:r>
          </w:p>
        </w:tc>
        <w:tc>
          <w:tcPr>
            <w:tcW w:w="1208" w:type="dxa"/>
            <w:shd w:val="clear" w:color="auto" w:fill="auto"/>
          </w:tcPr>
          <w:p w14:paraId="3703EBE8" w14:textId="155CA92C"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DD43F5" w:rsidRPr="00DD43F5">
              <w:rPr>
                <w:vertAlign w:val="superscript"/>
              </w:rPr>
              <w:t>5</w:t>
            </w:r>
          </w:p>
        </w:tc>
        <w:tc>
          <w:tcPr>
            <w:tcW w:w="1207" w:type="dxa"/>
            <w:shd w:val="clear" w:color="auto" w:fill="auto"/>
          </w:tcPr>
          <w:p w14:paraId="2C7DE24C" w14:textId="779B1C30" w:rsidR="00A54076" w:rsidRPr="000B2DDE" w:rsidRDefault="00F111EB" w:rsidP="00A54076">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DD43F5" w:rsidRPr="00DD43F5">
              <w:rPr>
                <w:vertAlign w:val="superscript"/>
              </w:rPr>
              <w:t>5</w:t>
            </w:r>
          </w:p>
        </w:tc>
        <w:tc>
          <w:tcPr>
            <w:tcW w:w="1210" w:type="dxa"/>
            <w:shd w:val="clear" w:color="auto" w:fill="auto"/>
          </w:tcPr>
          <w:p w14:paraId="745F4E3B" w14:textId="33B72D69"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964206" w:rsidRPr="00DD43F5">
              <w:rPr>
                <w:vertAlign w:val="superscript"/>
              </w:rPr>
              <w:t>5</w:t>
            </w:r>
          </w:p>
        </w:tc>
        <w:tc>
          <w:tcPr>
            <w:tcW w:w="1210" w:type="dxa"/>
            <w:shd w:val="clear" w:color="auto" w:fill="auto"/>
          </w:tcPr>
          <w:p w14:paraId="0749185C" w14:textId="4F84A463" w:rsidR="00A54076" w:rsidRPr="000B2DDE" w:rsidRDefault="00F111EB" w:rsidP="00A54076">
            <w:pPr>
              <w:pStyle w:val="COMTabletext"/>
              <w:jc w:val="center"/>
              <w:rPr>
                <w:highlight w:val="darkGray"/>
              </w:rPr>
            </w:pPr>
            <w:r w:rsidRPr="00F111EB">
              <w:rPr>
                <w:color w:val="000000"/>
                <w:spacing w:val="51"/>
                <w:shd w:val="solid" w:color="000000" w:fill="000000"/>
                <w:fitText w:val="326" w:id="-761014002"/>
                <w14:textFill>
                  <w14:solidFill>
                    <w14:srgbClr w14:val="000000">
                      <w14:alpha w14:val="100000"/>
                    </w14:srgbClr>
                  </w14:solidFill>
                </w14:textFill>
              </w:rPr>
              <w:t>|||</w:t>
            </w:r>
            <w:r w:rsidRPr="00F111EB">
              <w:rPr>
                <w:color w:val="000000"/>
                <w:spacing w:val="3"/>
                <w:shd w:val="solid" w:color="000000" w:fill="000000"/>
                <w:fitText w:val="326" w:id="-761014002"/>
                <w14:textFill>
                  <w14:solidFill>
                    <w14:srgbClr w14:val="000000">
                      <w14:alpha w14:val="100000"/>
                    </w14:srgbClr>
                  </w14:solidFill>
                </w14:textFill>
              </w:rPr>
              <w:t>|</w:t>
            </w:r>
            <w:r w:rsidR="00DD43F5" w:rsidRPr="00DD43F5">
              <w:rPr>
                <w:vertAlign w:val="superscript"/>
              </w:rPr>
              <w:t>5</w:t>
            </w:r>
          </w:p>
        </w:tc>
      </w:tr>
      <w:tr w:rsidR="00B144B0" w:rsidRPr="001D1466" w14:paraId="0D2C0058" w14:textId="77777777" w:rsidTr="00A1032E">
        <w:tc>
          <w:tcPr>
            <w:tcW w:w="9067" w:type="dxa"/>
            <w:gridSpan w:val="7"/>
            <w:shd w:val="clear" w:color="auto" w:fill="auto"/>
            <w:vAlign w:val="center"/>
          </w:tcPr>
          <w:p w14:paraId="4D92A0B4" w14:textId="03713C46" w:rsidR="00B144B0" w:rsidRPr="001D1466" w:rsidRDefault="00B144B0" w:rsidP="00B144B0">
            <w:pPr>
              <w:pStyle w:val="COMTableheadingrow"/>
              <w:rPr>
                <w:lang w:val="en-AU"/>
              </w:rPr>
            </w:pPr>
            <w:r w:rsidRPr="0076762E">
              <w:rPr>
                <w:lang w:val="en-AU"/>
              </w:rPr>
              <w:t xml:space="preserve">Estimated </w:t>
            </w:r>
            <w:r w:rsidRPr="001D1466">
              <w:rPr>
                <w:lang w:val="en-AU"/>
              </w:rPr>
              <w:t>extent of use</w:t>
            </w:r>
          </w:p>
        </w:tc>
      </w:tr>
      <w:tr w:rsidR="00B144B0" w:rsidRPr="0076762E" w14:paraId="0E393B49" w14:textId="77777777" w:rsidTr="00A1032E">
        <w:tc>
          <w:tcPr>
            <w:tcW w:w="1801" w:type="dxa"/>
            <w:shd w:val="clear" w:color="auto" w:fill="auto"/>
            <w:vAlign w:val="center"/>
          </w:tcPr>
          <w:p w14:paraId="24D72ED0" w14:textId="5BAF1001" w:rsidR="00B144B0" w:rsidRPr="0076762E" w:rsidRDefault="00B144B0" w:rsidP="00B144B0">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Total patients</w:t>
            </w:r>
          </w:p>
        </w:tc>
        <w:tc>
          <w:tcPr>
            <w:tcW w:w="1223" w:type="dxa"/>
            <w:shd w:val="clear" w:color="auto" w:fill="auto"/>
          </w:tcPr>
          <w:p w14:paraId="6E2B9BB4" w14:textId="315B964E" w:rsidR="00B144B0" w:rsidRPr="000B2DDE" w:rsidRDefault="00F111EB" w:rsidP="00B144B0">
            <w:pPr>
              <w:pStyle w:val="COMTabletext"/>
              <w:jc w:val="center"/>
              <w:rPr>
                <w:highlight w:val="darkGray"/>
              </w:rPr>
            </w:pPr>
            <w:r w:rsidRPr="00F111EB">
              <w:rPr>
                <w:color w:val="000000"/>
                <w:spacing w:val="55"/>
                <w:shd w:val="solid" w:color="000000" w:fill="000000"/>
                <w:fitText w:val="338" w:id="-761014001"/>
                <w14:textFill>
                  <w14:solidFill>
                    <w14:srgbClr w14:val="000000">
                      <w14:alpha w14:val="100000"/>
                    </w14:srgbClr>
                  </w14:solidFill>
                </w14:textFill>
              </w:rPr>
              <w:t>|||</w:t>
            </w:r>
            <w:r w:rsidRPr="00F111EB">
              <w:rPr>
                <w:color w:val="000000"/>
                <w:spacing w:val="3"/>
                <w:shd w:val="solid" w:color="000000" w:fill="000000"/>
                <w:fitText w:val="338" w:id="-761014001"/>
                <w14:textFill>
                  <w14:solidFill>
                    <w14:srgbClr w14:val="000000">
                      <w14:alpha w14:val="100000"/>
                    </w14:srgbClr>
                  </w14:solidFill>
                </w14:textFill>
              </w:rPr>
              <w:t>|</w:t>
            </w:r>
            <w:r w:rsidR="000A60F2" w:rsidRPr="000A60F2">
              <w:rPr>
                <w:vertAlign w:val="superscript"/>
              </w:rPr>
              <w:t>1</w:t>
            </w:r>
          </w:p>
        </w:tc>
        <w:tc>
          <w:tcPr>
            <w:tcW w:w="1208" w:type="dxa"/>
            <w:shd w:val="clear" w:color="auto" w:fill="auto"/>
          </w:tcPr>
          <w:p w14:paraId="1A0146CC" w14:textId="29B53BF5"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996B4E" w:rsidRPr="00996B4E">
              <w:rPr>
                <w:vertAlign w:val="superscript"/>
              </w:rPr>
              <w:t>9</w:t>
            </w:r>
          </w:p>
        </w:tc>
        <w:tc>
          <w:tcPr>
            <w:tcW w:w="1208" w:type="dxa"/>
            <w:shd w:val="clear" w:color="auto" w:fill="auto"/>
          </w:tcPr>
          <w:p w14:paraId="3E05C412" w14:textId="7C730DF8"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996B4E" w:rsidRPr="00996B4E">
              <w:rPr>
                <w:vertAlign w:val="superscript"/>
              </w:rPr>
              <w:t>9</w:t>
            </w:r>
          </w:p>
        </w:tc>
        <w:tc>
          <w:tcPr>
            <w:tcW w:w="1207" w:type="dxa"/>
            <w:shd w:val="clear" w:color="auto" w:fill="auto"/>
          </w:tcPr>
          <w:p w14:paraId="7E3FB6B5" w14:textId="2D7D0A6F"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5"/>
                <w14:textFill>
                  <w14:solidFill>
                    <w14:srgbClr w14:val="000000">
                      <w14:alpha w14:val="100000"/>
                    </w14:srgbClr>
                  </w14:solidFill>
                </w14:textFill>
              </w:rPr>
              <w:t>|||</w:t>
            </w:r>
            <w:r w:rsidRPr="00F111EB">
              <w:rPr>
                <w:color w:val="000000"/>
                <w:spacing w:val="2"/>
                <w:shd w:val="solid" w:color="000000" w:fill="000000"/>
                <w:fitText w:val="325" w:id="-761014015"/>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6D514B97" w14:textId="0ECA0E96"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996B4E" w:rsidRPr="00996B4E">
              <w:rPr>
                <w:vertAlign w:val="superscript"/>
              </w:rPr>
              <w:t>10</w:t>
            </w:r>
          </w:p>
        </w:tc>
        <w:tc>
          <w:tcPr>
            <w:tcW w:w="1210" w:type="dxa"/>
            <w:shd w:val="clear" w:color="auto" w:fill="auto"/>
          </w:tcPr>
          <w:p w14:paraId="62CDDA36" w14:textId="764E72DB"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996B4E" w:rsidRPr="00996B4E">
              <w:rPr>
                <w:vertAlign w:val="superscript"/>
              </w:rPr>
              <w:t>10</w:t>
            </w:r>
          </w:p>
        </w:tc>
      </w:tr>
      <w:tr w:rsidR="00B144B0" w:rsidRPr="0076762E" w14:paraId="7B74DD4A" w14:textId="77777777" w:rsidTr="00A1032E">
        <w:tc>
          <w:tcPr>
            <w:tcW w:w="1801" w:type="dxa"/>
            <w:shd w:val="clear" w:color="auto" w:fill="auto"/>
            <w:vAlign w:val="center"/>
          </w:tcPr>
          <w:p w14:paraId="4FF910CB" w14:textId="508E9A1F"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- 5 mg dose (</w:t>
            </w:r>
            <w:r w:rsidR="00F111EB" w:rsidRPr="00F111EB">
              <w:rPr>
                <w:rFonts w:ascii="Arial Narrow" w:eastAsiaTheme="majorEastAsia" w:hAnsi="Arial Narrow" w:cstheme="majorBidi"/>
                <w:bCs/>
                <w:color w:val="000000"/>
                <w:spacing w:val="51"/>
                <w:sz w:val="20"/>
                <w:shd w:val="solid" w:color="000000" w:fill="000000"/>
                <w:fitText w:val="326" w:id="-761014012"/>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12"/>
                <w14:textFill>
                  <w14:solidFill>
                    <w14:srgbClr w14:val="000000">
                      <w14:alpha w14:val="100000"/>
                    </w14:srgbClr>
                  </w14:solidFill>
                </w14:textFill>
              </w:rPr>
              <w:t>|</w:t>
            </w:r>
            <w:r w:rsidRPr="009675AB">
              <w:rPr>
                <w:rFonts w:ascii="Arial Narrow" w:eastAsiaTheme="majorEastAsia" w:hAnsi="Arial Narrow" w:cstheme="majorBidi"/>
                <w:bCs/>
                <w:sz w:val="20"/>
              </w:rPr>
              <w:t xml:space="preserve">%) </w:t>
            </w:r>
          </w:p>
        </w:tc>
        <w:tc>
          <w:tcPr>
            <w:tcW w:w="1223" w:type="dxa"/>
            <w:shd w:val="clear" w:color="auto" w:fill="auto"/>
          </w:tcPr>
          <w:p w14:paraId="21060D0C" w14:textId="068ED052"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964206" w:rsidRPr="00964206">
              <w:rPr>
                <w:vertAlign w:val="superscript"/>
              </w:rPr>
              <w:t>14</w:t>
            </w:r>
          </w:p>
        </w:tc>
        <w:tc>
          <w:tcPr>
            <w:tcW w:w="1208" w:type="dxa"/>
            <w:shd w:val="clear" w:color="auto" w:fill="auto"/>
          </w:tcPr>
          <w:p w14:paraId="002F3BE9" w14:textId="2E0E9561"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0"/>
                <w14:textFill>
                  <w14:solidFill>
                    <w14:srgbClr w14:val="000000">
                      <w14:alpha w14:val="100000"/>
                    </w14:srgbClr>
                  </w14:solidFill>
                </w14:textFill>
              </w:rPr>
              <w:t>|||</w:t>
            </w:r>
            <w:r w:rsidRPr="00F111EB">
              <w:rPr>
                <w:color w:val="000000"/>
                <w:spacing w:val="3"/>
                <w:shd w:val="solid" w:color="000000" w:fill="000000"/>
                <w:fitText w:val="326" w:id="-761014010"/>
                <w14:textFill>
                  <w14:solidFill>
                    <w14:srgbClr w14:val="000000">
                      <w14:alpha w14:val="100000"/>
                    </w14:srgbClr>
                  </w14:solidFill>
                </w14:textFill>
              </w:rPr>
              <w:t>|</w:t>
            </w:r>
            <w:r w:rsidR="00964206" w:rsidRPr="00964206">
              <w:rPr>
                <w:vertAlign w:val="superscript"/>
              </w:rPr>
              <w:t>15</w:t>
            </w:r>
          </w:p>
        </w:tc>
        <w:tc>
          <w:tcPr>
            <w:tcW w:w="1208" w:type="dxa"/>
            <w:shd w:val="clear" w:color="auto" w:fill="auto"/>
          </w:tcPr>
          <w:p w14:paraId="2F1A161D" w14:textId="3DCDDC5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9"/>
                <w14:textFill>
                  <w14:solidFill>
                    <w14:srgbClr w14:val="000000">
                      <w14:alpha w14:val="100000"/>
                    </w14:srgbClr>
                  </w14:solidFill>
                </w14:textFill>
              </w:rPr>
              <w:t>|||</w:t>
            </w:r>
            <w:r w:rsidRPr="00F111EB">
              <w:rPr>
                <w:color w:val="000000"/>
                <w:spacing w:val="2"/>
                <w:shd w:val="solid" w:color="000000" w:fill="000000"/>
                <w:fitText w:val="325" w:id="-761014009"/>
                <w14:textFill>
                  <w14:solidFill>
                    <w14:srgbClr w14:val="000000">
                      <w14:alpha w14:val="100000"/>
                    </w14:srgbClr>
                  </w14:solidFill>
                </w14:textFill>
              </w:rPr>
              <w:t>|</w:t>
            </w:r>
            <w:r w:rsidR="00DC2DDB" w:rsidRPr="00DC2DDB">
              <w:rPr>
                <w:vertAlign w:val="superscript"/>
              </w:rPr>
              <w:t>16</w:t>
            </w:r>
          </w:p>
        </w:tc>
        <w:tc>
          <w:tcPr>
            <w:tcW w:w="1207" w:type="dxa"/>
            <w:shd w:val="clear" w:color="auto" w:fill="auto"/>
          </w:tcPr>
          <w:p w14:paraId="16CF206B" w14:textId="0424F125"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231B6E7B" w14:textId="60C500BE"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7"/>
                <w14:textFill>
                  <w14:solidFill>
                    <w14:srgbClr w14:val="000000">
                      <w14:alpha w14:val="100000"/>
                    </w14:srgbClr>
                  </w14:solidFill>
                </w14:textFill>
              </w:rPr>
              <w:t>|||</w:t>
            </w:r>
            <w:r w:rsidRPr="00F111EB">
              <w:rPr>
                <w:color w:val="000000"/>
                <w:spacing w:val="3"/>
                <w:shd w:val="solid" w:color="000000" w:fill="000000"/>
                <w:fitText w:val="326" w:id="-761014007"/>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6E6A34B4" w14:textId="7CBFF8BE"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DD1DA2" w:rsidRPr="00DC2DDB">
              <w:rPr>
                <w:vertAlign w:val="superscript"/>
              </w:rPr>
              <w:t>16</w:t>
            </w:r>
          </w:p>
        </w:tc>
      </w:tr>
      <w:tr w:rsidR="00B144B0" w:rsidRPr="0076762E" w14:paraId="583D706C" w14:textId="77777777" w:rsidTr="00A1032E">
        <w:tc>
          <w:tcPr>
            <w:tcW w:w="1801" w:type="dxa"/>
            <w:shd w:val="clear" w:color="auto" w:fill="auto"/>
            <w:vAlign w:val="center"/>
          </w:tcPr>
          <w:p w14:paraId="3BBB3E49" w14:textId="3EF50A17"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- 10 mg dose (</w:t>
            </w:r>
            <w:r w:rsidR="00F111EB" w:rsidRPr="00F111EB">
              <w:rPr>
                <w:rFonts w:ascii="Arial Narrow" w:eastAsiaTheme="majorEastAsia" w:hAnsi="Arial Narrow" w:cstheme="majorBidi"/>
                <w:bCs/>
                <w:color w:val="000000"/>
                <w:spacing w:val="51"/>
                <w:sz w:val="20"/>
                <w:shd w:val="solid" w:color="000000" w:fill="000000"/>
                <w:fitText w:val="326" w:id="-76101400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05"/>
                <w14:textFill>
                  <w14:solidFill>
                    <w14:srgbClr w14:val="000000">
                      <w14:alpha w14:val="100000"/>
                    </w14:srgbClr>
                  </w14:solidFill>
                </w14:textFill>
              </w:rPr>
              <w:t>|</w:t>
            </w:r>
            <w:r w:rsidRPr="009675AB">
              <w:rPr>
                <w:rFonts w:ascii="Arial Narrow" w:eastAsiaTheme="majorEastAsia" w:hAnsi="Arial Narrow" w:cstheme="majorBidi"/>
                <w:bCs/>
                <w:sz w:val="20"/>
              </w:rPr>
              <w:t>%)</w:t>
            </w:r>
          </w:p>
        </w:tc>
        <w:tc>
          <w:tcPr>
            <w:tcW w:w="1223" w:type="dxa"/>
            <w:shd w:val="clear" w:color="auto" w:fill="auto"/>
          </w:tcPr>
          <w:p w14:paraId="195138AF" w14:textId="6B61F10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0A2D9D" w:rsidRPr="009675AB">
              <w:rPr>
                <w:vertAlign w:val="superscript"/>
              </w:rPr>
              <w:t>15</w:t>
            </w:r>
          </w:p>
        </w:tc>
        <w:tc>
          <w:tcPr>
            <w:tcW w:w="1208" w:type="dxa"/>
            <w:shd w:val="clear" w:color="auto" w:fill="auto"/>
          </w:tcPr>
          <w:p w14:paraId="5BF853F6" w14:textId="1CD11ED9"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60B9DBA8" w14:textId="401FC489"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DD1DA2" w:rsidRPr="00DC2DDB">
              <w:rPr>
                <w:vertAlign w:val="superscript"/>
              </w:rPr>
              <w:t>16</w:t>
            </w:r>
          </w:p>
        </w:tc>
        <w:tc>
          <w:tcPr>
            <w:tcW w:w="1207" w:type="dxa"/>
            <w:shd w:val="clear" w:color="auto" w:fill="auto"/>
          </w:tcPr>
          <w:p w14:paraId="552CAD52" w14:textId="63123FFE"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01"/>
                <w14:textFill>
                  <w14:solidFill>
                    <w14:srgbClr w14:val="000000">
                      <w14:alpha w14:val="100000"/>
                    </w14:srgbClr>
                  </w14:solidFill>
                </w14:textFill>
              </w:rPr>
              <w:t>|||</w:t>
            </w:r>
            <w:r w:rsidRPr="00F111EB">
              <w:rPr>
                <w:color w:val="000000"/>
                <w:spacing w:val="2"/>
                <w:shd w:val="solid" w:color="000000" w:fill="000000"/>
                <w:fitText w:val="325" w:id="-761014001"/>
                <w14:textFill>
                  <w14:solidFill>
                    <w14:srgbClr w14:val="000000">
                      <w14:alpha w14:val="100000"/>
                    </w14:srgbClr>
                  </w14:solidFill>
                </w14:textFill>
              </w:rPr>
              <w:t>|</w:t>
            </w:r>
            <w:r w:rsidR="00DD1DA2" w:rsidRPr="00DC2DDB">
              <w:rPr>
                <w:vertAlign w:val="superscript"/>
              </w:rPr>
              <w:t>16</w:t>
            </w:r>
          </w:p>
        </w:tc>
        <w:tc>
          <w:tcPr>
            <w:tcW w:w="1210" w:type="dxa"/>
            <w:shd w:val="clear" w:color="auto" w:fill="auto"/>
          </w:tcPr>
          <w:p w14:paraId="2E021535" w14:textId="0094AFF9"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0"/>
                <w14:textFill>
                  <w14:solidFill>
                    <w14:srgbClr w14:val="000000">
                      <w14:alpha w14:val="100000"/>
                    </w14:srgbClr>
                  </w14:solidFill>
                </w14:textFill>
              </w:rPr>
              <w:t>|||</w:t>
            </w:r>
            <w:r w:rsidRPr="00F111EB">
              <w:rPr>
                <w:color w:val="000000"/>
                <w:spacing w:val="3"/>
                <w:shd w:val="solid" w:color="000000" w:fill="000000"/>
                <w:fitText w:val="326" w:id="-761014000"/>
                <w14:textFill>
                  <w14:solidFill>
                    <w14:srgbClr w14:val="000000">
                      <w14:alpha w14:val="100000"/>
                    </w14:srgbClr>
                  </w14:solidFill>
                </w14:textFill>
              </w:rPr>
              <w:t>|</w:t>
            </w:r>
            <w:r w:rsidR="000A2D9D" w:rsidRPr="000A2D9D">
              <w:rPr>
                <w:vertAlign w:val="superscript"/>
              </w:rPr>
              <w:t>17</w:t>
            </w:r>
          </w:p>
        </w:tc>
        <w:tc>
          <w:tcPr>
            <w:tcW w:w="1210" w:type="dxa"/>
            <w:shd w:val="clear" w:color="auto" w:fill="auto"/>
          </w:tcPr>
          <w:p w14:paraId="20F453BE" w14:textId="373AA5CA"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6"/>
                <w14:textFill>
                  <w14:solidFill>
                    <w14:srgbClr w14:val="000000">
                      <w14:alpha w14:val="100000"/>
                    </w14:srgbClr>
                  </w14:solidFill>
                </w14:textFill>
              </w:rPr>
              <w:t>|||</w:t>
            </w:r>
            <w:r w:rsidRPr="00F111EB">
              <w:rPr>
                <w:color w:val="000000"/>
                <w:spacing w:val="3"/>
                <w:shd w:val="solid" w:color="000000" w:fill="000000"/>
                <w:fitText w:val="326" w:id="-761014016"/>
                <w14:textFill>
                  <w14:solidFill>
                    <w14:srgbClr w14:val="000000">
                      <w14:alpha w14:val="100000"/>
                    </w14:srgbClr>
                  </w14:solidFill>
                </w14:textFill>
              </w:rPr>
              <w:t>|</w:t>
            </w:r>
            <w:r w:rsidR="00266954" w:rsidRPr="000A2D9D">
              <w:rPr>
                <w:vertAlign w:val="superscript"/>
              </w:rPr>
              <w:t>17</w:t>
            </w:r>
          </w:p>
        </w:tc>
      </w:tr>
      <w:tr w:rsidR="00B144B0" w:rsidRPr="0076762E" w14:paraId="3B3E1B20" w14:textId="77777777" w:rsidTr="00A1032E">
        <w:tc>
          <w:tcPr>
            <w:tcW w:w="1801" w:type="dxa"/>
            <w:shd w:val="clear" w:color="auto" w:fill="auto"/>
            <w:vAlign w:val="center"/>
          </w:tcPr>
          <w:p w14:paraId="133544C3" w14:textId="38D2A1CF" w:rsidR="00B144B0" w:rsidRPr="009675AB" w:rsidRDefault="00B144B0" w:rsidP="00B144B0">
            <w:pPr>
              <w:keepNext/>
              <w:jc w:val="left"/>
              <w:rPr>
                <w:rFonts w:ascii="Arial Narrow" w:eastAsiaTheme="majorEastAsia" w:hAnsi="Arial Narrow" w:cstheme="majorBidi"/>
                <w:bCs/>
                <w:sz w:val="20"/>
              </w:rPr>
            </w:pPr>
            <w:r w:rsidRPr="009675AB">
              <w:rPr>
                <w:rFonts w:ascii="Arial Narrow" w:eastAsiaTheme="majorEastAsia" w:hAnsi="Arial Narrow" w:cstheme="majorBidi"/>
                <w:bCs/>
                <w:sz w:val="20"/>
              </w:rPr>
              <w:t>- 15 mg dose (</w:t>
            </w:r>
            <w:r w:rsidR="00F111EB" w:rsidRPr="00F111EB">
              <w:rPr>
                <w:rFonts w:ascii="Arial Narrow" w:eastAsiaTheme="majorEastAsia" w:hAnsi="Arial Narrow" w:cstheme="majorBidi"/>
                <w:bCs/>
                <w:color w:val="000000"/>
                <w:spacing w:val="51"/>
                <w:sz w:val="20"/>
                <w:shd w:val="solid" w:color="000000" w:fill="000000"/>
                <w:fitText w:val="326" w:id="-761014015"/>
                <w14:textFill>
                  <w14:solidFill>
                    <w14:srgbClr w14:val="000000">
                      <w14:alpha w14:val="100000"/>
                    </w14:srgbClr>
                  </w14:solidFill>
                </w14:textFill>
              </w:rPr>
              <w:t>|||</w:t>
            </w:r>
            <w:r w:rsidR="00F111EB" w:rsidRPr="00F111EB">
              <w:rPr>
                <w:rFonts w:ascii="Arial Narrow" w:eastAsiaTheme="majorEastAsia" w:hAnsi="Arial Narrow" w:cstheme="majorBidi"/>
                <w:bCs/>
                <w:color w:val="000000"/>
                <w:spacing w:val="3"/>
                <w:sz w:val="20"/>
                <w:shd w:val="solid" w:color="000000" w:fill="000000"/>
                <w:fitText w:val="326" w:id="-761014015"/>
                <w14:textFill>
                  <w14:solidFill>
                    <w14:srgbClr w14:val="000000">
                      <w14:alpha w14:val="100000"/>
                    </w14:srgbClr>
                  </w14:solidFill>
                </w14:textFill>
              </w:rPr>
              <w:t>|</w:t>
            </w:r>
            <w:r w:rsidRPr="009675AB">
              <w:rPr>
                <w:rFonts w:ascii="Arial Narrow" w:eastAsiaTheme="majorEastAsia" w:hAnsi="Arial Narrow" w:cstheme="majorBidi"/>
                <w:bCs/>
                <w:sz w:val="20"/>
              </w:rPr>
              <w:t xml:space="preserve">%) </w:t>
            </w:r>
          </w:p>
        </w:tc>
        <w:tc>
          <w:tcPr>
            <w:tcW w:w="1223" w:type="dxa"/>
            <w:shd w:val="clear" w:color="auto" w:fill="auto"/>
          </w:tcPr>
          <w:p w14:paraId="7D9B96B9" w14:textId="572FC800"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4"/>
                <w14:textFill>
                  <w14:solidFill>
                    <w14:srgbClr w14:val="000000">
                      <w14:alpha w14:val="100000"/>
                    </w14:srgbClr>
                  </w14:solidFill>
                </w14:textFill>
              </w:rPr>
              <w:t>|||</w:t>
            </w:r>
            <w:r w:rsidRPr="00F111EB">
              <w:rPr>
                <w:color w:val="000000"/>
                <w:spacing w:val="2"/>
                <w:shd w:val="solid" w:color="000000" w:fill="000000"/>
                <w:fitText w:val="325" w:id="-761014014"/>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54F225A7" w14:textId="3DCFCF5F"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3"/>
                <w14:textFill>
                  <w14:solidFill>
                    <w14:srgbClr w14:val="000000">
                      <w14:alpha w14:val="100000"/>
                    </w14:srgbClr>
                  </w14:solidFill>
                </w14:textFill>
              </w:rPr>
              <w:t>|||</w:t>
            </w:r>
            <w:r w:rsidRPr="00F111EB">
              <w:rPr>
                <w:color w:val="000000"/>
                <w:spacing w:val="3"/>
                <w:shd w:val="solid" w:color="000000" w:fill="000000"/>
                <w:fitText w:val="326" w:id="-761014013"/>
                <w14:textFill>
                  <w14:solidFill>
                    <w14:srgbClr w14:val="000000">
                      <w14:alpha w14:val="100000"/>
                    </w14:srgbClr>
                  </w14:solidFill>
                </w14:textFill>
              </w:rPr>
              <w:t>|</w:t>
            </w:r>
            <w:r w:rsidR="00DD1DA2" w:rsidRPr="00DC2DDB">
              <w:rPr>
                <w:vertAlign w:val="superscript"/>
              </w:rPr>
              <w:t>16</w:t>
            </w:r>
          </w:p>
        </w:tc>
        <w:tc>
          <w:tcPr>
            <w:tcW w:w="1208" w:type="dxa"/>
            <w:shd w:val="clear" w:color="auto" w:fill="auto"/>
          </w:tcPr>
          <w:p w14:paraId="689B479D" w14:textId="244F8FB1"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2"/>
                <w14:textFill>
                  <w14:solidFill>
                    <w14:srgbClr w14:val="000000">
                      <w14:alpha w14:val="100000"/>
                    </w14:srgbClr>
                  </w14:solidFill>
                </w14:textFill>
              </w:rPr>
              <w:t>|||</w:t>
            </w:r>
            <w:r w:rsidRPr="00F111EB">
              <w:rPr>
                <w:color w:val="000000"/>
                <w:spacing w:val="2"/>
                <w:shd w:val="solid" w:color="000000" w:fill="000000"/>
                <w:fitText w:val="325" w:id="-761014012"/>
                <w14:textFill>
                  <w14:solidFill>
                    <w14:srgbClr w14:val="000000">
                      <w14:alpha w14:val="100000"/>
                    </w14:srgbClr>
                  </w14:solidFill>
                </w14:textFill>
              </w:rPr>
              <w:t>|</w:t>
            </w:r>
            <w:r w:rsidR="00266954" w:rsidRPr="000A2D9D">
              <w:rPr>
                <w:vertAlign w:val="superscript"/>
              </w:rPr>
              <w:t>17</w:t>
            </w:r>
          </w:p>
        </w:tc>
        <w:tc>
          <w:tcPr>
            <w:tcW w:w="1207" w:type="dxa"/>
            <w:shd w:val="clear" w:color="auto" w:fill="auto"/>
          </w:tcPr>
          <w:p w14:paraId="28174AF9" w14:textId="28DDA60B" w:rsidR="00B144B0" w:rsidRPr="000B2DDE" w:rsidRDefault="00F111EB" w:rsidP="00B144B0">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266954" w:rsidRPr="000A2D9D">
              <w:rPr>
                <w:vertAlign w:val="superscript"/>
              </w:rPr>
              <w:t>17</w:t>
            </w:r>
          </w:p>
        </w:tc>
        <w:tc>
          <w:tcPr>
            <w:tcW w:w="1210" w:type="dxa"/>
            <w:shd w:val="clear" w:color="auto" w:fill="auto"/>
          </w:tcPr>
          <w:p w14:paraId="20A3EC61" w14:textId="56A68B9B"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10"/>
                <w14:textFill>
                  <w14:solidFill>
                    <w14:srgbClr w14:val="000000">
                      <w14:alpha w14:val="100000"/>
                    </w14:srgbClr>
                  </w14:solidFill>
                </w14:textFill>
              </w:rPr>
              <w:t>|||</w:t>
            </w:r>
            <w:r w:rsidRPr="00F111EB">
              <w:rPr>
                <w:color w:val="000000"/>
                <w:spacing w:val="3"/>
                <w:shd w:val="solid" w:color="000000" w:fill="000000"/>
                <w:fitText w:val="326" w:id="-761014010"/>
                <w14:textFill>
                  <w14:solidFill>
                    <w14:srgbClr w14:val="000000">
                      <w14:alpha w14:val="100000"/>
                    </w14:srgbClr>
                  </w14:solidFill>
                </w14:textFill>
              </w:rPr>
              <w:t>|</w:t>
            </w:r>
            <w:r w:rsidR="00266954" w:rsidRPr="000A2D9D">
              <w:rPr>
                <w:vertAlign w:val="superscript"/>
              </w:rPr>
              <w:t>17</w:t>
            </w:r>
          </w:p>
        </w:tc>
        <w:tc>
          <w:tcPr>
            <w:tcW w:w="1210" w:type="dxa"/>
            <w:shd w:val="clear" w:color="auto" w:fill="auto"/>
          </w:tcPr>
          <w:p w14:paraId="4BB00860" w14:textId="05436B1A" w:rsidR="00B144B0" w:rsidRPr="000B2DDE" w:rsidRDefault="00F111EB" w:rsidP="00B144B0">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266954" w:rsidRPr="000A2D9D">
              <w:rPr>
                <w:vertAlign w:val="superscript"/>
              </w:rPr>
              <w:t>17</w:t>
            </w:r>
          </w:p>
        </w:tc>
      </w:tr>
      <w:tr w:rsidR="00124B29" w:rsidRPr="0076762E" w14:paraId="7D3169CA" w14:textId="77777777" w:rsidTr="00A1032E">
        <w:tc>
          <w:tcPr>
            <w:tcW w:w="1801" w:type="dxa"/>
            <w:shd w:val="clear" w:color="auto" w:fill="auto"/>
            <w:vAlign w:val="center"/>
          </w:tcPr>
          <w:p w14:paraId="49E28E3E" w14:textId="37C6188E" w:rsidR="00124B29" w:rsidRDefault="00124B29" w:rsidP="00124B29">
            <w:pPr>
              <w:keepNext/>
              <w:jc w:val="left"/>
              <w:rPr>
                <w:rFonts w:ascii="Arial Narrow" w:eastAsiaTheme="majorEastAsia" w:hAnsi="Arial Narrow" w:cstheme="majorBidi"/>
                <w:bCs/>
                <w:sz w:val="20"/>
              </w:rPr>
            </w:pPr>
            <w:r w:rsidRPr="007548F9">
              <w:rPr>
                <w:rFonts w:ascii="Arial Narrow" w:eastAsiaTheme="majorEastAsia" w:hAnsi="Arial Narrow" w:cstheme="majorBidi"/>
                <w:bCs/>
                <w:sz w:val="20"/>
              </w:rPr>
              <w:t>Total scripts</w:t>
            </w:r>
          </w:p>
        </w:tc>
        <w:tc>
          <w:tcPr>
            <w:tcW w:w="1223" w:type="dxa"/>
            <w:shd w:val="clear" w:color="auto" w:fill="auto"/>
          </w:tcPr>
          <w:p w14:paraId="1377C169" w14:textId="6674E52B"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8"/>
                <w14:textFill>
                  <w14:solidFill>
                    <w14:srgbClr w14:val="000000">
                      <w14:alpha w14:val="100000"/>
                    </w14:srgbClr>
                  </w14:solidFill>
                </w14:textFill>
              </w:rPr>
              <w:t>|||</w:t>
            </w:r>
            <w:r w:rsidRPr="00F111EB">
              <w:rPr>
                <w:color w:val="000000"/>
                <w:spacing w:val="2"/>
                <w:shd w:val="solid" w:color="000000" w:fill="000000"/>
                <w:fitText w:val="325" w:id="-761014008"/>
                <w14:textFill>
                  <w14:solidFill>
                    <w14:srgbClr w14:val="000000">
                      <w14:alpha w14:val="100000"/>
                    </w14:srgbClr>
                  </w14:solidFill>
                </w14:textFill>
              </w:rPr>
              <w:t>|</w:t>
            </w:r>
            <w:r w:rsidR="00266954" w:rsidRPr="000A2D9D">
              <w:rPr>
                <w:vertAlign w:val="superscript"/>
              </w:rPr>
              <w:t>17</w:t>
            </w:r>
          </w:p>
        </w:tc>
        <w:tc>
          <w:tcPr>
            <w:tcW w:w="1208" w:type="dxa"/>
            <w:shd w:val="clear" w:color="auto" w:fill="auto"/>
          </w:tcPr>
          <w:p w14:paraId="7443874C" w14:textId="76347746"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7"/>
                <w14:textFill>
                  <w14:solidFill>
                    <w14:srgbClr w14:val="000000">
                      <w14:alpha w14:val="100000"/>
                    </w14:srgbClr>
                  </w14:solidFill>
                </w14:textFill>
              </w:rPr>
              <w:t>|||</w:t>
            </w:r>
            <w:r w:rsidRPr="00F111EB">
              <w:rPr>
                <w:color w:val="000000"/>
                <w:spacing w:val="3"/>
                <w:shd w:val="solid" w:color="000000" w:fill="000000"/>
                <w:fitText w:val="326" w:id="-761014007"/>
                <w14:textFill>
                  <w14:solidFill>
                    <w14:srgbClr w14:val="000000">
                      <w14:alpha w14:val="100000"/>
                    </w14:srgbClr>
                  </w14:solidFill>
                </w14:textFill>
              </w:rPr>
              <w:t>|</w:t>
            </w:r>
            <w:r w:rsidR="002F6EE3" w:rsidRPr="002F6EE3">
              <w:rPr>
                <w:vertAlign w:val="superscript"/>
              </w:rPr>
              <w:t>18</w:t>
            </w:r>
          </w:p>
        </w:tc>
        <w:tc>
          <w:tcPr>
            <w:tcW w:w="1208" w:type="dxa"/>
            <w:shd w:val="clear" w:color="auto" w:fill="auto"/>
          </w:tcPr>
          <w:p w14:paraId="5DAA6A9D" w14:textId="4FAA9225"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6"/>
                <w14:textFill>
                  <w14:solidFill>
                    <w14:srgbClr w14:val="000000">
                      <w14:alpha w14:val="100000"/>
                    </w14:srgbClr>
                  </w14:solidFill>
                </w14:textFill>
              </w:rPr>
              <w:t>|||</w:t>
            </w:r>
            <w:r w:rsidRPr="00F111EB">
              <w:rPr>
                <w:color w:val="000000"/>
                <w:spacing w:val="2"/>
                <w:shd w:val="solid" w:color="000000" w:fill="000000"/>
                <w:fitText w:val="325" w:id="-761014006"/>
                <w14:textFill>
                  <w14:solidFill>
                    <w14:srgbClr w14:val="000000">
                      <w14:alpha w14:val="100000"/>
                    </w14:srgbClr>
                  </w14:solidFill>
                </w14:textFill>
              </w:rPr>
              <w:t>|</w:t>
            </w:r>
            <w:r w:rsidR="002F6EE3" w:rsidRPr="002F6EE3">
              <w:rPr>
                <w:vertAlign w:val="superscript"/>
              </w:rPr>
              <w:t>18</w:t>
            </w:r>
          </w:p>
        </w:tc>
        <w:tc>
          <w:tcPr>
            <w:tcW w:w="1207" w:type="dxa"/>
            <w:shd w:val="clear" w:color="auto" w:fill="auto"/>
          </w:tcPr>
          <w:p w14:paraId="6DC8FA8D" w14:textId="24EFAEC6" w:rsidR="00124B29" w:rsidRPr="000B2DDE" w:rsidRDefault="00F111EB" w:rsidP="00124B29">
            <w:pPr>
              <w:pStyle w:val="COMTabletext"/>
              <w:jc w:val="center"/>
              <w:rPr>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2F6EE3" w:rsidRPr="002F6EE3">
              <w:rPr>
                <w:vertAlign w:val="superscript"/>
              </w:rPr>
              <w:t>18</w:t>
            </w:r>
          </w:p>
        </w:tc>
        <w:tc>
          <w:tcPr>
            <w:tcW w:w="1210" w:type="dxa"/>
            <w:shd w:val="clear" w:color="auto" w:fill="auto"/>
          </w:tcPr>
          <w:p w14:paraId="5240D42E" w14:textId="314AADE6"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4"/>
                <w14:textFill>
                  <w14:solidFill>
                    <w14:srgbClr w14:val="000000">
                      <w14:alpha w14:val="100000"/>
                    </w14:srgbClr>
                  </w14:solidFill>
                </w14:textFill>
              </w:rPr>
              <w:t>|||</w:t>
            </w:r>
            <w:r w:rsidRPr="00F111EB">
              <w:rPr>
                <w:color w:val="000000"/>
                <w:spacing w:val="3"/>
                <w:shd w:val="solid" w:color="000000" w:fill="000000"/>
                <w:fitText w:val="326" w:id="-761014004"/>
                <w14:textFill>
                  <w14:solidFill>
                    <w14:srgbClr w14:val="000000">
                      <w14:alpha w14:val="100000"/>
                    </w14:srgbClr>
                  </w14:solidFill>
                </w14:textFill>
              </w:rPr>
              <w:t>|</w:t>
            </w:r>
            <w:r w:rsidR="002F6EE3" w:rsidRPr="002F6EE3">
              <w:rPr>
                <w:vertAlign w:val="superscript"/>
              </w:rPr>
              <w:t>18</w:t>
            </w:r>
          </w:p>
        </w:tc>
        <w:tc>
          <w:tcPr>
            <w:tcW w:w="1210" w:type="dxa"/>
            <w:shd w:val="clear" w:color="auto" w:fill="auto"/>
          </w:tcPr>
          <w:p w14:paraId="1C18C45A" w14:textId="00509DF5" w:rsidR="00124B29" w:rsidRPr="000B2DDE" w:rsidRDefault="00F111EB" w:rsidP="00124B29">
            <w:pPr>
              <w:pStyle w:val="COMTabletext"/>
              <w:jc w:val="center"/>
              <w:rPr>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E270F2" w:rsidRPr="00E270F2">
              <w:rPr>
                <w:vertAlign w:val="superscript"/>
              </w:rPr>
              <w:t>19</w:t>
            </w:r>
          </w:p>
        </w:tc>
      </w:tr>
      <w:tr w:rsidR="00124B29" w:rsidRPr="0076762E" w14:paraId="5B9E2BDB" w14:textId="77777777" w:rsidTr="00003BD7">
        <w:tc>
          <w:tcPr>
            <w:tcW w:w="1801" w:type="dxa"/>
            <w:shd w:val="clear" w:color="auto" w:fill="B8CCE4" w:themeFill="accent1" w:themeFillTint="66"/>
            <w:vAlign w:val="center"/>
          </w:tcPr>
          <w:p w14:paraId="04272C47" w14:textId="77777777" w:rsidR="00124B29" w:rsidRPr="0076762E" w:rsidRDefault="00124B29" w:rsidP="00124B29">
            <w:pPr>
              <w:keepNext/>
              <w:jc w:val="left"/>
              <w:rPr>
                <w:rFonts w:ascii="Arial Narrow" w:eastAsiaTheme="majorEastAsia" w:hAnsi="Arial Narrow" w:cstheme="majorBidi"/>
                <w:bCs/>
                <w:sz w:val="20"/>
              </w:rPr>
            </w:pPr>
            <w:r w:rsidRPr="0076762E">
              <w:rPr>
                <w:rFonts w:ascii="Arial Narrow" w:eastAsiaTheme="majorEastAsia" w:hAnsi="Arial Narrow" w:cstheme="majorBidi"/>
                <w:bCs/>
                <w:sz w:val="20"/>
              </w:rPr>
              <w:t>July 2023 submission total tirzepatide scripts</w:t>
            </w:r>
          </w:p>
        </w:tc>
        <w:tc>
          <w:tcPr>
            <w:tcW w:w="1223" w:type="dxa"/>
            <w:shd w:val="clear" w:color="auto" w:fill="B8CCE4" w:themeFill="accent1" w:themeFillTint="66"/>
            <w:vAlign w:val="center"/>
          </w:tcPr>
          <w:p w14:paraId="6DDA639A" w14:textId="090FCAB0"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02"/>
                <w14:textFill>
                  <w14:solidFill>
                    <w14:srgbClr w14:val="000000">
                      <w14:alpha w14:val="100000"/>
                    </w14:srgbClr>
                  </w14:solidFill>
                </w14:textFill>
              </w:rPr>
              <w:t>|||</w:t>
            </w:r>
            <w:r w:rsidRPr="00F111EB">
              <w:rPr>
                <w:color w:val="000000"/>
                <w:spacing w:val="2"/>
                <w:shd w:val="solid" w:color="000000" w:fill="000000"/>
                <w:fitText w:val="325" w:id="-761014002"/>
                <w14:textFill>
                  <w14:solidFill>
                    <w14:srgbClr w14:val="000000">
                      <w14:alpha w14:val="100000"/>
                    </w14:srgbClr>
                  </w14:solidFill>
                </w14:textFill>
              </w:rPr>
              <w:t>|</w:t>
            </w:r>
            <w:r w:rsidR="00982B7C" w:rsidRPr="00EC5876">
              <w:rPr>
                <w:vertAlign w:val="superscript"/>
              </w:rPr>
              <w:t>20</w:t>
            </w:r>
          </w:p>
        </w:tc>
        <w:tc>
          <w:tcPr>
            <w:tcW w:w="1208" w:type="dxa"/>
            <w:shd w:val="clear" w:color="auto" w:fill="B8CCE4" w:themeFill="accent1" w:themeFillTint="66"/>
            <w:vAlign w:val="center"/>
          </w:tcPr>
          <w:p w14:paraId="6E2BF38B" w14:textId="45900EF6"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01"/>
                <w14:textFill>
                  <w14:solidFill>
                    <w14:srgbClr w14:val="000000">
                      <w14:alpha w14:val="100000"/>
                    </w14:srgbClr>
                  </w14:solidFill>
                </w14:textFill>
              </w:rPr>
              <w:t>|||</w:t>
            </w:r>
            <w:r w:rsidRPr="00F111EB">
              <w:rPr>
                <w:color w:val="000000"/>
                <w:spacing w:val="3"/>
                <w:shd w:val="solid" w:color="000000" w:fill="000000"/>
                <w:fitText w:val="326" w:id="-761014001"/>
                <w14:textFill>
                  <w14:solidFill>
                    <w14:srgbClr w14:val="000000">
                      <w14:alpha w14:val="100000"/>
                    </w14:srgbClr>
                  </w14:solidFill>
                </w14:textFill>
              </w:rPr>
              <w:t>|</w:t>
            </w:r>
            <w:r w:rsidR="000A168E" w:rsidRPr="000A168E">
              <w:rPr>
                <w:vertAlign w:val="superscript"/>
              </w:rPr>
              <w:t>16</w:t>
            </w:r>
          </w:p>
        </w:tc>
        <w:tc>
          <w:tcPr>
            <w:tcW w:w="1208" w:type="dxa"/>
            <w:shd w:val="clear" w:color="auto" w:fill="B8CCE4" w:themeFill="accent1" w:themeFillTint="66"/>
            <w:vAlign w:val="center"/>
          </w:tcPr>
          <w:p w14:paraId="272B0B37" w14:textId="57FA6F5B"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00"/>
                <w14:textFill>
                  <w14:solidFill>
                    <w14:srgbClr w14:val="000000">
                      <w14:alpha w14:val="100000"/>
                    </w14:srgbClr>
                  </w14:solidFill>
                </w14:textFill>
              </w:rPr>
              <w:t>|||</w:t>
            </w:r>
            <w:r w:rsidRPr="00F111EB">
              <w:rPr>
                <w:color w:val="000000"/>
                <w:spacing w:val="2"/>
                <w:shd w:val="solid" w:color="000000" w:fill="000000"/>
                <w:fitText w:val="325" w:id="-761014000"/>
                <w14:textFill>
                  <w14:solidFill>
                    <w14:srgbClr w14:val="000000">
                      <w14:alpha w14:val="100000"/>
                    </w14:srgbClr>
                  </w14:solidFill>
                </w14:textFill>
              </w:rPr>
              <w:t>|</w:t>
            </w:r>
            <w:r w:rsidR="000A168E" w:rsidRPr="000A168E">
              <w:rPr>
                <w:vertAlign w:val="superscript"/>
              </w:rPr>
              <w:t>16</w:t>
            </w:r>
          </w:p>
        </w:tc>
        <w:tc>
          <w:tcPr>
            <w:tcW w:w="1207" w:type="dxa"/>
            <w:shd w:val="clear" w:color="auto" w:fill="B8CCE4" w:themeFill="accent1" w:themeFillTint="66"/>
            <w:vAlign w:val="center"/>
          </w:tcPr>
          <w:p w14:paraId="395A103A" w14:textId="42387115" w:rsidR="00124B29" w:rsidRPr="00063A82" w:rsidRDefault="00F111EB" w:rsidP="00124B29">
            <w:pPr>
              <w:pStyle w:val="COMTabletext"/>
              <w:jc w:val="center"/>
              <w:rPr>
                <w:highlight w:val="darkGray"/>
              </w:rPr>
            </w:pPr>
            <w:r w:rsidRPr="00F111EB">
              <w:rPr>
                <w:color w:val="000000"/>
                <w:spacing w:val="51"/>
                <w:shd w:val="solid" w:color="000000" w:fill="000000"/>
                <w:fitText w:val="325" w:id="-761014016"/>
                <w14:textFill>
                  <w14:solidFill>
                    <w14:srgbClr w14:val="000000">
                      <w14:alpha w14:val="100000"/>
                    </w14:srgbClr>
                  </w14:solidFill>
                </w14:textFill>
              </w:rPr>
              <w:t>|||</w:t>
            </w:r>
            <w:r w:rsidRPr="00F111EB">
              <w:rPr>
                <w:color w:val="000000"/>
                <w:spacing w:val="2"/>
                <w:shd w:val="solid" w:color="000000" w:fill="000000"/>
                <w:fitText w:val="325" w:id="-761014016"/>
                <w14:textFill>
                  <w14:solidFill>
                    <w14:srgbClr w14:val="000000">
                      <w14:alpha w14:val="100000"/>
                    </w14:srgbClr>
                  </w14:solidFill>
                </w14:textFill>
              </w:rPr>
              <w:t>|</w:t>
            </w:r>
            <w:r w:rsidR="000A168E" w:rsidRPr="000A168E">
              <w:rPr>
                <w:vertAlign w:val="superscript"/>
              </w:rPr>
              <w:t>17</w:t>
            </w:r>
          </w:p>
        </w:tc>
        <w:tc>
          <w:tcPr>
            <w:tcW w:w="1210" w:type="dxa"/>
            <w:shd w:val="clear" w:color="auto" w:fill="B8CCE4" w:themeFill="accent1" w:themeFillTint="66"/>
            <w:vAlign w:val="center"/>
          </w:tcPr>
          <w:p w14:paraId="4F2D5357" w14:textId="6C3F99EB"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15"/>
                <w14:textFill>
                  <w14:solidFill>
                    <w14:srgbClr w14:val="000000">
                      <w14:alpha w14:val="100000"/>
                    </w14:srgbClr>
                  </w14:solidFill>
                </w14:textFill>
              </w:rPr>
              <w:t>|||</w:t>
            </w:r>
            <w:r w:rsidRPr="00F111EB">
              <w:rPr>
                <w:color w:val="000000"/>
                <w:spacing w:val="3"/>
                <w:shd w:val="solid" w:color="000000" w:fill="000000"/>
                <w:fitText w:val="326" w:id="-761014015"/>
                <w14:textFill>
                  <w14:solidFill>
                    <w14:srgbClr w14:val="000000">
                      <w14:alpha w14:val="100000"/>
                    </w14:srgbClr>
                  </w14:solidFill>
                </w14:textFill>
              </w:rPr>
              <w:t>|</w:t>
            </w:r>
            <w:r w:rsidR="000A168E" w:rsidRPr="000A168E">
              <w:rPr>
                <w:vertAlign w:val="superscript"/>
              </w:rPr>
              <w:t>17</w:t>
            </w:r>
          </w:p>
        </w:tc>
        <w:tc>
          <w:tcPr>
            <w:tcW w:w="1210" w:type="dxa"/>
            <w:shd w:val="clear" w:color="auto" w:fill="B8CCE4" w:themeFill="accent1" w:themeFillTint="66"/>
            <w:vAlign w:val="center"/>
          </w:tcPr>
          <w:p w14:paraId="18E31B62" w14:textId="7B395381" w:rsidR="00124B29" w:rsidRPr="00063A82" w:rsidRDefault="00F111EB" w:rsidP="00124B29">
            <w:pPr>
              <w:pStyle w:val="COMTabletext"/>
              <w:jc w:val="center"/>
              <w:rPr>
                <w:highlight w:val="darkGray"/>
              </w:rPr>
            </w:pPr>
            <w:r w:rsidRPr="00F111EB">
              <w:rPr>
                <w:color w:val="000000"/>
                <w:spacing w:val="51"/>
                <w:shd w:val="solid" w:color="000000" w:fill="000000"/>
                <w:fitText w:val="326" w:id="-761014014"/>
                <w14:textFill>
                  <w14:solidFill>
                    <w14:srgbClr w14:val="000000">
                      <w14:alpha w14:val="100000"/>
                    </w14:srgbClr>
                  </w14:solidFill>
                </w14:textFill>
              </w:rPr>
              <w:t>|||</w:t>
            </w:r>
            <w:r w:rsidRPr="00F111EB">
              <w:rPr>
                <w:color w:val="000000"/>
                <w:spacing w:val="3"/>
                <w:shd w:val="solid" w:color="000000" w:fill="000000"/>
                <w:fitText w:val="326" w:id="-761014014"/>
                <w14:textFill>
                  <w14:solidFill>
                    <w14:srgbClr w14:val="000000">
                      <w14:alpha w14:val="100000"/>
                    </w14:srgbClr>
                  </w14:solidFill>
                </w14:textFill>
              </w:rPr>
              <w:t>|</w:t>
            </w:r>
            <w:r w:rsidR="000A168E" w:rsidRPr="000A168E">
              <w:rPr>
                <w:vertAlign w:val="superscript"/>
              </w:rPr>
              <w:t>17</w:t>
            </w:r>
          </w:p>
        </w:tc>
      </w:tr>
      <w:tr w:rsidR="00124B29" w:rsidRPr="0076762E" w14:paraId="68CE66F4" w14:textId="77777777" w:rsidTr="004B2660">
        <w:tc>
          <w:tcPr>
            <w:tcW w:w="1801" w:type="dxa"/>
            <w:shd w:val="clear" w:color="auto" w:fill="B8CCE4" w:themeFill="accent1" w:themeFillTint="66"/>
            <w:vAlign w:val="center"/>
          </w:tcPr>
          <w:p w14:paraId="277F07E4" w14:textId="6EB33FF2" w:rsidR="00124B29" w:rsidRPr="001F3166" w:rsidRDefault="00124B29" w:rsidP="00124B29">
            <w:pPr>
              <w:keepNext/>
              <w:jc w:val="left"/>
              <w:rPr>
                <w:rFonts w:ascii="Arial Narrow" w:eastAsiaTheme="majorEastAsia" w:hAnsi="Arial Narrow" w:cstheme="majorBidi"/>
                <w:bCs/>
                <w:sz w:val="20"/>
              </w:rPr>
            </w:pPr>
            <w:r w:rsidRPr="001F3166">
              <w:rPr>
                <w:rFonts w:ascii="Arial Narrow" w:eastAsiaTheme="majorEastAsia" w:hAnsi="Arial Narrow" w:cstheme="majorBidi"/>
                <w:bCs/>
                <w:sz w:val="20"/>
              </w:rPr>
              <w:t>Change from July 2023</w:t>
            </w:r>
          </w:p>
        </w:tc>
        <w:tc>
          <w:tcPr>
            <w:tcW w:w="1223" w:type="dxa"/>
            <w:shd w:val="clear" w:color="auto" w:fill="B8CCE4" w:themeFill="accent1" w:themeFillTint="66"/>
          </w:tcPr>
          <w:p w14:paraId="4F5E6F39" w14:textId="693DB097" w:rsidR="00124B29" w:rsidRPr="00A340EF" w:rsidRDefault="00124B29" w:rsidP="00124B29">
            <w:pPr>
              <w:pStyle w:val="COMTabletext"/>
              <w:jc w:val="center"/>
            </w:pPr>
            <w:r w:rsidRPr="00A340EF">
              <w:t>348%</w:t>
            </w:r>
          </w:p>
        </w:tc>
        <w:tc>
          <w:tcPr>
            <w:tcW w:w="1208" w:type="dxa"/>
            <w:shd w:val="clear" w:color="auto" w:fill="B8CCE4" w:themeFill="accent1" w:themeFillTint="66"/>
          </w:tcPr>
          <w:p w14:paraId="74DDBCCA" w14:textId="3BBD92B6" w:rsidR="00124B29" w:rsidRPr="00A340EF" w:rsidRDefault="00124B29" w:rsidP="00124B29">
            <w:pPr>
              <w:pStyle w:val="COMTabletext"/>
              <w:jc w:val="center"/>
            </w:pPr>
            <w:r w:rsidRPr="00A340EF">
              <w:t>253%</w:t>
            </w:r>
          </w:p>
        </w:tc>
        <w:tc>
          <w:tcPr>
            <w:tcW w:w="1208" w:type="dxa"/>
            <w:shd w:val="clear" w:color="auto" w:fill="B8CCE4" w:themeFill="accent1" w:themeFillTint="66"/>
          </w:tcPr>
          <w:p w14:paraId="79A07E7A" w14:textId="2E8567E1" w:rsidR="00124B29" w:rsidRPr="00A340EF" w:rsidRDefault="00124B29" w:rsidP="00124B29">
            <w:pPr>
              <w:pStyle w:val="COMTabletext"/>
              <w:jc w:val="center"/>
            </w:pPr>
            <w:r w:rsidRPr="00A340EF">
              <w:t>248%</w:t>
            </w:r>
          </w:p>
        </w:tc>
        <w:tc>
          <w:tcPr>
            <w:tcW w:w="1207" w:type="dxa"/>
            <w:shd w:val="clear" w:color="auto" w:fill="B8CCE4" w:themeFill="accent1" w:themeFillTint="66"/>
          </w:tcPr>
          <w:p w14:paraId="1D20FA25" w14:textId="3EB629F5" w:rsidR="00124B29" w:rsidRPr="00A340EF" w:rsidRDefault="00124B29" w:rsidP="00124B29">
            <w:pPr>
              <w:pStyle w:val="COMTabletext"/>
              <w:jc w:val="center"/>
            </w:pPr>
            <w:r w:rsidRPr="00A340EF">
              <w:t>228%</w:t>
            </w:r>
          </w:p>
        </w:tc>
        <w:tc>
          <w:tcPr>
            <w:tcW w:w="1210" w:type="dxa"/>
            <w:shd w:val="clear" w:color="auto" w:fill="B8CCE4" w:themeFill="accent1" w:themeFillTint="66"/>
          </w:tcPr>
          <w:p w14:paraId="15291F9B" w14:textId="29CDDAA4" w:rsidR="00124B29" w:rsidRPr="00A340EF" w:rsidRDefault="00124B29" w:rsidP="00124B29">
            <w:pPr>
              <w:pStyle w:val="COMTabletext"/>
              <w:jc w:val="center"/>
            </w:pPr>
            <w:r w:rsidRPr="00A340EF">
              <w:t>226%</w:t>
            </w:r>
          </w:p>
        </w:tc>
        <w:tc>
          <w:tcPr>
            <w:tcW w:w="1210" w:type="dxa"/>
            <w:shd w:val="clear" w:color="auto" w:fill="B8CCE4" w:themeFill="accent1" w:themeFillTint="66"/>
          </w:tcPr>
          <w:p w14:paraId="65AE3FB1" w14:textId="15CCA0A1" w:rsidR="00124B29" w:rsidRPr="00A340EF" w:rsidRDefault="00124B29" w:rsidP="00124B29">
            <w:pPr>
              <w:pStyle w:val="COMTabletext"/>
              <w:jc w:val="center"/>
            </w:pPr>
            <w:r w:rsidRPr="00A340EF">
              <w:t>225%</w:t>
            </w:r>
          </w:p>
        </w:tc>
      </w:tr>
      <w:tr w:rsidR="00124B29" w:rsidRPr="0076762E" w14:paraId="101A4DA8" w14:textId="77777777" w:rsidTr="00A1032E">
        <w:tc>
          <w:tcPr>
            <w:tcW w:w="9067" w:type="dxa"/>
            <w:gridSpan w:val="7"/>
            <w:shd w:val="clear" w:color="auto" w:fill="auto"/>
            <w:vAlign w:val="center"/>
          </w:tcPr>
          <w:p w14:paraId="5E0565AC" w14:textId="2A21FE1B" w:rsidR="00124B29" w:rsidRPr="0076762E" w:rsidRDefault="00124B29" w:rsidP="00124B29">
            <w:pPr>
              <w:pStyle w:val="COMTableheadingrow"/>
              <w:rPr>
                <w:rFonts w:cstheme="majorBidi"/>
                <w:bCs/>
                <w:lang w:val="en-AU"/>
              </w:rPr>
            </w:pPr>
            <w:r w:rsidRPr="0076762E">
              <w:rPr>
                <w:lang w:val="en-AU"/>
              </w:rPr>
              <w:t>Estimated financial impact</w:t>
            </w:r>
          </w:p>
        </w:tc>
      </w:tr>
      <w:tr w:rsidR="00124B29" w:rsidRPr="00455C69" w14:paraId="22EBF785" w14:textId="77777777" w:rsidTr="00891B3B">
        <w:tc>
          <w:tcPr>
            <w:tcW w:w="1801" w:type="dxa"/>
            <w:shd w:val="clear" w:color="auto" w:fill="auto"/>
            <w:vAlign w:val="center"/>
          </w:tcPr>
          <w:p w14:paraId="6C0482FA" w14:textId="090EEC99" w:rsidR="00124B29" w:rsidRPr="00455C69" w:rsidRDefault="00124B29" w:rsidP="00124B29">
            <w:pPr>
              <w:keepNext/>
              <w:jc w:val="left"/>
              <w:rPr>
                <w:rFonts w:ascii="Arial Narrow" w:eastAsiaTheme="majorEastAsia" w:hAnsi="Arial Narrow" w:cstheme="majorBidi"/>
                <w:bCs/>
                <w:sz w:val="20"/>
              </w:rPr>
            </w:pPr>
            <w:r w:rsidRPr="00455C69">
              <w:rPr>
                <w:rFonts w:ascii="Arial Narrow" w:eastAsiaTheme="majorEastAsia" w:hAnsi="Arial Narrow" w:cstheme="majorBidi"/>
                <w:bCs/>
                <w:sz w:val="20"/>
              </w:rPr>
              <w:t>Cost to PBS/RPBS cost less copayments</w:t>
            </w:r>
          </w:p>
        </w:tc>
        <w:tc>
          <w:tcPr>
            <w:tcW w:w="1223" w:type="dxa"/>
            <w:shd w:val="clear" w:color="auto" w:fill="auto"/>
            <w:vAlign w:val="center"/>
          </w:tcPr>
          <w:p w14:paraId="0421B260" w14:textId="43543B21"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3"/>
                <w14:textFill>
                  <w14:solidFill>
                    <w14:srgbClr w14:val="000000">
                      <w14:alpha w14:val="100000"/>
                    </w14:srgbClr>
                  </w14:solidFill>
                </w14:textFill>
              </w:rPr>
              <w:t>|||</w:t>
            </w:r>
            <w:r w:rsidRPr="00F111EB">
              <w:rPr>
                <w:color w:val="000000"/>
                <w:spacing w:val="2"/>
                <w:shd w:val="solid" w:color="000000" w:fill="000000"/>
                <w:fitText w:val="325" w:id="-761014013"/>
                <w14:textFill>
                  <w14:solidFill>
                    <w14:srgbClr w14:val="000000">
                      <w14:alpha w14:val="100000"/>
                    </w14:srgbClr>
                  </w14:solidFill>
                </w14:textFill>
              </w:rPr>
              <w:t>|</w:t>
            </w:r>
            <w:r w:rsidR="00FE7F3A" w:rsidRPr="00FE7F3A">
              <w:rPr>
                <w:vertAlign w:val="superscript"/>
              </w:rPr>
              <w:t>21</w:t>
            </w:r>
          </w:p>
        </w:tc>
        <w:tc>
          <w:tcPr>
            <w:tcW w:w="1208" w:type="dxa"/>
            <w:shd w:val="clear" w:color="auto" w:fill="auto"/>
            <w:vAlign w:val="center"/>
          </w:tcPr>
          <w:p w14:paraId="1BC4C29A" w14:textId="6315CC45"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12"/>
                <w14:textFill>
                  <w14:solidFill>
                    <w14:srgbClr w14:val="000000">
                      <w14:alpha w14:val="100000"/>
                    </w14:srgbClr>
                  </w14:solidFill>
                </w14:textFill>
              </w:rPr>
              <w:t>|||</w:t>
            </w:r>
            <w:r w:rsidRPr="00F111EB">
              <w:rPr>
                <w:color w:val="000000"/>
                <w:spacing w:val="3"/>
                <w:shd w:val="solid" w:color="000000" w:fill="000000"/>
                <w:fitText w:val="326" w:id="-761014012"/>
                <w14:textFill>
                  <w14:solidFill>
                    <w14:srgbClr w14:val="000000">
                      <w14:alpha w14:val="100000"/>
                    </w14:srgbClr>
                  </w14:solidFill>
                </w14:textFill>
              </w:rPr>
              <w:t>|</w:t>
            </w:r>
            <w:r w:rsidR="00CA7395" w:rsidRPr="00CA7395">
              <w:rPr>
                <w:vertAlign w:val="superscript"/>
              </w:rPr>
              <w:t>22</w:t>
            </w:r>
          </w:p>
        </w:tc>
        <w:tc>
          <w:tcPr>
            <w:tcW w:w="1208" w:type="dxa"/>
            <w:shd w:val="clear" w:color="auto" w:fill="auto"/>
            <w:vAlign w:val="center"/>
          </w:tcPr>
          <w:p w14:paraId="666A4A7C" w14:textId="0FEC94E6"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1"/>
                <w14:textFill>
                  <w14:solidFill>
                    <w14:srgbClr w14:val="000000">
                      <w14:alpha w14:val="100000"/>
                    </w14:srgbClr>
                  </w14:solidFill>
                </w14:textFill>
              </w:rPr>
              <w:t>|||</w:t>
            </w:r>
            <w:r w:rsidRPr="00F111EB">
              <w:rPr>
                <w:color w:val="000000"/>
                <w:spacing w:val="2"/>
                <w:shd w:val="solid" w:color="000000" w:fill="000000"/>
                <w:fitText w:val="325" w:id="-761014011"/>
                <w14:textFill>
                  <w14:solidFill>
                    <w14:srgbClr w14:val="000000">
                      <w14:alpha w14:val="100000"/>
                    </w14:srgbClr>
                  </w14:solidFill>
                </w14:textFill>
              </w:rPr>
              <w:t>|</w:t>
            </w:r>
            <w:r w:rsidR="00F84696" w:rsidRPr="00294AFD">
              <w:rPr>
                <w:vertAlign w:val="superscript"/>
              </w:rPr>
              <w:t>23</w:t>
            </w:r>
          </w:p>
        </w:tc>
        <w:tc>
          <w:tcPr>
            <w:tcW w:w="1207" w:type="dxa"/>
            <w:shd w:val="clear" w:color="auto" w:fill="auto"/>
            <w:vAlign w:val="center"/>
          </w:tcPr>
          <w:p w14:paraId="16B86E43" w14:textId="02F11574" w:rsidR="00124B29" w:rsidRPr="00D54A9A" w:rsidRDefault="00F111EB" w:rsidP="00124B29">
            <w:pPr>
              <w:pStyle w:val="COMTabletext"/>
              <w:jc w:val="center"/>
              <w:rPr>
                <w:highlight w:val="darkGray"/>
              </w:rPr>
            </w:pPr>
            <w:r w:rsidRPr="00F111EB">
              <w:rPr>
                <w:color w:val="000000"/>
                <w:spacing w:val="51"/>
                <w:shd w:val="solid" w:color="000000" w:fill="000000"/>
                <w:fitText w:val="325" w:id="-761014010"/>
                <w14:textFill>
                  <w14:solidFill>
                    <w14:srgbClr w14:val="000000">
                      <w14:alpha w14:val="100000"/>
                    </w14:srgbClr>
                  </w14:solidFill>
                </w14:textFill>
              </w:rPr>
              <w:t>|||</w:t>
            </w:r>
            <w:r w:rsidRPr="00F111EB">
              <w:rPr>
                <w:color w:val="000000"/>
                <w:spacing w:val="2"/>
                <w:shd w:val="solid" w:color="000000" w:fill="000000"/>
                <w:fitText w:val="325" w:id="-761014010"/>
                <w14:textFill>
                  <w14:solidFill>
                    <w14:srgbClr w14:val="000000">
                      <w14:alpha w14:val="100000"/>
                    </w14:srgbClr>
                  </w14:solidFill>
                </w14:textFill>
              </w:rPr>
              <w:t>|</w:t>
            </w:r>
            <w:r w:rsidR="00440A5A" w:rsidRPr="00294AFD">
              <w:rPr>
                <w:vertAlign w:val="superscript"/>
              </w:rPr>
              <w:t>23</w:t>
            </w:r>
          </w:p>
        </w:tc>
        <w:tc>
          <w:tcPr>
            <w:tcW w:w="1210" w:type="dxa"/>
            <w:shd w:val="clear" w:color="auto" w:fill="auto"/>
            <w:vAlign w:val="center"/>
          </w:tcPr>
          <w:p w14:paraId="3C6AB371" w14:textId="3C11B8AC"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09"/>
                <w14:textFill>
                  <w14:solidFill>
                    <w14:srgbClr w14:val="000000">
                      <w14:alpha w14:val="100000"/>
                    </w14:srgbClr>
                  </w14:solidFill>
                </w14:textFill>
              </w:rPr>
              <w:t>|||</w:t>
            </w:r>
            <w:r w:rsidRPr="00F111EB">
              <w:rPr>
                <w:color w:val="000000"/>
                <w:spacing w:val="3"/>
                <w:shd w:val="solid" w:color="000000" w:fill="000000"/>
                <w:fitText w:val="326" w:id="-761014009"/>
                <w14:textFill>
                  <w14:solidFill>
                    <w14:srgbClr w14:val="000000">
                      <w14:alpha w14:val="100000"/>
                    </w14:srgbClr>
                  </w14:solidFill>
                </w14:textFill>
              </w:rPr>
              <w:t>|</w:t>
            </w:r>
            <w:r w:rsidR="00F84696" w:rsidRPr="00294AFD">
              <w:rPr>
                <w:vertAlign w:val="superscript"/>
              </w:rPr>
              <w:t>23</w:t>
            </w:r>
          </w:p>
        </w:tc>
        <w:tc>
          <w:tcPr>
            <w:tcW w:w="1210" w:type="dxa"/>
            <w:shd w:val="clear" w:color="auto" w:fill="auto"/>
            <w:vAlign w:val="center"/>
          </w:tcPr>
          <w:p w14:paraId="6472CB3E" w14:textId="2F6ABCC6" w:rsidR="00124B29" w:rsidRPr="00D54A9A" w:rsidRDefault="00F111EB" w:rsidP="00124B29">
            <w:pPr>
              <w:pStyle w:val="COMTabletext"/>
              <w:jc w:val="center"/>
              <w:rPr>
                <w:highlight w:val="darkGray"/>
              </w:rPr>
            </w:pPr>
            <w:r w:rsidRPr="00F111EB">
              <w:rPr>
                <w:color w:val="000000"/>
                <w:spacing w:val="51"/>
                <w:shd w:val="solid" w:color="000000" w:fill="000000"/>
                <w:fitText w:val="326" w:id="-761014008"/>
                <w14:textFill>
                  <w14:solidFill>
                    <w14:srgbClr w14:val="000000">
                      <w14:alpha w14:val="100000"/>
                    </w14:srgbClr>
                  </w14:solidFill>
                </w14:textFill>
              </w:rPr>
              <w:t>|||</w:t>
            </w:r>
            <w:r w:rsidRPr="00F111EB">
              <w:rPr>
                <w:color w:val="000000"/>
                <w:spacing w:val="3"/>
                <w:shd w:val="solid" w:color="000000" w:fill="000000"/>
                <w:fitText w:val="326" w:id="-761014008"/>
                <w14:textFill>
                  <w14:solidFill>
                    <w14:srgbClr w14:val="000000">
                      <w14:alpha w14:val="100000"/>
                    </w14:srgbClr>
                  </w14:solidFill>
                </w14:textFill>
              </w:rPr>
              <w:t>|</w:t>
            </w:r>
            <w:r w:rsidR="00F84696" w:rsidRPr="00294AFD">
              <w:rPr>
                <w:vertAlign w:val="superscript"/>
              </w:rPr>
              <w:t>23</w:t>
            </w:r>
          </w:p>
        </w:tc>
      </w:tr>
      <w:tr w:rsidR="00124B29" w:rsidRPr="0076762E" w14:paraId="6FE28C7D" w14:textId="77777777" w:rsidTr="00891B3B">
        <w:tc>
          <w:tcPr>
            <w:tcW w:w="1801" w:type="dxa"/>
            <w:shd w:val="clear" w:color="auto" w:fill="auto"/>
            <w:vAlign w:val="center"/>
          </w:tcPr>
          <w:p w14:paraId="411053F2" w14:textId="4780B12D" w:rsidR="00124B29" w:rsidRPr="00D20950" w:rsidRDefault="00124B29" w:rsidP="00124B29">
            <w:pPr>
              <w:keepNext/>
              <w:jc w:val="left"/>
              <w:rPr>
                <w:rFonts w:ascii="Arial Narrow" w:eastAsiaTheme="majorEastAsia" w:hAnsi="Arial Narrow" w:cstheme="majorBidi"/>
                <w:bCs/>
                <w:sz w:val="20"/>
              </w:rPr>
            </w:pPr>
            <w:r>
              <w:rPr>
                <w:rFonts w:ascii="Arial Narrow" w:eastAsiaTheme="majorEastAsia" w:hAnsi="Arial Narrow" w:cstheme="majorBidi"/>
                <w:bCs/>
                <w:sz w:val="20"/>
              </w:rPr>
              <w:t>Cost offset less copayment, substituted semaglutide/dulaglutide</w:t>
            </w:r>
          </w:p>
        </w:tc>
        <w:tc>
          <w:tcPr>
            <w:tcW w:w="1223" w:type="dxa"/>
            <w:shd w:val="clear" w:color="auto" w:fill="auto"/>
            <w:vAlign w:val="center"/>
          </w:tcPr>
          <w:p w14:paraId="2A713A9A" w14:textId="575E023E"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7"/>
                <w14:textFill>
                  <w14:solidFill>
                    <w14:srgbClr w14:val="000000">
                      <w14:alpha w14:val="100000"/>
                    </w14:srgbClr>
                  </w14:solidFill>
                </w14:textFill>
              </w:rPr>
              <w:t>|||</w:t>
            </w:r>
            <w:r w:rsidRPr="00F111EB">
              <w:rPr>
                <w:color w:val="000000"/>
                <w:spacing w:val="2"/>
                <w:shd w:val="solid" w:color="000000" w:fill="000000"/>
                <w:fitText w:val="325" w:id="-761014007"/>
                <w14:textFill>
                  <w14:solidFill>
                    <w14:srgbClr w14:val="000000">
                      <w14:alpha w14:val="100000"/>
                    </w14:srgbClr>
                  </w14:solidFill>
                </w14:textFill>
              </w:rPr>
              <w:t>|</w:t>
            </w:r>
            <w:r w:rsidR="00440A5A" w:rsidRPr="00440A5A">
              <w:rPr>
                <w:vertAlign w:val="superscript"/>
              </w:rPr>
              <w:t>24</w:t>
            </w:r>
          </w:p>
        </w:tc>
        <w:tc>
          <w:tcPr>
            <w:tcW w:w="1208" w:type="dxa"/>
            <w:shd w:val="clear" w:color="auto" w:fill="auto"/>
            <w:vAlign w:val="center"/>
          </w:tcPr>
          <w:p w14:paraId="54E1F345" w14:textId="67F37154"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6"/>
                <w14:textFill>
                  <w14:solidFill>
                    <w14:srgbClr w14:val="000000">
                      <w14:alpha w14:val="100000"/>
                    </w14:srgbClr>
                  </w14:solidFill>
                </w14:textFill>
              </w:rPr>
              <w:t>|||</w:t>
            </w:r>
            <w:r w:rsidRPr="00F111EB">
              <w:rPr>
                <w:color w:val="000000"/>
                <w:spacing w:val="3"/>
                <w:shd w:val="solid" w:color="000000" w:fill="000000"/>
                <w:fitText w:val="326" w:id="-761014006"/>
                <w14:textFill>
                  <w14:solidFill>
                    <w14:srgbClr w14:val="000000">
                      <w14:alpha w14:val="100000"/>
                    </w14:srgbClr>
                  </w14:solidFill>
                </w14:textFill>
              </w:rPr>
              <w:t>|</w:t>
            </w:r>
            <w:r w:rsidR="00440A5A" w:rsidRPr="00440A5A">
              <w:rPr>
                <w:vertAlign w:val="superscript"/>
              </w:rPr>
              <w:t>24</w:t>
            </w:r>
          </w:p>
        </w:tc>
        <w:tc>
          <w:tcPr>
            <w:tcW w:w="1208" w:type="dxa"/>
            <w:shd w:val="clear" w:color="auto" w:fill="auto"/>
            <w:vAlign w:val="center"/>
          </w:tcPr>
          <w:p w14:paraId="7B3E8949" w14:textId="3CC70A10"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5"/>
                <w14:textFill>
                  <w14:solidFill>
                    <w14:srgbClr w14:val="000000">
                      <w14:alpha w14:val="100000"/>
                    </w14:srgbClr>
                  </w14:solidFill>
                </w14:textFill>
              </w:rPr>
              <w:t>|||</w:t>
            </w:r>
            <w:r w:rsidRPr="00F111EB">
              <w:rPr>
                <w:color w:val="000000"/>
                <w:spacing w:val="2"/>
                <w:shd w:val="solid" w:color="000000" w:fill="000000"/>
                <w:fitText w:val="325" w:id="-761014005"/>
                <w14:textFill>
                  <w14:solidFill>
                    <w14:srgbClr w14:val="000000">
                      <w14:alpha w14:val="100000"/>
                    </w14:srgbClr>
                  </w14:solidFill>
                </w14:textFill>
              </w:rPr>
              <w:t>|</w:t>
            </w:r>
            <w:r w:rsidR="00440A5A" w:rsidRPr="00440A5A">
              <w:rPr>
                <w:vertAlign w:val="superscript"/>
              </w:rPr>
              <w:t>24</w:t>
            </w:r>
          </w:p>
        </w:tc>
        <w:tc>
          <w:tcPr>
            <w:tcW w:w="1207" w:type="dxa"/>
            <w:shd w:val="clear" w:color="auto" w:fill="auto"/>
            <w:vAlign w:val="center"/>
          </w:tcPr>
          <w:p w14:paraId="2925B2F4" w14:textId="196E8CF0"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5" w:id="-761014004"/>
                <w14:textFill>
                  <w14:solidFill>
                    <w14:srgbClr w14:val="000000">
                      <w14:alpha w14:val="100000"/>
                    </w14:srgbClr>
                  </w14:solidFill>
                </w14:textFill>
              </w:rPr>
              <w:t>|||</w:t>
            </w:r>
            <w:r w:rsidRPr="00F111EB">
              <w:rPr>
                <w:color w:val="000000"/>
                <w:spacing w:val="2"/>
                <w:shd w:val="solid" w:color="000000" w:fill="000000"/>
                <w:fitText w:val="325" w:id="-761014004"/>
                <w14:textFill>
                  <w14:solidFill>
                    <w14:srgbClr w14:val="000000">
                      <w14:alpha w14:val="100000"/>
                    </w14:srgbClr>
                  </w14:solidFill>
                </w14:textFill>
              </w:rPr>
              <w:t>|</w:t>
            </w:r>
            <w:r w:rsidR="00440A5A" w:rsidRPr="00440A5A">
              <w:rPr>
                <w:vertAlign w:val="superscript"/>
              </w:rPr>
              <w:t>24</w:t>
            </w:r>
          </w:p>
        </w:tc>
        <w:tc>
          <w:tcPr>
            <w:tcW w:w="1210" w:type="dxa"/>
            <w:shd w:val="clear" w:color="auto" w:fill="auto"/>
            <w:vAlign w:val="center"/>
          </w:tcPr>
          <w:p w14:paraId="264EF0D1" w14:textId="2DB3CF13"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3"/>
                <w14:textFill>
                  <w14:solidFill>
                    <w14:srgbClr w14:val="000000">
                      <w14:alpha w14:val="100000"/>
                    </w14:srgbClr>
                  </w14:solidFill>
                </w14:textFill>
              </w:rPr>
              <w:t>|||</w:t>
            </w:r>
            <w:r w:rsidRPr="00F111EB">
              <w:rPr>
                <w:color w:val="000000"/>
                <w:spacing w:val="3"/>
                <w:shd w:val="solid" w:color="000000" w:fill="000000"/>
                <w:fitText w:val="326" w:id="-761014003"/>
                <w14:textFill>
                  <w14:solidFill>
                    <w14:srgbClr w14:val="000000">
                      <w14:alpha w14:val="100000"/>
                    </w14:srgbClr>
                  </w14:solidFill>
                </w14:textFill>
              </w:rPr>
              <w:t>|</w:t>
            </w:r>
            <w:r w:rsidR="00440A5A" w:rsidRPr="00440A5A">
              <w:rPr>
                <w:vertAlign w:val="superscript"/>
              </w:rPr>
              <w:t>24</w:t>
            </w:r>
          </w:p>
        </w:tc>
        <w:tc>
          <w:tcPr>
            <w:tcW w:w="1210" w:type="dxa"/>
            <w:shd w:val="clear" w:color="auto" w:fill="auto"/>
            <w:vAlign w:val="center"/>
          </w:tcPr>
          <w:p w14:paraId="3D7941EA" w14:textId="578FF164" w:rsidR="00124B29" w:rsidRPr="00D54A9A" w:rsidRDefault="00F111EB" w:rsidP="00124B29">
            <w:pPr>
              <w:pStyle w:val="COMTabletext"/>
              <w:jc w:val="center"/>
              <w:rPr>
                <w:b/>
                <w:bCs w:val="0"/>
                <w:highlight w:val="darkGray"/>
              </w:rPr>
            </w:pPr>
            <w:r w:rsidRPr="00F111EB">
              <w:rPr>
                <w:color w:val="000000"/>
                <w:spacing w:val="51"/>
                <w:shd w:val="solid" w:color="000000" w:fill="000000"/>
                <w:fitText w:val="326" w:id="-761014002"/>
                <w14:textFill>
                  <w14:solidFill>
                    <w14:srgbClr w14:val="000000">
                      <w14:alpha w14:val="100000"/>
                    </w14:srgbClr>
                  </w14:solidFill>
                </w14:textFill>
              </w:rPr>
              <w:t>|||</w:t>
            </w:r>
            <w:r w:rsidRPr="00F111EB">
              <w:rPr>
                <w:color w:val="000000"/>
                <w:spacing w:val="3"/>
                <w:shd w:val="solid" w:color="000000" w:fill="000000"/>
                <w:fitText w:val="326" w:id="-761014002"/>
                <w14:textFill>
                  <w14:solidFill>
                    <w14:srgbClr w14:val="000000">
                      <w14:alpha w14:val="100000"/>
                    </w14:srgbClr>
                  </w14:solidFill>
                </w14:textFill>
              </w:rPr>
              <w:t>|</w:t>
            </w:r>
            <w:r w:rsidR="00440A5A" w:rsidRPr="00440A5A">
              <w:rPr>
                <w:vertAlign w:val="superscript"/>
              </w:rPr>
              <w:t>24</w:t>
            </w:r>
          </w:p>
        </w:tc>
      </w:tr>
      <w:tr w:rsidR="00124B29" w:rsidRPr="0076762E" w14:paraId="291CA5CB" w14:textId="77777777" w:rsidTr="00891B3B">
        <w:tc>
          <w:tcPr>
            <w:tcW w:w="1801" w:type="dxa"/>
            <w:shd w:val="clear" w:color="auto" w:fill="auto"/>
            <w:vAlign w:val="center"/>
          </w:tcPr>
          <w:p w14:paraId="36B67B74" w14:textId="667A8D52" w:rsidR="00124B29" w:rsidRDefault="00124B29" w:rsidP="00124B29">
            <w:pPr>
              <w:keepNext/>
              <w:jc w:val="left"/>
              <w:rPr>
                <w:rFonts w:ascii="Arial Narrow" w:eastAsiaTheme="majorEastAsia" w:hAnsi="Arial Narrow" w:cstheme="majorBidi"/>
                <w:b/>
                <w:sz w:val="20"/>
              </w:rPr>
            </w:pPr>
            <w:r>
              <w:rPr>
                <w:rFonts w:ascii="Arial Narrow" w:eastAsiaTheme="majorEastAsia" w:hAnsi="Arial Narrow" w:cstheme="majorBidi"/>
                <w:b/>
                <w:sz w:val="20"/>
              </w:rPr>
              <w:t>Net PBS/RPBS cost</w:t>
            </w:r>
          </w:p>
        </w:tc>
        <w:tc>
          <w:tcPr>
            <w:tcW w:w="1223" w:type="dxa"/>
            <w:shd w:val="clear" w:color="auto" w:fill="auto"/>
            <w:vAlign w:val="center"/>
          </w:tcPr>
          <w:p w14:paraId="11AAF34D" w14:textId="4C719E20" w:rsidR="00124B29" w:rsidRPr="00394B9F" w:rsidRDefault="00F111EB" w:rsidP="00124B29">
            <w:pPr>
              <w:pStyle w:val="COMTabletext"/>
              <w:jc w:val="center"/>
              <w:rPr>
                <w:b/>
                <w:bCs w:val="0"/>
                <w:highlight w:val="darkGray"/>
              </w:rPr>
            </w:pPr>
            <w:r w:rsidRPr="00F111EB">
              <w:rPr>
                <w:b/>
                <w:bCs w:val="0"/>
                <w:color w:val="000000"/>
                <w:spacing w:val="59"/>
                <w:shd w:val="solid" w:color="000000" w:fill="000000"/>
                <w:fitText w:val="363" w:id="-761014001"/>
                <w14:textFill>
                  <w14:solidFill>
                    <w14:srgbClr w14:val="000000">
                      <w14:alpha w14:val="100000"/>
                    </w14:srgbClr>
                  </w14:solidFill>
                </w14:textFill>
              </w:rPr>
              <w:t>|||</w:t>
            </w:r>
            <w:r w:rsidRPr="00F111EB">
              <w:rPr>
                <w:b/>
                <w:bCs w:val="0"/>
                <w:color w:val="000000"/>
                <w:spacing w:val="3"/>
                <w:shd w:val="solid" w:color="000000" w:fill="000000"/>
                <w:fitText w:val="363" w:id="-761014001"/>
                <w14:textFill>
                  <w14:solidFill>
                    <w14:srgbClr w14:val="000000">
                      <w14:alpha w14:val="100000"/>
                    </w14:srgbClr>
                  </w14:solidFill>
                </w14:textFill>
              </w:rPr>
              <w:t>|</w:t>
            </w:r>
            <w:r w:rsidR="00A30394" w:rsidRPr="00A30394">
              <w:rPr>
                <w:b/>
                <w:bCs w:val="0"/>
                <w:vertAlign w:val="superscript"/>
              </w:rPr>
              <w:t>25</w:t>
            </w:r>
          </w:p>
        </w:tc>
        <w:tc>
          <w:tcPr>
            <w:tcW w:w="1208" w:type="dxa"/>
            <w:shd w:val="clear" w:color="auto" w:fill="auto"/>
            <w:vAlign w:val="center"/>
          </w:tcPr>
          <w:p w14:paraId="66448280" w14:textId="53D2DE38"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4000"/>
                <w14:textFill>
                  <w14:solidFill>
                    <w14:srgbClr w14:val="000000">
                      <w14:alpha w14:val="100000"/>
                    </w14:srgbClr>
                  </w14:solidFill>
                </w14:textFill>
              </w:rPr>
              <w:t>|||</w:t>
            </w:r>
            <w:r w:rsidRPr="00F111EB">
              <w:rPr>
                <w:b/>
                <w:bCs w:val="0"/>
                <w:color w:val="000000"/>
                <w:spacing w:val="2"/>
                <w:shd w:val="solid" w:color="000000" w:fill="000000"/>
                <w:fitText w:val="350" w:id="-761014000"/>
                <w14:textFill>
                  <w14:solidFill>
                    <w14:srgbClr w14:val="000000">
                      <w14:alpha w14:val="100000"/>
                    </w14:srgbClr>
                  </w14:solidFill>
                </w14:textFill>
              </w:rPr>
              <w:t>|</w:t>
            </w:r>
            <w:r w:rsidR="00CA7395" w:rsidRPr="00FE7F3A">
              <w:rPr>
                <w:vertAlign w:val="superscript"/>
              </w:rPr>
              <w:t>21</w:t>
            </w:r>
          </w:p>
        </w:tc>
        <w:tc>
          <w:tcPr>
            <w:tcW w:w="1208" w:type="dxa"/>
            <w:shd w:val="clear" w:color="auto" w:fill="auto"/>
            <w:vAlign w:val="center"/>
          </w:tcPr>
          <w:p w14:paraId="6D4F44CF" w14:textId="126A31D9"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1" w:id="-761014016"/>
                <w14:textFill>
                  <w14:solidFill>
                    <w14:srgbClr w14:val="000000">
                      <w14:alpha w14:val="100000"/>
                    </w14:srgbClr>
                  </w14:solidFill>
                </w14:textFill>
              </w:rPr>
              <w:t>|||</w:t>
            </w:r>
            <w:r w:rsidRPr="00F111EB">
              <w:rPr>
                <w:b/>
                <w:bCs w:val="0"/>
                <w:color w:val="000000"/>
                <w:spacing w:val="3"/>
                <w:shd w:val="solid" w:color="000000" w:fill="000000"/>
                <w:fitText w:val="351" w:id="-761014016"/>
                <w14:textFill>
                  <w14:solidFill>
                    <w14:srgbClr w14:val="000000">
                      <w14:alpha w14:val="100000"/>
                    </w14:srgbClr>
                  </w14:solidFill>
                </w14:textFill>
              </w:rPr>
              <w:t>|</w:t>
            </w:r>
            <w:r w:rsidR="00CD127D" w:rsidRPr="00CD127D">
              <w:rPr>
                <w:vertAlign w:val="superscript"/>
              </w:rPr>
              <w:t>27</w:t>
            </w:r>
          </w:p>
        </w:tc>
        <w:tc>
          <w:tcPr>
            <w:tcW w:w="1207" w:type="dxa"/>
            <w:shd w:val="clear" w:color="auto" w:fill="auto"/>
            <w:vAlign w:val="center"/>
          </w:tcPr>
          <w:p w14:paraId="150FB103" w14:textId="46ED0B40"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4015"/>
                <w14:textFill>
                  <w14:solidFill>
                    <w14:srgbClr w14:val="000000">
                      <w14:alpha w14:val="100000"/>
                    </w14:srgbClr>
                  </w14:solidFill>
                </w14:textFill>
              </w:rPr>
              <w:t>|||</w:t>
            </w:r>
            <w:r w:rsidRPr="00F111EB">
              <w:rPr>
                <w:b/>
                <w:bCs w:val="0"/>
                <w:color w:val="000000"/>
                <w:spacing w:val="2"/>
                <w:shd w:val="solid" w:color="000000" w:fill="000000"/>
                <w:fitText w:val="350" w:id="-761014015"/>
                <w14:textFill>
                  <w14:solidFill>
                    <w14:srgbClr w14:val="000000">
                      <w14:alpha w14:val="100000"/>
                    </w14:srgbClr>
                  </w14:solidFill>
                </w14:textFill>
              </w:rPr>
              <w:t>|</w:t>
            </w:r>
            <w:r w:rsidR="00CD127D" w:rsidRPr="00CD127D">
              <w:rPr>
                <w:vertAlign w:val="superscript"/>
              </w:rPr>
              <w:t>27</w:t>
            </w:r>
          </w:p>
        </w:tc>
        <w:tc>
          <w:tcPr>
            <w:tcW w:w="1210" w:type="dxa"/>
            <w:shd w:val="clear" w:color="auto" w:fill="auto"/>
            <w:vAlign w:val="center"/>
          </w:tcPr>
          <w:p w14:paraId="160684A7" w14:textId="4426F056"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0" w:id="-761013760"/>
                <w14:textFill>
                  <w14:solidFill>
                    <w14:srgbClr w14:val="000000">
                      <w14:alpha w14:val="100000"/>
                    </w14:srgbClr>
                  </w14:solidFill>
                </w14:textFill>
              </w:rPr>
              <w:t>|||</w:t>
            </w:r>
            <w:r w:rsidRPr="00F111EB">
              <w:rPr>
                <w:b/>
                <w:bCs w:val="0"/>
                <w:color w:val="000000"/>
                <w:spacing w:val="2"/>
                <w:shd w:val="solid" w:color="000000" w:fill="000000"/>
                <w:fitText w:val="350" w:id="-761013760"/>
                <w14:textFill>
                  <w14:solidFill>
                    <w14:srgbClr w14:val="000000">
                      <w14:alpha w14:val="100000"/>
                    </w14:srgbClr>
                  </w14:solidFill>
                </w14:textFill>
              </w:rPr>
              <w:t>|</w:t>
            </w:r>
            <w:r w:rsidR="00D703FA" w:rsidRPr="001F025E">
              <w:rPr>
                <w:b/>
                <w:bCs w:val="0"/>
                <w:vertAlign w:val="superscript"/>
              </w:rPr>
              <w:t>28</w:t>
            </w:r>
          </w:p>
        </w:tc>
        <w:tc>
          <w:tcPr>
            <w:tcW w:w="1210" w:type="dxa"/>
            <w:shd w:val="clear" w:color="auto" w:fill="auto"/>
            <w:vAlign w:val="center"/>
          </w:tcPr>
          <w:p w14:paraId="131BB5DD" w14:textId="6A48A328" w:rsidR="00124B29" w:rsidRPr="00394B9F" w:rsidRDefault="00F111EB" w:rsidP="00124B29">
            <w:pPr>
              <w:pStyle w:val="COMTabletext"/>
              <w:jc w:val="center"/>
              <w:rPr>
                <w:b/>
                <w:bCs w:val="0"/>
                <w:highlight w:val="darkGray"/>
              </w:rPr>
            </w:pPr>
            <w:r w:rsidRPr="00F111EB">
              <w:rPr>
                <w:b/>
                <w:bCs w:val="0"/>
                <w:color w:val="000000"/>
                <w:spacing w:val="55"/>
                <w:shd w:val="solid" w:color="000000" w:fill="000000"/>
                <w:fitText w:val="351" w:id="-761013759"/>
                <w14:textFill>
                  <w14:solidFill>
                    <w14:srgbClr w14:val="000000">
                      <w14:alpha w14:val="100000"/>
                    </w14:srgbClr>
                  </w14:solidFill>
                </w14:textFill>
              </w:rPr>
              <w:t>|||</w:t>
            </w:r>
            <w:r w:rsidRPr="00F111EB">
              <w:rPr>
                <w:b/>
                <w:bCs w:val="0"/>
                <w:color w:val="000000"/>
                <w:spacing w:val="3"/>
                <w:shd w:val="solid" w:color="000000" w:fill="000000"/>
                <w:fitText w:val="351" w:id="-761013759"/>
                <w14:textFill>
                  <w14:solidFill>
                    <w14:srgbClr w14:val="000000">
                      <w14:alpha w14:val="100000"/>
                    </w14:srgbClr>
                  </w14:solidFill>
                </w14:textFill>
              </w:rPr>
              <w:t>|</w:t>
            </w:r>
            <w:r w:rsidR="00742BA6" w:rsidRPr="00CA7395">
              <w:rPr>
                <w:vertAlign w:val="superscript"/>
              </w:rPr>
              <w:t>22</w:t>
            </w:r>
          </w:p>
        </w:tc>
      </w:tr>
      <w:tr w:rsidR="00520E8F" w:rsidRPr="0076762E" w14:paraId="46061805" w14:textId="77777777">
        <w:tc>
          <w:tcPr>
            <w:tcW w:w="9067" w:type="dxa"/>
            <w:gridSpan w:val="7"/>
            <w:shd w:val="clear" w:color="auto" w:fill="auto"/>
            <w:vAlign w:val="center"/>
          </w:tcPr>
          <w:p w14:paraId="5BBB9313" w14:textId="4255A285" w:rsidR="00520E8F" w:rsidRPr="00394B9F" w:rsidRDefault="00520E8F" w:rsidP="00520E8F">
            <w:pPr>
              <w:pStyle w:val="COMTabletext"/>
              <w:rPr>
                <w:b/>
                <w:bCs w:val="0"/>
                <w:highlight w:val="darkGray"/>
              </w:rPr>
            </w:pPr>
            <w:r w:rsidRPr="00703210">
              <w:rPr>
                <w:b/>
                <w:bCs w:val="0"/>
              </w:rPr>
              <w:t xml:space="preserve">Pre-PBAC response </w:t>
            </w:r>
          </w:p>
        </w:tc>
      </w:tr>
      <w:tr w:rsidR="00B5354A" w:rsidRPr="0076762E" w14:paraId="24EB62F3" w14:textId="77777777" w:rsidTr="00B5354A">
        <w:tc>
          <w:tcPr>
            <w:tcW w:w="1801" w:type="dxa"/>
            <w:shd w:val="clear" w:color="auto" w:fill="auto"/>
          </w:tcPr>
          <w:p w14:paraId="2CC0F9A6" w14:textId="3D087925" w:rsidR="00B5354A" w:rsidRPr="00B5354A" w:rsidRDefault="00B5354A" w:rsidP="00B5354A">
            <w:pPr>
              <w:keepNext/>
              <w:jc w:val="left"/>
              <w:rPr>
                <w:rFonts w:ascii="Arial Narrow" w:eastAsiaTheme="majorEastAsia" w:hAnsi="Arial Narrow" w:cstheme="majorBidi"/>
                <w:bCs/>
                <w:sz w:val="20"/>
              </w:rPr>
            </w:pPr>
            <w:r w:rsidRPr="00B5354A">
              <w:rPr>
                <w:rFonts w:ascii="Arial Narrow" w:eastAsiaTheme="majorEastAsia" w:hAnsi="Arial Narrow" w:cstheme="majorBidi"/>
                <w:bCs/>
                <w:sz w:val="20"/>
              </w:rPr>
              <w:t>Cost to PBS/RPBS less copayment</w:t>
            </w:r>
            <w:r>
              <w:rPr>
                <w:rFonts w:ascii="Arial Narrow" w:eastAsiaTheme="majorEastAsia" w:hAnsi="Arial Narrow" w:cstheme="majorBidi"/>
                <w:bCs/>
                <w:sz w:val="20"/>
              </w:rPr>
              <w:t>s</w:t>
            </w:r>
            <w:r w:rsidRPr="00B5354A">
              <w:rPr>
                <w:rFonts w:ascii="Arial Narrow" w:eastAsiaTheme="majorEastAsia" w:hAnsi="Arial Narrow" w:cstheme="majorBidi"/>
                <w:bCs/>
                <w:sz w:val="20"/>
              </w:rPr>
              <w:t xml:space="preserve"> </w:t>
            </w:r>
          </w:p>
        </w:tc>
        <w:tc>
          <w:tcPr>
            <w:tcW w:w="1223" w:type="dxa"/>
            <w:shd w:val="clear" w:color="auto" w:fill="auto"/>
          </w:tcPr>
          <w:p w14:paraId="0236282E" w14:textId="3E966A35"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8"/>
                <w14:textFill>
                  <w14:solidFill>
                    <w14:srgbClr w14:val="000000">
                      <w14:alpha w14:val="100000"/>
                    </w14:srgbClr>
                  </w14:solidFill>
                </w14:textFill>
              </w:rPr>
              <w:t>|||</w:t>
            </w:r>
            <w:r w:rsidRPr="00F111EB">
              <w:rPr>
                <w:color w:val="000000"/>
                <w:spacing w:val="2"/>
                <w:shd w:val="solid" w:color="000000" w:fill="000000"/>
                <w:fitText w:val="325" w:id="-761013758"/>
                <w14:textFill>
                  <w14:solidFill>
                    <w14:srgbClr w14:val="000000">
                      <w14:alpha w14:val="100000"/>
                    </w14:srgbClr>
                  </w14:solidFill>
                </w14:textFill>
              </w:rPr>
              <w:t>|</w:t>
            </w:r>
            <w:r w:rsidR="00E5229D" w:rsidRPr="00A30394">
              <w:rPr>
                <w:b/>
                <w:bCs w:val="0"/>
                <w:vertAlign w:val="superscript"/>
              </w:rPr>
              <w:t>25</w:t>
            </w:r>
          </w:p>
        </w:tc>
        <w:tc>
          <w:tcPr>
            <w:tcW w:w="1208" w:type="dxa"/>
            <w:shd w:val="clear" w:color="auto" w:fill="auto"/>
          </w:tcPr>
          <w:p w14:paraId="72B01C23" w14:textId="4D6A5C9F"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7"/>
                <w14:textFill>
                  <w14:solidFill>
                    <w14:srgbClr w14:val="000000">
                      <w14:alpha w14:val="100000"/>
                    </w14:srgbClr>
                  </w14:solidFill>
                </w14:textFill>
              </w:rPr>
              <w:t>|||</w:t>
            </w:r>
            <w:r w:rsidRPr="00F111EB">
              <w:rPr>
                <w:color w:val="000000"/>
                <w:spacing w:val="3"/>
                <w:shd w:val="solid" w:color="000000" w:fill="000000"/>
                <w:fitText w:val="326" w:id="-761013757"/>
                <w14:textFill>
                  <w14:solidFill>
                    <w14:srgbClr w14:val="000000">
                      <w14:alpha w14:val="100000"/>
                    </w14:srgbClr>
                  </w14:solidFill>
                </w14:textFill>
              </w:rPr>
              <w:t>|</w:t>
            </w:r>
            <w:r w:rsidR="00956510" w:rsidRPr="00956510">
              <w:rPr>
                <w:vertAlign w:val="superscript"/>
              </w:rPr>
              <w:t>26</w:t>
            </w:r>
          </w:p>
        </w:tc>
        <w:tc>
          <w:tcPr>
            <w:tcW w:w="1208" w:type="dxa"/>
            <w:shd w:val="clear" w:color="auto" w:fill="auto"/>
          </w:tcPr>
          <w:p w14:paraId="69346A18" w14:textId="5E25290C"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6"/>
                <w14:textFill>
                  <w14:solidFill>
                    <w14:srgbClr w14:val="000000">
                      <w14:alpha w14:val="100000"/>
                    </w14:srgbClr>
                  </w14:solidFill>
                </w14:textFill>
              </w:rPr>
              <w:t>|||</w:t>
            </w:r>
            <w:r w:rsidRPr="00F111EB">
              <w:rPr>
                <w:color w:val="000000"/>
                <w:spacing w:val="2"/>
                <w:shd w:val="solid" w:color="000000" w:fill="000000"/>
                <w:fitText w:val="325" w:id="-761013756"/>
                <w14:textFill>
                  <w14:solidFill>
                    <w14:srgbClr w14:val="000000">
                      <w14:alpha w14:val="100000"/>
                    </w14:srgbClr>
                  </w14:solidFill>
                </w14:textFill>
              </w:rPr>
              <w:t>|</w:t>
            </w:r>
            <w:r w:rsidR="00CD127D" w:rsidRPr="00CD127D">
              <w:rPr>
                <w:vertAlign w:val="superscript"/>
              </w:rPr>
              <w:t>27</w:t>
            </w:r>
          </w:p>
        </w:tc>
        <w:tc>
          <w:tcPr>
            <w:tcW w:w="1207" w:type="dxa"/>
            <w:shd w:val="clear" w:color="auto" w:fill="auto"/>
          </w:tcPr>
          <w:p w14:paraId="1AD7038C" w14:textId="0C17FEF4"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5"/>
                <w14:textFill>
                  <w14:solidFill>
                    <w14:srgbClr w14:val="000000">
                      <w14:alpha w14:val="100000"/>
                    </w14:srgbClr>
                  </w14:solidFill>
                </w14:textFill>
              </w:rPr>
              <w:t>|||</w:t>
            </w:r>
            <w:r w:rsidRPr="00F111EB">
              <w:rPr>
                <w:color w:val="000000"/>
                <w:spacing w:val="2"/>
                <w:shd w:val="solid" w:color="000000" w:fill="000000"/>
                <w:fitText w:val="325" w:id="-761013755"/>
                <w14:textFill>
                  <w14:solidFill>
                    <w14:srgbClr w14:val="000000">
                      <w14:alpha w14:val="100000"/>
                    </w14:srgbClr>
                  </w14:solidFill>
                </w14:textFill>
              </w:rPr>
              <w:t>|</w:t>
            </w:r>
            <w:r w:rsidR="00CD127D" w:rsidRPr="00CD127D">
              <w:rPr>
                <w:vertAlign w:val="superscript"/>
              </w:rPr>
              <w:t>27</w:t>
            </w:r>
          </w:p>
        </w:tc>
        <w:tc>
          <w:tcPr>
            <w:tcW w:w="1210" w:type="dxa"/>
            <w:shd w:val="clear" w:color="auto" w:fill="auto"/>
          </w:tcPr>
          <w:p w14:paraId="45AFC9C2" w14:textId="5EF2571D"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4"/>
                <w14:textFill>
                  <w14:solidFill>
                    <w14:srgbClr w14:val="000000">
                      <w14:alpha w14:val="100000"/>
                    </w14:srgbClr>
                  </w14:solidFill>
                </w14:textFill>
              </w:rPr>
              <w:t>|||</w:t>
            </w:r>
            <w:r w:rsidRPr="00F111EB">
              <w:rPr>
                <w:color w:val="000000"/>
                <w:spacing w:val="3"/>
                <w:shd w:val="solid" w:color="000000" w:fill="000000"/>
                <w:fitText w:val="326" w:id="-761013754"/>
                <w14:textFill>
                  <w14:solidFill>
                    <w14:srgbClr w14:val="000000">
                      <w14:alpha w14:val="100000"/>
                    </w14:srgbClr>
                  </w14:solidFill>
                </w14:textFill>
              </w:rPr>
              <w:t>|</w:t>
            </w:r>
            <w:r w:rsidR="001F025E" w:rsidRPr="001F025E">
              <w:rPr>
                <w:b/>
                <w:bCs w:val="0"/>
                <w:vertAlign w:val="superscript"/>
              </w:rPr>
              <w:t>28</w:t>
            </w:r>
          </w:p>
        </w:tc>
        <w:tc>
          <w:tcPr>
            <w:tcW w:w="1210" w:type="dxa"/>
            <w:shd w:val="clear" w:color="auto" w:fill="auto"/>
          </w:tcPr>
          <w:p w14:paraId="03DBDE4A" w14:textId="763FEB1B"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3"/>
                <w14:textFill>
                  <w14:solidFill>
                    <w14:srgbClr w14:val="000000">
                      <w14:alpha w14:val="100000"/>
                    </w14:srgbClr>
                  </w14:solidFill>
                </w14:textFill>
              </w:rPr>
              <w:t>|||</w:t>
            </w:r>
            <w:r w:rsidRPr="00F111EB">
              <w:rPr>
                <w:color w:val="000000"/>
                <w:spacing w:val="3"/>
                <w:shd w:val="solid" w:color="000000" w:fill="000000"/>
                <w:fitText w:val="326" w:id="-761013753"/>
                <w14:textFill>
                  <w14:solidFill>
                    <w14:srgbClr w14:val="000000">
                      <w14:alpha w14:val="100000"/>
                    </w14:srgbClr>
                  </w14:solidFill>
                </w14:textFill>
              </w:rPr>
              <w:t>|</w:t>
            </w:r>
            <w:r w:rsidR="00294AFD" w:rsidRPr="00CA7395">
              <w:rPr>
                <w:vertAlign w:val="superscript"/>
              </w:rPr>
              <w:t>22</w:t>
            </w:r>
          </w:p>
        </w:tc>
      </w:tr>
      <w:tr w:rsidR="00B5354A" w:rsidRPr="0076762E" w14:paraId="68ACAAF2" w14:textId="77777777" w:rsidTr="00B5354A">
        <w:tc>
          <w:tcPr>
            <w:tcW w:w="1801" w:type="dxa"/>
            <w:shd w:val="clear" w:color="auto" w:fill="auto"/>
          </w:tcPr>
          <w:p w14:paraId="5153A0B1" w14:textId="07255761" w:rsidR="00B5354A" w:rsidRPr="00B5354A" w:rsidRDefault="00B5354A" w:rsidP="00B5354A">
            <w:pPr>
              <w:keepNext/>
              <w:jc w:val="left"/>
              <w:rPr>
                <w:rFonts w:ascii="Arial Narrow" w:eastAsiaTheme="majorEastAsia" w:hAnsi="Arial Narrow" w:cstheme="majorBidi"/>
                <w:bCs/>
                <w:sz w:val="20"/>
              </w:rPr>
            </w:pPr>
            <w:r w:rsidRPr="00B5354A">
              <w:rPr>
                <w:rFonts w:ascii="Arial Narrow" w:eastAsiaTheme="majorEastAsia" w:hAnsi="Arial Narrow" w:cstheme="majorBidi"/>
                <w:bCs/>
                <w:sz w:val="20"/>
              </w:rPr>
              <w:t>Cost offset less copayment, substituted semaglutide/dulaglutide</w:t>
            </w:r>
          </w:p>
        </w:tc>
        <w:tc>
          <w:tcPr>
            <w:tcW w:w="1223" w:type="dxa"/>
            <w:shd w:val="clear" w:color="auto" w:fill="auto"/>
          </w:tcPr>
          <w:p w14:paraId="10489114" w14:textId="047FAFB0"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2"/>
                <w14:textFill>
                  <w14:solidFill>
                    <w14:srgbClr w14:val="000000">
                      <w14:alpha w14:val="100000"/>
                    </w14:srgbClr>
                  </w14:solidFill>
                </w14:textFill>
              </w:rPr>
              <w:t>|||</w:t>
            </w:r>
            <w:r w:rsidRPr="00F111EB">
              <w:rPr>
                <w:color w:val="000000"/>
                <w:spacing w:val="2"/>
                <w:shd w:val="solid" w:color="000000" w:fill="000000"/>
                <w:fitText w:val="325" w:id="-761013752"/>
                <w14:textFill>
                  <w14:solidFill>
                    <w14:srgbClr w14:val="000000">
                      <w14:alpha w14:val="100000"/>
                    </w14:srgbClr>
                  </w14:solidFill>
                </w14:textFill>
              </w:rPr>
              <w:t>|</w:t>
            </w:r>
            <w:r w:rsidR="00440A5A" w:rsidRPr="00440A5A">
              <w:rPr>
                <w:vertAlign w:val="superscript"/>
              </w:rPr>
              <w:t>24</w:t>
            </w:r>
          </w:p>
        </w:tc>
        <w:tc>
          <w:tcPr>
            <w:tcW w:w="1208" w:type="dxa"/>
            <w:shd w:val="clear" w:color="auto" w:fill="auto"/>
          </w:tcPr>
          <w:p w14:paraId="4AF27086" w14:textId="729F721F"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51"/>
                <w14:textFill>
                  <w14:solidFill>
                    <w14:srgbClr w14:val="000000">
                      <w14:alpha w14:val="100000"/>
                    </w14:srgbClr>
                  </w14:solidFill>
                </w14:textFill>
              </w:rPr>
              <w:t>|||</w:t>
            </w:r>
            <w:r w:rsidRPr="00F111EB">
              <w:rPr>
                <w:color w:val="000000"/>
                <w:spacing w:val="3"/>
                <w:shd w:val="solid" w:color="000000" w:fill="000000"/>
                <w:fitText w:val="326" w:id="-761013751"/>
                <w14:textFill>
                  <w14:solidFill>
                    <w14:srgbClr w14:val="000000">
                      <w14:alpha w14:val="100000"/>
                    </w14:srgbClr>
                  </w14:solidFill>
                </w14:textFill>
              </w:rPr>
              <w:t>|</w:t>
            </w:r>
            <w:r w:rsidR="00440A5A" w:rsidRPr="00440A5A">
              <w:rPr>
                <w:vertAlign w:val="superscript"/>
              </w:rPr>
              <w:t>24</w:t>
            </w:r>
          </w:p>
        </w:tc>
        <w:tc>
          <w:tcPr>
            <w:tcW w:w="1208" w:type="dxa"/>
            <w:shd w:val="clear" w:color="auto" w:fill="auto"/>
          </w:tcPr>
          <w:p w14:paraId="51D3B0BA" w14:textId="720947B8"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50"/>
                <w14:textFill>
                  <w14:solidFill>
                    <w14:srgbClr w14:val="000000">
                      <w14:alpha w14:val="100000"/>
                    </w14:srgbClr>
                  </w14:solidFill>
                </w14:textFill>
              </w:rPr>
              <w:t>|||</w:t>
            </w:r>
            <w:r w:rsidRPr="00F111EB">
              <w:rPr>
                <w:color w:val="000000"/>
                <w:spacing w:val="2"/>
                <w:shd w:val="solid" w:color="000000" w:fill="000000"/>
                <w:fitText w:val="325" w:id="-761013750"/>
                <w14:textFill>
                  <w14:solidFill>
                    <w14:srgbClr w14:val="000000">
                      <w14:alpha w14:val="100000"/>
                    </w14:srgbClr>
                  </w14:solidFill>
                </w14:textFill>
              </w:rPr>
              <w:t>|</w:t>
            </w:r>
            <w:r w:rsidR="00440A5A" w:rsidRPr="00440A5A">
              <w:rPr>
                <w:vertAlign w:val="superscript"/>
              </w:rPr>
              <w:t>24</w:t>
            </w:r>
          </w:p>
        </w:tc>
        <w:tc>
          <w:tcPr>
            <w:tcW w:w="1207" w:type="dxa"/>
            <w:shd w:val="clear" w:color="auto" w:fill="auto"/>
          </w:tcPr>
          <w:p w14:paraId="412FA690" w14:textId="4A5D1695" w:rsidR="00B5354A" w:rsidRPr="00394B9F" w:rsidRDefault="00F111EB" w:rsidP="00B5354A">
            <w:pPr>
              <w:pStyle w:val="COMTabletext"/>
              <w:jc w:val="center"/>
              <w:rPr>
                <w:highlight w:val="darkGray"/>
              </w:rPr>
            </w:pPr>
            <w:r w:rsidRPr="00F111EB">
              <w:rPr>
                <w:color w:val="000000"/>
                <w:spacing w:val="51"/>
                <w:shd w:val="solid" w:color="000000" w:fill="000000"/>
                <w:fitText w:val="325" w:id="-761013749"/>
                <w14:textFill>
                  <w14:solidFill>
                    <w14:srgbClr w14:val="000000">
                      <w14:alpha w14:val="100000"/>
                    </w14:srgbClr>
                  </w14:solidFill>
                </w14:textFill>
              </w:rPr>
              <w:t>|||</w:t>
            </w:r>
            <w:r w:rsidRPr="00F111EB">
              <w:rPr>
                <w:color w:val="000000"/>
                <w:spacing w:val="2"/>
                <w:shd w:val="solid" w:color="000000" w:fill="000000"/>
                <w:fitText w:val="325" w:id="-761013749"/>
                <w14:textFill>
                  <w14:solidFill>
                    <w14:srgbClr w14:val="000000">
                      <w14:alpha w14:val="100000"/>
                    </w14:srgbClr>
                  </w14:solidFill>
                </w14:textFill>
              </w:rPr>
              <w:t>|</w:t>
            </w:r>
            <w:r w:rsidR="00440A5A" w:rsidRPr="00440A5A">
              <w:rPr>
                <w:vertAlign w:val="superscript"/>
              </w:rPr>
              <w:t>24</w:t>
            </w:r>
          </w:p>
        </w:tc>
        <w:tc>
          <w:tcPr>
            <w:tcW w:w="1210" w:type="dxa"/>
            <w:shd w:val="clear" w:color="auto" w:fill="auto"/>
          </w:tcPr>
          <w:p w14:paraId="5C15B7BB" w14:textId="70C3BFE0"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48"/>
                <w14:textFill>
                  <w14:solidFill>
                    <w14:srgbClr w14:val="000000">
                      <w14:alpha w14:val="100000"/>
                    </w14:srgbClr>
                  </w14:solidFill>
                </w14:textFill>
              </w:rPr>
              <w:t>|||</w:t>
            </w:r>
            <w:r w:rsidRPr="00F111EB">
              <w:rPr>
                <w:color w:val="000000"/>
                <w:spacing w:val="3"/>
                <w:shd w:val="solid" w:color="000000" w:fill="000000"/>
                <w:fitText w:val="326" w:id="-761013748"/>
                <w14:textFill>
                  <w14:solidFill>
                    <w14:srgbClr w14:val="000000">
                      <w14:alpha w14:val="100000"/>
                    </w14:srgbClr>
                  </w14:solidFill>
                </w14:textFill>
              </w:rPr>
              <w:t>|</w:t>
            </w:r>
            <w:r w:rsidR="00440A5A" w:rsidRPr="00440A5A">
              <w:rPr>
                <w:vertAlign w:val="superscript"/>
              </w:rPr>
              <w:t>24</w:t>
            </w:r>
          </w:p>
        </w:tc>
        <w:tc>
          <w:tcPr>
            <w:tcW w:w="1210" w:type="dxa"/>
            <w:shd w:val="clear" w:color="auto" w:fill="auto"/>
          </w:tcPr>
          <w:p w14:paraId="48365D78" w14:textId="2A6F03DC" w:rsidR="00B5354A" w:rsidRPr="00394B9F" w:rsidRDefault="00F111EB" w:rsidP="00B5354A">
            <w:pPr>
              <w:pStyle w:val="COMTabletext"/>
              <w:jc w:val="center"/>
              <w:rPr>
                <w:highlight w:val="darkGray"/>
              </w:rPr>
            </w:pPr>
            <w:r w:rsidRPr="00F111EB">
              <w:rPr>
                <w:color w:val="000000"/>
                <w:spacing w:val="51"/>
                <w:shd w:val="solid" w:color="000000" w:fill="000000"/>
                <w:fitText w:val="326" w:id="-761013747"/>
                <w14:textFill>
                  <w14:solidFill>
                    <w14:srgbClr w14:val="000000">
                      <w14:alpha w14:val="100000"/>
                    </w14:srgbClr>
                  </w14:solidFill>
                </w14:textFill>
              </w:rPr>
              <w:t>|||</w:t>
            </w:r>
            <w:r w:rsidRPr="00F111EB">
              <w:rPr>
                <w:color w:val="000000"/>
                <w:spacing w:val="3"/>
                <w:shd w:val="solid" w:color="000000" w:fill="000000"/>
                <w:fitText w:val="326" w:id="-761013747"/>
                <w14:textFill>
                  <w14:solidFill>
                    <w14:srgbClr w14:val="000000">
                      <w14:alpha w14:val="100000"/>
                    </w14:srgbClr>
                  </w14:solidFill>
                </w14:textFill>
              </w:rPr>
              <w:t>|</w:t>
            </w:r>
            <w:r w:rsidR="00E5229D" w:rsidRPr="00E5229D">
              <w:rPr>
                <w:vertAlign w:val="superscript"/>
              </w:rPr>
              <w:t>24</w:t>
            </w:r>
          </w:p>
        </w:tc>
      </w:tr>
      <w:tr w:rsidR="00520E8F" w:rsidRPr="0076762E" w14:paraId="22032CA7" w14:textId="77777777" w:rsidTr="00520E8F">
        <w:tc>
          <w:tcPr>
            <w:tcW w:w="1801" w:type="dxa"/>
            <w:shd w:val="clear" w:color="auto" w:fill="auto"/>
            <w:vAlign w:val="center"/>
          </w:tcPr>
          <w:p w14:paraId="535F88C5" w14:textId="15B84510" w:rsidR="00520E8F" w:rsidRDefault="00520E8F" w:rsidP="00520E8F">
            <w:pPr>
              <w:keepNext/>
              <w:jc w:val="left"/>
              <w:rPr>
                <w:rFonts w:ascii="Arial Narrow" w:eastAsiaTheme="majorEastAsia" w:hAnsi="Arial Narrow" w:cstheme="majorBidi"/>
                <w:b/>
                <w:sz w:val="20"/>
              </w:rPr>
            </w:pPr>
            <w:r>
              <w:rPr>
                <w:rFonts w:ascii="Arial Narrow" w:eastAsiaTheme="majorEastAsia" w:hAnsi="Arial Narrow" w:cstheme="majorBidi"/>
                <w:b/>
                <w:sz w:val="20"/>
              </w:rPr>
              <w:t>Net PBS/RPBS cost</w:t>
            </w:r>
          </w:p>
        </w:tc>
        <w:tc>
          <w:tcPr>
            <w:tcW w:w="1223" w:type="dxa"/>
            <w:shd w:val="clear" w:color="auto" w:fill="auto"/>
          </w:tcPr>
          <w:p w14:paraId="130EDC63" w14:textId="0C6F2D7C" w:rsidR="00520E8F" w:rsidRPr="001A3CE9" w:rsidRDefault="00F111EB" w:rsidP="00520E8F">
            <w:pPr>
              <w:pStyle w:val="COMTabletext"/>
              <w:jc w:val="center"/>
              <w:rPr>
                <w:b/>
                <w:bCs w:val="0"/>
                <w:highlight w:val="darkGray"/>
              </w:rPr>
            </w:pPr>
            <w:r w:rsidRPr="00F111EB">
              <w:rPr>
                <w:b/>
                <w:bCs w:val="0"/>
                <w:color w:val="000000"/>
                <w:spacing w:val="59"/>
                <w:shd w:val="solid" w:color="000000" w:fill="000000"/>
                <w:fitText w:val="363" w:id="-761013746"/>
                <w14:textFill>
                  <w14:solidFill>
                    <w14:srgbClr w14:val="000000">
                      <w14:alpha w14:val="100000"/>
                    </w14:srgbClr>
                  </w14:solidFill>
                </w14:textFill>
              </w:rPr>
              <w:t>|||</w:t>
            </w:r>
            <w:r w:rsidRPr="00F111EB">
              <w:rPr>
                <w:b/>
                <w:bCs w:val="0"/>
                <w:color w:val="000000"/>
                <w:spacing w:val="3"/>
                <w:shd w:val="solid" w:color="000000" w:fill="000000"/>
                <w:fitText w:val="363" w:id="-761013746"/>
                <w14:textFill>
                  <w14:solidFill>
                    <w14:srgbClr w14:val="000000">
                      <w14:alpha w14:val="100000"/>
                    </w14:srgbClr>
                  </w14:solidFill>
                </w14:textFill>
              </w:rPr>
              <w:t>|</w:t>
            </w:r>
            <w:r w:rsidR="001A7D1D" w:rsidRPr="001A7D1D">
              <w:rPr>
                <w:b/>
                <w:bCs w:val="0"/>
                <w:vertAlign w:val="superscript"/>
              </w:rPr>
              <w:t>29</w:t>
            </w:r>
          </w:p>
        </w:tc>
        <w:tc>
          <w:tcPr>
            <w:tcW w:w="1208" w:type="dxa"/>
            <w:shd w:val="clear" w:color="auto" w:fill="auto"/>
          </w:tcPr>
          <w:p w14:paraId="3C298E3E" w14:textId="17FAF139"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45"/>
                <w14:textFill>
                  <w14:solidFill>
                    <w14:srgbClr w14:val="000000">
                      <w14:alpha w14:val="100000"/>
                    </w14:srgbClr>
                  </w14:solidFill>
                </w14:textFill>
              </w:rPr>
              <w:t>|||</w:t>
            </w:r>
            <w:r w:rsidRPr="00F111EB">
              <w:rPr>
                <w:b/>
                <w:bCs w:val="0"/>
                <w:color w:val="000000"/>
                <w:spacing w:val="2"/>
                <w:shd w:val="solid" w:color="000000" w:fill="000000"/>
                <w:fitText w:val="350" w:id="-761013745"/>
                <w14:textFill>
                  <w14:solidFill>
                    <w14:srgbClr w14:val="000000">
                      <w14:alpha w14:val="100000"/>
                    </w14:srgbClr>
                  </w14:solidFill>
                </w14:textFill>
              </w:rPr>
              <w:t>|</w:t>
            </w:r>
            <w:r w:rsidR="00C144FE" w:rsidRPr="00C144FE">
              <w:rPr>
                <w:b/>
                <w:bCs w:val="0"/>
                <w:vertAlign w:val="superscript"/>
              </w:rPr>
              <w:t>30</w:t>
            </w:r>
          </w:p>
        </w:tc>
        <w:tc>
          <w:tcPr>
            <w:tcW w:w="1208" w:type="dxa"/>
            <w:shd w:val="clear" w:color="auto" w:fill="auto"/>
          </w:tcPr>
          <w:p w14:paraId="2142B6EB" w14:textId="25A354B8"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1" w:id="-761013744"/>
                <w14:textFill>
                  <w14:solidFill>
                    <w14:srgbClr w14:val="000000">
                      <w14:alpha w14:val="100000"/>
                    </w14:srgbClr>
                  </w14:solidFill>
                </w14:textFill>
              </w:rPr>
              <w:t>|||</w:t>
            </w:r>
            <w:r w:rsidRPr="00F111EB">
              <w:rPr>
                <w:b/>
                <w:bCs w:val="0"/>
                <w:color w:val="000000"/>
                <w:spacing w:val="3"/>
                <w:shd w:val="solid" w:color="000000" w:fill="000000"/>
                <w:fitText w:val="351" w:id="-761013744"/>
                <w14:textFill>
                  <w14:solidFill>
                    <w14:srgbClr w14:val="000000">
                      <w14:alpha w14:val="100000"/>
                    </w14:srgbClr>
                  </w14:solidFill>
                </w14:textFill>
              </w:rPr>
              <w:t>|</w:t>
            </w:r>
            <w:r w:rsidR="00956510" w:rsidRPr="00A30394">
              <w:rPr>
                <w:b/>
                <w:bCs w:val="0"/>
                <w:vertAlign w:val="superscript"/>
              </w:rPr>
              <w:t>25</w:t>
            </w:r>
          </w:p>
        </w:tc>
        <w:tc>
          <w:tcPr>
            <w:tcW w:w="1207" w:type="dxa"/>
            <w:shd w:val="clear" w:color="auto" w:fill="auto"/>
          </w:tcPr>
          <w:p w14:paraId="17701969" w14:textId="50E0F47B"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60"/>
                <w14:textFill>
                  <w14:solidFill>
                    <w14:srgbClr w14:val="000000">
                      <w14:alpha w14:val="100000"/>
                    </w14:srgbClr>
                  </w14:solidFill>
                </w14:textFill>
              </w:rPr>
              <w:t>|||</w:t>
            </w:r>
            <w:r w:rsidRPr="00F111EB">
              <w:rPr>
                <w:b/>
                <w:bCs w:val="0"/>
                <w:color w:val="000000"/>
                <w:spacing w:val="2"/>
                <w:shd w:val="solid" w:color="000000" w:fill="000000"/>
                <w:fitText w:val="350" w:id="-761013760"/>
                <w14:textFill>
                  <w14:solidFill>
                    <w14:srgbClr w14:val="000000">
                      <w14:alpha w14:val="100000"/>
                    </w14:srgbClr>
                  </w14:solidFill>
                </w14:textFill>
              </w:rPr>
              <w:t>|</w:t>
            </w:r>
            <w:r w:rsidR="00956510" w:rsidRPr="00A30394">
              <w:rPr>
                <w:b/>
                <w:bCs w:val="0"/>
                <w:vertAlign w:val="superscript"/>
              </w:rPr>
              <w:t>25</w:t>
            </w:r>
          </w:p>
        </w:tc>
        <w:tc>
          <w:tcPr>
            <w:tcW w:w="1210" w:type="dxa"/>
            <w:shd w:val="clear" w:color="auto" w:fill="auto"/>
          </w:tcPr>
          <w:p w14:paraId="428B81EC" w14:textId="1C3B807C"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0" w:id="-761013759"/>
                <w14:textFill>
                  <w14:solidFill>
                    <w14:srgbClr w14:val="000000">
                      <w14:alpha w14:val="100000"/>
                    </w14:srgbClr>
                  </w14:solidFill>
                </w14:textFill>
              </w:rPr>
              <w:t>|||</w:t>
            </w:r>
            <w:r w:rsidRPr="00F111EB">
              <w:rPr>
                <w:b/>
                <w:bCs w:val="0"/>
                <w:color w:val="000000"/>
                <w:spacing w:val="2"/>
                <w:shd w:val="solid" w:color="000000" w:fill="000000"/>
                <w:fitText w:val="350" w:id="-761013759"/>
                <w14:textFill>
                  <w14:solidFill>
                    <w14:srgbClr w14:val="000000">
                      <w14:alpha w14:val="100000"/>
                    </w14:srgbClr>
                  </w14:solidFill>
                </w14:textFill>
              </w:rPr>
              <w:t>|</w:t>
            </w:r>
            <w:r w:rsidR="00956510" w:rsidRPr="00826A53">
              <w:rPr>
                <w:b/>
                <w:bCs w:val="0"/>
                <w:vertAlign w:val="superscript"/>
              </w:rPr>
              <w:t>26</w:t>
            </w:r>
          </w:p>
        </w:tc>
        <w:tc>
          <w:tcPr>
            <w:tcW w:w="1210" w:type="dxa"/>
            <w:shd w:val="clear" w:color="auto" w:fill="auto"/>
          </w:tcPr>
          <w:p w14:paraId="7D041E16" w14:textId="71D48F6A" w:rsidR="00520E8F" w:rsidRPr="001A3CE9" w:rsidRDefault="00F111EB" w:rsidP="00520E8F">
            <w:pPr>
              <w:pStyle w:val="COMTabletext"/>
              <w:jc w:val="center"/>
              <w:rPr>
                <w:b/>
                <w:bCs w:val="0"/>
                <w:highlight w:val="darkGray"/>
              </w:rPr>
            </w:pPr>
            <w:r w:rsidRPr="00F111EB">
              <w:rPr>
                <w:b/>
                <w:bCs w:val="0"/>
                <w:color w:val="000000"/>
                <w:spacing w:val="55"/>
                <w:shd w:val="solid" w:color="000000" w:fill="000000"/>
                <w:fitText w:val="351" w:id="-761013758"/>
                <w14:textFill>
                  <w14:solidFill>
                    <w14:srgbClr w14:val="000000">
                      <w14:alpha w14:val="100000"/>
                    </w14:srgbClr>
                  </w14:solidFill>
                </w14:textFill>
              </w:rPr>
              <w:t>|||</w:t>
            </w:r>
            <w:r w:rsidRPr="00F111EB">
              <w:rPr>
                <w:b/>
                <w:bCs w:val="0"/>
                <w:color w:val="000000"/>
                <w:spacing w:val="3"/>
                <w:shd w:val="solid" w:color="000000" w:fill="000000"/>
                <w:fitText w:val="351" w:id="-761013758"/>
                <w14:textFill>
                  <w14:solidFill>
                    <w14:srgbClr w14:val="000000">
                      <w14:alpha w14:val="100000"/>
                    </w14:srgbClr>
                  </w14:solidFill>
                </w14:textFill>
              </w:rPr>
              <w:t>|</w:t>
            </w:r>
            <w:r w:rsidR="00956510" w:rsidRPr="00956510">
              <w:rPr>
                <w:b/>
                <w:bCs w:val="0"/>
                <w:vertAlign w:val="superscript"/>
              </w:rPr>
              <w:t>26</w:t>
            </w:r>
          </w:p>
        </w:tc>
      </w:tr>
      <w:tr w:rsidR="00124B29" w:rsidRPr="0076762E" w14:paraId="0CC8E35B" w14:textId="77777777" w:rsidTr="00003BD7">
        <w:tc>
          <w:tcPr>
            <w:tcW w:w="1801" w:type="dxa"/>
            <w:shd w:val="clear" w:color="auto" w:fill="B8CCE4" w:themeFill="accent1" w:themeFillTint="66"/>
            <w:vAlign w:val="center"/>
          </w:tcPr>
          <w:p w14:paraId="1527DA2E" w14:textId="77777777" w:rsidR="00124B29" w:rsidRPr="0076762E" w:rsidRDefault="00124B29" w:rsidP="00124B29">
            <w:pPr>
              <w:pStyle w:val="COMTabletext"/>
              <w:rPr>
                <w:bCs w:val="0"/>
              </w:rPr>
            </w:pPr>
            <w:r w:rsidRPr="0076762E">
              <w:rPr>
                <w:bCs w:val="0"/>
              </w:rPr>
              <w:t>July 2023 submission net PBS/RPBS cost</w:t>
            </w:r>
          </w:p>
        </w:tc>
        <w:tc>
          <w:tcPr>
            <w:tcW w:w="1211" w:type="dxa"/>
            <w:shd w:val="clear" w:color="auto" w:fill="B8CCE4" w:themeFill="accent1" w:themeFillTint="66"/>
            <w:vAlign w:val="center"/>
          </w:tcPr>
          <w:p w14:paraId="34E9D7F9" w14:textId="372DAAAE"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7"/>
                <w14:textFill>
                  <w14:solidFill>
                    <w14:srgbClr w14:val="000000">
                      <w14:alpha w14:val="100000"/>
                    </w14:srgbClr>
                  </w14:solidFill>
                </w14:textFill>
              </w:rPr>
              <w:t>|||</w:t>
            </w:r>
            <w:r w:rsidRPr="00F111EB">
              <w:rPr>
                <w:color w:val="000000"/>
                <w:spacing w:val="2"/>
                <w:shd w:val="solid" w:color="000000" w:fill="000000"/>
                <w:fitText w:val="325" w:id="-761013757"/>
                <w14:textFill>
                  <w14:solidFill>
                    <w14:srgbClr w14:val="000000">
                      <w14:alpha w14:val="100000"/>
                    </w14:srgbClr>
                  </w14:solidFill>
                </w14:textFill>
              </w:rPr>
              <w:t>|</w:t>
            </w:r>
            <w:r w:rsidR="00C144FE" w:rsidRPr="00C144FE">
              <w:rPr>
                <w:vertAlign w:val="superscript"/>
              </w:rPr>
              <w:t>31</w:t>
            </w:r>
          </w:p>
        </w:tc>
        <w:tc>
          <w:tcPr>
            <w:tcW w:w="1211" w:type="dxa"/>
            <w:shd w:val="clear" w:color="auto" w:fill="B8CCE4" w:themeFill="accent1" w:themeFillTint="66"/>
            <w:vAlign w:val="center"/>
          </w:tcPr>
          <w:p w14:paraId="0A0F4D51" w14:textId="6FA7D0CC"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6"/>
                <w14:textFill>
                  <w14:solidFill>
                    <w14:srgbClr w14:val="000000">
                      <w14:alpha w14:val="100000"/>
                    </w14:srgbClr>
                  </w14:solidFill>
                </w14:textFill>
              </w:rPr>
              <w:t>|||</w:t>
            </w:r>
            <w:r w:rsidRPr="00F111EB">
              <w:rPr>
                <w:color w:val="000000"/>
                <w:spacing w:val="3"/>
                <w:shd w:val="solid" w:color="000000" w:fill="000000"/>
                <w:fitText w:val="326" w:id="-761013756"/>
                <w14:textFill>
                  <w14:solidFill>
                    <w14:srgbClr w14:val="000000">
                      <w14:alpha w14:val="100000"/>
                    </w14:srgbClr>
                  </w14:solidFill>
                </w14:textFill>
              </w:rPr>
              <w:t>|</w:t>
            </w:r>
            <w:r w:rsidR="002F3BBA" w:rsidRPr="001A7D1D">
              <w:rPr>
                <w:b/>
                <w:bCs w:val="0"/>
                <w:vertAlign w:val="superscript"/>
              </w:rPr>
              <w:t>29</w:t>
            </w:r>
          </w:p>
        </w:tc>
        <w:tc>
          <w:tcPr>
            <w:tcW w:w="1210" w:type="dxa"/>
            <w:shd w:val="clear" w:color="auto" w:fill="B8CCE4" w:themeFill="accent1" w:themeFillTint="66"/>
            <w:vAlign w:val="center"/>
          </w:tcPr>
          <w:p w14:paraId="0815D872" w14:textId="7DC3A5BA"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5"/>
                <w14:textFill>
                  <w14:solidFill>
                    <w14:srgbClr w14:val="000000">
                      <w14:alpha w14:val="100000"/>
                    </w14:srgbClr>
                  </w14:solidFill>
                </w14:textFill>
              </w:rPr>
              <w:t>|||</w:t>
            </w:r>
            <w:r w:rsidRPr="00F111EB">
              <w:rPr>
                <w:color w:val="000000"/>
                <w:spacing w:val="2"/>
                <w:shd w:val="solid" w:color="000000" w:fill="000000"/>
                <w:fitText w:val="325" w:id="-761013755"/>
                <w14:textFill>
                  <w14:solidFill>
                    <w14:srgbClr w14:val="000000">
                      <w14:alpha w14:val="100000"/>
                    </w14:srgbClr>
                  </w14:solidFill>
                </w14:textFill>
              </w:rPr>
              <w:t>|</w:t>
            </w:r>
            <w:r w:rsidR="00C144FE" w:rsidRPr="00C144FE">
              <w:rPr>
                <w:b/>
                <w:bCs w:val="0"/>
                <w:vertAlign w:val="superscript"/>
              </w:rPr>
              <w:t>30</w:t>
            </w:r>
          </w:p>
        </w:tc>
        <w:tc>
          <w:tcPr>
            <w:tcW w:w="1214" w:type="dxa"/>
            <w:shd w:val="clear" w:color="auto" w:fill="B8CCE4" w:themeFill="accent1" w:themeFillTint="66"/>
            <w:vAlign w:val="center"/>
          </w:tcPr>
          <w:p w14:paraId="491D53D9" w14:textId="0481874F" w:rsidR="00124B29" w:rsidRPr="001A3CE9" w:rsidRDefault="00F111EB" w:rsidP="00124B29">
            <w:pPr>
              <w:pStyle w:val="COMTabletext"/>
              <w:jc w:val="center"/>
              <w:rPr>
                <w:bCs w:val="0"/>
                <w:highlight w:val="darkGray"/>
              </w:rPr>
            </w:pPr>
            <w:r w:rsidRPr="00F111EB">
              <w:rPr>
                <w:color w:val="000000"/>
                <w:spacing w:val="51"/>
                <w:shd w:val="solid" w:color="000000" w:fill="000000"/>
                <w:fitText w:val="325" w:id="-761013754"/>
                <w14:textFill>
                  <w14:solidFill>
                    <w14:srgbClr w14:val="000000">
                      <w14:alpha w14:val="100000"/>
                    </w14:srgbClr>
                  </w14:solidFill>
                </w14:textFill>
              </w:rPr>
              <w:t>|||</w:t>
            </w:r>
            <w:r w:rsidRPr="00F111EB">
              <w:rPr>
                <w:color w:val="000000"/>
                <w:spacing w:val="2"/>
                <w:shd w:val="solid" w:color="000000" w:fill="000000"/>
                <w:fitText w:val="325" w:id="-761013754"/>
                <w14:textFill>
                  <w14:solidFill>
                    <w14:srgbClr w14:val="000000">
                      <w14:alpha w14:val="100000"/>
                    </w14:srgbClr>
                  </w14:solidFill>
                </w14:textFill>
              </w:rPr>
              <w:t>|</w:t>
            </w:r>
            <w:r w:rsidR="00C144FE" w:rsidRPr="00C144FE">
              <w:rPr>
                <w:b/>
                <w:bCs w:val="0"/>
                <w:vertAlign w:val="superscript"/>
              </w:rPr>
              <w:t>30</w:t>
            </w:r>
          </w:p>
        </w:tc>
        <w:tc>
          <w:tcPr>
            <w:tcW w:w="1210" w:type="dxa"/>
            <w:shd w:val="clear" w:color="auto" w:fill="B8CCE4" w:themeFill="accent1" w:themeFillTint="66"/>
            <w:vAlign w:val="center"/>
          </w:tcPr>
          <w:p w14:paraId="05267BC9" w14:textId="2AB0AA57"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3"/>
                <w14:textFill>
                  <w14:solidFill>
                    <w14:srgbClr w14:val="000000">
                      <w14:alpha w14:val="100000"/>
                    </w14:srgbClr>
                  </w14:solidFill>
                </w14:textFill>
              </w:rPr>
              <w:t>|||</w:t>
            </w:r>
            <w:r w:rsidRPr="00F111EB">
              <w:rPr>
                <w:color w:val="000000"/>
                <w:spacing w:val="3"/>
                <w:shd w:val="solid" w:color="000000" w:fill="000000"/>
                <w:fitText w:val="326" w:id="-761013753"/>
                <w14:textFill>
                  <w14:solidFill>
                    <w14:srgbClr w14:val="000000">
                      <w14:alpha w14:val="100000"/>
                    </w14:srgbClr>
                  </w14:solidFill>
                </w14:textFill>
              </w:rPr>
              <w:t>|</w:t>
            </w:r>
            <w:r w:rsidR="00D703FA" w:rsidRPr="00A30394">
              <w:rPr>
                <w:b/>
                <w:bCs w:val="0"/>
                <w:vertAlign w:val="superscript"/>
              </w:rPr>
              <w:t>25</w:t>
            </w:r>
          </w:p>
        </w:tc>
        <w:tc>
          <w:tcPr>
            <w:tcW w:w="1210" w:type="dxa"/>
            <w:shd w:val="clear" w:color="auto" w:fill="B8CCE4" w:themeFill="accent1" w:themeFillTint="66"/>
            <w:vAlign w:val="center"/>
          </w:tcPr>
          <w:p w14:paraId="30677A3A" w14:textId="71A7A194" w:rsidR="00124B29" w:rsidRPr="001A3CE9" w:rsidRDefault="00F111EB" w:rsidP="00124B29">
            <w:pPr>
              <w:pStyle w:val="COMTabletext"/>
              <w:jc w:val="center"/>
              <w:rPr>
                <w:bCs w:val="0"/>
                <w:highlight w:val="darkGray"/>
              </w:rPr>
            </w:pPr>
            <w:r w:rsidRPr="00F111EB">
              <w:rPr>
                <w:color w:val="000000"/>
                <w:spacing w:val="51"/>
                <w:shd w:val="solid" w:color="000000" w:fill="000000"/>
                <w:fitText w:val="326" w:id="-761013752"/>
                <w14:textFill>
                  <w14:solidFill>
                    <w14:srgbClr w14:val="000000">
                      <w14:alpha w14:val="100000"/>
                    </w14:srgbClr>
                  </w14:solidFill>
                </w14:textFill>
              </w:rPr>
              <w:t>|||</w:t>
            </w:r>
            <w:r w:rsidRPr="00F111EB">
              <w:rPr>
                <w:color w:val="000000"/>
                <w:spacing w:val="3"/>
                <w:shd w:val="solid" w:color="000000" w:fill="000000"/>
                <w:fitText w:val="326" w:id="-761013752"/>
                <w14:textFill>
                  <w14:solidFill>
                    <w14:srgbClr w14:val="000000">
                      <w14:alpha w14:val="100000"/>
                    </w14:srgbClr>
                  </w14:solidFill>
                </w14:textFill>
              </w:rPr>
              <w:t>|</w:t>
            </w:r>
            <w:r w:rsidR="00D703FA" w:rsidRPr="00A30394">
              <w:rPr>
                <w:b/>
                <w:bCs w:val="0"/>
                <w:vertAlign w:val="superscript"/>
              </w:rPr>
              <w:t>25</w:t>
            </w:r>
          </w:p>
        </w:tc>
      </w:tr>
      <w:tr w:rsidR="00124B29" w:rsidRPr="0076762E" w14:paraId="2D65C9A6" w14:textId="77777777" w:rsidTr="00B44D9A">
        <w:tc>
          <w:tcPr>
            <w:tcW w:w="1801" w:type="dxa"/>
            <w:shd w:val="clear" w:color="auto" w:fill="B8CCE4" w:themeFill="accent1" w:themeFillTint="66"/>
            <w:vAlign w:val="center"/>
          </w:tcPr>
          <w:p w14:paraId="2FAABD38" w14:textId="22277279" w:rsidR="00124B29" w:rsidRPr="001F3166" w:rsidRDefault="00124B29" w:rsidP="00124B29">
            <w:pPr>
              <w:pStyle w:val="COMTabletext"/>
              <w:rPr>
                <w:bCs w:val="0"/>
              </w:rPr>
            </w:pPr>
            <w:r w:rsidRPr="001F3166">
              <w:rPr>
                <w:bCs w:val="0"/>
              </w:rPr>
              <w:t>Change from July 2023</w:t>
            </w:r>
          </w:p>
        </w:tc>
        <w:tc>
          <w:tcPr>
            <w:tcW w:w="1211" w:type="dxa"/>
            <w:shd w:val="clear" w:color="auto" w:fill="B8CCE4" w:themeFill="accent1" w:themeFillTint="66"/>
          </w:tcPr>
          <w:p w14:paraId="4429C70A" w14:textId="3CA8D564" w:rsidR="00124B29" w:rsidRPr="00A340EF" w:rsidRDefault="00124B29" w:rsidP="00124B29">
            <w:pPr>
              <w:pStyle w:val="COMTabletext"/>
              <w:jc w:val="center"/>
            </w:pPr>
            <w:r w:rsidRPr="00A340EF">
              <w:t>356%</w:t>
            </w:r>
          </w:p>
        </w:tc>
        <w:tc>
          <w:tcPr>
            <w:tcW w:w="1211" w:type="dxa"/>
            <w:shd w:val="clear" w:color="auto" w:fill="B8CCE4" w:themeFill="accent1" w:themeFillTint="66"/>
          </w:tcPr>
          <w:p w14:paraId="11C59F3B" w14:textId="3587DD80" w:rsidR="00124B29" w:rsidRPr="00A340EF" w:rsidRDefault="00124B29" w:rsidP="00124B29">
            <w:pPr>
              <w:pStyle w:val="COMTabletext"/>
              <w:jc w:val="center"/>
            </w:pPr>
            <w:r w:rsidRPr="00A340EF">
              <w:t>259%</w:t>
            </w:r>
          </w:p>
        </w:tc>
        <w:tc>
          <w:tcPr>
            <w:tcW w:w="1210" w:type="dxa"/>
            <w:shd w:val="clear" w:color="auto" w:fill="B8CCE4" w:themeFill="accent1" w:themeFillTint="66"/>
          </w:tcPr>
          <w:p w14:paraId="657A50AE" w14:textId="3567C427" w:rsidR="00124B29" w:rsidRPr="00A340EF" w:rsidRDefault="00124B29" w:rsidP="00124B29">
            <w:pPr>
              <w:pStyle w:val="COMTabletext"/>
              <w:jc w:val="center"/>
            </w:pPr>
            <w:r w:rsidRPr="00A340EF">
              <w:t>255%</w:t>
            </w:r>
          </w:p>
        </w:tc>
        <w:tc>
          <w:tcPr>
            <w:tcW w:w="1214" w:type="dxa"/>
            <w:shd w:val="clear" w:color="auto" w:fill="B8CCE4" w:themeFill="accent1" w:themeFillTint="66"/>
          </w:tcPr>
          <w:p w14:paraId="20761089" w14:textId="609425AD" w:rsidR="00124B29" w:rsidRPr="00A340EF" w:rsidRDefault="00124B29" w:rsidP="00124B29">
            <w:pPr>
              <w:pStyle w:val="COMTabletext"/>
              <w:jc w:val="center"/>
            </w:pPr>
            <w:r w:rsidRPr="00A340EF">
              <w:t>233%</w:t>
            </w:r>
          </w:p>
        </w:tc>
        <w:tc>
          <w:tcPr>
            <w:tcW w:w="1210" w:type="dxa"/>
            <w:shd w:val="clear" w:color="auto" w:fill="B8CCE4" w:themeFill="accent1" w:themeFillTint="66"/>
          </w:tcPr>
          <w:p w14:paraId="6C650BC4" w14:textId="0CB57966" w:rsidR="00124B29" w:rsidRPr="00A340EF" w:rsidRDefault="00124B29" w:rsidP="00124B29">
            <w:pPr>
              <w:pStyle w:val="COMTabletext"/>
              <w:jc w:val="center"/>
            </w:pPr>
            <w:r w:rsidRPr="00A340EF">
              <w:t>231%</w:t>
            </w:r>
          </w:p>
        </w:tc>
        <w:tc>
          <w:tcPr>
            <w:tcW w:w="1210" w:type="dxa"/>
            <w:shd w:val="clear" w:color="auto" w:fill="B8CCE4" w:themeFill="accent1" w:themeFillTint="66"/>
          </w:tcPr>
          <w:p w14:paraId="7B8160A6" w14:textId="222E19DF" w:rsidR="00124B29" w:rsidRPr="00A340EF" w:rsidRDefault="00124B29" w:rsidP="00124B29">
            <w:pPr>
              <w:pStyle w:val="COMTabletext"/>
              <w:jc w:val="center"/>
            </w:pPr>
            <w:r w:rsidRPr="00A340EF">
              <w:t>230%</w:t>
            </w:r>
          </w:p>
        </w:tc>
      </w:tr>
    </w:tbl>
    <w:p w14:paraId="3E114DEC" w14:textId="492B7030" w:rsidR="00FE7386" w:rsidRDefault="00620C25" w:rsidP="00FE7386">
      <w:pPr>
        <w:pStyle w:val="COMTablefooter"/>
      </w:pPr>
      <w:r w:rsidRPr="0076762E">
        <w:t xml:space="preserve">Source: </w:t>
      </w:r>
      <w:r w:rsidR="00003BD7" w:rsidRPr="0076762E">
        <w:t>Tirzepatide Section 4</w:t>
      </w:r>
      <w:r w:rsidR="00003BD7">
        <w:t xml:space="preserve">_updated </w:t>
      </w:r>
      <w:r w:rsidR="00003BD7" w:rsidRPr="0076762E">
        <w:t xml:space="preserve">model Excel workbook </w:t>
      </w:r>
      <w:r w:rsidR="00003BD7">
        <w:t>provided by the sponsor during the evaluation</w:t>
      </w:r>
      <w:r w:rsidR="00520E8F">
        <w:t>, Table 5 pre-PBAC response</w:t>
      </w:r>
    </w:p>
    <w:p w14:paraId="0F546599" w14:textId="77777777" w:rsidR="0026324B" w:rsidRDefault="00B614AE" w:rsidP="0026324B">
      <w:pPr>
        <w:pStyle w:val="COMTablefooter"/>
      </w:pPr>
      <w:r>
        <w:t xml:space="preserve">Note: </w:t>
      </w:r>
      <w:r w:rsidR="009E05A6">
        <w:t>All</w:t>
      </w:r>
      <w:r w:rsidR="00003BD7" w:rsidRPr="00B614AE">
        <w:t xml:space="preserve"> estimates were updated by the sponsor </w:t>
      </w:r>
      <w:r>
        <w:t xml:space="preserve">during the evaluation </w:t>
      </w:r>
      <w:r w:rsidR="009E05A6">
        <w:t>due to an identified error in</w:t>
      </w:r>
      <w:r w:rsidR="00003BD7" w:rsidRPr="00B614AE">
        <w:t xml:space="preserve"> the 10% PBS sample analysis</w:t>
      </w:r>
      <w:r w:rsidR="0026324B" w:rsidRPr="0026324B">
        <w:t xml:space="preserve"> </w:t>
      </w:r>
    </w:p>
    <w:p w14:paraId="2DF308BC" w14:textId="3CC93DCB" w:rsidR="0026324B" w:rsidRPr="0041053A" w:rsidRDefault="0026324B" w:rsidP="0026324B">
      <w:pPr>
        <w:pStyle w:val="COMTablefooter"/>
        <w:rPr>
          <w:i/>
          <w:iCs/>
        </w:rPr>
      </w:pPr>
      <w:r w:rsidRPr="0041053A">
        <w:rPr>
          <w:i/>
          <w:iCs/>
        </w:rPr>
        <w:t>The redacted values correspond to the following ranges:</w:t>
      </w:r>
    </w:p>
    <w:p w14:paraId="3D876F2D" w14:textId="05DDFF72" w:rsidR="004061E9" w:rsidRPr="0041053A" w:rsidRDefault="004061E9" w:rsidP="004061E9">
      <w:pPr>
        <w:pStyle w:val="COMTablefooter"/>
        <w:rPr>
          <w:i/>
          <w:iCs/>
        </w:rPr>
      </w:pPr>
      <w:r w:rsidRPr="0041053A">
        <w:rPr>
          <w:i/>
          <w:iCs/>
        </w:rPr>
        <w:t>1</w:t>
      </w:r>
      <w:bookmarkStart w:id="66" w:name="_Hlk113629243"/>
      <w:r w:rsidRPr="0041053A">
        <w:rPr>
          <w:i/>
          <w:iCs/>
        </w:rPr>
        <w:t xml:space="preserve"> 100,000 to &lt; 200,000</w:t>
      </w:r>
    </w:p>
    <w:bookmarkEnd w:id="66"/>
    <w:p w14:paraId="15D73B33" w14:textId="77777777" w:rsidR="00971489" w:rsidRPr="0041053A" w:rsidRDefault="00971489" w:rsidP="00971489">
      <w:pPr>
        <w:pStyle w:val="COMTablefooter"/>
        <w:rPr>
          <w:i/>
          <w:iCs/>
        </w:rPr>
      </w:pPr>
      <w:r w:rsidRPr="0041053A">
        <w:rPr>
          <w:i/>
          <w:iCs/>
        </w:rPr>
        <w:t xml:space="preserve">2 </w:t>
      </w:r>
      <w:bookmarkStart w:id="67" w:name="_Hlk113629162"/>
      <w:r w:rsidRPr="0041053A">
        <w:rPr>
          <w:i/>
          <w:iCs/>
        </w:rPr>
        <w:t>80,000 to &lt; 90,000</w:t>
      </w:r>
    </w:p>
    <w:bookmarkEnd w:id="67"/>
    <w:p w14:paraId="5C7337D4" w14:textId="77777777" w:rsidR="00A21AB2" w:rsidRPr="0041053A" w:rsidRDefault="00A21AB2" w:rsidP="00A21AB2">
      <w:pPr>
        <w:pStyle w:val="COMTablefooter"/>
        <w:rPr>
          <w:i/>
          <w:iCs/>
        </w:rPr>
      </w:pPr>
      <w:r w:rsidRPr="0041053A">
        <w:rPr>
          <w:i/>
          <w:iCs/>
        </w:rPr>
        <w:t>3 60,000 to &lt; 70,000</w:t>
      </w:r>
    </w:p>
    <w:p w14:paraId="55622744" w14:textId="77777777" w:rsidR="007B37A9" w:rsidRPr="0041053A" w:rsidRDefault="007B37A9" w:rsidP="007B37A9">
      <w:pPr>
        <w:pStyle w:val="COMTablefooter"/>
        <w:rPr>
          <w:i/>
          <w:iCs/>
        </w:rPr>
      </w:pPr>
      <w:r w:rsidRPr="0041053A">
        <w:rPr>
          <w:i/>
          <w:iCs/>
        </w:rPr>
        <w:t xml:space="preserve">4 </w:t>
      </w:r>
      <w:bookmarkStart w:id="68" w:name="_Hlk113629100"/>
      <w:r w:rsidRPr="0041053A">
        <w:rPr>
          <w:i/>
          <w:iCs/>
        </w:rPr>
        <w:t>70,000 to &lt; 80,000</w:t>
      </w:r>
    </w:p>
    <w:bookmarkEnd w:id="68"/>
    <w:p w14:paraId="7B506B12" w14:textId="77777777" w:rsidR="00F6227F" w:rsidRPr="0041053A" w:rsidRDefault="00F6227F" w:rsidP="00F6227F">
      <w:pPr>
        <w:pStyle w:val="COMTablefooter"/>
        <w:rPr>
          <w:i/>
          <w:iCs/>
        </w:rPr>
      </w:pPr>
      <w:r w:rsidRPr="0041053A">
        <w:rPr>
          <w:i/>
          <w:iCs/>
        </w:rPr>
        <w:t>5 20,000 to &lt; 30,000</w:t>
      </w:r>
    </w:p>
    <w:p w14:paraId="6078B79F" w14:textId="77777777" w:rsidR="00105FAE" w:rsidRPr="0041053A" w:rsidRDefault="00105FAE" w:rsidP="00105FAE">
      <w:pPr>
        <w:pStyle w:val="COMTablefooter"/>
        <w:rPr>
          <w:i/>
          <w:iCs/>
        </w:rPr>
      </w:pPr>
      <w:r w:rsidRPr="0041053A">
        <w:rPr>
          <w:i/>
          <w:iCs/>
        </w:rPr>
        <w:t>6 40,000 to &lt; 50,000</w:t>
      </w:r>
    </w:p>
    <w:p w14:paraId="122948AC" w14:textId="56BAF585" w:rsidR="00105FAE" w:rsidRPr="0041053A" w:rsidRDefault="00105FAE" w:rsidP="00105FAE">
      <w:pPr>
        <w:pStyle w:val="COMTablefooter"/>
        <w:rPr>
          <w:i/>
          <w:iCs/>
        </w:rPr>
      </w:pPr>
      <w:bookmarkStart w:id="69" w:name="_Hlk113629062"/>
      <w:r w:rsidRPr="0041053A">
        <w:rPr>
          <w:i/>
          <w:iCs/>
        </w:rPr>
        <w:t>7 50,000 to &lt; 60,000</w:t>
      </w:r>
    </w:p>
    <w:bookmarkEnd w:id="69"/>
    <w:p w14:paraId="093E38C5" w14:textId="77777777" w:rsidR="00D6513E" w:rsidRPr="0041053A" w:rsidRDefault="00D6513E" w:rsidP="00D6513E">
      <w:pPr>
        <w:pStyle w:val="COMTablefooter"/>
        <w:rPr>
          <w:i/>
          <w:iCs/>
        </w:rPr>
      </w:pPr>
      <w:r w:rsidRPr="0041053A">
        <w:rPr>
          <w:i/>
          <w:iCs/>
        </w:rPr>
        <w:t>8 200,000 to &lt; 300,000</w:t>
      </w:r>
    </w:p>
    <w:p w14:paraId="33149431" w14:textId="77F6CE77" w:rsidR="00D6513E" w:rsidRPr="0041053A" w:rsidRDefault="00996B4E" w:rsidP="00D6513E">
      <w:pPr>
        <w:pStyle w:val="COMTablefooter"/>
        <w:rPr>
          <w:i/>
          <w:iCs/>
        </w:rPr>
      </w:pPr>
      <w:r w:rsidRPr="0041053A">
        <w:rPr>
          <w:i/>
          <w:iCs/>
        </w:rPr>
        <w:t xml:space="preserve">9 </w:t>
      </w:r>
      <w:r w:rsidR="00D6513E" w:rsidRPr="0041053A">
        <w:rPr>
          <w:i/>
          <w:iCs/>
        </w:rPr>
        <w:t>300,000 to &lt; 400,000</w:t>
      </w:r>
    </w:p>
    <w:p w14:paraId="3CFAF50A" w14:textId="7328D3E1" w:rsidR="00725238" w:rsidRPr="0041053A" w:rsidRDefault="00996B4E" w:rsidP="00D6513E">
      <w:pPr>
        <w:pStyle w:val="COMTablefooter"/>
        <w:rPr>
          <w:i/>
          <w:iCs/>
        </w:rPr>
      </w:pPr>
      <w:r w:rsidRPr="0041053A">
        <w:rPr>
          <w:i/>
          <w:iCs/>
        </w:rPr>
        <w:t xml:space="preserve">10 </w:t>
      </w:r>
      <w:r w:rsidR="00D6513E" w:rsidRPr="0041053A">
        <w:rPr>
          <w:i/>
          <w:iCs/>
        </w:rPr>
        <w:t>400,000 to &lt; 500,000</w:t>
      </w:r>
    </w:p>
    <w:p w14:paraId="6D57C3B3" w14:textId="083E42F4" w:rsidR="00725238" w:rsidRPr="0041053A" w:rsidRDefault="00725238" w:rsidP="00725238">
      <w:pPr>
        <w:pStyle w:val="COMTablefooter"/>
        <w:rPr>
          <w:i/>
          <w:iCs/>
        </w:rPr>
      </w:pPr>
      <w:r w:rsidRPr="0041053A">
        <w:rPr>
          <w:i/>
          <w:iCs/>
        </w:rPr>
        <w:t>11 10,000 to &lt; 20,000</w:t>
      </w:r>
    </w:p>
    <w:p w14:paraId="456FB139" w14:textId="74E515EA" w:rsidR="00C30999" w:rsidRPr="0041053A" w:rsidRDefault="00C30999" w:rsidP="00C30999">
      <w:pPr>
        <w:pStyle w:val="COMTablefooter"/>
        <w:rPr>
          <w:i/>
          <w:iCs/>
        </w:rPr>
      </w:pPr>
      <w:bookmarkStart w:id="70" w:name="_Hlk113629046"/>
      <w:r w:rsidRPr="0041053A">
        <w:rPr>
          <w:i/>
          <w:iCs/>
        </w:rPr>
        <w:t>12 500 to &lt; 5,000</w:t>
      </w:r>
    </w:p>
    <w:p w14:paraId="68EEA03C" w14:textId="201EFCD9" w:rsidR="00C30999" w:rsidRPr="0041053A" w:rsidRDefault="00964206" w:rsidP="00C30999">
      <w:pPr>
        <w:pStyle w:val="COMTablefooter"/>
        <w:rPr>
          <w:i/>
          <w:iCs/>
        </w:rPr>
      </w:pPr>
      <w:bookmarkStart w:id="71" w:name="_Hlk113629206"/>
      <w:bookmarkEnd w:id="70"/>
      <w:r w:rsidRPr="0041053A">
        <w:rPr>
          <w:i/>
          <w:iCs/>
        </w:rPr>
        <w:lastRenderedPageBreak/>
        <w:t xml:space="preserve">13 </w:t>
      </w:r>
      <w:r w:rsidR="00C30999" w:rsidRPr="0041053A">
        <w:rPr>
          <w:i/>
          <w:iCs/>
        </w:rPr>
        <w:t>5,000 to &lt; 10,000</w:t>
      </w:r>
    </w:p>
    <w:bookmarkEnd w:id="71"/>
    <w:p w14:paraId="25D1ECEC" w14:textId="00B2E879" w:rsidR="00D6513E" w:rsidRPr="0041053A" w:rsidRDefault="00DC2DDB" w:rsidP="00D6513E">
      <w:pPr>
        <w:pStyle w:val="COMTablefooter"/>
        <w:rPr>
          <w:i/>
          <w:iCs/>
        </w:rPr>
      </w:pPr>
      <w:r w:rsidRPr="0041053A">
        <w:rPr>
          <w:i/>
          <w:iCs/>
        </w:rPr>
        <w:t xml:space="preserve">14 </w:t>
      </w:r>
      <w:r w:rsidR="00D6513E" w:rsidRPr="0041053A">
        <w:rPr>
          <w:i/>
          <w:iCs/>
        </w:rPr>
        <w:t>500,000 to &lt; 600,000</w:t>
      </w:r>
    </w:p>
    <w:p w14:paraId="4FD7D6D8" w14:textId="77777777" w:rsidR="00DC2DDB" w:rsidRPr="0041053A" w:rsidRDefault="00DC2DDB" w:rsidP="00DC2DDB">
      <w:pPr>
        <w:pStyle w:val="COMTablefooter"/>
        <w:rPr>
          <w:i/>
          <w:iCs/>
        </w:rPr>
      </w:pPr>
      <w:r w:rsidRPr="0041053A">
        <w:rPr>
          <w:i/>
          <w:iCs/>
        </w:rPr>
        <w:t>15 800,000 to &lt; 900,000</w:t>
      </w:r>
    </w:p>
    <w:p w14:paraId="2F2D5C57" w14:textId="77777777" w:rsidR="00DD1DA2" w:rsidRPr="0041053A" w:rsidRDefault="00DD1DA2" w:rsidP="00DD1DA2">
      <w:pPr>
        <w:pStyle w:val="COMTablefooter"/>
        <w:rPr>
          <w:i/>
          <w:iCs/>
        </w:rPr>
      </w:pPr>
      <w:r w:rsidRPr="0041053A">
        <w:rPr>
          <w:i/>
          <w:iCs/>
        </w:rPr>
        <w:t>16 1,000,000 to &lt; 2,000,000</w:t>
      </w:r>
    </w:p>
    <w:p w14:paraId="5FA2DB07" w14:textId="1C96ED48" w:rsidR="0026324B" w:rsidRPr="0041053A" w:rsidRDefault="000A2D9D" w:rsidP="0026324B">
      <w:pPr>
        <w:pStyle w:val="COMTablefooter"/>
        <w:rPr>
          <w:i/>
          <w:iCs/>
        </w:rPr>
      </w:pPr>
      <w:r w:rsidRPr="0041053A">
        <w:rPr>
          <w:i/>
          <w:iCs/>
        </w:rPr>
        <w:t>17</w:t>
      </w:r>
      <w:r w:rsidR="0026324B" w:rsidRPr="0041053A">
        <w:rPr>
          <w:i/>
          <w:iCs/>
        </w:rPr>
        <w:t xml:space="preserve"> 2,000,000 to &lt; 3,000,000</w:t>
      </w:r>
    </w:p>
    <w:p w14:paraId="25EC8C0F" w14:textId="77777777" w:rsidR="002F6EE3" w:rsidRPr="0041053A" w:rsidRDefault="002F6EE3" w:rsidP="002F6EE3">
      <w:pPr>
        <w:pStyle w:val="COMTablefooter"/>
        <w:rPr>
          <w:i/>
          <w:iCs/>
        </w:rPr>
      </w:pPr>
      <w:r w:rsidRPr="0041053A">
        <w:rPr>
          <w:i/>
          <w:iCs/>
        </w:rPr>
        <w:t>18 4,000,000 to &lt; 6,000,000</w:t>
      </w:r>
    </w:p>
    <w:p w14:paraId="2B7B528C" w14:textId="77777777" w:rsidR="006E5F8A" w:rsidRPr="0041053A" w:rsidRDefault="006E5F8A" w:rsidP="006E5F8A">
      <w:pPr>
        <w:pStyle w:val="COMTablefooter"/>
        <w:rPr>
          <w:i/>
          <w:iCs/>
        </w:rPr>
      </w:pPr>
      <w:r w:rsidRPr="0041053A">
        <w:rPr>
          <w:i/>
          <w:iCs/>
        </w:rPr>
        <w:t>18 6,000,000 to &lt; 7,000,000</w:t>
      </w:r>
    </w:p>
    <w:p w14:paraId="05B9875E" w14:textId="0653D032" w:rsidR="0026324B" w:rsidRPr="0041053A" w:rsidRDefault="0026324B" w:rsidP="0026324B">
      <w:pPr>
        <w:pStyle w:val="COMTablefooter"/>
        <w:rPr>
          <w:i/>
          <w:iCs/>
        </w:rPr>
      </w:pPr>
      <w:r w:rsidRPr="0041053A">
        <w:rPr>
          <w:i/>
          <w:iCs/>
        </w:rPr>
        <w:t>2</w:t>
      </w:r>
      <w:r w:rsidR="000A168E" w:rsidRPr="0041053A">
        <w:rPr>
          <w:i/>
          <w:iCs/>
        </w:rPr>
        <w:t>0</w:t>
      </w:r>
      <w:r w:rsidRPr="0041053A">
        <w:rPr>
          <w:i/>
          <w:iCs/>
        </w:rPr>
        <w:t xml:space="preserve"> 700,000 to &lt; 800,000</w:t>
      </w:r>
    </w:p>
    <w:p w14:paraId="2C4C117E" w14:textId="15E91714" w:rsidR="00FE7F3A" w:rsidRPr="0041053A" w:rsidRDefault="00FE7F3A" w:rsidP="00FE7F3A">
      <w:pPr>
        <w:pStyle w:val="COMTablefooter"/>
        <w:rPr>
          <w:i/>
          <w:iCs/>
        </w:rPr>
      </w:pPr>
      <w:r w:rsidRPr="0041053A">
        <w:rPr>
          <w:i/>
          <w:iCs/>
        </w:rPr>
        <w:t>21 $500 million to &lt; $600 million</w:t>
      </w:r>
    </w:p>
    <w:p w14:paraId="3BFF0091" w14:textId="77777777" w:rsidR="00742BA6" w:rsidRPr="0041053A" w:rsidRDefault="00742BA6" w:rsidP="00742BA6">
      <w:pPr>
        <w:pStyle w:val="COMTablefooter"/>
        <w:rPr>
          <w:i/>
          <w:iCs/>
        </w:rPr>
      </w:pPr>
      <w:r w:rsidRPr="0041053A">
        <w:rPr>
          <w:i/>
          <w:iCs/>
        </w:rPr>
        <w:t>22 $800 million to &lt; $900 million</w:t>
      </w:r>
    </w:p>
    <w:p w14:paraId="4BC3AB22" w14:textId="77777777" w:rsidR="00F84696" w:rsidRPr="0041053A" w:rsidRDefault="00F84696" w:rsidP="00F84696">
      <w:pPr>
        <w:pStyle w:val="COMTablefooter"/>
        <w:rPr>
          <w:i/>
          <w:iCs/>
        </w:rPr>
      </w:pPr>
      <w:r w:rsidRPr="0041053A">
        <w:rPr>
          <w:i/>
          <w:iCs/>
        </w:rPr>
        <w:t>23 &gt; $1 billion</w:t>
      </w:r>
    </w:p>
    <w:p w14:paraId="0A72E3AF" w14:textId="77777777" w:rsidR="00440A5A" w:rsidRPr="0041053A" w:rsidRDefault="00440A5A" w:rsidP="00440A5A">
      <w:pPr>
        <w:pStyle w:val="COMTablefooter"/>
        <w:rPr>
          <w:i/>
          <w:iCs/>
        </w:rPr>
      </w:pPr>
      <w:r w:rsidRPr="0041053A">
        <w:rPr>
          <w:i/>
          <w:iCs/>
        </w:rPr>
        <w:t>24 net cost saving</w:t>
      </w:r>
    </w:p>
    <w:p w14:paraId="4EA70907" w14:textId="46C15635" w:rsidR="00F52241" w:rsidRPr="0041053A" w:rsidRDefault="00F52241" w:rsidP="00F52241">
      <w:pPr>
        <w:pStyle w:val="COMTablefooter"/>
        <w:rPr>
          <w:i/>
          <w:iCs/>
        </w:rPr>
      </w:pPr>
      <w:r w:rsidRPr="0041053A">
        <w:rPr>
          <w:i/>
          <w:iCs/>
        </w:rPr>
        <w:t>25 $300 million to &lt; $400 million</w:t>
      </w:r>
    </w:p>
    <w:p w14:paraId="2FC1C325" w14:textId="031B81C7" w:rsidR="00956510" w:rsidRPr="0041053A" w:rsidRDefault="00956510" w:rsidP="00956510">
      <w:pPr>
        <w:pStyle w:val="COMTablefooter"/>
        <w:rPr>
          <w:i/>
          <w:iCs/>
        </w:rPr>
      </w:pPr>
      <w:r w:rsidRPr="0041053A">
        <w:rPr>
          <w:i/>
          <w:iCs/>
        </w:rPr>
        <w:t>26 $400 million to &lt; $500 million</w:t>
      </w:r>
    </w:p>
    <w:p w14:paraId="0934BDEB" w14:textId="77777777" w:rsidR="00570FC4" w:rsidRPr="0041053A" w:rsidRDefault="00570FC4" w:rsidP="00570FC4">
      <w:pPr>
        <w:pStyle w:val="COMTablefooter"/>
        <w:rPr>
          <w:i/>
          <w:iCs/>
        </w:rPr>
      </w:pPr>
      <w:r w:rsidRPr="0041053A">
        <w:rPr>
          <w:i/>
          <w:iCs/>
        </w:rPr>
        <w:t>27 $600 million to &lt; $700 million</w:t>
      </w:r>
    </w:p>
    <w:p w14:paraId="48303F1E" w14:textId="77777777" w:rsidR="001F025E" w:rsidRPr="0041053A" w:rsidRDefault="001F025E" w:rsidP="001F025E">
      <w:pPr>
        <w:pStyle w:val="COMTablefooter"/>
        <w:rPr>
          <w:i/>
          <w:iCs/>
        </w:rPr>
      </w:pPr>
      <w:r w:rsidRPr="0041053A">
        <w:rPr>
          <w:i/>
          <w:iCs/>
        </w:rPr>
        <w:t>28 $700 million to &lt; $800 million</w:t>
      </w:r>
    </w:p>
    <w:p w14:paraId="398AE33C" w14:textId="7F2A0319" w:rsidR="0026324B" w:rsidRPr="0041053A" w:rsidRDefault="001A7D1D" w:rsidP="0026324B">
      <w:pPr>
        <w:pStyle w:val="COMTablefooter"/>
        <w:rPr>
          <w:i/>
          <w:iCs/>
        </w:rPr>
      </w:pPr>
      <w:r w:rsidRPr="0041053A">
        <w:rPr>
          <w:i/>
          <w:iCs/>
        </w:rPr>
        <w:t>29</w:t>
      </w:r>
      <w:r w:rsidR="0026324B" w:rsidRPr="0041053A">
        <w:rPr>
          <w:i/>
          <w:iCs/>
        </w:rPr>
        <w:t xml:space="preserve"> $100 million to &lt; $200 million</w:t>
      </w:r>
    </w:p>
    <w:p w14:paraId="6EA48057" w14:textId="77777777" w:rsidR="00C144FE" w:rsidRPr="0041053A" w:rsidRDefault="00C144FE" w:rsidP="00C144FE">
      <w:pPr>
        <w:pStyle w:val="COMTablefooter"/>
        <w:rPr>
          <w:i/>
          <w:iCs/>
        </w:rPr>
      </w:pPr>
      <w:r w:rsidRPr="0041053A">
        <w:rPr>
          <w:i/>
          <w:iCs/>
        </w:rPr>
        <w:t xml:space="preserve">30 </w:t>
      </w:r>
      <w:bookmarkStart w:id="72" w:name="_Hlk113629610"/>
      <w:r w:rsidRPr="0041053A">
        <w:rPr>
          <w:i/>
          <w:iCs/>
        </w:rPr>
        <w:t>$200 million to &lt; $300 million</w:t>
      </w:r>
    </w:p>
    <w:bookmarkEnd w:id="72"/>
    <w:p w14:paraId="45D2472E" w14:textId="562D4B22" w:rsidR="0026324B" w:rsidRPr="0041053A" w:rsidRDefault="00171083" w:rsidP="0026324B">
      <w:pPr>
        <w:pStyle w:val="COMTablefooter"/>
        <w:rPr>
          <w:i/>
          <w:iCs/>
        </w:rPr>
      </w:pPr>
      <w:r w:rsidRPr="0041053A">
        <w:rPr>
          <w:i/>
          <w:iCs/>
        </w:rPr>
        <w:t>31</w:t>
      </w:r>
      <w:r w:rsidR="0026324B" w:rsidRPr="0041053A">
        <w:rPr>
          <w:i/>
          <w:iCs/>
        </w:rPr>
        <w:t xml:space="preserve"> $90 million to &lt; $100 million</w:t>
      </w:r>
    </w:p>
    <w:p w14:paraId="76CC0205" w14:textId="2629CB21" w:rsidR="002B40A2" w:rsidRDefault="000902D9" w:rsidP="002B40A2">
      <w:pPr>
        <w:pStyle w:val="COMexecsummnumbered"/>
      </w:pPr>
      <w:bookmarkStart w:id="73" w:name="_Ref184118479"/>
      <w:r w:rsidRPr="0076762E">
        <w:t>The</w:t>
      </w:r>
      <w:r w:rsidR="002A4425">
        <w:t xml:space="preserve"> </w:t>
      </w:r>
      <w:r w:rsidR="006C2B49">
        <w:t xml:space="preserve">net cost </w:t>
      </w:r>
      <w:r w:rsidR="006C2B49" w:rsidRPr="006C2B49">
        <w:t xml:space="preserve">the PBS/RPBS was </w:t>
      </w:r>
      <w:r w:rsidR="00C976AC" w:rsidRPr="00C976AC">
        <w:t>$300 million to &lt; $400 million</w:t>
      </w:r>
      <w:r w:rsidR="006C2B49" w:rsidRPr="006C2B49">
        <w:t xml:space="preserve"> in Year 1, increasing to </w:t>
      </w:r>
      <w:r w:rsidR="00F73EAC" w:rsidRPr="00F73EAC">
        <w:t>$800</w:t>
      </w:r>
      <w:r w:rsidR="005A769B">
        <w:t> </w:t>
      </w:r>
      <w:r w:rsidR="00F73EAC" w:rsidRPr="00F73EAC">
        <w:t>million to &lt; $900 million</w:t>
      </w:r>
      <w:r w:rsidR="005A769B">
        <w:t xml:space="preserve"> </w:t>
      </w:r>
      <w:r w:rsidR="006C2B49" w:rsidRPr="006C2B49">
        <w:t xml:space="preserve">in Year 6, with a cumulative net cost of </w:t>
      </w:r>
      <w:r w:rsidR="00091E4A" w:rsidRPr="00091E4A">
        <w:t>&gt; $1 billion</w:t>
      </w:r>
      <w:r w:rsidR="005A769B">
        <w:t xml:space="preserve"> </w:t>
      </w:r>
      <w:r w:rsidR="006C2B49" w:rsidRPr="006C2B49">
        <w:t>over the first 6 years of listing.</w:t>
      </w:r>
      <w:r w:rsidR="0089533A">
        <w:t xml:space="preserve"> The pre-PBAC response provided revised financial estimates which reported the net cost to the PBS/RPBS of </w:t>
      </w:r>
      <w:r w:rsidR="00980081" w:rsidRPr="00980081">
        <w:t>$100 million to &lt; $200 million</w:t>
      </w:r>
      <w:r w:rsidR="005A769B">
        <w:t xml:space="preserve"> </w:t>
      </w:r>
      <w:r w:rsidR="0089533A">
        <w:t>in Year</w:t>
      </w:r>
      <w:r w:rsidR="005A769B">
        <w:t> </w:t>
      </w:r>
      <w:r w:rsidR="0089533A">
        <w:t xml:space="preserve">1, increasing to </w:t>
      </w:r>
      <w:r w:rsidR="00B402C4" w:rsidRPr="00B402C4">
        <w:t>$400 million to &lt; $500 million</w:t>
      </w:r>
      <w:r w:rsidR="005A769B">
        <w:t xml:space="preserve"> </w:t>
      </w:r>
      <w:r w:rsidR="0089533A">
        <w:t xml:space="preserve">in Year 6, with a cumulative net cost of </w:t>
      </w:r>
      <w:r w:rsidR="00204353" w:rsidRPr="00204353">
        <w:t>&gt;</w:t>
      </w:r>
      <w:r w:rsidR="005A769B">
        <w:t> </w:t>
      </w:r>
      <w:r w:rsidR="00204353" w:rsidRPr="00204353">
        <w:t>$1</w:t>
      </w:r>
      <w:r w:rsidR="005A769B">
        <w:t> </w:t>
      </w:r>
      <w:r w:rsidR="00204353" w:rsidRPr="00204353">
        <w:t>billion</w:t>
      </w:r>
      <w:r w:rsidR="005A769B">
        <w:t xml:space="preserve"> </w:t>
      </w:r>
      <w:r w:rsidR="0089533A">
        <w:t xml:space="preserve">over the first 6 years of listing. </w:t>
      </w:r>
      <w:r w:rsidR="002B40A2">
        <w:t>The net PBS/RPBS cost in the pre-PBAC response was lower than estimated in the resubmission primarily due to a reduction in the estimated size of the eligible population (based on historical SGLT2i use up to October 2022 with linear extrapolation; established eligibility based on prior 3 years instead of 6 years). There were additional changes due to a reduction in the proposed effective price of tirzepatide and a number of minor changes to other inputs (estimated size of subset of patients with established eligibility based on historical use of GLP-1 RA, persistence rate, tirzepatide adherence rate and GLP-1 RA adherence rate).</w:t>
      </w:r>
      <w:bookmarkEnd w:id="73"/>
    </w:p>
    <w:p w14:paraId="01D26639" w14:textId="2C9144B6" w:rsidR="002C3EB2" w:rsidRPr="00EF28A2" w:rsidRDefault="002C3EB2" w:rsidP="00D244B6">
      <w:pPr>
        <w:pStyle w:val="COMexecsummnumbered"/>
      </w:pPr>
      <w:r w:rsidRPr="00EF28A2">
        <w:t>The net PBS/RPBS cost in the current resubmission was substantially higher</w:t>
      </w:r>
      <w:r w:rsidR="00B44D9A">
        <w:t xml:space="preserve"> </w:t>
      </w:r>
      <w:r w:rsidR="00B44D9A" w:rsidRPr="004C47D7">
        <w:t>(</w:t>
      </w:r>
      <w:r w:rsidR="00124B29" w:rsidRPr="004C47D7">
        <w:t>2</w:t>
      </w:r>
      <w:r w:rsidR="00B44D9A" w:rsidRPr="004C47D7">
        <w:t>47%)</w:t>
      </w:r>
      <w:r w:rsidRPr="00EF28A2">
        <w:t xml:space="preserve"> than in the July 2023 submission (previously </w:t>
      </w:r>
      <w:r w:rsidR="008B2977" w:rsidRPr="008B2977">
        <w:t>&gt; $1 billion</w:t>
      </w:r>
      <w:r w:rsidR="005A769B">
        <w:t xml:space="preserve"> </w:t>
      </w:r>
      <w:r w:rsidRPr="00EF28A2">
        <w:t>over 6 years) primarily due to a larger treated population despite the narrower requested population.</w:t>
      </w:r>
      <w:r w:rsidR="0089533A">
        <w:t xml:space="preserve"> The revised financial estimates provided in the pre-PBAC response remained substantially higher </w:t>
      </w:r>
      <w:r w:rsidR="0089533A" w:rsidRPr="004C47D7">
        <w:t>(140%)</w:t>
      </w:r>
      <w:r w:rsidR="0089533A">
        <w:t xml:space="preserve"> than in the July 2023 submission.</w:t>
      </w:r>
      <w:r w:rsidRPr="00EF28A2">
        <w:t xml:space="preserve"> However, the PBAC previously noted limitations with estimates in the July 2023 submission that were largely uninformative as they were based on historical trends for GLP-1 RA therapies which were unlikely to reflect future use (para 6.92, tirzepatide PSD, July 2023 PBAC meeting).</w:t>
      </w:r>
      <w:r w:rsidR="0089533A">
        <w:t xml:space="preserve"> </w:t>
      </w:r>
    </w:p>
    <w:p w14:paraId="32E7840D" w14:textId="37775DAF" w:rsidR="00D244B6" w:rsidRPr="00EF28A2" w:rsidRDefault="00891079" w:rsidP="00EE1E47">
      <w:pPr>
        <w:pStyle w:val="COMexecsummnumbered"/>
        <w:spacing w:after="0"/>
        <w:rPr>
          <w:color w:val="0066FF"/>
        </w:rPr>
      </w:pPr>
      <w:bookmarkStart w:id="74" w:name="_Ref179972401"/>
      <w:r w:rsidRPr="00EF28A2">
        <w:t xml:space="preserve">The estimated net PBS/RPBS cost of listing tirzepatide for type 2 diabetes </w:t>
      </w:r>
      <w:r w:rsidR="00D864E2">
        <w:t>wa</w:t>
      </w:r>
      <w:r w:rsidRPr="00EF28A2">
        <w:t>s highly uncertain for the following reasons:</w:t>
      </w:r>
      <w:bookmarkEnd w:id="74"/>
    </w:p>
    <w:p w14:paraId="06A26DCD" w14:textId="6B8C9947" w:rsidR="00891079" w:rsidRPr="00EF28A2" w:rsidRDefault="00891079" w:rsidP="00EF2904">
      <w:pPr>
        <w:pStyle w:val="COMexecsummnumbered"/>
        <w:numPr>
          <w:ilvl w:val="0"/>
          <w:numId w:val="18"/>
        </w:numPr>
      </w:pPr>
      <w:r w:rsidRPr="00EF28A2">
        <w:t xml:space="preserve">The size of the eligible population was </w:t>
      </w:r>
      <w:r w:rsidR="0046024F" w:rsidRPr="00EF28A2">
        <w:t xml:space="preserve">estimated </w:t>
      </w:r>
      <w:r w:rsidRPr="00EF28A2">
        <w:t xml:space="preserve">based on historical </w:t>
      </w:r>
      <w:r w:rsidR="00037F82" w:rsidRPr="00EF28A2">
        <w:t>circumstances</w:t>
      </w:r>
      <w:r w:rsidRPr="00EF28A2">
        <w:t xml:space="preserve"> of </w:t>
      </w:r>
      <w:r w:rsidR="00037F82" w:rsidRPr="00EF28A2">
        <w:t xml:space="preserve">use of </w:t>
      </w:r>
      <w:r w:rsidRPr="00EF28A2">
        <w:t xml:space="preserve">type 2 diabetes medications which may not reflect </w:t>
      </w:r>
      <w:r w:rsidR="00037F82" w:rsidRPr="00EF28A2">
        <w:t>future</w:t>
      </w:r>
      <w:r w:rsidRPr="00EF28A2">
        <w:t xml:space="preserve"> utilisation of these therapies. There have been multiple changes in PBS </w:t>
      </w:r>
      <w:r w:rsidRPr="00EF28A2">
        <w:lastRenderedPageBreak/>
        <w:t xml:space="preserve">restrictions for type 2 diabetes medications over time as well as changing treatment algorithms that are likely to affect future patterns of treatment. </w:t>
      </w:r>
    </w:p>
    <w:p w14:paraId="0B853365" w14:textId="012AFFF9" w:rsidR="007C10C1" w:rsidRPr="001F3166" w:rsidRDefault="007C10C1" w:rsidP="00EF2904">
      <w:pPr>
        <w:pStyle w:val="COMexecsummnumbered"/>
        <w:numPr>
          <w:ilvl w:val="0"/>
          <w:numId w:val="18"/>
        </w:numPr>
      </w:pPr>
      <w:r w:rsidRPr="00EF28A2">
        <w:t xml:space="preserve">The budget impact analysis does not account for concomitant use of SGLT2 inhibitors for chronic kidney disease or heart failure, which is allowed under the proposed restriction. </w:t>
      </w:r>
      <w:r w:rsidR="005F4C02" w:rsidRPr="001F3166">
        <w:t xml:space="preserve">The PSCR considered this population is small as data from the Australian Institute of Health and Welfare reported that around 13.4% of patients have type 2 diabetes and comorbid chronic kidney disease </w:t>
      </w:r>
      <w:r w:rsidR="00DA343A" w:rsidRPr="001F3166">
        <w:t>or</w:t>
      </w:r>
      <w:r w:rsidR="00657E45" w:rsidRPr="001F3166">
        <w:t xml:space="preserve"> </w:t>
      </w:r>
      <w:r w:rsidR="005F4C02" w:rsidRPr="001F3166">
        <w:t xml:space="preserve">cardiovascular disease (AIHW Chronic Kidney Disease Facts, June 2024). </w:t>
      </w:r>
      <w:r w:rsidR="00657E45" w:rsidRPr="001F3166">
        <w:t>The ESC noted t</w:t>
      </w:r>
      <w:r w:rsidR="005F4C02" w:rsidRPr="001F3166">
        <w:t xml:space="preserve">his estimate was based on the general population with type 2 diabetes. </w:t>
      </w:r>
      <w:r w:rsidRPr="001F3166">
        <w:t xml:space="preserve">The size of this population likely to be </w:t>
      </w:r>
      <w:r w:rsidR="005F4C02" w:rsidRPr="001F3166">
        <w:t xml:space="preserve">larger </w:t>
      </w:r>
      <w:r w:rsidRPr="001F3166">
        <w:t>in the requested PBS population</w:t>
      </w:r>
      <w:r w:rsidR="00DA343A" w:rsidRPr="001F3166">
        <w:t xml:space="preserve"> as the presence of these comorbidities is likely to be higher in this subgroup, as indicated by data presented in the resubmission. </w:t>
      </w:r>
    </w:p>
    <w:p w14:paraId="29C7ED56" w14:textId="0F382606" w:rsidR="003C4E85" w:rsidRPr="00EF28A2" w:rsidRDefault="003C4E85" w:rsidP="00EF2904">
      <w:pPr>
        <w:pStyle w:val="COMexecsummnumbered"/>
        <w:numPr>
          <w:ilvl w:val="0"/>
          <w:numId w:val="18"/>
        </w:numPr>
      </w:pPr>
      <w:r w:rsidRPr="00EF28A2">
        <w:t xml:space="preserve">The GIP/GLP-1 RA market </w:t>
      </w:r>
      <w:r w:rsidR="00D864E2">
        <w:t>wa</w:t>
      </w:r>
      <w:r w:rsidRPr="00EF28A2">
        <w:t>s subject to ongoing supply constraints resulting from strong demand for these treatments globally. The TGA note</w:t>
      </w:r>
      <w:r w:rsidR="00D864E2">
        <w:t>d</w:t>
      </w:r>
      <w:r w:rsidRPr="00EF28A2">
        <w:t xml:space="preserve"> limited supply of semaglutide and dulaglutide with a supply impact date until 31</w:t>
      </w:r>
      <w:r w:rsidR="009F620D">
        <w:t> </w:t>
      </w:r>
      <w:r w:rsidRPr="00EF28A2">
        <w:t xml:space="preserve">December 2024, and limited supply of tirzepatide with a supply impact date until 31 August 2024. The supply shortages </w:t>
      </w:r>
      <w:r w:rsidR="00D864E2" w:rsidRPr="00EF28A2">
        <w:t>ha</w:t>
      </w:r>
      <w:r w:rsidR="00D864E2">
        <w:t>d</w:t>
      </w:r>
      <w:r w:rsidR="00D864E2" w:rsidRPr="00EF28A2">
        <w:t xml:space="preserve"> </w:t>
      </w:r>
      <w:r w:rsidRPr="00EF28A2">
        <w:t>resulted in an unstable market for GLP-1 RAs, with flow-on impacts on the utilisation of other type 2 diabetes medications including SGLT2 inhibitors on the PBS.</w:t>
      </w:r>
    </w:p>
    <w:p w14:paraId="712B6B7F" w14:textId="6FB05023" w:rsidR="003C4E85" w:rsidRPr="00EF28A2" w:rsidRDefault="001F3166" w:rsidP="00EF2904">
      <w:pPr>
        <w:pStyle w:val="COMexecsummnumbered"/>
        <w:numPr>
          <w:ilvl w:val="0"/>
          <w:numId w:val="18"/>
        </w:numPr>
      </w:pPr>
      <w:r w:rsidRPr="001F3166">
        <w:t xml:space="preserve">The </w:t>
      </w:r>
      <w:r w:rsidR="00F32E70" w:rsidRPr="001F3166">
        <w:t>ESC considered t</w:t>
      </w:r>
      <w:r w:rsidR="003C4E85" w:rsidRPr="001F3166">
        <w:t xml:space="preserve">here </w:t>
      </w:r>
      <w:r w:rsidR="00D864E2">
        <w:t>wa</w:t>
      </w:r>
      <w:r w:rsidR="003C4E85" w:rsidRPr="001F3166">
        <w:t xml:space="preserve">s high risk of </w:t>
      </w:r>
      <w:r w:rsidR="00A16A9A" w:rsidRPr="001F3166">
        <w:t xml:space="preserve">use </w:t>
      </w:r>
      <w:r w:rsidR="003C4E85" w:rsidRPr="001F3166">
        <w:t>beyond the narrow</w:t>
      </w:r>
      <w:r w:rsidR="00F32E70" w:rsidRPr="001F3166">
        <w:t xml:space="preserve"> </w:t>
      </w:r>
      <w:r w:rsidR="003C4E85" w:rsidRPr="001F3166">
        <w:t xml:space="preserve">requested population, given the clinical trial evidence and treatment guidelines support use in broader populations, as well as the risk of ongoing use in patients not meeting </w:t>
      </w:r>
      <w:r w:rsidR="00A61051" w:rsidRPr="001F3166">
        <w:t>continuing treatment</w:t>
      </w:r>
      <w:r w:rsidR="003C4E85" w:rsidRPr="001F3166">
        <w:t xml:space="preserve"> criteria. </w:t>
      </w:r>
      <w:r>
        <w:t xml:space="preserve">The </w:t>
      </w:r>
      <w:r w:rsidR="00B40E6B" w:rsidRPr="001F3166">
        <w:t xml:space="preserve">ESC considered the high demand for </w:t>
      </w:r>
      <w:r w:rsidR="00C07842" w:rsidRPr="001F3166">
        <w:t>tirzepatide in</w:t>
      </w:r>
      <w:r w:rsidR="00B40E6B" w:rsidRPr="001F3166">
        <w:t xml:space="preserve"> the private market (including as an alternative to semaglutide due to supply shortages) increased the risk of </w:t>
      </w:r>
      <w:r w:rsidR="00A16A9A" w:rsidRPr="001F3166">
        <w:t>use outside the restriction</w:t>
      </w:r>
      <w:r w:rsidR="00B40E6B" w:rsidRPr="001F3166">
        <w:t>.</w:t>
      </w:r>
      <w:r w:rsidR="00B40E6B" w:rsidRPr="00EF2904">
        <w:t xml:space="preserve"> </w:t>
      </w:r>
      <w:r w:rsidR="003C4E85" w:rsidRPr="00EF28A2">
        <w:t xml:space="preserve">The degree to which this is mitigated by the proposed restriction </w:t>
      </w:r>
      <w:r w:rsidR="00D864E2">
        <w:t>wa</w:t>
      </w:r>
      <w:r w:rsidR="003C4E85" w:rsidRPr="00EF28A2">
        <w:t xml:space="preserve">s uncertain. </w:t>
      </w:r>
    </w:p>
    <w:p w14:paraId="4E9F2449" w14:textId="6C56BFB1" w:rsidR="00580763" w:rsidRPr="00EF28A2" w:rsidRDefault="006E2A64" w:rsidP="00EF2904">
      <w:pPr>
        <w:pStyle w:val="COMexecsummnumbered"/>
        <w:numPr>
          <w:ilvl w:val="0"/>
          <w:numId w:val="18"/>
        </w:numPr>
      </w:pPr>
      <w:r w:rsidRPr="00EF28A2">
        <w:t xml:space="preserve">The </w:t>
      </w:r>
      <w:r w:rsidR="009F66EE" w:rsidRPr="00EF28A2">
        <w:t xml:space="preserve">estimated size of the eligible population </w:t>
      </w:r>
      <w:r w:rsidR="00580763" w:rsidRPr="00EF28A2">
        <w:t xml:space="preserve">meeting prior therapy criteria in the proposed restriction was </w:t>
      </w:r>
      <w:r w:rsidR="00185111" w:rsidRPr="00EF28A2">
        <w:t xml:space="preserve">highly </w:t>
      </w:r>
      <w:r w:rsidR="00A154D0" w:rsidRPr="00EF28A2">
        <w:t xml:space="preserve">uncertain due to limitations </w:t>
      </w:r>
      <w:r w:rsidR="002F614F" w:rsidRPr="00EF28A2">
        <w:t xml:space="preserve">with </w:t>
      </w:r>
      <w:r w:rsidR="000E26D1" w:rsidRPr="00EF28A2">
        <w:t>data sources and methods applied in the resubmission. In particular, it was unclear whether estimate</w:t>
      </w:r>
      <w:r w:rsidR="00B6690F" w:rsidRPr="00EF28A2">
        <w:t xml:space="preserve">s </w:t>
      </w:r>
      <w:r w:rsidR="00185111" w:rsidRPr="00EF28A2">
        <w:t xml:space="preserve">from the 10% PBS sample </w:t>
      </w:r>
      <w:r w:rsidR="00B6690F" w:rsidRPr="00EF28A2">
        <w:t xml:space="preserve">represented unique patients or episodes of care. </w:t>
      </w:r>
    </w:p>
    <w:p w14:paraId="67DB5F9F" w14:textId="77D3FB6D" w:rsidR="00DA343A" w:rsidRPr="00EF2904" w:rsidRDefault="00BF17D2" w:rsidP="00EF2904">
      <w:pPr>
        <w:pStyle w:val="COMexecsummnumbered"/>
        <w:numPr>
          <w:ilvl w:val="0"/>
          <w:numId w:val="18"/>
        </w:numPr>
      </w:pPr>
      <w:r w:rsidRPr="00EF28A2">
        <w:t xml:space="preserve">The </w:t>
      </w:r>
      <w:r w:rsidR="007E0407" w:rsidRPr="00EF28A2">
        <w:t xml:space="preserve">resubmission assumed </w:t>
      </w:r>
      <w:r w:rsidR="00F950C7" w:rsidRPr="00EF28A2">
        <w:t xml:space="preserve">that patients treated with GLP-1 RA prior to the June 2024 restriction changes would </w:t>
      </w:r>
      <w:r w:rsidR="007E0407" w:rsidRPr="00EF28A2">
        <w:t xml:space="preserve">be eligible for tirzepatide </w:t>
      </w:r>
      <w:r w:rsidR="0049438A" w:rsidRPr="00EF28A2">
        <w:t xml:space="preserve">based on GLP-1 RA </w:t>
      </w:r>
      <w:r w:rsidR="007E0407" w:rsidRPr="00EF28A2">
        <w:t>grandfathering provisions</w:t>
      </w:r>
      <w:r w:rsidR="0049438A" w:rsidRPr="00EF28A2">
        <w:t xml:space="preserve">, which was inconsistent with </w:t>
      </w:r>
      <w:r w:rsidR="00E85D3B" w:rsidRPr="00EF28A2">
        <w:t xml:space="preserve">criteria in </w:t>
      </w:r>
      <w:r w:rsidR="00AE1951" w:rsidRPr="00EF28A2">
        <w:t xml:space="preserve">the proposed </w:t>
      </w:r>
      <w:r w:rsidR="0049438A" w:rsidRPr="00EF28A2">
        <w:t>grandfathering provisions</w:t>
      </w:r>
      <w:r w:rsidR="007E0407" w:rsidRPr="00EF28A2">
        <w:t xml:space="preserve"> </w:t>
      </w:r>
      <w:r w:rsidR="00AE1951" w:rsidRPr="00EF28A2">
        <w:t xml:space="preserve">for tirzepatide. </w:t>
      </w:r>
      <w:r w:rsidR="00B37A34" w:rsidRPr="00EF28A2">
        <w:t>The inclusion of these estimates was inappropriate and would overestimate the size of the eligible population.</w:t>
      </w:r>
      <w:r w:rsidR="00D101BA">
        <w:t xml:space="preserve"> </w:t>
      </w:r>
      <w:r w:rsidR="00317F52" w:rsidRPr="001F3166">
        <w:t xml:space="preserve">The PSCR clarified that the proposed population for grandfathering </w:t>
      </w:r>
      <w:r w:rsidR="008170FD" w:rsidRPr="001F3166">
        <w:t>are a small group of patients who are currently purchasing non-PBS-subsidised tirzepatide in the private market and who met the clinical criteria for tirzepatide at treatment initiation. The PSCR considered grandfathering arrangements were critical for this group as the proposed high-</w:t>
      </w:r>
      <w:r w:rsidR="008170FD" w:rsidRPr="001F3166">
        <w:lastRenderedPageBreak/>
        <w:t xml:space="preserve">risk target populations are likely to have a lower socioeconomic status with limited financial resources. </w:t>
      </w:r>
      <w:r w:rsidR="00DA343A" w:rsidRPr="001F3166">
        <w:t>The PSCR also proposed the addition of a clinical criterion to the initial treatment restriction, which would enable patients treated with a GLP-1 RA prior to June 2024 restriction change to switch to tirzepatide. Details of this proposal were not presented.</w:t>
      </w:r>
    </w:p>
    <w:p w14:paraId="089C6336" w14:textId="6243CBE6" w:rsidR="001F0505" w:rsidRPr="00EF28A2" w:rsidRDefault="002F6EC4" w:rsidP="00EF2904">
      <w:pPr>
        <w:pStyle w:val="COMexecsummnumbered"/>
        <w:numPr>
          <w:ilvl w:val="0"/>
          <w:numId w:val="18"/>
        </w:numPr>
      </w:pPr>
      <w:r w:rsidRPr="00EF28A2">
        <w:t xml:space="preserve">Uptake rates </w:t>
      </w:r>
      <w:r w:rsidR="00894E04" w:rsidRPr="00EF28A2">
        <w:t>in the established eligible and newly eligible populations appeared optimistic given the proposed restriction is more stringent compared to the current GLP-1 RA restriction in terms of authority level, prescriber, treatment regimen (dual therapy with metformin only)</w:t>
      </w:r>
      <w:r w:rsidR="006257CD" w:rsidRPr="00EF28A2">
        <w:t>,</w:t>
      </w:r>
      <w:r w:rsidR="00894E04" w:rsidRPr="00EF28A2">
        <w:t xml:space="preserve"> continuing treatment criteria</w:t>
      </w:r>
      <w:r w:rsidR="006257CD" w:rsidRPr="00EF28A2">
        <w:t xml:space="preserve"> and </w:t>
      </w:r>
      <w:r w:rsidR="00C03A80" w:rsidRPr="00EF28A2">
        <w:t>administrative requirements</w:t>
      </w:r>
      <w:r w:rsidR="00894E04" w:rsidRPr="00EF28A2">
        <w:t xml:space="preserve">. The estimated size of the patient population </w:t>
      </w:r>
      <w:r w:rsidR="0059100D" w:rsidRPr="00EF28A2">
        <w:t>requiring</w:t>
      </w:r>
      <w:r w:rsidR="00894E04" w:rsidRPr="00EF28A2">
        <w:t xml:space="preserve"> access to endocrinologists for treatment initiation appeared large.</w:t>
      </w:r>
      <w:r w:rsidR="002B40A2">
        <w:t xml:space="preserve"> The pre-PBAC response argued that with the amendment of the requirement for endocrinologist initiation (see paragraph </w:t>
      </w:r>
      <w:r w:rsidR="002B40A2">
        <w:fldChar w:fldCharType="begin" w:fldLock="1"/>
      </w:r>
      <w:r w:rsidR="002B40A2">
        <w:instrText xml:space="preserve"> REF _Ref184040021 \r \h </w:instrText>
      </w:r>
      <w:r w:rsidR="00EF2904">
        <w:instrText xml:space="preserve"> \* MERGEFORMAT </w:instrText>
      </w:r>
      <w:r w:rsidR="002B40A2">
        <w:fldChar w:fldCharType="separate"/>
      </w:r>
      <w:r w:rsidR="00EE035D">
        <w:t>3.9</w:t>
      </w:r>
      <w:r w:rsidR="002B40A2">
        <w:fldChar w:fldCharType="end"/>
      </w:r>
      <w:r w:rsidR="002B40A2">
        <w:t>) the high uptake rates were reasonable.</w:t>
      </w:r>
    </w:p>
    <w:p w14:paraId="018150F9" w14:textId="59C6D157" w:rsidR="0059100D" w:rsidRPr="00EF28A2" w:rsidRDefault="00960A53" w:rsidP="00EF2904">
      <w:pPr>
        <w:pStyle w:val="COMexecsummnumbered"/>
        <w:numPr>
          <w:ilvl w:val="0"/>
          <w:numId w:val="18"/>
        </w:numPr>
      </w:pPr>
      <w:r w:rsidRPr="00EF28A2">
        <w:t xml:space="preserve">The circumstances of use of tirzepatide </w:t>
      </w:r>
      <w:r w:rsidR="00E62502" w:rsidRPr="00EF28A2">
        <w:t xml:space="preserve">(fixed dose distribution, </w:t>
      </w:r>
      <w:r w:rsidR="002C782F" w:rsidRPr="00EF28A2">
        <w:t xml:space="preserve">perfect adherence, </w:t>
      </w:r>
      <w:r w:rsidR="005B3EC4" w:rsidRPr="00EF28A2">
        <w:t>constant persistence rate based on maintenance of HbA1c &lt;7.0% only</w:t>
      </w:r>
      <w:r w:rsidR="00950952" w:rsidRPr="00EF28A2">
        <w:t xml:space="preserve">) may not reflect Australian clinical practice (flexible </w:t>
      </w:r>
      <w:r w:rsidR="001B4BDD" w:rsidRPr="00EF28A2">
        <w:t>titration, imperfect adherence</w:t>
      </w:r>
      <w:r w:rsidR="00FE0AAD" w:rsidRPr="00EF28A2">
        <w:t xml:space="preserve"> and</w:t>
      </w:r>
      <w:r w:rsidR="007036EA" w:rsidRPr="00EF28A2">
        <w:t xml:space="preserve"> imperfect persistence due to a broad range of factors</w:t>
      </w:r>
      <w:r w:rsidR="00FE0AAD" w:rsidRPr="00EF28A2">
        <w:t xml:space="preserve">). Persistence estimates in the budget impact model were considerably higher than applied in the economic model. </w:t>
      </w:r>
    </w:p>
    <w:p w14:paraId="524199B7" w14:textId="6F22446A" w:rsidR="00B37A34" w:rsidRPr="00EF28A2" w:rsidRDefault="008C100A" w:rsidP="00EF2904">
      <w:pPr>
        <w:pStyle w:val="COMexecsummnumbered"/>
        <w:numPr>
          <w:ilvl w:val="0"/>
          <w:numId w:val="18"/>
        </w:numPr>
      </w:pPr>
      <w:r w:rsidRPr="00EF28A2">
        <w:t xml:space="preserve">Cost offsets </w:t>
      </w:r>
      <w:r w:rsidR="00E007D8" w:rsidRPr="00EF28A2">
        <w:t>due to</w:t>
      </w:r>
      <w:r w:rsidR="00E44487" w:rsidRPr="00EF28A2">
        <w:t xml:space="preserve"> </w:t>
      </w:r>
      <w:r w:rsidRPr="00EF28A2">
        <w:t xml:space="preserve">substitution of GLP-1 RAs </w:t>
      </w:r>
      <w:r w:rsidR="00E007D8" w:rsidRPr="00EF28A2">
        <w:t xml:space="preserve">were estimated using a 100% script substitution rate. This was inconsistent with the resubmission’s arguments of improved persistence with tirzepatide treatment compared to </w:t>
      </w:r>
      <w:r w:rsidR="0053081B" w:rsidRPr="00EF28A2">
        <w:t>GLP-1 RAs and modelled differences in persistence in the economic model.</w:t>
      </w:r>
    </w:p>
    <w:p w14:paraId="4C02582C" w14:textId="2D4A15BD" w:rsidR="0030125B" w:rsidRPr="00EF28A2" w:rsidRDefault="0030125B" w:rsidP="0030125B">
      <w:pPr>
        <w:pStyle w:val="COMexecsummnumbered"/>
      </w:pPr>
      <w:r w:rsidRPr="00EF28A2">
        <w:t xml:space="preserve">The resubmission </w:t>
      </w:r>
      <w:r w:rsidR="00D864E2">
        <w:t>ha</w:t>
      </w:r>
      <w:r w:rsidRPr="00EF28A2">
        <w:t>d not account</w:t>
      </w:r>
      <w:r w:rsidR="00D864E2">
        <w:t>ed</w:t>
      </w:r>
      <w:r w:rsidRPr="00EF28A2">
        <w:t xml:space="preserve"> for increased MBS costs associated with endocrinologist visits for treatment initiation of tirzepatide. This was inappropriate given increased costs associated with a higher number of visits for the titration regimen of tirzepatide (up to 6 visits to achieve the 15 mg dose) compared to GLP</w:t>
      </w:r>
      <w:r w:rsidRPr="00EF28A2">
        <w:noBreakHyphen/>
        <w:t>1 RAs (up to 3 visits to achieve the semaglutide 1 mg dose). Additionally, treatment with GLP</w:t>
      </w:r>
      <w:r w:rsidR="00EB0F29" w:rsidRPr="00EF28A2">
        <w:noBreakHyphen/>
      </w:r>
      <w:r w:rsidRPr="00EF28A2">
        <w:t>1 RAs can be initiated by GPs with lower MBS costs per visit compared to endocrinologists.</w:t>
      </w:r>
    </w:p>
    <w:p w14:paraId="1B691C63" w14:textId="03C95153" w:rsidR="006A016F" w:rsidRPr="00EF28A2" w:rsidRDefault="00EE1E47" w:rsidP="000F5FBA">
      <w:pPr>
        <w:pStyle w:val="COMexecsummnumbered"/>
      </w:pPr>
      <w:r w:rsidRPr="00EF28A2">
        <w:fldChar w:fldCharType="begin" w:fldLock="1"/>
      </w:r>
      <w:r w:rsidRPr="00EF28A2">
        <w:instrText xml:space="preserve"> REF _Ref175745798 \h </w:instrText>
      </w:r>
      <w:r w:rsidR="00EF28A2">
        <w:instrText xml:space="preserve"> \* MERGEFORMAT </w:instrText>
      </w:r>
      <w:r w:rsidRPr="00EF28A2">
        <w:fldChar w:fldCharType="separate"/>
      </w:r>
      <w:r w:rsidR="00EE035D">
        <w:t xml:space="preserve">Table </w:t>
      </w:r>
      <w:r w:rsidR="00EE035D">
        <w:rPr>
          <w:noProof/>
        </w:rPr>
        <w:t>17</w:t>
      </w:r>
      <w:r w:rsidRPr="00EF28A2">
        <w:fldChar w:fldCharType="end"/>
      </w:r>
      <w:r w:rsidR="0046735E" w:rsidRPr="00EF28A2">
        <w:t xml:space="preserve"> is a summary of key sensitivity analyses </w:t>
      </w:r>
      <w:r w:rsidR="00201357" w:rsidRPr="00EF28A2">
        <w:t>presented in the resubmission and conducted during the evaluation.</w:t>
      </w:r>
    </w:p>
    <w:p w14:paraId="13AE84A3" w14:textId="66B0B905" w:rsidR="009423B8" w:rsidRDefault="009423B8" w:rsidP="00EE1E47">
      <w:pPr>
        <w:pStyle w:val="Caption"/>
      </w:pPr>
      <w:bookmarkStart w:id="75" w:name="_Ref175745798"/>
      <w:r>
        <w:lastRenderedPageBreak/>
        <w:t>Table</w:t>
      </w:r>
      <w:r w:rsidR="00EE1E47">
        <w:t xml:space="preserve"> </w:t>
      </w:r>
      <w:r w:rsidR="00EE035D">
        <w:fldChar w:fldCharType="begin" w:fldLock="1"/>
      </w:r>
      <w:r w:rsidR="00EE035D">
        <w:instrText xml:space="preserve"> SEQ Table \* ARABIC </w:instrText>
      </w:r>
      <w:r w:rsidR="00EE035D">
        <w:fldChar w:fldCharType="separate"/>
      </w:r>
      <w:r w:rsidR="00EE035D">
        <w:rPr>
          <w:noProof/>
        </w:rPr>
        <w:t>17</w:t>
      </w:r>
      <w:r w:rsidR="00EE035D">
        <w:rPr>
          <w:noProof/>
        </w:rPr>
        <w:fldChar w:fldCharType="end"/>
      </w:r>
      <w:bookmarkEnd w:id="75"/>
      <w:r>
        <w:t>: Budget impact sensitivity analyses</w:t>
      </w:r>
    </w:p>
    <w:tbl>
      <w:tblPr>
        <w:tblStyle w:val="TableGrid"/>
        <w:tblW w:w="0" w:type="auto"/>
        <w:tblCellMar>
          <w:left w:w="28" w:type="dxa"/>
          <w:right w:w="28" w:type="dxa"/>
        </w:tblCellMar>
        <w:tblLook w:val="04A0" w:firstRow="1" w:lastRow="0" w:firstColumn="1" w:lastColumn="0" w:noHBand="0" w:noVBand="1"/>
        <w:tblCaption w:val="Table 17: Budget impact sensitivity analyses"/>
      </w:tblPr>
      <w:tblGrid>
        <w:gridCol w:w="6252"/>
        <w:gridCol w:w="2765"/>
      </w:tblGrid>
      <w:tr w:rsidR="007724E2" w:rsidRPr="00EF28A2" w14:paraId="67A78D86" w14:textId="77777777" w:rsidTr="00A1032E">
        <w:tc>
          <w:tcPr>
            <w:tcW w:w="6252" w:type="dxa"/>
          </w:tcPr>
          <w:p w14:paraId="5E12E6B8" w14:textId="77777777" w:rsidR="007724E2" w:rsidRPr="00EF28A2" w:rsidRDefault="007724E2" w:rsidP="00A1032E">
            <w:pPr>
              <w:pStyle w:val="COMTableheadingrow"/>
            </w:pPr>
            <w:r w:rsidRPr="00EF28A2">
              <w:t>Sensitivity analysis</w:t>
            </w:r>
          </w:p>
        </w:tc>
        <w:tc>
          <w:tcPr>
            <w:tcW w:w="2765" w:type="dxa"/>
            <w:vAlign w:val="center"/>
          </w:tcPr>
          <w:p w14:paraId="162A1656" w14:textId="77777777" w:rsidR="007724E2" w:rsidRPr="00EF28A2" w:rsidRDefault="007724E2" w:rsidP="00A1032E">
            <w:pPr>
              <w:pStyle w:val="COMTableheadingrow"/>
              <w:jc w:val="center"/>
            </w:pPr>
            <w:r w:rsidRPr="00EF28A2">
              <w:t>Net PBS/RPBS cost over 6 years</w:t>
            </w:r>
          </w:p>
        </w:tc>
      </w:tr>
      <w:tr w:rsidR="007724E2" w:rsidRPr="00EF28A2" w14:paraId="3FACCFBB" w14:textId="77777777" w:rsidTr="00A1032E">
        <w:tc>
          <w:tcPr>
            <w:tcW w:w="6252" w:type="dxa"/>
          </w:tcPr>
          <w:p w14:paraId="21ED34EF" w14:textId="77777777" w:rsidR="007724E2" w:rsidRPr="00EF28A2" w:rsidRDefault="007724E2" w:rsidP="00A1032E">
            <w:pPr>
              <w:pStyle w:val="COMTabletext"/>
              <w:rPr>
                <w:b/>
                <w:bCs w:val="0"/>
              </w:rPr>
            </w:pPr>
            <w:r w:rsidRPr="00EF28A2">
              <w:rPr>
                <w:b/>
                <w:bCs w:val="0"/>
              </w:rPr>
              <w:t>Revised base case (corrected by sponsor using a 180-day treatment window for insulin in the 10% PBS sample analysis)</w:t>
            </w:r>
          </w:p>
        </w:tc>
        <w:tc>
          <w:tcPr>
            <w:tcW w:w="2765" w:type="dxa"/>
            <w:vAlign w:val="center"/>
          </w:tcPr>
          <w:p w14:paraId="241473D7" w14:textId="34414F63" w:rsidR="007724E2" w:rsidRPr="00C245A2" w:rsidRDefault="00F111EB" w:rsidP="00A1032E">
            <w:pPr>
              <w:pStyle w:val="COMTabletext"/>
              <w:jc w:val="center"/>
              <w:rPr>
                <w:b/>
                <w:bCs w:val="0"/>
                <w:highlight w:val="darkGray"/>
              </w:rPr>
            </w:pPr>
            <w:r w:rsidRPr="00F111EB">
              <w:rPr>
                <w:b/>
                <w:bCs w:val="0"/>
                <w:color w:val="000000"/>
                <w:spacing w:val="59"/>
                <w:shd w:val="solid" w:color="000000" w:fill="000000"/>
                <w:fitText w:val="363" w:id="-761013751"/>
                <w14:textFill>
                  <w14:solidFill>
                    <w14:srgbClr w14:val="000000">
                      <w14:alpha w14:val="100000"/>
                    </w14:srgbClr>
                  </w14:solidFill>
                </w14:textFill>
              </w:rPr>
              <w:t>|||</w:t>
            </w:r>
            <w:r w:rsidRPr="00F111EB">
              <w:rPr>
                <w:b/>
                <w:bCs w:val="0"/>
                <w:color w:val="000000"/>
                <w:spacing w:val="3"/>
                <w:shd w:val="solid" w:color="000000" w:fill="000000"/>
                <w:fitText w:val="363" w:id="-761013751"/>
                <w14:textFill>
                  <w14:solidFill>
                    <w14:srgbClr w14:val="000000">
                      <w14:alpha w14:val="100000"/>
                    </w14:srgbClr>
                  </w14:solidFill>
                </w14:textFill>
              </w:rPr>
              <w:t>|</w:t>
            </w:r>
            <w:r w:rsidR="007E048A" w:rsidRPr="007E048A">
              <w:rPr>
                <w:b/>
                <w:bCs w:val="0"/>
                <w:vertAlign w:val="superscript"/>
              </w:rPr>
              <w:t>1</w:t>
            </w:r>
          </w:p>
        </w:tc>
      </w:tr>
      <w:tr w:rsidR="007724E2" w:rsidRPr="00EF28A2" w14:paraId="2FD5FF63" w14:textId="77777777" w:rsidTr="00A1032E">
        <w:tc>
          <w:tcPr>
            <w:tcW w:w="6252" w:type="dxa"/>
          </w:tcPr>
          <w:p w14:paraId="63A9FD7E" w14:textId="77777777" w:rsidR="007724E2" w:rsidRPr="00EF28A2" w:rsidRDefault="007724E2" w:rsidP="00A1032E">
            <w:pPr>
              <w:pStyle w:val="COMTabletext"/>
            </w:pPr>
            <w:r w:rsidRPr="00EF28A2">
              <w:t>Resubmission’s base case (60-day treatment window for insulin in the 10% PBS sample analysis)</w:t>
            </w:r>
          </w:p>
        </w:tc>
        <w:tc>
          <w:tcPr>
            <w:tcW w:w="2765" w:type="dxa"/>
            <w:vAlign w:val="center"/>
          </w:tcPr>
          <w:p w14:paraId="0B6EAC55" w14:textId="7ECB84D4" w:rsidR="007724E2" w:rsidRPr="00C245A2" w:rsidRDefault="00F111EB" w:rsidP="00A1032E">
            <w:pPr>
              <w:pStyle w:val="COMTabletext"/>
              <w:jc w:val="center"/>
              <w:rPr>
                <w:highlight w:val="darkGray"/>
              </w:rPr>
            </w:pPr>
            <w:r w:rsidRPr="00F111EB">
              <w:rPr>
                <w:color w:val="000000"/>
                <w:spacing w:val="51"/>
                <w:shd w:val="solid" w:color="000000" w:fill="000000"/>
                <w:fitText w:val="325" w:id="-761013750"/>
                <w14:textFill>
                  <w14:solidFill>
                    <w14:srgbClr w14:val="000000">
                      <w14:alpha w14:val="100000"/>
                    </w14:srgbClr>
                  </w14:solidFill>
                </w14:textFill>
              </w:rPr>
              <w:t>|||</w:t>
            </w:r>
            <w:r w:rsidRPr="00F111EB">
              <w:rPr>
                <w:color w:val="000000"/>
                <w:spacing w:val="2"/>
                <w:shd w:val="solid" w:color="000000" w:fill="000000"/>
                <w:fitText w:val="325" w:id="-761013750"/>
                <w14:textFill>
                  <w14:solidFill>
                    <w14:srgbClr w14:val="000000">
                      <w14:alpha w14:val="100000"/>
                    </w14:srgbClr>
                  </w14:solidFill>
                </w14:textFill>
              </w:rPr>
              <w:t>|</w:t>
            </w:r>
            <w:r w:rsidR="007E048A" w:rsidRPr="007E048A">
              <w:rPr>
                <w:b/>
                <w:bCs w:val="0"/>
                <w:vertAlign w:val="superscript"/>
              </w:rPr>
              <w:t>1</w:t>
            </w:r>
          </w:p>
        </w:tc>
      </w:tr>
      <w:tr w:rsidR="007724E2" w:rsidRPr="00EF28A2" w14:paraId="5D0C5F8D" w14:textId="77777777" w:rsidTr="00A1032E">
        <w:tc>
          <w:tcPr>
            <w:tcW w:w="9017" w:type="dxa"/>
            <w:gridSpan w:val="2"/>
          </w:tcPr>
          <w:p w14:paraId="3FB34FE2" w14:textId="087C6934" w:rsidR="007724E2" w:rsidRPr="00EF28A2" w:rsidRDefault="007724E2" w:rsidP="00A1032E">
            <w:pPr>
              <w:pStyle w:val="COMTabletext"/>
            </w:pPr>
            <w:r w:rsidRPr="00EF28A2">
              <w:t>Eligible population (base case combined subgroups with BMI ≥35 kg/m</w:t>
            </w:r>
            <w:r w:rsidRPr="00EF28A2">
              <w:rPr>
                <w:vertAlign w:val="superscript"/>
              </w:rPr>
              <w:t>2</w:t>
            </w:r>
            <w:r w:rsidRPr="00EF28A2">
              <w:t xml:space="preserve"> and </w:t>
            </w:r>
            <w:r w:rsidR="00EC5504" w:rsidRPr="00EF28A2">
              <w:t xml:space="preserve">Aboriginal and Torres Strait Islander peoples </w:t>
            </w:r>
            <w:r w:rsidRPr="00EF28A2">
              <w:t>with BMI &lt;35 kg/m</w:t>
            </w:r>
            <w:r w:rsidRPr="00EF28A2">
              <w:rPr>
                <w:vertAlign w:val="superscript"/>
              </w:rPr>
              <w:t>2</w:t>
            </w:r>
            <w:r w:rsidRPr="00EF28A2">
              <w:t>)</w:t>
            </w:r>
          </w:p>
        </w:tc>
      </w:tr>
      <w:tr w:rsidR="007724E2" w:rsidRPr="00EF28A2" w14:paraId="564AFB7C" w14:textId="77777777" w:rsidTr="00A1032E">
        <w:tc>
          <w:tcPr>
            <w:tcW w:w="6252" w:type="dxa"/>
          </w:tcPr>
          <w:p w14:paraId="3EBA84E1" w14:textId="77777777" w:rsidR="007724E2" w:rsidRPr="00EF28A2" w:rsidRDefault="007724E2" w:rsidP="00A1032E">
            <w:pPr>
              <w:pStyle w:val="COMTabletext"/>
            </w:pPr>
            <w:r w:rsidRPr="00EF28A2">
              <w:t>- Patients with BMI ≥35 kg/m</w:t>
            </w:r>
            <w:r w:rsidRPr="00EF28A2">
              <w:rPr>
                <w:vertAlign w:val="superscript"/>
              </w:rPr>
              <w:t>2</w:t>
            </w:r>
            <w:r w:rsidRPr="00EF28A2">
              <w:t xml:space="preserve"> only</w:t>
            </w:r>
          </w:p>
        </w:tc>
        <w:tc>
          <w:tcPr>
            <w:tcW w:w="2765" w:type="dxa"/>
            <w:vAlign w:val="center"/>
          </w:tcPr>
          <w:p w14:paraId="148891B8" w14:textId="00C528A7"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9"/>
                <w14:textFill>
                  <w14:solidFill>
                    <w14:srgbClr w14:val="000000">
                      <w14:alpha w14:val="100000"/>
                    </w14:srgbClr>
                  </w14:solidFill>
                </w14:textFill>
              </w:rPr>
              <w:t>|||</w:t>
            </w:r>
            <w:r w:rsidRPr="00F111EB">
              <w:rPr>
                <w:color w:val="000000"/>
                <w:spacing w:val="2"/>
                <w:shd w:val="solid" w:color="000000" w:fill="000000"/>
                <w:fitText w:val="325" w:id="-761013749"/>
                <w14:textFill>
                  <w14:solidFill>
                    <w14:srgbClr w14:val="000000">
                      <w14:alpha w14:val="100000"/>
                    </w14:srgbClr>
                  </w14:solidFill>
                </w14:textFill>
              </w:rPr>
              <w:t>|</w:t>
            </w:r>
            <w:r w:rsidR="007E048A" w:rsidRPr="007E048A">
              <w:rPr>
                <w:b/>
                <w:bCs w:val="0"/>
                <w:vertAlign w:val="superscript"/>
              </w:rPr>
              <w:t>1</w:t>
            </w:r>
          </w:p>
        </w:tc>
      </w:tr>
      <w:tr w:rsidR="007724E2" w:rsidRPr="00EF28A2" w14:paraId="5FD0324D" w14:textId="77777777" w:rsidTr="00A1032E">
        <w:tc>
          <w:tcPr>
            <w:tcW w:w="6252" w:type="dxa"/>
          </w:tcPr>
          <w:p w14:paraId="159EB45E" w14:textId="2FFBA9D9" w:rsidR="007724E2" w:rsidRPr="00EF28A2" w:rsidRDefault="007724E2" w:rsidP="00A1032E">
            <w:pPr>
              <w:pStyle w:val="COMTabletext"/>
            </w:pPr>
            <w:r w:rsidRPr="00EF28A2">
              <w:t>- A</w:t>
            </w:r>
            <w:r w:rsidR="000843BA" w:rsidRPr="00EF28A2">
              <w:t xml:space="preserve">boriginal and </w:t>
            </w:r>
            <w:r w:rsidRPr="00EF28A2">
              <w:t>T</w:t>
            </w:r>
            <w:r w:rsidR="000843BA" w:rsidRPr="00EF28A2">
              <w:t xml:space="preserve">orres </w:t>
            </w:r>
            <w:r w:rsidRPr="00EF28A2">
              <w:t>S</w:t>
            </w:r>
            <w:r w:rsidR="000843BA" w:rsidRPr="00EF28A2">
              <w:t xml:space="preserve">trait </w:t>
            </w:r>
            <w:r w:rsidRPr="00EF28A2">
              <w:t>I</w:t>
            </w:r>
            <w:r w:rsidR="000843BA" w:rsidRPr="00EF28A2">
              <w:t>slander peoples</w:t>
            </w:r>
            <w:r w:rsidRPr="00EF28A2">
              <w:t xml:space="preserve"> only (assuming 100% are eligible)</w:t>
            </w:r>
          </w:p>
        </w:tc>
        <w:tc>
          <w:tcPr>
            <w:tcW w:w="2765" w:type="dxa"/>
            <w:vAlign w:val="center"/>
          </w:tcPr>
          <w:p w14:paraId="047A3858" w14:textId="4EE21570"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8"/>
                <w14:textFill>
                  <w14:solidFill>
                    <w14:srgbClr w14:val="000000">
                      <w14:alpha w14:val="100000"/>
                    </w14:srgbClr>
                  </w14:solidFill>
                </w14:textFill>
              </w:rPr>
              <w:t>|||</w:t>
            </w:r>
            <w:r w:rsidRPr="00F111EB">
              <w:rPr>
                <w:color w:val="000000"/>
                <w:spacing w:val="2"/>
                <w:shd w:val="solid" w:color="000000" w:fill="000000"/>
                <w:fitText w:val="325" w:id="-761013748"/>
                <w14:textFill>
                  <w14:solidFill>
                    <w14:srgbClr w14:val="000000">
                      <w14:alpha w14:val="100000"/>
                    </w14:srgbClr>
                  </w14:solidFill>
                </w14:textFill>
              </w:rPr>
              <w:t>|</w:t>
            </w:r>
            <w:r w:rsidR="00A74765">
              <w:rPr>
                <w:b/>
                <w:bCs w:val="0"/>
                <w:vertAlign w:val="superscript"/>
              </w:rPr>
              <w:t>2</w:t>
            </w:r>
          </w:p>
        </w:tc>
      </w:tr>
      <w:tr w:rsidR="007724E2" w:rsidRPr="00EF28A2" w14:paraId="52B5ECB8" w14:textId="77777777" w:rsidTr="00A1032E">
        <w:tc>
          <w:tcPr>
            <w:tcW w:w="9017" w:type="dxa"/>
            <w:gridSpan w:val="2"/>
          </w:tcPr>
          <w:p w14:paraId="5126A5DD" w14:textId="77777777" w:rsidR="007724E2" w:rsidRPr="00EF28A2" w:rsidRDefault="007724E2" w:rsidP="00A1032E">
            <w:pPr>
              <w:pStyle w:val="COMTabletext"/>
            </w:pPr>
            <w:r w:rsidRPr="00EF28A2">
              <w:t>Duration of established eligibility (base case includes patients meeting prior therapy criteria in the 6 years prior)</w:t>
            </w:r>
          </w:p>
        </w:tc>
      </w:tr>
      <w:tr w:rsidR="007724E2" w:rsidRPr="00EF28A2" w14:paraId="558AD2F5" w14:textId="77777777" w:rsidTr="00A1032E">
        <w:tc>
          <w:tcPr>
            <w:tcW w:w="6252" w:type="dxa"/>
          </w:tcPr>
          <w:p w14:paraId="28473C17" w14:textId="77777777" w:rsidR="007724E2" w:rsidRPr="00EF28A2" w:rsidRDefault="007724E2" w:rsidP="00A1032E">
            <w:pPr>
              <w:pStyle w:val="COMTabletext"/>
              <w:rPr>
                <w:vertAlign w:val="superscript"/>
              </w:rPr>
            </w:pPr>
            <w:r w:rsidRPr="00EF28A2">
              <w:t xml:space="preserve">- 3 years prior </w:t>
            </w:r>
            <w:r w:rsidRPr="00EF28A2">
              <w:rPr>
                <w:vertAlign w:val="superscript"/>
              </w:rPr>
              <w:t>a</w:t>
            </w:r>
          </w:p>
        </w:tc>
        <w:tc>
          <w:tcPr>
            <w:tcW w:w="2765" w:type="dxa"/>
            <w:vAlign w:val="center"/>
          </w:tcPr>
          <w:p w14:paraId="4FD911C0" w14:textId="2AEBDA6E" w:rsidR="007724E2" w:rsidRPr="00B47526" w:rsidRDefault="00F111EB" w:rsidP="00A1032E">
            <w:pPr>
              <w:pStyle w:val="COMTabletext"/>
              <w:jc w:val="center"/>
              <w:rPr>
                <w:highlight w:val="darkGray"/>
              </w:rPr>
            </w:pPr>
            <w:r w:rsidRPr="00F60F59">
              <w:rPr>
                <w:color w:val="000000"/>
                <w:spacing w:val="51"/>
                <w:shd w:val="solid" w:color="000000" w:fill="000000"/>
                <w:fitText w:val="325" w:id="-761013747"/>
                <w14:textFill>
                  <w14:solidFill>
                    <w14:srgbClr w14:val="000000">
                      <w14:alpha w14:val="100000"/>
                    </w14:srgbClr>
                  </w14:solidFill>
                </w14:textFill>
              </w:rPr>
              <w:t>|||</w:t>
            </w:r>
            <w:r w:rsidRPr="00F60F59">
              <w:rPr>
                <w:color w:val="000000"/>
                <w:spacing w:val="2"/>
                <w:shd w:val="solid" w:color="000000" w:fill="000000"/>
                <w:fitText w:val="325" w:id="-761013747"/>
                <w14:textFill>
                  <w14:solidFill>
                    <w14:srgbClr w14:val="000000">
                      <w14:alpha w14:val="100000"/>
                    </w14:srgbClr>
                  </w14:solidFill>
                </w14:textFill>
              </w:rPr>
              <w:t>|</w:t>
            </w:r>
            <w:r w:rsidR="007E048A" w:rsidRPr="007E048A">
              <w:rPr>
                <w:b/>
                <w:bCs w:val="0"/>
                <w:vertAlign w:val="superscript"/>
              </w:rPr>
              <w:t>1</w:t>
            </w:r>
          </w:p>
        </w:tc>
      </w:tr>
      <w:tr w:rsidR="007724E2" w:rsidRPr="00EF28A2" w14:paraId="3E84D3C9" w14:textId="77777777" w:rsidTr="00A1032E">
        <w:tc>
          <w:tcPr>
            <w:tcW w:w="6252" w:type="dxa"/>
          </w:tcPr>
          <w:p w14:paraId="49CBE389" w14:textId="77777777" w:rsidR="007724E2" w:rsidRPr="00EF28A2" w:rsidRDefault="007724E2" w:rsidP="00A1032E">
            <w:pPr>
              <w:pStyle w:val="COMTabletext"/>
              <w:rPr>
                <w:vertAlign w:val="superscript"/>
              </w:rPr>
            </w:pPr>
            <w:r w:rsidRPr="00EF28A2">
              <w:t xml:space="preserve">- 1 year prior </w:t>
            </w:r>
            <w:r w:rsidRPr="00EF28A2">
              <w:rPr>
                <w:vertAlign w:val="superscript"/>
              </w:rPr>
              <w:t>b</w:t>
            </w:r>
          </w:p>
        </w:tc>
        <w:tc>
          <w:tcPr>
            <w:tcW w:w="2765" w:type="dxa"/>
            <w:vAlign w:val="center"/>
          </w:tcPr>
          <w:p w14:paraId="2DE4D324" w14:textId="7D81ABAA"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6"/>
                <w14:textFill>
                  <w14:solidFill>
                    <w14:srgbClr w14:val="000000">
                      <w14:alpha w14:val="100000"/>
                    </w14:srgbClr>
                  </w14:solidFill>
                </w14:textFill>
              </w:rPr>
              <w:t>|||</w:t>
            </w:r>
            <w:r w:rsidRPr="00F111EB">
              <w:rPr>
                <w:color w:val="000000"/>
                <w:spacing w:val="2"/>
                <w:shd w:val="solid" w:color="000000" w:fill="000000"/>
                <w:fitText w:val="325" w:id="-761013746"/>
                <w14:textFill>
                  <w14:solidFill>
                    <w14:srgbClr w14:val="000000">
                      <w14:alpha w14:val="100000"/>
                    </w14:srgbClr>
                  </w14:solidFill>
                </w14:textFill>
              </w:rPr>
              <w:t>|</w:t>
            </w:r>
            <w:r w:rsidR="007E048A" w:rsidRPr="007E048A">
              <w:rPr>
                <w:b/>
                <w:bCs w:val="0"/>
                <w:vertAlign w:val="superscript"/>
              </w:rPr>
              <w:t>1</w:t>
            </w:r>
          </w:p>
        </w:tc>
      </w:tr>
      <w:tr w:rsidR="007724E2" w:rsidRPr="00EF28A2" w14:paraId="6CB077D8" w14:textId="77777777" w:rsidTr="00A1032E">
        <w:tc>
          <w:tcPr>
            <w:tcW w:w="9017" w:type="dxa"/>
            <w:gridSpan w:val="2"/>
            <w:vAlign w:val="center"/>
          </w:tcPr>
          <w:p w14:paraId="08BD9958" w14:textId="77777777" w:rsidR="007724E2" w:rsidRPr="00EF28A2" w:rsidRDefault="007724E2" w:rsidP="00A1032E">
            <w:pPr>
              <w:pStyle w:val="COMTabletext"/>
            </w:pPr>
            <w:r w:rsidRPr="00EF28A2">
              <w:t>10% PBS sample analysis for SGLT2i and metformin monotherapy switch outs (base case 6-month treatment window)</w:t>
            </w:r>
          </w:p>
        </w:tc>
      </w:tr>
      <w:tr w:rsidR="007724E2" w:rsidRPr="00EF28A2" w14:paraId="5751E3F2" w14:textId="77777777" w:rsidTr="00A1032E">
        <w:tc>
          <w:tcPr>
            <w:tcW w:w="6252" w:type="dxa"/>
          </w:tcPr>
          <w:p w14:paraId="48F2801F" w14:textId="77777777" w:rsidR="007724E2" w:rsidRPr="00EF28A2" w:rsidRDefault="007724E2" w:rsidP="00A1032E">
            <w:pPr>
              <w:pStyle w:val="COMTabletext"/>
              <w:rPr>
                <w:vertAlign w:val="superscript"/>
              </w:rPr>
            </w:pPr>
            <w:r w:rsidRPr="00EF28A2">
              <w:t xml:space="preserve">- 3-month treatment window </w:t>
            </w:r>
            <w:r w:rsidRPr="00EF28A2">
              <w:rPr>
                <w:vertAlign w:val="superscript"/>
              </w:rPr>
              <w:t>c</w:t>
            </w:r>
          </w:p>
        </w:tc>
        <w:tc>
          <w:tcPr>
            <w:tcW w:w="2765" w:type="dxa"/>
            <w:vAlign w:val="center"/>
          </w:tcPr>
          <w:p w14:paraId="1A29F969" w14:textId="2243987A"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5"/>
                <w14:textFill>
                  <w14:solidFill>
                    <w14:srgbClr w14:val="000000">
                      <w14:alpha w14:val="100000"/>
                    </w14:srgbClr>
                  </w14:solidFill>
                </w14:textFill>
              </w:rPr>
              <w:t>|||</w:t>
            </w:r>
            <w:r w:rsidRPr="00F111EB">
              <w:rPr>
                <w:color w:val="000000"/>
                <w:spacing w:val="2"/>
                <w:shd w:val="solid" w:color="000000" w:fill="000000"/>
                <w:fitText w:val="325" w:id="-761013745"/>
                <w14:textFill>
                  <w14:solidFill>
                    <w14:srgbClr w14:val="000000">
                      <w14:alpha w14:val="100000"/>
                    </w14:srgbClr>
                  </w14:solidFill>
                </w14:textFill>
              </w:rPr>
              <w:t>|</w:t>
            </w:r>
            <w:r w:rsidR="007E048A" w:rsidRPr="007E048A">
              <w:rPr>
                <w:b/>
                <w:bCs w:val="0"/>
                <w:vertAlign w:val="superscript"/>
              </w:rPr>
              <w:t>1</w:t>
            </w:r>
          </w:p>
        </w:tc>
      </w:tr>
      <w:tr w:rsidR="007724E2" w:rsidRPr="00EF28A2" w14:paraId="4AC118E1" w14:textId="77777777" w:rsidTr="00A1032E">
        <w:tc>
          <w:tcPr>
            <w:tcW w:w="6252" w:type="dxa"/>
          </w:tcPr>
          <w:p w14:paraId="7BA29A98" w14:textId="77777777" w:rsidR="007724E2" w:rsidRPr="00EF28A2" w:rsidRDefault="007724E2" w:rsidP="00A1032E">
            <w:pPr>
              <w:pStyle w:val="COMTabletext"/>
              <w:rPr>
                <w:vertAlign w:val="superscript"/>
              </w:rPr>
            </w:pPr>
            <w:r w:rsidRPr="00EF28A2">
              <w:t xml:space="preserve">- 12-month treatment window </w:t>
            </w:r>
            <w:r w:rsidRPr="00EF28A2">
              <w:rPr>
                <w:vertAlign w:val="superscript"/>
              </w:rPr>
              <w:t>d</w:t>
            </w:r>
          </w:p>
        </w:tc>
        <w:tc>
          <w:tcPr>
            <w:tcW w:w="2765" w:type="dxa"/>
            <w:vAlign w:val="center"/>
          </w:tcPr>
          <w:p w14:paraId="2811B7B3" w14:textId="102BB82B"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44"/>
                <w14:textFill>
                  <w14:solidFill>
                    <w14:srgbClr w14:val="000000">
                      <w14:alpha w14:val="100000"/>
                    </w14:srgbClr>
                  </w14:solidFill>
                </w14:textFill>
              </w:rPr>
              <w:t>|||</w:t>
            </w:r>
            <w:r w:rsidRPr="00F111EB">
              <w:rPr>
                <w:color w:val="000000"/>
                <w:spacing w:val="2"/>
                <w:shd w:val="solid" w:color="000000" w:fill="000000"/>
                <w:fitText w:val="325" w:id="-761013744"/>
                <w14:textFill>
                  <w14:solidFill>
                    <w14:srgbClr w14:val="000000">
                      <w14:alpha w14:val="100000"/>
                    </w14:srgbClr>
                  </w14:solidFill>
                </w14:textFill>
              </w:rPr>
              <w:t>|</w:t>
            </w:r>
            <w:r w:rsidR="007E048A" w:rsidRPr="007E048A">
              <w:rPr>
                <w:b/>
                <w:bCs w:val="0"/>
                <w:vertAlign w:val="superscript"/>
              </w:rPr>
              <w:t>1</w:t>
            </w:r>
          </w:p>
        </w:tc>
      </w:tr>
      <w:tr w:rsidR="007724E2" w:rsidRPr="00EF28A2" w14:paraId="0F8B060D" w14:textId="77777777" w:rsidTr="00A1032E">
        <w:tc>
          <w:tcPr>
            <w:tcW w:w="9017" w:type="dxa"/>
            <w:gridSpan w:val="2"/>
            <w:vAlign w:val="center"/>
          </w:tcPr>
          <w:p w14:paraId="6CE45B2F" w14:textId="77777777" w:rsidR="007724E2" w:rsidRPr="00EF28A2" w:rsidRDefault="007724E2" w:rsidP="00A1032E">
            <w:pPr>
              <w:pStyle w:val="COMTabletext"/>
            </w:pPr>
            <w:r w:rsidRPr="00EF28A2">
              <w:t>10% PBS sample analysis for SGLT2i and metformin monotherapy switch outs and drop-offs (base case switch outs only)</w:t>
            </w:r>
          </w:p>
        </w:tc>
      </w:tr>
      <w:tr w:rsidR="007724E2" w:rsidRPr="00EF28A2" w14:paraId="40BB0A22" w14:textId="77777777" w:rsidTr="00A1032E">
        <w:tc>
          <w:tcPr>
            <w:tcW w:w="6252" w:type="dxa"/>
          </w:tcPr>
          <w:p w14:paraId="6373CA75" w14:textId="77777777" w:rsidR="007724E2" w:rsidRPr="00EF28A2" w:rsidRDefault="007724E2" w:rsidP="00A1032E">
            <w:pPr>
              <w:pStyle w:val="COMTabletext"/>
            </w:pPr>
            <w:r w:rsidRPr="00EF28A2">
              <w:t xml:space="preserve">- Include SGLT2i and metformin monotherapy drop-offs </w:t>
            </w:r>
            <w:r w:rsidRPr="00EF28A2">
              <w:rPr>
                <w:vertAlign w:val="superscript"/>
              </w:rPr>
              <w:t>e</w:t>
            </w:r>
          </w:p>
        </w:tc>
        <w:tc>
          <w:tcPr>
            <w:tcW w:w="2765" w:type="dxa"/>
            <w:vAlign w:val="center"/>
          </w:tcPr>
          <w:p w14:paraId="6C2ACB02" w14:textId="7E448F97" w:rsidR="007724E2" w:rsidRPr="00EF28A2" w:rsidRDefault="00F111EB" w:rsidP="00A1032E">
            <w:pPr>
              <w:pStyle w:val="COMTabletext"/>
              <w:jc w:val="center"/>
            </w:pPr>
            <w:r w:rsidRPr="00F111EB">
              <w:rPr>
                <w:color w:val="000000"/>
                <w:spacing w:val="51"/>
                <w:shd w:val="solid" w:color="000000" w:fill="000000"/>
                <w:fitText w:val="325" w:id="-761013760"/>
                <w14:textFill>
                  <w14:solidFill>
                    <w14:srgbClr w14:val="000000">
                      <w14:alpha w14:val="100000"/>
                    </w14:srgbClr>
                  </w14:solidFill>
                </w14:textFill>
              </w:rPr>
              <w:t>|||</w:t>
            </w:r>
            <w:r w:rsidRPr="00F111EB">
              <w:rPr>
                <w:color w:val="000000"/>
                <w:spacing w:val="2"/>
                <w:shd w:val="solid" w:color="000000" w:fill="000000"/>
                <w:fitText w:val="325" w:id="-761013760"/>
                <w14:textFill>
                  <w14:solidFill>
                    <w14:srgbClr w14:val="000000">
                      <w14:alpha w14:val="100000"/>
                    </w14:srgbClr>
                  </w14:solidFill>
                </w14:textFill>
              </w:rPr>
              <w:t>|</w:t>
            </w:r>
            <w:r w:rsidR="007E048A" w:rsidRPr="007E048A">
              <w:rPr>
                <w:b/>
                <w:bCs w:val="0"/>
                <w:vertAlign w:val="superscript"/>
              </w:rPr>
              <w:t>1</w:t>
            </w:r>
          </w:p>
        </w:tc>
      </w:tr>
      <w:tr w:rsidR="007724E2" w:rsidRPr="00EF28A2" w14:paraId="767A933C" w14:textId="77777777" w:rsidTr="00A1032E">
        <w:tc>
          <w:tcPr>
            <w:tcW w:w="9017" w:type="dxa"/>
            <w:gridSpan w:val="2"/>
          </w:tcPr>
          <w:p w14:paraId="62807E4F" w14:textId="77777777" w:rsidR="007724E2" w:rsidRPr="00EF28A2" w:rsidRDefault="007724E2" w:rsidP="00A1032E">
            <w:pPr>
              <w:pStyle w:val="COMTabletext"/>
            </w:pPr>
            <w:r w:rsidRPr="00EF28A2">
              <w:t>Proportion of patients with BMI ≥35 kg/m</w:t>
            </w:r>
            <w:r w:rsidRPr="00EF28A2">
              <w:rPr>
                <w:vertAlign w:val="superscript"/>
              </w:rPr>
              <w:t xml:space="preserve">2 </w:t>
            </w:r>
            <w:r w:rsidRPr="00EF28A2">
              <w:t xml:space="preserve">(base case 42%) </w:t>
            </w:r>
          </w:p>
        </w:tc>
      </w:tr>
      <w:tr w:rsidR="007724E2" w:rsidRPr="00EF28A2" w14:paraId="6E1A39D3" w14:textId="77777777" w:rsidTr="00A1032E">
        <w:tc>
          <w:tcPr>
            <w:tcW w:w="6252" w:type="dxa"/>
          </w:tcPr>
          <w:p w14:paraId="576F4C46" w14:textId="77777777" w:rsidR="007724E2" w:rsidRPr="00EF28A2" w:rsidRDefault="007724E2" w:rsidP="00A1032E">
            <w:pPr>
              <w:pStyle w:val="COMTabletext"/>
            </w:pPr>
            <w:r w:rsidRPr="00EF28A2">
              <w:t>- 50%</w:t>
            </w:r>
          </w:p>
        </w:tc>
        <w:tc>
          <w:tcPr>
            <w:tcW w:w="2765" w:type="dxa"/>
            <w:vAlign w:val="center"/>
          </w:tcPr>
          <w:p w14:paraId="63CDED6C" w14:textId="71511C63"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59"/>
                <w14:textFill>
                  <w14:solidFill>
                    <w14:srgbClr w14:val="000000">
                      <w14:alpha w14:val="100000"/>
                    </w14:srgbClr>
                  </w14:solidFill>
                </w14:textFill>
              </w:rPr>
              <w:t>|||</w:t>
            </w:r>
            <w:r w:rsidRPr="00F111EB">
              <w:rPr>
                <w:color w:val="000000"/>
                <w:spacing w:val="2"/>
                <w:shd w:val="solid" w:color="000000" w:fill="000000"/>
                <w:fitText w:val="325" w:id="-761013759"/>
                <w14:textFill>
                  <w14:solidFill>
                    <w14:srgbClr w14:val="000000">
                      <w14:alpha w14:val="100000"/>
                    </w14:srgbClr>
                  </w14:solidFill>
                </w14:textFill>
              </w:rPr>
              <w:t>|</w:t>
            </w:r>
            <w:r w:rsidR="007E048A" w:rsidRPr="007E048A">
              <w:rPr>
                <w:b/>
                <w:bCs w:val="0"/>
                <w:vertAlign w:val="superscript"/>
              </w:rPr>
              <w:t>1</w:t>
            </w:r>
          </w:p>
        </w:tc>
      </w:tr>
      <w:tr w:rsidR="007724E2" w:rsidRPr="00EF28A2" w14:paraId="7679EE31" w14:textId="77777777" w:rsidTr="00A1032E">
        <w:tc>
          <w:tcPr>
            <w:tcW w:w="6252" w:type="dxa"/>
          </w:tcPr>
          <w:p w14:paraId="7F293B93" w14:textId="77777777" w:rsidR="007724E2" w:rsidRPr="00EF28A2" w:rsidRDefault="007724E2" w:rsidP="00A1032E">
            <w:pPr>
              <w:pStyle w:val="COMTabletext"/>
            </w:pPr>
            <w:r w:rsidRPr="00EF28A2">
              <w:t>- 30%</w:t>
            </w:r>
          </w:p>
        </w:tc>
        <w:tc>
          <w:tcPr>
            <w:tcW w:w="2765" w:type="dxa"/>
            <w:vAlign w:val="center"/>
          </w:tcPr>
          <w:p w14:paraId="6BDF7434" w14:textId="5F77C89B" w:rsidR="007724E2" w:rsidRPr="00B47526" w:rsidRDefault="00F111EB" w:rsidP="00A1032E">
            <w:pPr>
              <w:pStyle w:val="COMTabletext"/>
              <w:jc w:val="center"/>
              <w:rPr>
                <w:highlight w:val="darkGray"/>
              </w:rPr>
            </w:pPr>
            <w:r w:rsidRPr="00F111EB">
              <w:rPr>
                <w:color w:val="000000"/>
                <w:spacing w:val="51"/>
                <w:shd w:val="solid" w:color="000000" w:fill="000000"/>
                <w:fitText w:val="325" w:id="-761013758"/>
                <w14:textFill>
                  <w14:solidFill>
                    <w14:srgbClr w14:val="000000">
                      <w14:alpha w14:val="100000"/>
                    </w14:srgbClr>
                  </w14:solidFill>
                </w14:textFill>
              </w:rPr>
              <w:t>|||</w:t>
            </w:r>
            <w:r w:rsidRPr="00F111EB">
              <w:rPr>
                <w:color w:val="000000"/>
                <w:spacing w:val="2"/>
                <w:shd w:val="solid" w:color="000000" w:fill="000000"/>
                <w:fitText w:val="325" w:id="-761013758"/>
                <w14:textFill>
                  <w14:solidFill>
                    <w14:srgbClr w14:val="000000">
                      <w14:alpha w14:val="100000"/>
                    </w14:srgbClr>
                  </w14:solidFill>
                </w14:textFill>
              </w:rPr>
              <w:t>|</w:t>
            </w:r>
            <w:r w:rsidR="007E048A" w:rsidRPr="007E048A">
              <w:rPr>
                <w:b/>
                <w:bCs w:val="0"/>
                <w:vertAlign w:val="superscript"/>
              </w:rPr>
              <w:t>1</w:t>
            </w:r>
          </w:p>
        </w:tc>
      </w:tr>
      <w:tr w:rsidR="007724E2" w:rsidRPr="00EF28A2" w14:paraId="10B3E7FA" w14:textId="77777777" w:rsidTr="00A1032E">
        <w:tc>
          <w:tcPr>
            <w:tcW w:w="9017" w:type="dxa"/>
            <w:gridSpan w:val="2"/>
            <w:vAlign w:val="center"/>
          </w:tcPr>
          <w:p w14:paraId="3EB3BF05" w14:textId="37E2B787" w:rsidR="007724E2" w:rsidRPr="00EF28A2" w:rsidRDefault="007724E2" w:rsidP="00A1032E">
            <w:pPr>
              <w:pStyle w:val="COMTabletext"/>
            </w:pPr>
            <w:r w:rsidRPr="00EF28A2">
              <w:t xml:space="preserve">Grandfathered population based on population treated with GLP-1 prior to 1 June 2024 (base case estimate </w:t>
            </w:r>
            <w:r w:rsidR="00D55519" w:rsidRPr="00D06C66">
              <w:rPr>
                <w:color w:val="000000"/>
                <w:spacing w:val="53"/>
                <w:shd w:val="solid" w:color="000000" w:fill="000000"/>
                <w:fitText w:val="330" w:id="-752352768"/>
                <w14:textFill>
                  <w14:solidFill>
                    <w14:srgbClr w14:val="000000">
                      <w14:alpha w14:val="100000"/>
                    </w14:srgbClr>
                  </w14:solidFill>
                </w14:textFill>
              </w:rPr>
              <w:t>|||</w:t>
            </w:r>
            <w:r w:rsidR="00D55519" w:rsidRPr="00D06C66">
              <w:rPr>
                <w:color w:val="000000"/>
                <w:spacing w:val="1"/>
                <w:shd w:val="solid" w:color="000000" w:fill="000000"/>
                <w:fitText w:val="330" w:id="-752352768"/>
                <w14:textFill>
                  <w14:solidFill>
                    <w14:srgbClr w14:val="000000">
                      <w14:alpha w14:val="100000"/>
                    </w14:srgbClr>
                  </w14:solidFill>
                </w14:textFill>
              </w:rPr>
              <w:t>|</w:t>
            </w:r>
            <w:r w:rsidR="00F60F59">
              <w:t xml:space="preserve"> </w:t>
            </w:r>
            <w:r w:rsidR="00F60F59">
              <w:rPr>
                <w:vertAlign w:val="superscript"/>
              </w:rPr>
              <w:t>3</w:t>
            </w:r>
            <w:r w:rsidRPr="00EF28A2">
              <w:t>)</w:t>
            </w:r>
          </w:p>
        </w:tc>
      </w:tr>
      <w:tr w:rsidR="007724E2" w:rsidRPr="00EF28A2" w14:paraId="5745F2EB" w14:textId="77777777" w:rsidTr="00A1032E">
        <w:tc>
          <w:tcPr>
            <w:tcW w:w="6252" w:type="dxa"/>
          </w:tcPr>
          <w:p w14:paraId="60D72E65" w14:textId="77777777" w:rsidR="007724E2" w:rsidRPr="00EF28A2" w:rsidRDefault="007724E2" w:rsidP="00A1032E">
            <w:pPr>
              <w:pStyle w:val="COMTabletext"/>
            </w:pPr>
            <w:r w:rsidRPr="00EF28A2">
              <w:t>- Remove, assuming these patients are not eligible</w:t>
            </w:r>
          </w:p>
        </w:tc>
        <w:tc>
          <w:tcPr>
            <w:tcW w:w="2765" w:type="dxa"/>
            <w:vAlign w:val="center"/>
          </w:tcPr>
          <w:p w14:paraId="3A1BCAF5" w14:textId="25CAC859" w:rsidR="007724E2" w:rsidRPr="00EF28A2" w:rsidRDefault="00F111EB" w:rsidP="00A1032E">
            <w:pPr>
              <w:pStyle w:val="COMTabletext"/>
              <w:jc w:val="center"/>
            </w:pPr>
            <w:r w:rsidRPr="00D06C66">
              <w:rPr>
                <w:color w:val="000000"/>
                <w:spacing w:val="51"/>
                <w:shd w:val="solid" w:color="000000" w:fill="000000"/>
                <w:fitText w:val="325" w:id="-761013757"/>
                <w14:textFill>
                  <w14:solidFill>
                    <w14:srgbClr w14:val="000000">
                      <w14:alpha w14:val="100000"/>
                    </w14:srgbClr>
                  </w14:solidFill>
                </w14:textFill>
              </w:rPr>
              <w:t>|||</w:t>
            </w:r>
            <w:r w:rsidRPr="00D06C66">
              <w:rPr>
                <w:color w:val="000000"/>
                <w:spacing w:val="2"/>
                <w:shd w:val="solid" w:color="000000" w:fill="000000"/>
                <w:fitText w:val="325" w:id="-761013757"/>
                <w14:textFill>
                  <w14:solidFill>
                    <w14:srgbClr w14:val="000000">
                      <w14:alpha w14:val="100000"/>
                    </w14:srgbClr>
                  </w14:solidFill>
                </w14:textFill>
              </w:rPr>
              <w:t>|</w:t>
            </w:r>
            <w:r w:rsidR="007E048A" w:rsidRPr="007E048A">
              <w:rPr>
                <w:b/>
                <w:bCs w:val="0"/>
                <w:vertAlign w:val="superscript"/>
              </w:rPr>
              <w:t>1</w:t>
            </w:r>
          </w:p>
        </w:tc>
      </w:tr>
      <w:tr w:rsidR="007724E2" w:rsidRPr="00EF28A2" w14:paraId="55781A5B" w14:textId="77777777" w:rsidTr="00A1032E">
        <w:tc>
          <w:tcPr>
            <w:tcW w:w="9017" w:type="dxa"/>
            <w:gridSpan w:val="2"/>
          </w:tcPr>
          <w:p w14:paraId="3184FA03" w14:textId="44266F4C" w:rsidR="007724E2" w:rsidRPr="00EF28A2" w:rsidRDefault="007724E2" w:rsidP="00A1032E">
            <w:pPr>
              <w:pStyle w:val="COMTabletext"/>
            </w:pPr>
            <w:r w:rsidRPr="00EF28A2">
              <w:t xml:space="preserve">Uptake rate in established eligible population (base case </w:t>
            </w:r>
            <w:r w:rsidR="00F111EB" w:rsidRPr="00D06C66">
              <w:rPr>
                <w:color w:val="000000"/>
                <w:spacing w:val="51"/>
                <w:shd w:val="solid" w:color="000000" w:fill="000000"/>
                <w:fitText w:val="326" w:id="-761013756"/>
                <w14:textFill>
                  <w14:solidFill>
                    <w14:srgbClr w14:val="000000">
                      <w14:alpha w14:val="100000"/>
                    </w14:srgbClr>
                  </w14:solidFill>
                </w14:textFill>
              </w:rPr>
              <w:t>|||</w:t>
            </w:r>
            <w:r w:rsidR="00F111EB" w:rsidRPr="00D06C66">
              <w:rPr>
                <w:color w:val="000000"/>
                <w:spacing w:val="3"/>
                <w:shd w:val="solid" w:color="000000" w:fill="000000"/>
                <w:fitText w:val="326" w:id="-761013756"/>
                <w14:textFill>
                  <w14:solidFill>
                    <w14:srgbClr w14:val="000000">
                      <w14:alpha w14:val="100000"/>
                    </w14:srgbClr>
                  </w14:solidFill>
                </w14:textFill>
              </w:rPr>
              <w:t>|</w:t>
            </w:r>
            <w:r w:rsidRPr="007C3488">
              <w:t>% in</w:t>
            </w:r>
            <w:r w:rsidRPr="00EF28A2">
              <w:t xml:space="preserve"> 3 years)</w:t>
            </w:r>
          </w:p>
        </w:tc>
      </w:tr>
      <w:tr w:rsidR="007724E2" w:rsidRPr="00EF28A2" w14:paraId="36AAA9E1" w14:textId="77777777" w:rsidTr="00A1032E">
        <w:tc>
          <w:tcPr>
            <w:tcW w:w="6252" w:type="dxa"/>
          </w:tcPr>
          <w:p w14:paraId="7B980A05" w14:textId="2C634EE5"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55"/>
                <w14:textFill>
                  <w14:solidFill>
                    <w14:srgbClr w14:val="000000">
                      <w14:alpha w14:val="100000"/>
                    </w14:srgbClr>
                  </w14:solidFill>
                </w14:textFill>
              </w:rPr>
              <w:t>|||</w:t>
            </w:r>
            <w:r w:rsidR="00F111EB" w:rsidRPr="00D06C66">
              <w:rPr>
                <w:color w:val="000000"/>
                <w:spacing w:val="3"/>
                <w:shd w:val="solid" w:color="000000" w:fill="000000"/>
                <w:fitText w:val="326" w:id="-761013755"/>
                <w14:textFill>
                  <w14:solidFill>
                    <w14:srgbClr w14:val="000000">
                      <w14:alpha w14:val="100000"/>
                    </w14:srgbClr>
                  </w14:solidFill>
                </w14:textFill>
              </w:rPr>
              <w:t>|</w:t>
            </w:r>
            <w:r w:rsidRPr="007C3488">
              <w:t>% in 3 years</w:t>
            </w:r>
          </w:p>
        </w:tc>
        <w:tc>
          <w:tcPr>
            <w:tcW w:w="2765" w:type="dxa"/>
            <w:vAlign w:val="center"/>
          </w:tcPr>
          <w:p w14:paraId="12C5506A" w14:textId="494657E0"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4"/>
                <w14:textFill>
                  <w14:solidFill>
                    <w14:srgbClr w14:val="000000">
                      <w14:alpha w14:val="100000"/>
                    </w14:srgbClr>
                  </w14:solidFill>
                </w14:textFill>
              </w:rPr>
              <w:t>|||</w:t>
            </w:r>
            <w:r w:rsidRPr="00D06C66">
              <w:rPr>
                <w:color w:val="000000"/>
                <w:spacing w:val="2"/>
                <w:shd w:val="solid" w:color="000000" w:fill="000000"/>
                <w:fitText w:val="325" w:id="-761013754"/>
                <w14:textFill>
                  <w14:solidFill>
                    <w14:srgbClr w14:val="000000">
                      <w14:alpha w14:val="100000"/>
                    </w14:srgbClr>
                  </w14:solidFill>
                </w14:textFill>
              </w:rPr>
              <w:t>|</w:t>
            </w:r>
            <w:r w:rsidR="007E048A" w:rsidRPr="007E048A">
              <w:rPr>
                <w:b/>
                <w:bCs w:val="0"/>
                <w:vertAlign w:val="superscript"/>
              </w:rPr>
              <w:t>1</w:t>
            </w:r>
          </w:p>
        </w:tc>
      </w:tr>
      <w:tr w:rsidR="007724E2" w:rsidRPr="00EF28A2" w14:paraId="0363A412" w14:textId="77777777" w:rsidTr="00A1032E">
        <w:tc>
          <w:tcPr>
            <w:tcW w:w="6252" w:type="dxa"/>
          </w:tcPr>
          <w:p w14:paraId="4C43FF7E" w14:textId="1C878EE2"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53"/>
                <w14:textFill>
                  <w14:solidFill>
                    <w14:srgbClr w14:val="000000">
                      <w14:alpha w14:val="100000"/>
                    </w14:srgbClr>
                  </w14:solidFill>
                </w14:textFill>
              </w:rPr>
              <w:t>|||</w:t>
            </w:r>
            <w:r w:rsidR="00F111EB" w:rsidRPr="00D06C66">
              <w:rPr>
                <w:color w:val="000000"/>
                <w:spacing w:val="3"/>
                <w:shd w:val="solid" w:color="000000" w:fill="000000"/>
                <w:fitText w:val="326" w:id="-761013753"/>
                <w14:textFill>
                  <w14:solidFill>
                    <w14:srgbClr w14:val="000000">
                      <w14:alpha w14:val="100000"/>
                    </w14:srgbClr>
                  </w14:solidFill>
                </w14:textFill>
              </w:rPr>
              <w:t>|</w:t>
            </w:r>
            <w:r w:rsidRPr="007C3488">
              <w:t>% in 3 years</w:t>
            </w:r>
          </w:p>
        </w:tc>
        <w:tc>
          <w:tcPr>
            <w:tcW w:w="2765" w:type="dxa"/>
            <w:vAlign w:val="center"/>
          </w:tcPr>
          <w:p w14:paraId="67AD6E0C" w14:textId="26B7BD0C"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2"/>
                <w14:textFill>
                  <w14:solidFill>
                    <w14:srgbClr w14:val="000000">
                      <w14:alpha w14:val="100000"/>
                    </w14:srgbClr>
                  </w14:solidFill>
                </w14:textFill>
              </w:rPr>
              <w:t>|||</w:t>
            </w:r>
            <w:r w:rsidRPr="00D06C66">
              <w:rPr>
                <w:color w:val="000000"/>
                <w:spacing w:val="2"/>
                <w:shd w:val="solid" w:color="000000" w:fill="000000"/>
                <w:fitText w:val="325" w:id="-761013752"/>
                <w14:textFill>
                  <w14:solidFill>
                    <w14:srgbClr w14:val="000000">
                      <w14:alpha w14:val="100000"/>
                    </w14:srgbClr>
                  </w14:solidFill>
                </w14:textFill>
              </w:rPr>
              <w:t>|</w:t>
            </w:r>
            <w:r w:rsidR="007E048A" w:rsidRPr="007E048A">
              <w:rPr>
                <w:b/>
                <w:bCs w:val="0"/>
                <w:vertAlign w:val="superscript"/>
              </w:rPr>
              <w:t>1</w:t>
            </w:r>
          </w:p>
        </w:tc>
      </w:tr>
      <w:tr w:rsidR="007724E2" w:rsidRPr="00EF28A2" w14:paraId="4D4A4670" w14:textId="77777777" w:rsidTr="00A1032E">
        <w:tc>
          <w:tcPr>
            <w:tcW w:w="9017" w:type="dxa"/>
            <w:gridSpan w:val="2"/>
          </w:tcPr>
          <w:p w14:paraId="2099F49F" w14:textId="1AC7B009" w:rsidR="007724E2" w:rsidRPr="007C3488" w:rsidRDefault="007724E2" w:rsidP="00A1032E">
            <w:pPr>
              <w:pStyle w:val="COMTabletext"/>
            </w:pPr>
            <w:r w:rsidRPr="007C3488">
              <w:t xml:space="preserve">Uptake rate in newly eligible population (base case </w:t>
            </w:r>
            <w:r w:rsidR="00F111EB" w:rsidRPr="00D06C66">
              <w:rPr>
                <w:color w:val="000000"/>
                <w:spacing w:val="51"/>
                <w:shd w:val="solid" w:color="000000" w:fill="000000"/>
                <w:fitText w:val="325" w:id="-761013751"/>
                <w14:textFill>
                  <w14:solidFill>
                    <w14:srgbClr w14:val="000000">
                      <w14:alpha w14:val="100000"/>
                    </w14:srgbClr>
                  </w14:solidFill>
                </w14:textFill>
              </w:rPr>
              <w:t>|||</w:t>
            </w:r>
            <w:r w:rsidR="00F111EB" w:rsidRPr="00D06C66">
              <w:rPr>
                <w:color w:val="000000"/>
                <w:spacing w:val="2"/>
                <w:shd w:val="solid" w:color="000000" w:fill="000000"/>
                <w:fitText w:val="325" w:id="-761013751"/>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6" w:id="-761013750"/>
                <w14:textFill>
                  <w14:solidFill>
                    <w14:srgbClr w14:val="000000">
                      <w14:alpha w14:val="100000"/>
                    </w14:srgbClr>
                  </w14:solidFill>
                </w14:textFill>
              </w:rPr>
              <w:t>|||</w:t>
            </w:r>
            <w:r w:rsidR="00F111EB" w:rsidRPr="00D06C66">
              <w:rPr>
                <w:color w:val="000000"/>
                <w:spacing w:val="3"/>
                <w:shd w:val="solid" w:color="000000" w:fill="000000"/>
                <w:fitText w:val="326" w:id="-761013750"/>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49"/>
                <w14:textFill>
                  <w14:solidFill>
                    <w14:srgbClr w14:val="000000">
                      <w14:alpha w14:val="100000"/>
                    </w14:srgbClr>
                  </w14:solidFill>
                </w14:textFill>
              </w:rPr>
              <w:t>|||</w:t>
            </w:r>
            <w:r w:rsidR="00F111EB" w:rsidRPr="00D06C66">
              <w:rPr>
                <w:color w:val="000000"/>
                <w:spacing w:val="3"/>
                <w:shd w:val="solid" w:color="000000" w:fill="000000"/>
                <w:fitText w:val="326" w:id="-761013749"/>
                <w14:textFill>
                  <w14:solidFill>
                    <w14:srgbClr w14:val="000000">
                      <w14:alpha w14:val="100000"/>
                    </w14:srgbClr>
                  </w14:solidFill>
                </w14:textFill>
              </w:rPr>
              <w:t>|</w:t>
            </w:r>
            <w:r w:rsidRPr="007C3488">
              <w:t>% years 3-6)</w:t>
            </w:r>
          </w:p>
        </w:tc>
      </w:tr>
      <w:tr w:rsidR="007724E2" w:rsidRPr="00EF28A2" w14:paraId="76E47565" w14:textId="77777777" w:rsidTr="00A1032E">
        <w:tc>
          <w:tcPr>
            <w:tcW w:w="6252" w:type="dxa"/>
          </w:tcPr>
          <w:p w14:paraId="357D05E3" w14:textId="47DA40AA"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48"/>
                <w14:textFill>
                  <w14:solidFill>
                    <w14:srgbClr w14:val="000000">
                      <w14:alpha w14:val="100000"/>
                    </w14:srgbClr>
                  </w14:solidFill>
                </w14:textFill>
              </w:rPr>
              <w:t>|||</w:t>
            </w:r>
            <w:r w:rsidR="00F111EB" w:rsidRPr="00D06C66">
              <w:rPr>
                <w:color w:val="000000"/>
                <w:spacing w:val="3"/>
                <w:shd w:val="solid" w:color="000000" w:fill="000000"/>
                <w:fitText w:val="326" w:id="-761013748"/>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5" w:id="-761013747"/>
                <w14:textFill>
                  <w14:solidFill>
                    <w14:srgbClr w14:val="000000">
                      <w14:alpha w14:val="100000"/>
                    </w14:srgbClr>
                  </w14:solidFill>
                </w14:textFill>
              </w:rPr>
              <w:t>|||</w:t>
            </w:r>
            <w:r w:rsidR="00F111EB" w:rsidRPr="00D06C66">
              <w:rPr>
                <w:color w:val="000000"/>
                <w:spacing w:val="2"/>
                <w:shd w:val="solid" w:color="000000" w:fill="000000"/>
                <w:fitText w:val="325" w:id="-761013747"/>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46"/>
                <w14:textFill>
                  <w14:solidFill>
                    <w14:srgbClr w14:val="000000">
                      <w14:alpha w14:val="100000"/>
                    </w14:srgbClr>
                  </w14:solidFill>
                </w14:textFill>
              </w:rPr>
              <w:t>|||</w:t>
            </w:r>
            <w:r w:rsidR="00F111EB" w:rsidRPr="00D06C66">
              <w:rPr>
                <w:color w:val="000000"/>
                <w:spacing w:val="3"/>
                <w:shd w:val="solid" w:color="000000" w:fill="000000"/>
                <w:fitText w:val="326" w:id="-761013746"/>
                <w14:textFill>
                  <w14:solidFill>
                    <w14:srgbClr w14:val="000000">
                      <w14:alpha w14:val="100000"/>
                    </w14:srgbClr>
                  </w14:solidFill>
                </w14:textFill>
              </w:rPr>
              <w:t>|</w:t>
            </w:r>
            <w:r w:rsidRPr="007C3488">
              <w:t>% years 3-6</w:t>
            </w:r>
          </w:p>
        </w:tc>
        <w:tc>
          <w:tcPr>
            <w:tcW w:w="2765" w:type="dxa"/>
            <w:vAlign w:val="center"/>
          </w:tcPr>
          <w:p w14:paraId="1857AF15" w14:textId="0EF4DD03"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45"/>
                <w14:textFill>
                  <w14:solidFill>
                    <w14:srgbClr w14:val="000000">
                      <w14:alpha w14:val="100000"/>
                    </w14:srgbClr>
                  </w14:solidFill>
                </w14:textFill>
              </w:rPr>
              <w:t>|||</w:t>
            </w:r>
            <w:r w:rsidRPr="00D06C66">
              <w:rPr>
                <w:color w:val="000000"/>
                <w:spacing w:val="2"/>
                <w:shd w:val="solid" w:color="000000" w:fill="000000"/>
                <w:fitText w:val="325" w:id="-761013745"/>
                <w14:textFill>
                  <w14:solidFill>
                    <w14:srgbClr w14:val="000000">
                      <w14:alpha w14:val="100000"/>
                    </w14:srgbClr>
                  </w14:solidFill>
                </w14:textFill>
              </w:rPr>
              <w:t>|</w:t>
            </w:r>
            <w:r w:rsidR="007E048A" w:rsidRPr="007E048A">
              <w:rPr>
                <w:b/>
                <w:bCs w:val="0"/>
                <w:vertAlign w:val="superscript"/>
              </w:rPr>
              <w:t>1</w:t>
            </w:r>
          </w:p>
        </w:tc>
      </w:tr>
      <w:tr w:rsidR="007724E2" w:rsidRPr="00EF28A2" w14:paraId="14560904" w14:textId="77777777" w:rsidTr="00A1032E">
        <w:tc>
          <w:tcPr>
            <w:tcW w:w="6252" w:type="dxa"/>
          </w:tcPr>
          <w:p w14:paraId="35788972" w14:textId="1C2FC602" w:rsidR="007724E2" w:rsidRPr="007C3488" w:rsidRDefault="007724E2" w:rsidP="00A1032E">
            <w:pPr>
              <w:pStyle w:val="COMTabletext"/>
            </w:pPr>
            <w:r w:rsidRPr="007C3488">
              <w:t xml:space="preserve">- </w:t>
            </w:r>
            <w:r w:rsidR="00F111EB" w:rsidRPr="00D06C66">
              <w:rPr>
                <w:color w:val="000000"/>
                <w:spacing w:val="51"/>
                <w:shd w:val="solid" w:color="000000" w:fill="000000"/>
                <w:fitText w:val="326" w:id="-761013744"/>
                <w14:textFill>
                  <w14:solidFill>
                    <w14:srgbClr w14:val="000000">
                      <w14:alpha w14:val="100000"/>
                    </w14:srgbClr>
                  </w14:solidFill>
                </w14:textFill>
              </w:rPr>
              <w:t>|||</w:t>
            </w:r>
            <w:r w:rsidR="00F111EB" w:rsidRPr="00D06C66">
              <w:rPr>
                <w:color w:val="000000"/>
                <w:spacing w:val="3"/>
                <w:shd w:val="solid" w:color="000000" w:fill="000000"/>
                <w:fitText w:val="326" w:id="-761013744"/>
                <w14:textFill>
                  <w14:solidFill>
                    <w14:srgbClr w14:val="000000">
                      <w14:alpha w14:val="100000"/>
                    </w14:srgbClr>
                  </w14:solidFill>
                </w14:textFill>
              </w:rPr>
              <w:t>|</w:t>
            </w:r>
            <w:r w:rsidRPr="007C3488">
              <w:t xml:space="preserve">% year 1, </w:t>
            </w:r>
            <w:r w:rsidR="00F111EB" w:rsidRPr="00D06C66">
              <w:rPr>
                <w:color w:val="000000"/>
                <w:spacing w:val="51"/>
                <w:shd w:val="solid" w:color="000000" w:fill="000000"/>
                <w:fitText w:val="325" w:id="-761013760"/>
                <w14:textFill>
                  <w14:solidFill>
                    <w14:srgbClr w14:val="000000">
                      <w14:alpha w14:val="100000"/>
                    </w14:srgbClr>
                  </w14:solidFill>
                </w14:textFill>
              </w:rPr>
              <w:t>|||</w:t>
            </w:r>
            <w:r w:rsidR="00F111EB" w:rsidRPr="00D06C66">
              <w:rPr>
                <w:color w:val="000000"/>
                <w:spacing w:val="2"/>
                <w:shd w:val="solid" w:color="000000" w:fill="000000"/>
                <w:fitText w:val="325" w:id="-761013760"/>
                <w14:textFill>
                  <w14:solidFill>
                    <w14:srgbClr w14:val="000000">
                      <w14:alpha w14:val="100000"/>
                    </w14:srgbClr>
                  </w14:solidFill>
                </w14:textFill>
              </w:rPr>
              <w:t>|</w:t>
            </w:r>
            <w:r w:rsidRPr="007C3488">
              <w:t xml:space="preserve">% year 2, </w:t>
            </w:r>
            <w:r w:rsidR="00F111EB" w:rsidRPr="00D06C66">
              <w:rPr>
                <w:color w:val="000000"/>
                <w:spacing w:val="51"/>
                <w:shd w:val="solid" w:color="000000" w:fill="000000"/>
                <w:fitText w:val="326" w:id="-761013759"/>
                <w14:textFill>
                  <w14:solidFill>
                    <w14:srgbClr w14:val="000000">
                      <w14:alpha w14:val="100000"/>
                    </w14:srgbClr>
                  </w14:solidFill>
                </w14:textFill>
              </w:rPr>
              <w:t>|||</w:t>
            </w:r>
            <w:r w:rsidR="00F111EB" w:rsidRPr="00D06C66">
              <w:rPr>
                <w:color w:val="000000"/>
                <w:spacing w:val="3"/>
                <w:shd w:val="solid" w:color="000000" w:fill="000000"/>
                <w:fitText w:val="326" w:id="-761013759"/>
                <w14:textFill>
                  <w14:solidFill>
                    <w14:srgbClr w14:val="000000">
                      <w14:alpha w14:val="100000"/>
                    </w14:srgbClr>
                  </w14:solidFill>
                </w14:textFill>
              </w:rPr>
              <w:t>|</w:t>
            </w:r>
            <w:r w:rsidRPr="007C3488">
              <w:t>% years 3-6</w:t>
            </w:r>
          </w:p>
        </w:tc>
        <w:tc>
          <w:tcPr>
            <w:tcW w:w="2765" w:type="dxa"/>
            <w:vAlign w:val="center"/>
          </w:tcPr>
          <w:p w14:paraId="6C3DA7AA" w14:textId="26A32097"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8"/>
                <w14:textFill>
                  <w14:solidFill>
                    <w14:srgbClr w14:val="000000">
                      <w14:alpha w14:val="100000"/>
                    </w14:srgbClr>
                  </w14:solidFill>
                </w14:textFill>
              </w:rPr>
              <w:t>|||</w:t>
            </w:r>
            <w:r w:rsidRPr="00D06C66">
              <w:rPr>
                <w:color w:val="000000"/>
                <w:spacing w:val="2"/>
                <w:shd w:val="solid" w:color="000000" w:fill="000000"/>
                <w:fitText w:val="325" w:id="-761013758"/>
                <w14:textFill>
                  <w14:solidFill>
                    <w14:srgbClr w14:val="000000">
                      <w14:alpha w14:val="100000"/>
                    </w14:srgbClr>
                  </w14:solidFill>
                </w14:textFill>
              </w:rPr>
              <w:t>|</w:t>
            </w:r>
            <w:r w:rsidR="00586929" w:rsidRPr="007E048A">
              <w:rPr>
                <w:b/>
                <w:bCs w:val="0"/>
                <w:vertAlign w:val="superscript"/>
              </w:rPr>
              <w:t>1</w:t>
            </w:r>
          </w:p>
        </w:tc>
      </w:tr>
      <w:tr w:rsidR="007724E2" w:rsidRPr="00EF28A2" w14:paraId="1BB8A68C" w14:textId="77777777" w:rsidTr="00A1032E">
        <w:tc>
          <w:tcPr>
            <w:tcW w:w="9017" w:type="dxa"/>
            <w:gridSpan w:val="2"/>
          </w:tcPr>
          <w:p w14:paraId="43A4936D" w14:textId="77777777" w:rsidR="007724E2" w:rsidRPr="00EF28A2" w:rsidRDefault="007724E2" w:rsidP="00A1032E">
            <w:pPr>
              <w:pStyle w:val="COMTabletext"/>
            </w:pPr>
            <w:r w:rsidRPr="00EF28A2">
              <w:t xml:space="preserve">Persistence rate (base case constant rate </w:t>
            </w:r>
            <w:r w:rsidRPr="007C3488">
              <w:t>of 91.02%)</w:t>
            </w:r>
          </w:p>
        </w:tc>
      </w:tr>
      <w:tr w:rsidR="007724E2" w:rsidRPr="00EF28A2" w14:paraId="19B70763" w14:textId="77777777" w:rsidTr="00A1032E">
        <w:tc>
          <w:tcPr>
            <w:tcW w:w="6252" w:type="dxa"/>
          </w:tcPr>
          <w:p w14:paraId="15DA1C8F" w14:textId="77777777" w:rsidR="007724E2" w:rsidRPr="00460D53" w:rsidRDefault="007724E2" w:rsidP="00A1032E">
            <w:pPr>
              <w:pStyle w:val="COMTabletext"/>
            </w:pPr>
            <w:r w:rsidRPr="00460D53">
              <w:t>- Variable persistence rate (90% year 2, 85% year 3, 80% year 4, 75% year 5, 70% year 6)</w:t>
            </w:r>
          </w:p>
        </w:tc>
        <w:tc>
          <w:tcPr>
            <w:tcW w:w="2765" w:type="dxa"/>
            <w:vAlign w:val="center"/>
          </w:tcPr>
          <w:p w14:paraId="6B86494D" w14:textId="64C03BAF" w:rsidR="007724E2" w:rsidRPr="00EF28A2" w:rsidRDefault="00F111EB" w:rsidP="00A1032E">
            <w:pPr>
              <w:pStyle w:val="COMTabletext"/>
              <w:jc w:val="center"/>
            </w:pPr>
            <w:r w:rsidRPr="00D06C66">
              <w:rPr>
                <w:color w:val="000000"/>
                <w:spacing w:val="51"/>
                <w:shd w:val="solid" w:color="000000" w:fill="000000"/>
                <w:fitText w:val="325" w:id="-761013757"/>
                <w14:textFill>
                  <w14:solidFill>
                    <w14:srgbClr w14:val="000000">
                      <w14:alpha w14:val="100000"/>
                    </w14:srgbClr>
                  </w14:solidFill>
                </w14:textFill>
              </w:rPr>
              <w:t>|||</w:t>
            </w:r>
            <w:r w:rsidRPr="00D06C66">
              <w:rPr>
                <w:color w:val="000000"/>
                <w:spacing w:val="2"/>
                <w:shd w:val="solid" w:color="000000" w:fill="000000"/>
                <w:fitText w:val="325" w:id="-761013757"/>
                <w14:textFill>
                  <w14:solidFill>
                    <w14:srgbClr w14:val="000000">
                      <w14:alpha w14:val="100000"/>
                    </w14:srgbClr>
                  </w14:solidFill>
                </w14:textFill>
              </w:rPr>
              <w:t>|</w:t>
            </w:r>
            <w:r w:rsidR="00586929" w:rsidRPr="007E048A">
              <w:rPr>
                <w:b/>
                <w:bCs w:val="0"/>
                <w:vertAlign w:val="superscript"/>
              </w:rPr>
              <w:t>1</w:t>
            </w:r>
          </w:p>
        </w:tc>
      </w:tr>
      <w:tr w:rsidR="007724E2" w:rsidRPr="00EF28A2" w14:paraId="0FF88449" w14:textId="77777777" w:rsidTr="00A1032E">
        <w:tc>
          <w:tcPr>
            <w:tcW w:w="6252" w:type="dxa"/>
          </w:tcPr>
          <w:p w14:paraId="1DA3108C" w14:textId="77777777" w:rsidR="007724E2" w:rsidRPr="00460D53" w:rsidRDefault="007724E2" w:rsidP="00A1032E">
            <w:pPr>
              <w:pStyle w:val="COMTabletext"/>
              <w:rPr>
                <w:vertAlign w:val="superscript"/>
              </w:rPr>
            </w:pPr>
            <w:r w:rsidRPr="00460D53">
              <w:t xml:space="preserve">- Persistence rate based on the economic model, patients on treatment if their HbA1c &lt;7.0% (76% year 2, 78% year 3, 60% year 4, 41% year 5, 27% year 6) </w:t>
            </w:r>
            <w:r w:rsidRPr="00460D53">
              <w:rPr>
                <w:vertAlign w:val="superscript"/>
              </w:rPr>
              <w:t>f</w:t>
            </w:r>
          </w:p>
        </w:tc>
        <w:tc>
          <w:tcPr>
            <w:tcW w:w="2765" w:type="dxa"/>
            <w:vAlign w:val="center"/>
          </w:tcPr>
          <w:p w14:paraId="13BE8B73" w14:textId="3789F0D6"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6"/>
                <w14:textFill>
                  <w14:solidFill>
                    <w14:srgbClr w14:val="000000">
                      <w14:alpha w14:val="100000"/>
                    </w14:srgbClr>
                  </w14:solidFill>
                </w14:textFill>
              </w:rPr>
              <w:t>|||</w:t>
            </w:r>
            <w:r w:rsidRPr="00D06C66">
              <w:rPr>
                <w:color w:val="000000"/>
                <w:spacing w:val="2"/>
                <w:shd w:val="solid" w:color="000000" w:fill="000000"/>
                <w:fitText w:val="325" w:id="-761013756"/>
                <w14:textFill>
                  <w14:solidFill>
                    <w14:srgbClr w14:val="000000">
                      <w14:alpha w14:val="100000"/>
                    </w14:srgbClr>
                  </w14:solidFill>
                </w14:textFill>
              </w:rPr>
              <w:t>|</w:t>
            </w:r>
            <w:r w:rsidR="00586929" w:rsidRPr="007E048A">
              <w:rPr>
                <w:b/>
                <w:bCs w:val="0"/>
                <w:vertAlign w:val="superscript"/>
              </w:rPr>
              <w:t>1</w:t>
            </w:r>
          </w:p>
        </w:tc>
      </w:tr>
      <w:tr w:rsidR="007724E2" w:rsidRPr="00EF28A2" w14:paraId="7161467B" w14:textId="77777777" w:rsidTr="00A1032E">
        <w:tc>
          <w:tcPr>
            <w:tcW w:w="6252" w:type="dxa"/>
          </w:tcPr>
          <w:p w14:paraId="4BF79F43" w14:textId="77777777" w:rsidR="007724E2" w:rsidRPr="00460D53" w:rsidRDefault="007724E2" w:rsidP="00A1032E">
            <w:pPr>
              <w:pStyle w:val="COMTabletext"/>
            </w:pPr>
            <w:r w:rsidRPr="00460D53">
              <w:t xml:space="preserve">- Persistence rate based on the economic model, on treatment if their HbA1c &lt;7.0% or they have a change in HbA1c ≥2.0% from baseline (80% year 2, 79% year 3, 60% year 4, 40% year 5, 27% year 6) </w:t>
            </w:r>
            <w:r w:rsidRPr="00460D53">
              <w:rPr>
                <w:vertAlign w:val="superscript"/>
              </w:rPr>
              <w:t>f</w:t>
            </w:r>
          </w:p>
        </w:tc>
        <w:tc>
          <w:tcPr>
            <w:tcW w:w="2765" w:type="dxa"/>
            <w:vAlign w:val="center"/>
          </w:tcPr>
          <w:p w14:paraId="75A5B6C3" w14:textId="510F29C5" w:rsidR="007724E2" w:rsidRPr="00B47526" w:rsidRDefault="00F111EB" w:rsidP="00A1032E">
            <w:pPr>
              <w:pStyle w:val="COMTabletext"/>
              <w:jc w:val="center"/>
              <w:rPr>
                <w:highlight w:val="darkGray"/>
              </w:rPr>
            </w:pPr>
            <w:r w:rsidRPr="00D06C66">
              <w:rPr>
                <w:color w:val="000000"/>
                <w:spacing w:val="51"/>
                <w:shd w:val="solid" w:color="000000" w:fill="000000"/>
                <w:fitText w:val="325" w:id="-761013755"/>
                <w14:textFill>
                  <w14:solidFill>
                    <w14:srgbClr w14:val="000000">
                      <w14:alpha w14:val="100000"/>
                    </w14:srgbClr>
                  </w14:solidFill>
                </w14:textFill>
              </w:rPr>
              <w:t>|||</w:t>
            </w:r>
            <w:r w:rsidRPr="00D06C66">
              <w:rPr>
                <w:color w:val="000000"/>
                <w:spacing w:val="2"/>
                <w:shd w:val="solid" w:color="000000" w:fill="000000"/>
                <w:fitText w:val="325" w:id="-761013755"/>
                <w14:textFill>
                  <w14:solidFill>
                    <w14:srgbClr w14:val="000000">
                      <w14:alpha w14:val="100000"/>
                    </w14:srgbClr>
                  </w14:solidFill>
                </w14:textFill>
              </w:rPr>
              <w:t>|</w:t>
            </w:r>
            <w:r w:rsidR="00586929" w:rsidRPr="007E048A">
              <w:rPr>
                <w:b/>
                <w:bCs w:val="0"/>
                <w:vertAlign w:val="superscript"/>
              </w:rPr>
              <w:t>1</w:t>
            </w:r>
          </w:p>
        </w:tc>
      </w:tr>
    </w:tbl>
    <w:p w14:paraId="577AF7AF" w14:textId="77777777" w:rsidR="007724E2" w:rsidRDefault="007724E2" w:rsidP="007724E2">
      <w:pPr>
        <w:pStyle w:val="COMTablefooter"/>
        <w:keepNext/>
      </w:pPr>
      <w:r>
        <w:t xml:space="preserve">Source: Table 4.6-1, p285 of the resubmission and </w:t>
      </w:r>
      <w:r w:rsidRPr="0076762E">
        <w:t>Tirzepatide Section 4</w:t>
      </w:r>
      <w:r>
        <w:t xml:space="preserve">_updated </w:t>
      </w:r>
      <w:r w:rsidRPr="0076762E">
        <w:t xml:space="preserve">model Excel workbook </w:t>
      </w:r>
      <w:r>
        <w:t>provided by the sponsor during the evaluation</w:t>
      </w:r>
    </w:p>
    <w:p w14:paraId="237CDE13" w14:textId="599B7C85" w:rsidR="007724E2" w:rsidRPr="00BF0623" w:rsidRDefault="007724E2" w:rsidP="007724E2">
      <w:pPr>
        <w:pStyle w:val="COMTablefooter"/>
      </w:pPr>
      <w:r>
        <w:t>Abbreviations: BMI, body mass index;</w:t>
      </w:r>
      <w:r w:rsidRPr="004B0D23">
        <w:t xml:space="preserve"> </w:t>
      </w:r>
      <w:r w:rsidRPr="00C77206">
        <w:t>GLP-1 RA</w:t>
      </w:r>
      <w:r>
        <w:t>,</w:t>
      </w:r>
      <w:r w:rsidRPr="00C77206">
        <w:t xml:space="preserve"> glucagon-like peptide-1 receptor agonist</w:t>
      </w:r>
      <w:r>
        <w:t xml:space="preserve">; PBS, Pharmaceutical Benefits Scheme; SGLT2i, </w:t>
      </w:r>
      <w:r w:rsidRPr="0076762E">
        <w:t>sodium-glucose cotransporter-2 inhibitor</w:t>
      </w:r>
    </w:p>
    <w:p w14:paraId="08604F27" w14:textId="32C181F0" w:rsidR="007724E2" w:rsidRPr="000E3C6F" w:rsidRDefault="007724E2" w:rsidP="007724E2">
      <w:pPr>
        <w:pStyle w:val="COMTablefooter"/>
      </w:pPr>
      <w:r>
        <w:rPr>
          <w:vertAlign w:val="superscript"/>
        </w:rPr>
        <w:t xml:space="preserve">a </w:t>
      </w:r>
      <w:r>
        <w:t xml:space="preserve">Reduces the proportion of patients who meet prior therapy criteria in the </w:t>
      </w:r>
      <w:r w:rsidR="000843BA">
        <w:t xml:space="preserve">Aboriginal and Torres Strait Islander </w:t>
      </w:r>
      <w:r>
        <w:t>populatio</w:t>
      </w:r>
      <w:r w:rsidRPr="000E3C6F">
        <w:t>n to 27.7%</w:t>
      </w:r>
    </w:p>
    <w:p w14:paraId="71C9533F" w14:textId="66AE4F3A" w:rsidR="007724E2" w:rsidRPr="000E3C6F" w:rsidRDefault="007724E2" w:rsidP="007724E2">
      <w:pPr>
        <w:pStyle w:val="COMTablefooter"/>
      </w:pPr>
      <w:r w:rsidRPr="000E3C6F">
        <w:rPr>
          <w:vertAlign w:val="superscript"/>
        </w:rPr>
        <w:t xml:space="preserve">b </w:t>
      </w:r>
      <w:r w:rsidRPr="000E3C6F">
        <w:t xml:space="preserve">Reduces the proportion of patients who meet prior therapy criteria in the </w:t>
      </w:r>
      <w:r w:rsidR="000843BA" w:rsidRPr="000E3C6F">
        <w:t>Aboriginal and Torres Strait Islander</w:t>
      </w:r>
      <w:r w:rsidRPr="000E3C6F">
        <w:t xml:space="preserve"> population to 13.0%</w:t>
      </w:r>
    </w:p>
    <w:p w14:paraId="538B8E0C" w14:textId="69E3A94F" w:rsidR="007724E2" w:rsidRPr="000E3C6F" w:rsidRDefault="007724E2" w:rsidP="007724E2">
      <w:pPr>
        <w:pStyle w:val="COMTablefooter"/>
      </w:pPr>
      <w:r w:rsidRPr="000E3C6F">
        <w:rPr>
          <w:vertAlign w:val="superscript"/>
        </w:rPr>
        <w:t>c</w:t>
      </w:r>
      <w:r w:rsidRPr="000E3C6F">
        <w:t xml:space="preserve"> Increases the proportion of patients who meet prior therapy criteria in the </w:t>
      </w:r>
      <w:r w:rsidR="000843BA" w:rsidRPr="000E3C6F">
        <w:t xml:space="preserve">Aboriginal and Torres Strait Islander </w:t>
      </w:r>
      <w:r w:rsidRPr="000E3C6F">
        <w:t>population to 48.6%</w:t>
      </w:r>
    </w:p>
    <w:p w14:paraId="2BD54D6F" w14:textId="6C92D73B" w:rsidR="007724E2" w:rsidRPr="000E3C6F" w:rsidRDefault="007724E2" w:rsidP="007724E2">
      <w:pPr>
        <w:pStyle w:val="COMTablefooter"/>
      </w:pPr>
      <w:r w:rsidRPr="000E3C6F">
        <w:rPr>
          <w:vertAlign w:val="superscript"/>
        </w:rPr>
        <w:t>d</w:t>
      </w:r>
      <w:r w:rsidRPr="000E3C6F">
        <w:t xml:space="preserve"> Reduces the proportion of patients who meet prior therapy criteria in the </w:t>
      </w:r>
      <w:r w:rsidR="000843BA" w:rsidRPr="000E3C6F">
        <w:t xml:space="preserve">Aboriginal and Torres Strait Islander </w:t>
      </w:r>
      <w:r w:rsidRPr="000E3C6F">
        <w:t>population to 32.4%</w:t>
      </w:r>
    </w:p>
    <w:p w14:paraId="31086475" w14:textId="413DA660" w:rsidR="007724E2" w:rsidRPr="0016713C" w:rsidRDefault="007724E2" w:rsidP="007724E2">
      <w:pPr>
        <w:pStyle w:val="COMTablefooter"/>
      </w:pPr>
      <w:r w:rsidRPr="000E3C6F">
        <w:rPr>
          <w:vertAlign w:val="superscript"/>
        </w:rPr>
        <w:t>e</w:t>
      </w:r>
      <w:r w:rsidRPr="000E3C6F">
        <w:t xml:space="preserve"> Increases the proportion of patients who meet prior therapy criteria in the </w:t>
      </w:r>
      <w:r w:rsidR="000843BA" w:rsidRPr="000E3C6F">
        <w:t xml:space="preserve">Aboriginal and Torres Strait Islander </w:t>
      </w:r>
      <w:r w:rsidRPr="000E3C6F">
        <w:t>population to 50.6%</w:t>
      </w:r>
    </w:p>
    <w:p w14:paraId="58ECA2F9" w14:textId="657C85A4" w:rsidR="00B47526" w:rsidRDefault="007724E2" w:rsidP="0013590D">
      <w:pPr>
        <w:pStyle w:val="COMTablefooter"/>
        <w:spacing w:after="0"/>
      </w:pPr>
      <w:r>
        <w:rPr>
          <w:vertAlign w:val="superscript"/>
        </w:rPr>
        <w:t>f</w:t>
      </w:r>
      <w:r>
        <w:t xml:space="preserve"> Estimated during the evaluation based on proportions of patients on treatment at the start of Year 2 (converted to persistence rates), weighted using the fixed tirzepatide dose distribution in the resubmission (5 mg</w:t>
      </w:r>
      <w:r w:rsidRPr="0031091E">
        <w:t xml:space="preserve">: </w:t>
      </w:r>
      <w:r w:rsidR="00F111EB" w:rsidRPr="00F111EB">
        <w:rPr>
          <w:color w:val="000000"/>
          <w:spacing w:val="9"/>
          <w:shd w:val="solid" w:color="000000" w:fill="000000"/>
          <w:fitText w:val="281" w:id="-761013754"/>
          <w14:textFill>
            <w14:solidFill>
              <w14:srgbClr w14:val="000000">
                <w14:alpha w14:val="100000"/>
              </w14:srgbClr>
            </w14:solidFill>
          </w14:textFill>
        </w:rPr>
        <w:t>||  |</w:t>
      </w:r>
      <w:r w:rsidR="00F111EB" w:rsidRPr="00F111EB">
        <w:rPr>
          <w:color w:val="000000"/>
          <w:spacing w:val="1"/>
          <w:shd w:val="solid" w:color="000000" w:fill="000000"/>
          <w:fitText w:val="281" w:id="-761013754"/>
          <w14:textFill>
            <w14:solidFill>
              <w14:srgbClr w14:val="000000">
                <w14:alpha w14:val="100000"/>
              </w14:srgbClr>
            </w14:solidFill>
          </w14:textFill>
        </w:rPr>
        <w:t>|</w:t>
      </w:r>
      <w:r w:rsidRPr="0031091E">
        <w:t xml:space="preserve">%, 10 mg: </w:t>
      </w:r>
      <w:r w:rsidR="00F111EB" w:rsidRPr="00D55519">
        <w:rPr>
          <w:color w:val="000000"/>
          <w:spacing w:val="30"/>
          <w:shd w:val="solid" w:color="000000" w:fill="000000"/>
          <w:fitText w:val="268" w:id="-761013753"/>
          <w14:textFill>
            <w14:solidFill>
              <w14:srgbClr w14:val="000000">
                <w14:alpha w14:val="100000"/>
              </w14:srgbClr>
            </w14:solidFill>
          </w14:textFill>
        </w:rPr>
        <w:t xml:space="preserve">|  </w:t>
      </w:r>
      <w:r w:rsidR="00F111EB" w:rsidRPr="00D55519">
        <w:rPr>
          <w:color w:val="000000"/>
          <w:spacing w:val="10"/>
          <w:shd w:val="solid" w:color="000000" w:fill="000000"/>
          <w:fitText w:val="268" w:id="-761013753"/>
          <w14:textFill>
            <w14:solidFill>
              <w14:srgbClr w14:val="000000">
                <w14:alpha w14:val="100000"/>
              </w14:srgbClr>
            </w14:solidFill>
          </w14:textFill>
        </w:rPr>
        <w:t>|</w:t>
      </w:r>
      <w:r w:rsidRPr="0031091E">
        <w:t xml:space="preserve">%, 15 mg: </w:t>
      </w:r>
      <w:r w:rsidR="00F111EB" w:rsidRPr="00D55519">
        <w:rPr>
          <w:color w:val="000000"/>
          <w:spacing w:val="30"/>
          <w:shd w:val="solid" w:color="000000" w:fill="000000"/>
          <w:fitText w:val="268" w:id="-761013752"/>
          <w14:textFill>
            <w14:solidFill>
              <w14:srgbClr w14:val="000000">
                <w14:alpha w14:val="100000"/>
              </w14:srgbClr>
            </w14:solidFill>
          </w14:textFill>
        </w:rPr>
        <w:t xml:space="preserve">|  </w:t>
      </w:r>
      <w:r w:rsidR="00F111EB" w:rsidRPr="00D55519">
        <w:rPr>
          <w:color w:val="000000"/>
          <w:spacing w:val="10"/>
          <w:shd w:val="solid" w:color="000000" w:fill="000000"/>
          <w:fitText w:val="268" w:id="-761013752"/>
          <w14:textFill>
            <w14:solidFill>
              <w14:srgbClr w14:val="000000">
                <w14:alpha w14:val="100000"/>
              </w14:srgbClr>
            </w14:solidFill>
          </w14:textFill>
        </w:rPr>
        <w:t>|</w:t>
      </w:r>
      <w:r w:rsidRPr="0031091E">
        <w:t>%)</w:t>
      </w:r>
      <w:r w:rsidR="00B47526" w:rsidRPr="00B47526">
        <w:t xml:space="preserve"> </w:t>
      </w:r>
    </w:p>
    <w:p w14:paraId="406EFC2C" w14:textId="3FEABB89" w:rsidR="0013590D" w:rsidRPr="0013590D" w:rsidRDefault="0013590D" w:rsidP="0013590D">
      <w:pPr>
        <w:rPr>
          <w:rFonts w:ascii="Arial Narrow" w:hAnsi="Arial Narrow"/>
          <w:i/>
          <w:iCs/>
          <w:snapToGrid w:val="0"/>
          <w:sz w:val="18"/>
          <w:szCs w:val="22"/>
        </w:rPr>
      </w:pPr>
      <w:r w:rsidRPr="0013590D">
        <w:rPr>
          <w:rFonts w:ascii="Arial Narrow" w:hAnsi="Arial Narrow"/>
          <w:i/>
          <w:iCs/>
          <w:snapToGrid w:val="0"/>
          <w:sz w:val="18"/>
          <w:szCs w:val="22"/>
        </w:rPr>
        <w:t>Note that the results presented in Table 17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p w14:paraId="24D0A11B" w14:textId="2C306DAF" w:rsidR="00B47526" w:rsidRPr="004E77E2" w:rsidRDefault="00B47526" w:rsidP="00B47526">
      <w:pPr>
        <w:pStyle w:val="COMTablefooter"/>
        <w:rPr>
          <w:i/>
          <w:iCs/>
        </w:rPr>
      </w:pPr>
      <w:r w:rsidRPr="004E77E2">
        <w:rPr>
          <w:i/>
          <w:iCs/>
        </w:rPr>
        <w:t>The redacted values correspond to the following ranges:</w:t>
      </w:r>
    </w:p>
    <w:p w14:paraId="3348354B" w14:textId="77777777" w:rsidR="007E048A" w:rsidRPr="004E77E2" w:rsidRDefault="00A852A2" w:rsidP="007E048A">
      <w:pPr>
        <w:pStyle w:val="COMTablefooter"/>
        <w:rPr>
          <w:i/>
          <w:iCs/>
        </w:rPr>
      </w:pPr>
      <w:bookmarkStart w:id="76" w:name="_Hlk113629082"/>
      <w:r w:rsidRPr="004E77E2">
        <w:rPr>
          <w:i/>
          <w:iCs/>
        </w:rPr>
        <w:t xml:space="preserve">1 </w:t>
      </w:r>
      <w:r w:rsidR="007E048A" w:rsidRPr="004E77E2">
        <w:rPr>
          <w:i/>
          <w:iCs/>
        </w:rPr>
        <w:t>&gt; $1 billion</w:t>
      </w:r>
    </w:p>
    <w:p w14:paraId="2A029AC5" w14:textId="0109AC1D" w:rsidR="007724E2" w:rsidRDefault="003531B6" w:rsidP="005C6A92">
      <w:pPr>
        <w:pStyle w:val="COMTablefooter"/>
        <w:spacing w:after="0"/>
        <w:rPr>
          <w:i/>
          <w:iCs/>
        </w:rPr>
      </w:pPr>
      <w:r w:rsidRPr="004E77E2">
        <w:rPr>
          <w:i/>
          <w:iCs/>
        </w:rPr>
        <w:t>2 $200 million to &lt; $300 million</w:t>
      </w:r>
      <w:bookmarkEnd w:id="76"/>
    </w:p>
    <w:p w14:paraId="18AC51EE" w14:textId="21421C04" w:rsidR="00377EF3" w:rsidRPr="008A1AC6" w:rsidRDefault="004C4F44" w:rsidP="008A1AC6">
      <w:pPr>
        <w:spacing w:after="120"/>
        <w:rPr>
          <w:rFonts w:ascii="Arial Narrow" w:hAnsi="Arial Narrow"/>
          <w:i/>
          <w:iCs/>
          <w:snapToGrid w:val="0"/>
          <w:sz w:val="18"/>
          <w:szCs w:val="22"/>
        </w:rPr>
      </w:pPr>
      <w:r w:rsidRPr="004C4F44">
        <w:rPr>
          <w:rFonts w:ascii="Arial Narrow" w:hAnsi="Arial Narrow"/>
          <w:i/>
          <w:iCs/>
          <w:snapToGrid w:val="0"/>
          <w:sz w:val="18"/>
          <w:szCs w:val="22"/>
        </w:rPr>
        <w:t>3</w:t>
      </w:r>
      <w:r>
        <w:rPr>
          <w:rFonts w:ascii="Arial Narrow" w:hAnsi="Arial Narrow"/>
          <w:i/>
          <w:iCs/>
          <w:snapToGrid w:val="0"/>
          <w:sz w:val="18"/>
          <w:szCs w:val="22"/>
        </w:rPr>
        <w:t xml:space="preserve"> </w:t>
      </w:r>
      <w:r w:rsidR="005C6A92" w:rsidRPr="005C6A92">
        <w:rPr>
          <w:rFonts w:ascii="Arial Narrow" w:hAnsi="Arial Narrow"/>
          <w:i/>
          <w:iCs/>
          <w:snapToGrid w:val="0"/>
          <w:sz w:val="18"/>
          <w:szCs w:val="22"/>
        </w:rPr>
        <w:t>100,000 to &lt; 200,000</w:t>
      </w:r>
    </w:p>
    <w:p w14:paraId="7FF7CBEB" w14:textId="5F36D784" w:rsidR="00201357" w:rsidRDefault="007724E2" w:rsidP="009423B8">
      <w:pPr>
        <w:pStyle w:val="COMexecsummnumbered"/>
      </w:pPr>
      <w:r w:rsidRPr="00EF28A2">
        <w:t>The results of the sensitivity analyses indicated that the budget impact estimates were sensitive to the parameterisation of the 10% PBS sample analysis (e.g. treatment window, inclusion of patients classified as drop-offs), duration of established eligibility, proportion of patients with BMI ≥35 kg/m</w:t>
      </w:r>
      <w:r w:rsidRPr="00EF28A2">
        <w:rPr>
          <w:vertAlign w:val="superscript"/>
        </w:rPr>
        <w:t>2</w:t>
      </w:r>
      <w:r w:rsidRPr="00EF28A2">
        <w:t>, inclusion of the grandfathered population treated with GLP-1 RA, persistence rate and uptake rates. None of these estimates were adequately supported in the resubmission</w:t>
      </w:r>
      <w:r w:rsidR="009423B8" w:rsidRPr="00EF28A2">
        <w:t>.</w:t>
      </w:r>
    </w:p>
    <w:p w14:paraId="728B8BA6" w14:textId="5F8FCBE1" w:rsidR="00D101BA" w:rsidRPr="001F3166" w:rsidRDefault="00D101BA" w:rsidP="009423B8">
      <w:pPr>
        <w:pStyle w:val="COMexecsummnumbered"/>
      </w:pPr>
      <w:r w:rsidRPr="001F3166">
        <w:t xml:space="preserve">Although the resubmission was targeted towards a narrower population than the previous submission, the estimated utilisation of tirzepatide and net cost to the PBS and RPBS </w:t>
      </w:r>
      <w:r w:rsidR="009849A7" w:rsidRPr="001F3166">
        <w:t>had</w:t>
      </w:r>
      <w:r w:rsidRPr="001F3166">
        <w:t xml:space="preserve"> </w:t>
      </w:r>
      <w:r w:rsidR="009849A7" w:rsidRPr="001F3166">
        <w:t>more than doubled</w:t>
      </w:r>
      <w:r w:rsidRPr="001F3166">
        <w:t xml:space="preserve">. The ESC considered the estimated utilisation and financial estimates </w:t>
      </w:r>
      <w:r w:rsidR="005D165A" w:rsidRPr="001F3166">
        <w:t xml:space="preserve">were </w:t>
      </w:r>
      <w:r w:rsidR="00657E45" w:rsidRPr="001F3166">
        <w:t xml:space="preserve">extremely high and uncertain and </w:t>
      </w:r>
      <w:r w:rsidR="005D165A" w:rsidRPr="001F3166">
        <w:t>not</w:t>
      </w:r>
      <w:r w:rsidRPr="001F3166">
        <w:t xml:space="preserve"> sufficiently reliable for PBAC decision-making. </w:t>
      </w:r>
      <w:r w:rsidR="00AD0C76">
        <w:t xml:space="preserve">The pre-PBAC response provided revised </w:t>
      </w:r>
      <w:r w:rsidR="00D864E2">
        <w:t xml:space="preserve">lower </w:t>
      </w:r>
      <w:r w:rsidR="00AD0C76">
        <w:t xml:space="preserve">financial estimates (see paragraph </w:t>
      </w:r>
      <w:r w:rsidR="00AD0C76">
        <w:fldChar w:fldCharType="begin" w:fldLock="1"/>
      </w:r>
      <w:r w:rsidR="00AD0C76">
        <w:instrText xml:space="preserve"> REF _Ref184118479 \r \h </w:instrText>
      </w:r>
      <w:r w:rsidR="00AD0C76">
        <w:fldChar w:fldCharType="separate"/>
      </w:r>
      <w:r w:rsidR="00EE035D">
        <w:t>6.102</w:t>
      </w:r>
      <w:r w:rsidR="00AD0C76">
        <w:fldChar w:fldCharType="end"/>
      </w:r>
      <w:r w:rsidR="00AD0C76">
        <w:t xml:space="preserve">). </w:t>
      </w:r>
    </w:p>
    <w:p w14:paraId="2238DEE9" w14:textId="3E6A228B" w:rsidR="00576972" w:rsidRPr="0076762E" w:rsidRDefault="00576972" w:rsidP="003D5DE7">
      <w:pPr>
        <w:pStyle w:val="COMH2-non-numbered"/>
      </w:pPr>
      <w:bookmarkStart w:id="77" w:name="_Toc22897648"/>
      <w:bookmarkStart w:id="78" w:name="_Toc176618574"/>
      <w:r w:rsidRPr="0076762E">
        <w:t>Quality Use of Medicines</w:t>
      </w:r>
      <w:bookmarkEnd w:id="77"/>
      <w:bookmarkEnd w:id="78"/>
    </w:p>
    <w:p w14:paraId="38BD0AEF" w14:textId="7068AAEA" w:rsidR="00576972" w:rsidRDefault="00B73B85" w:rsidP="00B73B85">
      <w:pPr>
        <w:pStyle w:val="COMexecsummnumbered"/>
      </w:pPr>
      <w:r w:rsidRPr="00B73B85">
        <w:t xml:space="preserve">The resubmission stated that the sponsor </w:t>
      </w:r>
      <w:r w:rsidR="00D864E2" w:rsidRPr="00B73B85">
        <w:t>w</w:t>
      </w:r>
      <w:r w:rsidR="00D864E2">
        <w:t>ould</w:t>
      </w:r>
      <w:r w:rsidR="00D864E2" w:rsidRPr="00B73B85">
        <w:t xml:space="preserve"> </w:t>
      </w:r>
      <w:r w:rsidRPr="00B73B85">
        <w:t xml:space="preserve">continue with current educational activities to healthcare providers to ensure safe and appropriate use of tirzepatide for type 2 diabetes. The sponsor </w:t>
      </w:r>
      <w:r w:rsidR="00D864E2">
        <w:t>wa</w:t>
      </w:r>
      <w:r w:rsidRPr="00B73B85">
        <w:t>s also undertaking pharmacovigilance activities to manage any safety risks associated with tirzepatide treatment.</w:t>
      </w:r>
    </w:p>
    <w:p w14:paraId="00F5E2F1" w14:textId="7A71B696" w:rsidR="00B73B85" w:rsidRPr="00EF28A2" w:rsidRDefault="00B73B85" w:rsidP="00B73B85">
      <w:pPr>
        <w:pStyle w:val="COMexecsummnumbered"/>
      </w:pPr>
      <w:r w:rsidRPr="00EF28A2">
        <w:t>Expert advice provided with the resubmission raised concerns regarding the need for pharmacies to stock the array of doses as well as concerns about the reliable supply in order to allow for appropriate dose titration.</w:t>
      </w:r>
    </w:p>
    <w:p w14:paraId="6F5125DA" w14:textId="6DB998DC" w:rsidR="00B73B85" w:rsidRDefault="00B73B85" w:rsidP="00B73B85">
      <w:pPr>
        <w:pStyle w:val="COMexecsummnumbered"/>
      </w:pPr>
      <w:r w:rsidRPr="00EF28A2">
        <w:t>The resubmission did not address the potential for medication errors given the array of doses and multiple formulations of tirzepatide proposed for listing. There may be greater potential for error or misuse with the availability of the multi-dose pen.</w:t>
      </w:r>
    </w:p>
    <w:p w14:paraId="1F086234" w14:textId="185D1DFD" w:rsidR="006A676F" w:rsidRPr="001F3166" w:rsidRDefault="001F3166" w:rsidP="00B73B85">
      <w:pPr>
        <w:pStyle w:val="COMexecsummnumbered"/>
      </w:pPr>
      <w:r w:rsidRPr="001F3166">
        <w:t xml:space="preserve">The </w:t>
      </w:r>
      <w:r w:rsidR="006A676F" w:rsidRPr="001F3166">
        <w:t xml:space="preserve">ESC considered that there </w:t>
      </w:r>
      <w:r w:rsidR="00D864E2">
        <w:t>wa</w:t>
      </w:r>
      <w:r w:rsidR="006A676F" w:rsidRPr="001F3166">
        <w:t xml:space="preserve">s a risk that PBS-listed tirzepatide could be diverted (provided </w:t>
      </w:r>
      <w:r w:rsidR="00C220BA" w:rsidRPr="001F3166">
        <w:t xml:space="preserve">to people not prescribed tirzepatide) due to its effect on weight loss. </w:t>
      </w:r>
    </w:p>
    <w:p w14:paraId="6015A395" w14:textId="2EDB6A4E" w:rsidR="00576972" w:rsidRPr="0076762E" w:rsidRDefault="00576972" w:rsidP="003D5DE7">
      <w:pPr>
        <w:pStyle w:val="COMH2-non-numbered"/>
      </w:pPr>
      <w:bookmarkStart w:id="79" w:name="_Toc22897649"/>
      <w:bookmarkStart w:id="80" w:name="_Toc176618575"/>
      <w:r w:rsidRPr="0076762E">
        <w:t>Financial Management – Risk Sharing Arrangements</w:t>
      </w:r>
      <w:bookmarkEnd w:id="79"/>
      <w:bookmarkEnd w:id="80"/>
    </w:p>
    <w:p w14:paraId="25BA2464" w14:textId="20EF5FF7" w:rsidR="00894CD6" w:rsidRPr="009F5543" w:rsidRDefault="00B73B85" w:rsidP="001A6B50">
      <w:pPr>
        <w:pStyle w:val="COMexecsummnumbered"/>
        <w:spacing w:before="0"/>
      </w:pPr>
      <w:r w:rsidRPr="0046735E">
        <w:t>No risk sharing arrangements</w:t>
      </w:r>
      <w:r w:rsidR="0002015C">
        <w:t xml:space="preserve"> (RSA)</w:t>
      </w:r>
      <w:r w:rsidR="0046735E" w:rsidRPr="0046735E">
        <w:t xml:space="preserve"> were proposed in the resubmission. </w:t>
      </w:r>
      <w:r w:rsidR="00D101BA" w:rsidRPr="001F3166">
        <w:t>The PSCR suggested that no RSA would be required due to the proposed narrower restrictions, which includes provision of recent HbA1c pathology results (via written Authority). The ESC did not consider this reasonable or amenable to providing Government with assurance of its estimated future PBS expenditure</w:t>
      </w:r>
      <w:r w:rsidR="0053425D" w:rsidRPr="001F3166">
        <w:t xml:space="preserve"> for this extremely high-cost medicine, and given the high risk of use outside the restriction into the chronic weight management indication</w:t>
      </w:r>
      <w:r w:rsidR="00D101BA" w:rsidRPr="001F3166">
        <w:t xml:space="preserve">. </w:t>
      </w:r>
      <w:r w:rsidR="0002015C" w:rsidRPr="001F3166">
        <w:t>However, t</w:t>
      </w:r>
      <w:r w:rsidR="00D101BA" w:rsidRPr="001F3166">
        <w:t xml:space="preserve">he ESC also considered the financial estimates provided in the resubmission were not sufficiently </w:t>
      </w:r>
      <w:r w:rsidR="0002015C" w:rsidRPr="001F3166">
        <w:t xml:space="preserve">robust to be used for an RSA. Further </w:t>
      </w:r>
      <w:r w:rsidR="009208D2" w:rsidRPr="001F3166">
        <w:t xml:space="preserve">detail and </w:t>
      </w:r>
      <w:r w:rsidR="0002015C" w:rsidRPr="001F3166">
        <w:t xml:space="preserve">revision of the budget impact model was required: to provide more confidence around interpretation of the 10% sample analysis underpinning the eligible population (and the extrapolation into future years); and to review assumptions </w:t>
      </w:r>
      <w:r w:rsidR="0002015C" w:rsidRPr="001F3166">
        <w:lastRenderedPageBreak/>
        <w:t>around uptake and maintenance which appear high and collectively drive up the total cost.</w:t>
      </w:r>
    </w:p>
    <w:p w14:paraId="74388889" w14:textId="3EB1C50C" w:rsidR="009F5543" w:rsidRDefault="009F5543" w:rsidP="001A6B50">
      <w:pPr>
        <w:pStyle w:val="COMexecsummnumbered"/>
        <w:spacing w:before="0"/>
      </w:pPr>
      <w:r>
        <w:t xml:space="preserve">The pre-PBAC response stated </w:t>
      </w:r>
      <w:r w:rsidRPr="008302AE">
        <w:t xml:space="preserve">that </w:t>
      </w:r>
      <w:r w:rsidRPr="008B55EE">
        <w:t>given the associated risk to both Commonwealth (increased expenditure) and sponsor (opportunity cost of private market revenue),</w:t>
      </w:r>
      <w:r>
        <w:t xml:space="preserve"> the sponsor </w:t>
      </w:r>
      <w:r w:rsidR="00D864E2">
        <w:t>wa</w:t>
      </w:r>
      <w:r>
        <w:t>s open to collaborating with the department to identify additional initiatives that are focused on controlling utilisation. The pre-PBAC response proposed an RSA based on the following elements:</w:t>
      </w:r>
    </w:p>
    <w:p w14:paraId="226053DD" w14:textId="185A5F7F" w:rsidR="009F5543" w:rsidRDefault="009F5543" w:rsidP="00EF2904">
      <w:pPr>
        <w:pStyle w:val="COMexecsummnumbered"/>
        <w:numPr>
          <w:ilvl w:val="0"/>
          <w:numId w:val="18"/>
        </w:numPr>
      </w:pPr>
      <w:r>
        <w:t>Subsidisation caps based on the revised Commonwealth Expenditure price and Section 4 model;</w:t>
      </w:r>
    </w:p>
    <w:p w14:paraId="6F3B0293" w14:textId="0F1A4A54" w:rsidR="009F5543" w:rsidRPr="00E4776D" w:rsidRDefault="009F5543" w:rsidP="00EF2904">
      <w:pPr>
        <w:pStyle w:val="COMexecsummnumbered"/>
        <w:numPr>
          <w:ilvl w:val="0"/>
          <w:numId w:val="18"/>
        </w:numPr>
      </w:pPr>
      <w:r w:rsidRPr="00E4776D">
        <w:t>Subsidisation cap 1 (SC1</w:t>
      </w:r>
      <w:r w:rsidRPr="00142975">
        <w:t xml:space="preserve">) based on the estimated utilisation for the proposed population. For expenditure above SC1 a rebate of </w:t>
      </w:r>
      <w:r w:rsidR="00F111EB" w:rsidRPr="00F111EB">
        <w:rPr>
          <w:color w:val="000000"/>
          <w:w w:val="60"/>
          <w:shd w:val="solid" w:color="000000" w:fill="000000"/>
          <w:fitText w:val="469" w:id="-761013751"/>
          <w14:textFill>
            <w14:solidFill>
              <w14:srgbClr w14:val="000000">
                <w14:alpha w14:val="100000"/>
              </w14:srgbClr>
            </w14:solidFill>
          </w14:textFill>
        </w:rPr>
        <w:t>|||  ||</w:t>
      </w:r>
      <w:r w:rsidR="00F111EB" w:rsidRPr="00F111EB">
        <w:rPr>
          <w:color w:val="000000"/>
          <w:spacing w:val="5"/>
          <w:w w:val="60"/>
          <w:shd w:val="solid" w:color="000000" w:fill="000000"/>
          <w:fitText w:val="469" w:id="-761013751"/>
          <w14:textFill>
            <w14:solidFill>
              <w14:srgbClr w14:val="000000">
                <w14:alpha w14:val="100000"/>
              </w14:srgbClr>
            </w14:solidFill>
          </w14:textFill>
        </w:rPr>
        <w:t>|</w:t>
      </w:r>
      <w:r w:rsidRPr="00142975">
        <w:t xml:space="preserve">% </w:t>
      </w:r>
      <w:r w:rsidR="00D864E2" w:rsidRPr="00142975">
        <w:t>wa</w:t>
      </w:r>
      <w:r w:rsidRPr="00142975">
        <w:t xml:space="preserve">s proposed based upon the </w:t>
      </w:r>
      <w:r w:rsidR="00F111EB" w:rsidRPr="00F111EB">
        <w:rPr>
          <w:color w:val="000000"/>
          <w:w w:val="60"/>
          <w:shd w:val="solid" w:color="000000" w:fill="000000"/>
          <w:fitText w:val="469" w:id="-761013750"/>
          <w14:textFill>
            <w14:solidFill>
              <w14:srgbClr w14:val="000000">
                <w14:alpha w14:val="100000"/>
              </w14:srgbClr>
            </w14:solidFill>
          </w14:textFill>
        </w:rPr>
        <w:t>|||  ||</w:t>
      </w:r>
      <w:r w:rsidR="00F111EB" w:rsidRPr="00F111EB">
        <w:rPr>
          <w:color w:val="000000"/>
          <w:spacing w:val="5"/>
          <w:w w:val="60"/>
          <w:shd w:val="solid" w:color="000000" w:fill="000000"/>
          <w:fitText w:val="469" w:id="-761013750"/>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9" w:id="-761013749"/>
          <w14:textFill>
            <w14:solidFill>
              <w14:srgbClr w14:val="000000">
                <w14:alpha w14:val="100000"/>
              </w14:srgbClr>
            </w14:solidFill>
          </w14:textFill>
        </w:rPr>
        <w:t>|||  ||</w:t>
      </w:r>
      <w:r w:rsidR="00F111EB" w:rsidRPr="00F111EB">
        <w:rPr>
          <w:color w:val="000000"/>
          <w:spacing w:val="5"/>
          <w:w w:val="60"/>
          <w:shd w:val="solid" w:color="000000" w:fill="000000"/>
          <w:fitText w:val="469" w:id="-761013749"/>
          <w14:textFill>
            <w14:solidFill>
              <w14:srgbClr w14:val="000000">
                <w14:alpha w14:val="100000"/>
              </w14:srgbClr>
            </w14:solidFill>
          </w14:textFill>
        </w:rPr>
        <w:t>|</w:t>
      </w:r>
      <w:r w:rsidRPr="00142975">
        <w:t xml:space="preserve"> required to achieve an ICER of $</w:t>
      </w:r>
      <w:r w:rsidR="00B44835" w:rsidRPr="00142975">
        <w:t>25,000 to &lt; $35,000</w:t>
      </w:r>
      <w:r w:rsidRPr="00142975">
        <w:t xml:space="preserve"> per QALY in the broader diabetes population not limited by BMI≥35kg/m</w:t>
      </w:r>
      <w:r w:rsidRPr="00142975">
        <w:rPr>
          <w:vertAlign w:val="superscript"/>
        </w:rPr>
        <w:t>2</w:t>
      </w:r>
      <w:r w:rsidRPr="00142975">
        <w:t>.</w:t>
      </w:r>
    </w:p>
    <w:p w14:paraId="45DEC739" w14:textId="14B3A633" w:rsidR="009F5543" w:rsidRPr="00E4776D" w:rsidRDefault="009F5543" w:rsidP="00EF2904">
      <w:pPr>
        <w:pStyle w:val="COMexecsummnumbered"/>
        <w:numPr>
          <w:ilvl w:val="0"/>
          <w:numId w:val="18"/>
        </w:numPr>
      </w:pPr>
      <w:r w:rsidRPr="00E4776D">
        <w:t xml:space="preserve">Subsidisation cap 2 (SC2) </w:t>
      </w:r>
      <w:r w:rsidR="00D864E2" w:rsidRPr="00142975">
        <w:t>wa</w:t>
      </w:r>
      <w:r w:rsidRPr="00142975">
        <w:t>s based upon the broader diabetes population not limited by BMI≥35kg/m</w:t>
      </w:r>
      <w:r w:rsidRPr="00142975">
        <w:rPr>
          <w:vertAlign w:val="superscript"/>
        </w:rPr>
        <w:t>2</w:t>
      </w:r>
      <w:r w:rsidRPr="00142975">
        <w:t xml:space="preserve"> with a rebate of </w:t>
      </w:r>
      <w:r w:rsidR="00F111EB" w:rsidRPr="00F111EB">
        <w:rPr>
          <w:color w:val="000000"/>
          <w:w w:val="60"/>
          <w:shd w:val="solid" w:color="000000" w:fill="000000"/>
          <w:fitText w:val="469" w:id="-761013748"/>
          <w14:textFill>
            <w14:solidFill>
              <w14:srgbClr w14:val="000000">
                <w14:alpha w14:val="100000"/>
              </w14:srgbClr>
            </w14:solidFill>
          </w14:textFill>
        </w:rPr>
        <w:t>|||  ||</w:t>
      </w:r>
      <w:r w:rsidR="00F111EB" w:rsidRPr="00F111EB">
        <w:rPr>
          <w:color w:val="000000"/>
          <w:spacing w:val="5"/>
          <w:w w:val="60"/>
          <w:shd w:val="solid" w:color="000000" w:fill="000000"/>
          <w:fitText w:val="469" w:id="-761013748"/>
          <w14:textFill>
            <w14:solidFill>
              <w14:srgbClr w14:val="000000">
                <w14:alpha w14:val="100000"/>
              </w14:srgbClr>
            </w14:solidFill>
          </w14:textFill>
        </w:rPr>
        <w:t>|</w:t>
      </w:r>
      <w:r w:rsidRPr="00142975">
        <w:t xml:space="preserve">% for expenditure above SC2 based upon </w:t>
      </w:r>
      <w:r w:rsidR="00F111EB" w:rsidRPr="00F111EB">
        <w:rPr>
          <w:color w:val="000000"/>
          <w:w w:val="62"/>
          <w:shd w:val="solid" w:color="000000" w:fill="000000"/>
          <w:fitText w:val="481" w:id="-761013747"/>
          <w14:textFill>
            <w14:solidFill>
              <w14:srgbClr w14:val="000000">
                <w14:alpha w14:val="100000"/>
              </w14:srgbClr>
            </w14:solidFill>
          </w14:textFill>
        </w:rPr>
        <w:t>|||  ||</w:t>
      </w:r>
      <w:r w:rsidR="00F111EB" w:rsidRPr="00F111EB">
        <w:rPr>
          <w:color w:val="000000"/>
          <w:spacing w:val="3"/>
          <w:w w:val="62"/>
          <w:shd w:val="solid" w:color="000000" w:fill="000000"/>
          <w:fitText w:val="481" w:id="-761013747"/>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9" w:id="-761013746"/>
          <w14:textFill>
            <w14:solidFill>
              <w14:srgbClr w14:val="000000">
                <w14:alpha w14:val="100000"/>
              </w14:srgbClr>
            </w14:solidFill>
          </w14:textFill>
        </w:rPr>
        <w:t>|||  ||</w:t>
      </w:r>
      <w:r w:rsidR="00F111EB" w:rsidRPr="00F111EB">
        <w:rPr>
          <w:color w:val="000000"/>
          <w:spacing w:val="5"/>
          <w:w w:val="60"/>
          <w:shd w:val="solid" w:color="000000" w:fill="000000"/>
          <w:fitText w:val="469" w:id="-761013746"/>
          <w14:textFill>
            <w14:solidFill>
              <w14:srgbClr w14:val="000000">
                <w14:alpha w14:val="100000"/>
              </w14:srgbClr>
            </w14:solidFill>
          </w14:textFill>
        </w:rPr>
        <w:t>|</w:t>
      </w:r>
      <w:r w:rsidRPr="00142975">
        <w:t xml:space="preserve"> sharing of any financial risk and ensuring that </w:t>
      </w:r>
      <w:r w:rsidR="00F111EB" w:rsidRPr="00F111EB">
        <w:rPr>
          <w:color w:val="000000"/>
          <w:w w:val="60"/>
          <w:shd w:val="solid" w:color="000000" w:fill="000000"/>
          <w:fitText w:val="468" w:id="-761013745"/>
          <w14:textFill>
            <w14:solidFill>
              <w14:srgbClr w14:val="000000">
                <w14:alpha w14:val="100000"/>
              </w14:srgbClr>
            </w14:solidFill>
          </w14:textFill>
        </w:rPr>
        <w:t>|||  ||</w:t>
      </w:r>
      <w:r w:rsidR="00F111EB" w:rsidRPr="00F111EB">
        <w:rPr>
          <w:color w:val="000000"/>
          <w:spacing w:val="4"/>
          <w:w w:val="60"/>
          <w:shd w:val="solid" w:color="000000" w:fill="000000"/>
          <w:fitText w:val="468" w:id="-761013745"/>
          <w14:textFill>
            <w14:solidFill>
              <w14:srgbClr w14:val="000000">
                <w14:alpha w14:val="100000"/>
              </w14:srgbClr>
            </w14:solidFill>
          </w14:textFill>
        </w:rPr>
        <w:t>|</w:t>
      </w:r>
      <w:r w:rsidR="00A3456B" w:rsidRPr="00A3456B">
        <w:t xml:space="preserve"> </w:t>
      </w:r>
      <w:r w:rsidR="00F111EB" w:rsidRPr="00F111EB">
        <w:rPr>
          <w:color w:val="000000"/>
          <w:w w:val="60"/>
          <w:shd w:val="solid" w:color="000000" w:fill="000000"/>
          <w:fitText w:val="468" w:id="-761013744"/>
          <w14:textFill>
            <w14:solidFill>
              <w14:srgbClr w14:val="000000">
                <w14:alpha w14:val="100000"/>
              </w14:srgbClr>
            </w14:solidFill>
          </w14:textFill>
        </w:rPr>
        <w:t>|||  ||</w:t>
      </w:r>
      <w:r w:rsidR="00F111EB" w:rsidRPr="00F111EB">
        <w:rPr>
          <w:color w:val="000000"/>
          <w:spacing w:val="4"/>
          <w:w w:val="60"/>
          <w:shd w:val="solid" w:color="000000" w:fill="000000"/>
          <w:fitText w:val="468" w:id="-761013744"/>
          <w14:textFill>
            <w14:solidFill>
              <w14:srgbClr w14:val="000000">
                <w14:alpha w14:val="100000"/>
              </w14:srgbClr>
            </w14:solidFill>
          </w14:textFill>
        </w:rPr>
        <w:t>|</w:t>
      </w:r>
      <w:r w:rsidR="00A3456B" w:rsidRPr="00A3456B">
        <w:t xml:space="preserve"> </w:t>
      </w:r>
      <w:r w:rsidRPr="00142975">
        <w:t xml:space="preserve">price of </w:t>
      </w:r>
      <w:r w:rsidR="009A37D3" w:rsidRPr="00142975">
        <w:t>tirzepatide</w:t>
      </w:r>
      <w:r w:rsidRPr="00142975">
        <w:t xml:space="preserve"> does not </w:t>
      </w:r>
      <w:r w:rsidR="00F111EB" w:rsidRPr="00F111EB">
        <w:rPr>
          <w:color w:val="000000"/>
          <w:w w:val="60"/>
          <w:shd w:val="solid" w:color="000000" w:fill="000000"/>
          <w:fitText w:val="469" w:id="-761013248"/>
          <w14:textFill>
            <w14:solidFill>
              <w14:srgbClr w14:val="000000">
                <w14:alpha w14:val="100000"/>
              </w14:srgbClr>
            </w14:solidFill>
          </w14:textFill>
        </w:rPr>
        <w:t>|||  ||</w:t>
      </w:r>
      <w:r w:rsidR="00F111EB" w:rsidRPr="00F111EB">
        <w:rPr>
          <w:color w:val="000000"/>
          <w:spacing w:val="5"/>
          <w:w w:val="60"/>
          <w:shd w:val="solid" w:color="000000" w:fill="000000"/>
          <w:fitText w:val="469" w:id="-761013248"/>
          <w14:textFill>
            <w14:solidFill>
              <w14:srgbClr w14:val="000000">
                <w14:alpha w14:val="100000"/>
              </w14:srgbClr>
            </w14:solidFill>
          </w14:textFill>
        </w:rPr>
        <w:t>|</w:t>
      </w:r>
      <w:r w:rsidR="00A3456B" w:rsidRPr="00A3456B">
        <w:t xml:space="preserve"> </w:t>
      </w:r>
      <w:r w:rsidR="00F111EB" w:rsidRPr="00F111EB">
        <w:rPr>
          <w:color w:val="000000"/>
          <w:w w:val="62"/>
          <w:shd w:val="solid" w:color="000000" w:fill="000000"/>
          <w:fitText w:val="480" w:id="-761013247"/>
          <w14:textFill>
            <w14:solidFill>
              <w14:srgbClr w14:val="000000">
                <w14:alpha w14:val="100000"/>
              </w14:srgbClr>
            </w14:solidFill>
          </w14:textFill>
        </w:rPr>
        <w:t>|||  ||</w:t>
      </w:r>
      <w:r w:rsidR="00F111EB" w:rsidRPr="00F111EB">
        <w:rPr>
          <w:color w:val="000000"/>
          <w:spacing w:val="2"/>
          <w:w w:val="62"/>
          <w:shd w:val="solid" w:color="000000" w:fill="000000"/>
          <w:fitText w:val="480" w:id="-761013247"/>
          <w14:textFill>
            <w14:solidFill>
              <w14:srgbClr w14:val="000000">
                <w14:alpha w14:val="100000"/>
              </w14:srgbClr>
            </w14:solidFill>
          </w14:textFill>
        </w:rPr>
        <w:t>|</w:t>
      </w:r>
      <w:r w:rsidRPr="00142975">
        <w:t xml:space="preserve"> the level of GLP-1 RA.</w:t>
      </w:r>
    </w:p>
    <w:p w14:paraId="60D241EA" w14:textId="710B8142" w:rsidR="009F5543" w:rsidRDefault="009F5543" w:rsidP="00A12821">
      <w:pPr>
        <w:pStyle w:val="COMexecsummbulletlist"/>
        <w:numPr>
          <w:ilvl w:val="0"/>
          <w:numId w:val="0"/>
        </w:numPr>
        <w:ind w:left="774"/>
      </w:pPr>
      <w:r>
        <w:t xml:space="preserve">The </w:t>
      </w:r>
      <w:r w:rsidR="009A37D3">
        <w:t xml:space="preserve">pre-PBAC response </w:t>
      </w:r>
      <w:r>
        <w:t>proposed</w:t>
      </w:r>
      <w:r w:rsidRPr="00674F85">
        <w:t xml:space="preserve"> the option of a </w:t>
      </w:r>
      <w:r w:rsidR="00F111EB" w:rsidRPr="00F111EB">
        <w:rPr>
          <w:color w:val="000000"/>
          <w:w w:val="62"/>
          <w:shd w:val="solid" w:color="000000" w:fill="000000"/>
          <w:fitText w:val="481" w:id="-761013246"/>
          <w14:textFill>
            <w14:solidFill>
              <w14:srgbClr w14:val="000000">
                <w14:alpha w14:val="100000"/>
              </w14:srgbClr>
            </w14:solidFill>
          </w14:textFill>
        </w:rPr>
        <w:t>|||  ||</w:t>
      </w:r>
      <w:r w:rsidR="00F111EB" w:rsidRPr="00F111EB">
        <w:rPr>
          <w:color w:val="000000"/>
          <w:spacing w:val="3"/>
          <w:w w:val="62"/>
          <w:shd w:val="solid" w:color="000000" w:fill="000000"/>
          <w:fitText w:val="481" w:id="-761013246"/>
          <w14:textFill>
            <w14:solidFill>
              <w14:srgbClr w14:val="000000">
                <w14:alpha w14:val="100000"/>
              </w14:srgbClr>
            </w14:solidFill>
          </w14:textFill>
        </w:rPr>
        <w:t>|</w:t>
      </w:r>
      <w:r w:rsidRPr="00B44835">
        <w:t xml:space="preserve"> </w:t>
      </w:r>
      <w:r w:rsidRPr="00142975">
        <w:t>deed of agreement</w:t>
      </w:r>
      <w:r w:rsidRPr="00674F85">
        <w:t xml:space="preserve"> with an assessment of utilisation after this time</w:t>
      </w:r>
      <w:r>
        <w:t>.</w:t>
      </w:r>
    </w:p>
    <w:p w14:paraId="4C77D3C4" w14:textId="6BF8A17E" w:rsidR="00B5354A" w:rsidRDefault="00B5354A" w:rsidP="00B5354A">
      <w:pPr>
        <w:pStyle w:val="Caption"/>
      </w:pPr>
      <w:r>
        <w:t xml:space="preserve">Table </w:t>
      </w:r>
      <w:r w:rsidR="00EE035D">
        <w:fldChar w:fldCharType="begin" w:fldLock="1"/>
      </w:r>
      <w:r w:rsidR="00EE035D">
        <w:instrText xml:space="preserve"> SEQ Table \* ARABIC </w:instrText>
      </w:r>
      <w:r w:rsidR="00EE035D">
        <w:fldChar w:fldCharType="separate"/>
      </w:r>
      <w:r w:rsidR="00EE035D">
        <w:rPr>
          <w:noProof/>
        </w:rPr>
        <w:t>18</w:t>
      </w:r>
      <w:r w:rsidR="00EE035D">
        <w:rPr>
          <w:noProof/>
        </w:rPr>
        <w:fldChar w:fldCharType="end"/>
      </w:r>
      <w:r>
        <w:t xml:space="preserve"> </w:t>
      </w:r>
      <w:r>
        <w:rPr>
          <w:szCs w:val="16"/>
        </w:rPr>
        <w:t>Proposed s</w:t>
      </w:r>
      <w:r w:rsidRPr="00D80540">
        <w:rPr>
          <w:szCs w:val="16"/>
        </w:rPr>
        <w:t xml:space="preserve">ubsidisation cap (SC) structure for </w:t>
      </w:r>
      <w:r>
        <w:rPr>
          <w:szCs w:val="16"/>
        </w:rPr>
        <w:t>tirzepatide</w:t>
      </w:r>
      <w:r w:rsidRPr="00D80540">
        <w:rPr>
          <w:szCs w:val="16"/>
        </w:rPr>
        <w:t xml:space="preserve"> (effective AEMP)</w:t>
      </w:r>
      <w:r w:rsidRPr="00AC3098">
        <w:rPr>
          <w:szCs w:val="16"/>
        </w:rPr>
        <w:t xml:space="preserve"> </w:t>
      </w:r>
    </w:p>
    <w:tbl>
      <w:tblPr>
        <w:tblStyle w:val="TableGrid"/>
        <w:tblW w:w="5000" w:type="pct"/>
        <w:tblLook w:val="04A0" w:firstRow="1" w:lastRow="0" w:firstColumn="1" w:lastColumn="0" w:noHBand="0" w:noVBand="1"/>
        <w:tblCaption w:val="Table 18 Proposed subsidisation cap (SC) structure for tirzepatide (effective AEMP) "/>
      </w:tblPr>
      <w:tblGrid>
        <w:gridCol w:w="894"/>
        <w:gridCol w:w="1627"/>
        <w:gridCol w:w="1625"/>
        <w:gridCol w:w="1625"/>
        <w:gridCol w:w="1623"/>
        <w:gridCol w:w="1623"/>
      </w:tblGrid>
      <w:tr w:rsidR="00B5354A" w:rsidRPr="00D80540" w14:paraId="575AB0F3" w14:textId="77777777" w:rsidTr="00D437A5">
        <w:trPr>
          <w:trHeight w:val="227"/>
        </w:trPr>
        <w:tc>
          <w:tcPr>
            <w:tcW w:w="496" w:type="pct"/>
          </w:tcPr>
          <w:p w14:paraId="2C03EB82" w14:textId="77777777" w:rsidR="00B5354A" w:rsidRPr="00185846" w:rsidRDefault="00B5354A">
            <w:pPr>
              <w:pStyle w:val="Tabletext0"/>
              <w:spacing w:line="216" w:lineRule="auto"/>
              <w:rPr>
                <w:rFonts w:cstheme="minorHAnsi"/>
              </w:rPr>
            </w:pPr>
          </w:p>
        </w:tc>
        <w:tc>
          <w:tcPr>
            <w:tcW w:w="902" w:type="pct"/>
            <w:vAlign w:val="center"/>
          </w:tcPr>
          <w:p w14:paraId="2D6EA3E2"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1 (2025) </w:t>
            </w:r>
            <w:r w:rsidRPr="00185846">
              <w:rPr>
                <w:rFonts w:cstheme="minorHAnsi"/>
                <w:vertAlign w:val="superscript"/>
              </w:rPr>
              <w:t>a</w:t>
            </w:r>
          </w:p>
        </w:tc>
        <w:tc>
          <w:tcPr>
            <w:tcW w:w="901" w:type="pct"/>
            <w:vAlign w:val="center"/>
          </w:tcPr>
          <w:p w14:paraId="0891DDC9"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2 (2026) </w:t>
            </w:r>
            <w:r w:rsidRPr="00185846">
              <w:rPr>
                <w:rFonts w:cstheme="minorHAnsi"/>
                <w:vertAlign w:val="superscript"/>
              </w:rPr>
              <w:t>a</w:t>
            </w:r>
          </w:p>
        </w:tc>
        <w:tc>
          <w:tcPr>
            <w:tcW w:w="901" w:type="pct"/>
            <w:vAlign w:val="center"/>
          </w:tcPr>
          <w:p w14:paraId="5EF622D6"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3 (2027) </w:t>
            </w:r>
            <w:r w:rsidRPr="00185846">
              <w:rPr>
                <w:rFonts w:cstheme="minorHAnsi"/>
                <w:vertAlign w:val="superscript"/>
              </w:rPr>
              <w:t>a</w:t>
            </w:r>
          </w:p>
        </w:tc>
        <w:tc>
          <w:tcPr>
            <w:tcW w:w="900" w:type="pct"/>
            <w:vAlign w:val="center"/>
          </w:tcPr>
          <w:p w14:paraId="23A35C23"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4 (2028) </w:t>
            </w:r>
            <w:r w:rsidRPr="00185846">
              <w:rPr>
                <w:rFonts w:cstheme="minorHAnsi"/>
                <w:vertAlign w:val="superscript"/>
              </w:rPr>
              <w:t>a</w:t>
            </w:r>
          </w:p>
        </w:tc>
        <w:tc>
          <w:tcPr>
            <w:tcW w:w="900" w:type="pct"/>
            <w:vAlign w:val="center"/>
          </w:tcPr>
          <w:p w14:paraId="4D126FE0" w14:textId="77777777" w:rsidR="00B5354A" w:rsidRPr="00185846" w:rsidRDefault="00B5354A" w:rsidP="00356C69">
            <w:pPr>
              <w:pStyle w:val="TableFigureHeading"/>
              <w:spacing w:line="216" w:lineRule="auto"/>
              <w:jc w:val="center"/>
              <w:rPr>
                <w:rFonts w:cstheme="minorHAnsi"/>
              </w:rPr>
            </w:pPr>
            <w:r w:rsidRPr="00185846">
              <w:rPr>
                <w:rFonts w:cstheme="minorHAnsi"/>
              </w:rPr>
              <w:t xml:space="preserve">Year 5 (2029) </w:t>
            </w:r>
            <w:r w:rsidRPr="00185846">
              <w:rPr>
                <w:rFonts w:cstheme="minorHAnsi"/>
                <w:vertAlign w:val="superscript"/>
              </w:rPr>
              <w:t>a</w:t>
            </w:r>
          </w:p>
        </w:tc>
      </w:tr>
      <w:tr w:rsidR="00B5354A" w:rsidRPr="00D80540" w14:paraId="0D30A9D4" w14:textId="77777777" w:rsidTr="00D437A5">
        <w:trPr>
          <w:trHeight w:val="227"/>
        </w:trPr>
        <w:tc>
          <w:tcPr>
            <w:tcW w:w="496" w:type="pct"/>
            <w:shd w:val="clear" w:color="auto" w:fill="auto"/>
            <w:vAlign w:val="center"/>
          </w:tcPr>
          <w:p w14:paraId="4D434C8B" w14:textId="6F5F0BE8" w:rsidR="00B5354A" w:rsidRPr="00185846" w:rsidRDefault="00B5354A" w:rsidP="00356C69">
            <w:pPr>
              <w:pStyle w:val="Tabletext0"/>
              <w:spacing w:line="216" w:lineRule="auto"/>
              <w:rPr>
                <w:rFonts w:cstheme="minorHAnsi"/>
              </w:rPr>
            </w:pPr>
            <w:r w:rsidRPr="00185846">
              <w:rPr>
                <w:rFonts w:cstheme="minorHAnsi"/>
              </w:rPr>
              <w:t xml:space="preserve">SC1 </w:t>
            </w:r>
            <w:r w:rsidRPr="00185846">
              <w:rPr>
                <w:rFonts w:cstheme="minorHAnsi"/>
                <w:vertAlign w:val="superscript"/>
              </w:rPr>
              <w:t>b</w:t>
            </w:r>
            <w:r w:rsidR="00C44F89" w:rsidRPr="00185846">
              <w:rPr>
                <w:rFonts w:cstheme="minorHAnsi"/>
              </w:rPr>
              <w:t>($)</w:t>
            </w:r>
          </w:p>
        </w:tc>
        <w:tc>
          <w:tcPr>
            <w:tcW w:w="902" w:type="pct"/>
            <w:vAlign w:val="center"/>
          </w:tcPr>
          <w:p w14:paraId="29DC4A69" w14:textId="1E94C934"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5"/>
                <w14:textFill>
                  <w14:solidFill>
                    <w14:srgbClr w14:val="000000">
                      <w14:alpha w14:val="100000"/>
                    </w14:srgbClr>
                  </w14:solidFill>
                </w14:textFill>
              </w:rPr>
              <w:t>|||</w:t>
            </w:r>
            <w:r w:rsidRPr="00F111EB">
              <w:rPr>
                <w:rFonts w:cstheme="minorHAnsi"/>
                <w:color w:val="000000"/>
                <w:spacing w:val="1"/>
                <w:shd w:val="solid" w:color="000000" w:fill="000000"/>
                <w:fitText w:val="326" w:id="-761013245"/>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031F76CA" w14:textId="50E6B81C"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4"/>
                <w14:textFill>
                  <w14:solidFill>
                    <w14:srgbClr w14:val="000000">
                      <w14:alpha w14:val="100000"/>
                    </w14:srgbClr>
                  </w14:solidFill>
                </w14:textFill>
              </w:rPr>
              <w:t>|||</w:t>
            </w:r>
            <w:r w:rsidRPr="00F111EB">
              <w:rPr>
                <w:rFonts w:cstheme="minorHAnsi"/>
                <w:color w:val="000000"/>
                <w:spacing w:val="1"/>
                <w:shd w:val="solid" w:color="000000" w:fill="000000"/>
                <w:fitText w:val="326" w:id="-761013244"/>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691CD249" w14:textId="4949CB53"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3"/>
                <w14:textFill>
                  <w14:solidFill>
                    <w14:srgbClr w14:val="000000">
                      <w14:alpha w14:val="100000"/>
                    </w14:srgbClr>
                  </w14:solidFill>
                </w14:textFill>
              </w:rPr>
              <w:t>|||</w:t>
            </w:r>
            <w:r w:rsidRPr="00F111EB">
              <w:rPr>
                <w:rFonts w:cstheme="minorHAnsi"/>
                <w:color w:val="000000"/>
                <w:spacing w:val="1"/>
                <w:shd w:val="solid" w:color="000000" w:fill="000000"/>
                <w:fitText w:val="326" w:id="-761013243"/>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11BC2F7D" w14:textId="66EEB8B3"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42"/>
                <w14:textFill>
                  <w14:solidFill>
                    <w14:srgbClr w14:val="000000">
                      <w14:alpha w14:val="100000"/>
                    </w14:srgbClr>
                  </w14:solidFill>
                </w14:textFill>
              </w:rPr>
              <w:t>|||</w:t>
            </w:r>
            <w:r w:rsidRPr="00F111EB">
              <w:rPr>
                <w:rFonts w:cstheme="minorHAnsi"/>
                <w:color w:val="000000"/>
                <w:spacing w:val="3"/>
                <w:shd w:val="solid" w:color="000000" w:fill="000000"/>
                <w:fitText w:val="338" w:id="-761013242"/>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7B768747" w14:textId="12CD6C65"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41"/>
                <w14:textFill>
                  <w14:solidFill>
                    <w14:srgbClr w14:val="000000">
                      <w14:alpha w14:val="100000"/>
                    </w14:srgbClr>
                  </w14:solidFill>
                </w14:textFill>
              </w:rPr>
              <w:t>|||</w:t>
            </w:r>
            <w:r w:rsidRPr="00F111EB">
              <w:rPr>
                <w:rFonts w:cstheme="minorHAnsi"/>
                <w:color w:val="000000"/>
                <w:spacing w:val="3"/>
                <w:shd w:val="solid" w:color="000000" w:fill="000000"/>
                <w:fitText w:val="338" w:id="-761013241"/>
                <w14:textFill>
                  <w14:solidFill>
                    <w14:srgbClr w14:val="000000">
                      <w14:alpha w14:val="100000"/>
                    </w14:srgbClr>
                  </w14:solidFill>
                </w14:textFill>
              </w:rPr>
              <w:t>|</w:t>
            </w:r>
            <w:r w:rsidR="00D6578B">
              <w:rPr>
                <w:rFonts w:cstheme="minorHAnsi"/>
                <w:color w:val="000000"/>
              </w:rPr>
              <w:t xml:space="preserve"> </w:t>
            </w:r>
          </w:p>
        </w:tc>
      </w:tr>
      <w:tr w:rsidR="00B5354A" w:rsidRPr="00D80540" w14:paraId="09AB7C83" w14:textId="77777777" w:rsidTr="00D437A5">
        <w:trPr>
          <w:trHeight w:val="227"/>
        </w:trPr>
        <w:tc>
          <w:tcPr>
            <w:tcW w:w="496" w:type="pct"/>
            <w:shd w:val="clear" w:color="auto" w:fill="auto"/>
            <w:vAlign w:val="center"/>
          </w:tcPr>
          <w:p w14:paraId="1EEFE762" w14:textId="0BB605B9" w:rsidR="00B5354A" w:rsidRPr="00185846" w:rsidRDefault="00B5354A" w:rsidP="00356C69">
            <w:pPr>
              <w:pStyle w:val="Tabletext0"/>
              <w:spacing w:line="216" w:lineRule="auto"/>
              <w:rPr>
                <w:rFonts w:cstheme="minorHAnsi"/>
              </w:rPr>
            </w:pPr>
            <w:r w:rsidRPr="00185846">
              <w:rPr>
                <w:rFonts w:cstheme="minorHAnsi"/>
              </w:rPr>
              <w:t>SC2</w:t>
            </w:r>
            <w:r w:rsidR="00C44F89" w:rsidRPr="00185846">
              <w:rPr>
                <w:rFonts w:cstheme="minorHAnsi"/>
              </w:rPr>
              <w:t xml:space="preserve"> ($)</w:t>
            </w:r>
          </w:p>
        </w:tc>
        <w:tc>
          <w:tcPr>
            <w:tcW w:w="902" w:type="pct"/>
            <w:vAlign w:val="center"/>
          </w:tcPr>
          <w:p w14:paraId="748C6B5F" w14:textId="17537571"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40"/>
                <w14:textFill>
                  <w14:solidFill>
                    <w14:srgbClr w14:val="000000">
                      <w14:alpha w14:val="100000"/>
                    </w14:srgbClr>
                  </w14:solidFill>
                </w14:textFill>
              </w:rPr>
              <w:t>|||</w:t>
            </w:r>
            <w:r w:rsidRPr="00F111EB">
              <w:rPr>
                <w:rFonts w:cstheme="minorHAnsi"/>
                <w:color w:val="000000"/>
                <w:spacing w:val="1"/>
                <w:shd w:val="solid" w:color="000000" w:fill="000000"/>
                <w:fitText w:val="326" w:id="-761013240"/>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4A00145F" w14:textId="413A7A0C"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39"/>
                <w14:textFill>
                  <w14:solidFill>
                    <w14:srgbClr w14:val="000000">
                      <w14:alpha w14:val="100000"/>
                    </w14:srgbClr>
                  </w14:solidFill>
                </w14:textFill>
              </w:rPr>
              <w:t>|||</w:t>
            </w:r>
            <w:r w:rsidRPr="00F111EB">
              <w:rPr>
                <w:rFonts w:cstheme="minorHAnsi"/>
                <w:color w:val="000000"/>
                <w:spacing w:val="1"/>
                <w:shd w:val="solid" w:color="000000" w:fill="000000"/>
                <w:fitText w:val="326" w:id="-761013239"/>
                <w14:textFill>
                  <w14:solidFill>
                    <w14:srgbClr w14:val="000000">
                      <w14:alpha w14:val="100000"/>
                    </w14:srgbClr>
                  </w14:solidFill>
                </w14:textFill>
              </w:rPr>
              <w:t>|</w:t>
            </w:r>
            <w:r w:rsidR="00D6578B">
              <w:rPr>
                <w:rFonts w:cstheme="minorHAnsi"/>
                <w:color w:val="000000"/>
              </w:rPr>
              <w:t xml:space="preserve"> </w:t>
            </w:r>
          </w:p>
        </w:tc>
        <w:tc>
          <w:tcPr>
            <w:tcW w:w="901" w:type="pct"/>
            <w:vAlign w:val="center"/>
          </w:tcPr>
          <w:p w14:paraId="001A59E8" w14:textId="01AADC41"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1"/>
                <w:shd w:val="solid" w:color="000000" w:fill="000000"/>
                <w:fitText w:val="326" w:id="-761013238"/>
                <w14:textFill>
                  <w14:solidFill>
                    <w14:srgbClr w14:val="000000">
                      <w14:alpha w14:val="100000"/>
                    </w14:srgbClr>
                  </w14:solidFill>
                </w14:textFill>
              </w:rPr>
              <w:t>|||</w:t>
            </w:r>
            <w:r w:rsidRPr="00F111EB">
              <w:rPr>
                <w:rFonts w:cstheme="minorHAnsi"/>
                <w:color w:val="000000"/>
                <w:spacing w:val="1"/>
                <w:shd w:val="solid" w:color="000000" w:fill="000000"/>
                <w:fitText w:val="326" w:id="-761013238"/>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0DF7C126" w14:textId="25BA3810"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37"/>
                <w14:textFill>
                  <w14:solidFill>
                    <w14:srgbClr w14:val="000000">
                      <w14:alpha w14:val="100000"/>
                    </w14:srgbClr>
                  </w14:solidFill>
                </w14:textFill>
              </w:rPr>
              <w:t>|||</w:t>
            </w:r>
            <w:r w:rsidRPr="00F111EB">
              <w:rPr>
                <w:rFonts w:cstheme="minorHAnsi"/>
                <w:color w:val="000000"/>
                <w:spacing w:val="3"/>
                <w:shd w:val="solid" w:color="000000" w:fill="000000"/>
                <w:fitText w:val="338" w:id="-761013237"/>
                <w14:textFill>
                  <w14:solidFill>
                    <w14:srgbClr w14:val="000000">
                      <w14:alpha w14:val="100000"/>
                    </w14:srgbClr>
                  </w14:solidFill>
                </w14:textFill>
              </w:rPr>
              <w:t>|</w:t>
            </w:r>
            <w:r w:rsidR="00D6578B">
              <w:rPr>
                <w:rFonts w:cstheme="minorHAnsi"/>
                <w:color w:val="000000"/>
              </w:rPr>
              <w:t xml:space="preserve"> </w:t>
            </w:r>
          </w:p>
        </w:tc>
        <w:tc>
          <w:tcPr>
            <w:tcW w:w="900" w:type="pct"/>
            <w:vAlign w:val="center"/>
          </w:tcPr>
          <w:p w14:paraId="74B97431" w14:textId="3645597F" w:rsidR="00B5354A" w:rsidRPr="00185846" w:rsidRDefault="00F111EB" w:rsidP="00356C69">
            <w:pPr>
              <w:pStyle w:val="Tabletext0"/>
              <w:spacing w:line="216" w:lineRule="auto"/>
              <w:jc w:val="center"/>
              <w:rPr>
                <w:rFonts w:cstheme="minorHAnsi"/>
                <w:highlight w:val="darkGray"/>
              </w:rPr>
            </w:pPr>
            <w:r w:rsidRPr="00F111EB">
              <w:rPr>
                <w:rFonts w:cstheme="minorHAnsi"/>
                <w:color w:val="000000"/>
                <w:spacing w:val="55"/>
                <w:shd w:val="solid" w:color="000000" w:fill="000000"/>
                <w:fitText w:val="338" w:id="-761013236"/>
                <w14:textFill>
                  <w14:solidFill>
                    <w14:srgbClr w14:val="000000">
                      <w14:alpha w14:val="100000"/>
                    </w14:srgbClr>
                  </w14:solidFill>
                </w14:textFill>
              </w:rPr>
              <w:t>|||</w:t>
            </w:r>
            <w:r w:rsidRPr="00F111EB">
              <w:rPr>
                <w:rFonts w:cstheme="minorHAnsi"/>
                <w:color w:val="000000"/>
                <w:spacing w:val="3"/>
                <w:shd w:val="solid" w:color="000000" w:fill="000000"/>
                <w:fitText w:val="338" w:id="-761013236"/>
                <w14:textFill>
                  <w14:solidFill>
                    <w14:srgbClr w14:val="000000">
                      <w14:alpha w14:val="100000"/>
                    </w14:srgbClr>
                  </w14:solidFill>
                </w14:textFill>
              </w:rPr>
              <w:t>|</w:t>
            </w:r>
            <w:r w:rsidR="00D6578B">
              <w:rPr>
                <w:rFonts w:cstheme="minorHAnsi"/>
                <w:color w:val="000000"/>
              </w:rPr>
              <w:t xml:space="preserve"> </w:t>
            </w:r>
          </w:p>
        </w:tc>
      </w:tr>
    </w:tbl>
    <w:p w14:paraId="6F9B4250" w14:textId="77777777" w:rsidR="009A37D3" w:rsidRPr="00B46C2C" w:rsidRDefault="00B5354A" w:rsidP="00B5354A">
      <w:pPr>
        <w:pStyle w:val="TableFigureFooter"/>
        <w:keepNext/>
        <w:spacing w:after="0" w:line="216" w:lineRule="auto"/>
        <w:rPr>
          <w:rFonts w:cstheme="minorHAnsi"/>
          <w:szCs w:val="18"/>
        </w:rPr>
      </w:pPr>
      <w:r w:rsidRPr="00B46C2C">
        <w:rPr>
          <w:rFonts w:cstheme="minorHAnsi"/>
          <w:szCs w:val="18"/>
        </w:rPr>
        <w:t xml:space="preserve">Source: </w:t>
      </w:r>
      <w:r w:rsidR="009A37D3" w:rsidRPr="00B46C2C">
        <w:rPr>
          <w:rFonts w:cstheme="minorHAnsi"/>
          <w:szCs w:val="18"/>
        </w:rPr>
        <w:t xml:space="preserve">Table 6 pre-PBAC response. </w:t>
      </w:r>
    </w:p>
    <w:p w14:paraId="12D46B42" w14:textId="3E158DAC" w:rsidR="00B5354A" w:rsidRPr="00B46C2C" w:rsidRDefault="009A37D3" w:rsidP="00B5354A">
      <w:pPr>
        <w:pStyle w:val="TableFigureFooter"/>
        <w:keepNext/>
        <w:spacing w:after="0" w:line="216" w:lineRule="auto"/>
        <w:rPr>
          <w:rFonts w:cstheme="minorHAnsi"/>
          <w:szCs w:val="18"/>
        </w:rPr>
      </w:pPr>
      <w:r w:rsidRPr="00B46C2C">
        <w:rPr>
          <w:rFonts w:cstheme="minorHAnsi"/>
          <w:szCs w:val="18"/>
        </w:rPr>
        <w:t>Note</w:t>
      </w:r>
      <w:r w:rsidRPr="00142975">
        <w:rPr>
          <w:rFonts w:cstheme="minorHAnsi"/>
          <w:szCs w:val="18"/>
        </w:rPr>
        <w:t xml:space="preserve">: Table 6 footnote states the source as </w:t>
      </w:r>
      <w:r w:rsidR="00B5354A" w:rsidRPr="00142975">
        <w:rPr>
          <w:rFonts w:cstheme="minorHAnsi"/>
          <w:szCs w:val="18"/>
        </w:rPr>
        <w:t xml:space="preserve">Attachment A8.1_Tirzepatide Section 4_revised (Pre-PBAC) – Tab 3c. Impact – proposed (eff) </w:t>
      </w:r>
      <w:r w:rsidR="00F111EB" w:rsidRPr="00F111EB">
        <w:rPr>
          <w:rFonts w:cstheme="minorHAnsi"/>
          <w:color w:val="000000"/>
          <w:spacing w:val="31"/>
          <w:szCs w:val="18"/>
          <w:shd w:val="solid" w:color="000000" w:fill="000000"/>
          <w:fitText w:val="268" w:id="-761013235"/>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5"/>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34"/>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4"/>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40"/>
          <w:szCs w:val="18"/>
          <w:shd w:val="solid" w:color="000000" w:fill="000000"/>
          <w:fitText w:val="280" w:id="-761013233"/>
          <w14:textFill>
            <w14:solidFill>
              <w14:srgbClr w14:val="000000">
                <w14:alpha w14:val="100000"/>
              </w14:srgbClr>
            </w14:solidFill>
          </w14:textFill>
        </w:rPr>
        <w:t xml:space="preserve">|  </w:t>
      </w:r>
      <w:r w:rsidR="00F111EB" w:rsidRPr="00F111EB">
        <w:rPr>
          <w:rFonts w:cstheme="minorHAnsi"/>
          <w:color w:val="000000"/>
          <w:spacing w:val="2"/>
          <w:szCs w:val="18"/>
          <w:shd w:val="solid" w:color="000000" w:fill="000000"/>
          <w:fitText w:val="280" w:id="-761013233"/>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32"/>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32"/>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8"/>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8"/>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7"/>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7"/>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6"/>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6"/>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5"/>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5"/>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4"/>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4"/>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31"/>
          <w:szCs w:val="18"/>
          <w:shd w:val="solid" w:color="000000" w:fill="000000"/>
          <w:fitText w:val="268" w:id="-761013243"/>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43"/>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9"/>
          <w:szCs w:val="18"/>
          <w:shd w:val="solid" w:color="000000" w:fill="000000"/>
          <w:fitText w:val="281" w:id="-761013242"/>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2"/>
          <w14:textFill>
            <w14:solidFill>
              <w14:srgbClr w14:val="000000">
                <w14:alpha w14:val="100000"/>
              </w14:srgbClr>
            </w14:solidFill>
          </w14:textFill>
        </w:rPr>
        <w:t>|</w:t>
      </w:r>
      <w:r w:rsidR="00A3456B" w:rsidRPr="00A3456B">
        <w:rPr>
          <w:rFonts w:cstheme="minorHAnsi"/>
          <w:szCs w:val="18"/>
        </w:rPr>
        <w:t xml:space="preserve"> </w:t>
      </w:r>
      <w:r w:rsidR="00F111EB" w:rsidRPr="00F111EB">
        <w:rPr>
          <w:rFonts w:cstheme="minorHAnsi"/>
          <w:color w:val="000000"/>
          <w:spacing w:val="8"/>
          <w:szCs w:val="18"/>
          <w:shd w:val="solid" w:color="000000" w:fill="000000"/>
          <w:fitText w:val="280" w:id="-761013241"/>
          <w14:textFill>
            <w14:solidFill>
              <w14:srgbClr w14:val="000000">
                <w14:alpha w14:val="100000"/>
              </w14:srgbClr>
            </w14:solidFill>
          </w14:textFill>
        </w:rPr>
        <w:t>||  |</w:t>
      </w:r>
      <w:r w:rsidR="00F111EB" w:rsidRPr="00F111EB">
        <w:rPr>
          <w:rFonts w:cstheme="minorHAnsi"/>
          <w:color w:val="000000"/>
          <w:spacing w:val="5"/>
          <w:szCs w:val="18"/>
          <w:shd w:val="solid" w:color="000000" w:fill="000000"/>
          <w:fitText w:val="280" w:id="-761013241"/>
          <w14:textFill>
            <w14:solidFill>
              <w14:srgbClr w14:val="000000">
                <w14:alpha w14:val="100000"/>
              </w14:srgbClr>
            </w14:solidFill>
          </w14:textFill>
        </w:rPr>
        <w:t>|</w:t>
      </w:r>
    </w:p>
    <w:p w14:paraId="7A238942" w14:textId="77777777" w:rsidR="00B5354A" w:rsidRPr="00B46C2C" w:rsidRDefault="00B5354A" w:rsidP="00B5354A">
      <w:pPr>
        <w:pStyle w:val="TableFigureFooter"/>
        <w:keepNext/>
        <w:spacing w:after="0" w:line="216" w:lineRule="auto"/>
        <w:rPr>
          <w:rFonts w:cstheme="minorHAnsi"/>
          <w:szCs w:val="18"/>
        </w:rPr>
      </w:pPr>
      <w:r w:rsidRPr="00B46C2C">
        <w:rPr>
          <w:rFonts w:cstheme="minorHAnsi"/>
          <w:szCs w:val="18"/>
        </w:rPr>
        <w:t>Abbreviations: AEMP = approved ex-manufacturer price, SC= subsidisation cap</w:t>
      </w:r>
    </w:p>
    <w:p w14:paraId="4055915A" w14:textId="77777777" w:rsidR="00B5354A" w:rsidRPr="00B46C2C" w:rsidRDefault="00B5354A" w:rsidP="00B5354A">
      <w:pPr>
        <w:pStyle w:val="TableFigureFooter"/>
        <w:keepNext/>
        <w:spacing w:after="0" w:line="216" w:lineRule="auto"/>
        <w:rPr>
          <w:rFonts w:cstheme="minorHAnsi"/>
          <w:szCs w:val="18"/>
        </w:rPr>
      </w:pPr>
      <w:r w:rsidRPr="00B46C2C">
        <w:rPr>
          <w:rFonts w:cstheme="minorHAnsi"/>
          <w:szCs w:val="18"/>
          <w:vertAlign w:val="superscript"/>
        </w:rPr>
        <w:t xml:space="preserve">a </w:t>
      </w:r>
      <w:r w:rsidRPr="00B46C2C">
        <w:rPr>
          <w:rFonts w:cstheme="minorHAnsi"/>
          <w:szCs w:val="18"/>
        </w:rPr>
        <w:t>Based on effective AEMP-based Commonwealth expenditure.</w:t>
      </w:r>
    </w:p>
    <w:p w14:paraId="2F00D78E" w14:textId="41A2AFA9" w:rsidR="009F5543" w:rsidRPr="00B46C2C" w:rsidRDefault="00B5354A" w:rsidP="009A37D3">
      <w:pPr>
        <w:pStyle w:val="TableFigureFooter"/>
        <w:keepNext/>
        <w:spacing w:after="60" w:line="216" w:lineRule="auto"/>
        <w:rPr>
          <w:rFonts w:cstheme="minorHAnsi"/>
          <w:szCs w:val="18"/>
        </w:rPr>
      </w:pPr>
      <w:r w:rsidRPr="00B46C2C">
        <w:rPr>
          <w:rFonts w:cstheme="minorHAnsi"/>
          <w:szCs w:val="18"/>
          <w:vertAlign w:val="superscript"/>
        </w:rPr>
        <w:t xml:space="preserve">b </w:t>
      </w:r>
      <w:r w:rsidRPr="00015715">
        <w:rPr>
          <w:rFonts w:cstheme="minorHAnsi"/>
          <w:szCs w:val="18"/>
        </w:rPr>
        <w:t xml:space="preserve">There is no discount applied up to the specified SC1, and a </w:t>
      </w:r>
      <w:r w:rsidR="00F111EB" w:rsidRPr="00F111EB">
        <w:rPr>
          <w:rFonts w:cstheme="minorHAnsi"/>
          <w:color w:val="000000"/>
          <w:spacing w:val="9"/>
          <w:szCs w:val="18"/>
          <w:shd w:val="solid" w:color="000000" w:fill="000000"/>
          <w:fitText w:val="281" w:id="-761013240"/>
          <w14:textFill>
            <w14:solidFill>
              <w14:srgbClr w14:val="000000">
                <w14:alpha w14:val="100000"/>
              </w14:srgbClr>
            </w14:solidFill>
          </w14:textFill>
        </w:rPr>
        <w:t>||  |</w:t>
      </w:r>
      <w:r w:rsidR="00F111EB" w:rsidRPr="00F111EB">
        <w:rPr>
          <w:rFonts w:cstheme="minorHAnsi"/>
          <w:color w:val="000000"/>
          <w:spacing w:val="1"/>
          <w:szCs w:val="18"/>
          <w:shd w:val="solid" w:color="000000" w:fill="000000"/>
          <w:fitText w:val="281" w:id="-761013240"/>
          <w14:textFill>
            <w14:solidFill>
              <w14:srgbClr w14:val="000000">
                <w14:alpha w14:val="100000"/>
              </w14:srgbClr>
            </w14:solidFill>
          </w14:textFill>
        </w:rPr>
        <w:t>|</w:t>
      </w:r>
      <w:r w:rsidRPr="00015715">
        <w:rPr>
          <w:rFonts w:cstheme="minorHAnsi"/>
          <w:szCs w:val="18"/>
        </w:rPr>
        <w:t xml:space="preserve">% discount is applied beyond SC1 and a </w:t>
      </w:r>
      <w:r w:rsidR="00F111EB" w:rsidRPr="00F111EB">
        <w:rPr>
          <w:rFonts w:cstheme="minorHAnsi"/>
          <w:color w:val="000000"/>
          <w:spacing w:val="31"/>
          <w:szCs w:val="18"/>
          <w:shd w:val="solid" w:color="000000" w:fill="000000"/>
          <w:fitText w:val="268" w:id="-761013239"/>
          <w14:textFill>
            <w14:solidFill>
              <w14:srgbClr w14:val="000000">
                <w14:alpha w14:val="100000"/>
              </w14:srgbClr>
            </w14:solidFill>
          </w14:textFill>
        </w:rPr>
        <w:t xml:space="preserve">|  </w:t>
      </w:r>
      <w:r w:rsidR="00F111EB" w:rsidRPr="00F111EB">
        <w:rPr>
          <w:rFonts w:cstheme="minorHAnsi"/>
          <w:color w:val="000000"/>
          <w:spacing w:val="8"/>
          <w:szCs w:val="18"/>
          <w:shd w:val="solid" w:color="000000" w:fill="000000"/>
          <w:fitText w:val="268" w:id="-761013239"/>
          <w14:textFill>
            <w14:solidFill>
              <w14:srgbClr w14:val="000000">
                <w14:alpha w14:val="100000"/>
              </w14:srgbClr>
            </w14:solidFill>
          </w14:textFill>
        </w:rPr>
        <w:t>|</w:t>
      </w:r>
      <w:r w:rsidRPr="00015715">
        <w:rPr>
          <w:rFonts w:cstheme="minorHAnsi"/>
          <w:szCs w:val="18"/>
        </w:rPr>
        <w:t>% rebate beyond SC2.</w:t>
      </w:r>
    </w:p>
    <w:p w14:paraId="0BEC1585" w14:textId="05783DA9" w:rsidR="005D1A06" w:rsidRPr="005D1A06" w:rsidRDefault="005D1A06" w:rsidP="005D1A06">
      <w:pPr>
        <w:pStyle w:val="COMexecsummnumbered"/>
        <w:numPr>
          <w:ilvl w:val="0"/>
          <w:numId w:val="0"/>
        </w:numPr>
        <w:ind w:left="720"/>
        <w:rPr>
          <w:i/>
          <w:iCs/>
        </w:rPr>
      </w:pPr>
      <w:r w:rsidRPr="005D1A06">
        <w:rPr>
          <w:i/>
          <w:iCs/>
        </w:rPr>
        <w:t>For more detail on PBAC’s view, see section 7 PBAC outcome</w:t>
      </w:r>
    </w:p>
    <w:p w14:paraId="028B7236" w14:textId="77777777" w:rsidR="00D744FC" w:rsidRPr="00D744FC" w:rsidRDefault="00D744FC" w:rsidP="00D744FC">
      <w:pPr>
        <w:keepNext/>
        <w:numPr>
          <w:ilvl w:val="0"/>
          <w:numId w:val="1"/>
        </w:numPr>
        <w:spacing w:before="240" w:after="120"/>
        <w:jc w:val="left"/>
        <w:outlineLvl w:val="0"/>
        <w:rPr>
          <w:rFonts w:asciiTheme="minorHAnsi" w:hAnsiTheme="minorHAnsi"/>
          <w:b/>
          <w:snapToGrid w:val="0"/>
          <w:sz w:val="32"/>
          <w:szCs w:val="32"/>
        </w:rPr>
      </w:pPr>
      <w:bookmarkStart w:id="81" w:name="_Hlk76381249"/>
      <w:bookmarkStart w:id="82" w:name="_Hlk76377955"/>
      <w:r w:rsidRPr="00D744FC">
        <w:rPr>
          <w:rFonts w:asciiTheme="minorHAnsi" w:hAnsiTheme="minorHAnsi"/>
          <w:b/>
          <w:snapToGrid w:val="0"/>
          <w:sz w:val="32"/>
          <w:szCs w:val="32"/>
        </w:rPr>
        <w:t>PBAC Outcome</w:t>
      </w:r>
    </w:p>
    <w:p w14:paraId="1804A4BE" w14:textId="31A7CAD5" w:rsidR="00FB74F4" w:rsidRPr="008649AD" w:rsidRDefault="00882841">
      <w:pPr>
        <w:widowControl w:val="0"/>
        <w:numPr>
          <w:ilvl w:val="1"/>
          <w:numId w:val="1"/>
        </w:numPr>
        <w:spacing w:after="120"/>
        <w:rPr>
          <w:rFonts w:asciiTheme="minorHAnsi" w:hAnsiTheme="minorHAnsi"/>
          <w:snapToGrid w:val="0"/>
          <w:lang w:val="en-GB" w:eastAsia="en-US"/>
        </w:rPr>
      </w:pPr>
      <w:bookmarkStart w:id="83" w:name="_Hlk184029631"/>
      <w:r w:rsidRPr="008649AD">
        <w:rPr>
          <w:rFonts w:asciiTheme="minorHAnsi" w:hAnsiTheme="minorHAnsi"/>
          <w:snapToGrid w:val="0"/>
          <w:lang w:val="en-GB" w:eastAsia="en-US"/>
        </w:rPr>
        <w:t>The PBAC did not recommend tirzepatide for the treatment of adult patients with inadequately controlled type 2 diabetes mellitus (T2DM) who (i) have comorbid severe obesity or (ii) identify as Aboriginal and Torres Strait Islander. The PBAC considered that tirzepatide 10 mg once weekly and tirzepatide 15 mg once weekly w</w:t>
      </w:r>
      <w:r w:rsidR="003E064C">
        <w:rPr>
          <w:rFonts w:asciiTheme="minorHAnsi" w:hAnsiTheme="minorHAnsi"/>
          <w:snapToGrid w:val="0"/>
          <w:lang w:val="en-GB" w:eastAsia="en-US"/>
        </w:rPr>
        <w:t>ere</w:t>
      </w:r>
      <w:r w:rsidRPr="008649AD">
        <w:rPr>
          <w:rFonts w:asciiTheme="minorHAnsi" w:hAnsiTheme="minorHAnsi"/>
          <w:snapToGrid w:val="0"/>
          <w:lang w:val="en-GB" w:eastAsia="en-US"/>
        </w:rPr>
        <w:t xml:space="preserve"> superior in terms of effectiveness for glycaemic benefits and short</w:t>
      </w:r>
      <w:r w:rsidRPr="008649AD">
        <w:rPr>
          <w:rFonts w:asciiTheme="minorHAnsi" w:hAnsiTheme="minorHAnsi"/>
          <w:snapToGrid w:val="0"/>
          <w:lang w:val="en-GB" w:eastAsia="en-US"/>
        </w:rPr>
        <w:noBreakHyphen/>
        <w:t xml:space="preserve">term weight loss compared to semaglutide 1 mg once weekly in the target subgroup with severe obesity, but </w:t>
      </w:r>
      <w:r w:rsidR="009A37D3" w:rsidRPr="008649AD">
        <w:rPr>
          <w:rFonts w:asciiTheme="minorHAnsi" w:hAnsiTheme="minorHAnsi"/>
          <w:snapToGrid w:val="0"/>
          <w:lang w:val="en-GB" w:eastAsia="en-US"/>
        </w:rPr>
        <w:t xml:space="preserve">advised this claim </w:t>
      </w:r>
      <w:r w:rsidRPr="008649AD">
        <w:rPr>
          <w:rFonts w:asciiTheme="minorHAnsi" w:hAnsiTheme="minorHAnsi"/>
          <w:snapToGrid w:val="0"/>
          <w:lang w:val="en-GB" w:eastAsia="en-US"/>
        </w:rPr>
        <w:t>was not supported for tirzepatide 5 mg once weekly compared to semaglutide 1 mg once weekly. The PBAC considered the non-inferior safety claim was not adequately supported for any of the comparisons. The PBAC noted the resubmission provided a revised economic model with further amendments to the model provided in the pre-PBAC response</w:t>
      </w:r>
      <w:r w:rsidR="00DD7F25" w:rsidRPr="008649AD">
        <w:rPr>
          <w:rFonts w:asciiTheme="minorHAnsi" w:hAnsiTheme="minorHAnsi"/>
          <w:snapToGrid w:val="0"/>
          <w:lang w:val="en-GB" w:eastAsia="en-US"/>
        </w:rPr>
        <w:t xml:space="preserve"> along with a price reduction</w:t>
      </w:r>
      <w:r w:rsidRPr="008649AD">
        <w:rPr>
          <w:rFonts w:asciiTheme="minorHAnsi" w:hAnsiTheme="minorHAnsi"/>
          <w:snapToGrid w:val="0"/>
          <w:lang w:val="en-GB" w:eastAsia="en-US"/>
        </w:rPr>
        <w:t xml:space="preserve">. </w:t>
      </w:r>
      <w:r w:rsidR="00CD4E88" w:rsidRPr="00882841">
        <w:rPr>
          <w:snapToGrid w:val="0"/>
          <w:lang w:val="en-GB" w:eastAsia="en-US"/>
        </w:rPr>
        <w:t xml:space="preserve">The PBAC </w:t>
      </w:r>
      <w:r w:rsidR="00CD4E88" w:rsidRPr="00882841">
        <w:rPr>
          <w:snapToGrid w:val="0"/>
          <w:lang w:val="en-GB" w:eastAsia="en-US"/>
        </w:rPr>
        <w:lastRenderedPageBreak/>
        <w:t>considered the pre-PBAC response economic model did not adequately address the concerns raised by the Committee in July 2023 or the subsequent concerns raised by the ESC in this consideration</w:t>
      </w:r>
      <w:r w:rsidR="00CD4E88">
        <w:rPr>
          <w:snapToGrid w:val="0"/>
          <w:lang w:val="en-GB" w:eastAsia="en-US"/>
        </w:rPr>
        <w:t xml:space="preserve">. The PBAC </w:t>
      </w:r>
      <w:r w:rsidRPr="008649AD">
        <w:rPr>
          <w:rFonts w:asciiTheme="minorHAnsi" w:hAnsiTheme="minorHAnsi"/>
          <w:snapToGrid w:val="0"/>
          <w:lang w:val="en-GB" w:eastAsia="en-US"/>
        </w:rPr>
        <w:t xml:space="preserve">considered that the incremental cost-effectiveness ratio </w:t>
      </w:r>
      <w:r w:rsidR="002A2F0A" w:rsidRPr="008649AD">
        <w:rPr>
          <w:rFonts w:asciiTheme="minorHAnsi" w:hAnsiTheme="minorHAnsi"/>
          <w:snapToGrid w:val="0"/>
          <w:lang w:val="en-GB" w:eastAsia="en-US"/>
        </w:rPr>
        <w:t xml:space="preserve">(ICER) </w:t>
      </w:r>
      <w:r w:rsidRPr="008649AD">
        <w:rPr>
          <w:rFonts w:asciiTheme="minorHAnsi" w:hAnsiTheme="minorHAnsi"/>
          <w:snapToGrid w:val="0"/>
          <w:lang w:val="en-GB" w:eastAsia="en-US"/>
        </w:rPr>
        <w:t xml:space="preserve">was high, inadequately justified, and uncertain. </w:t>
      </w:r>
      <w:r w:rsidR="00C209F1">
        <w:rPr>
          <w:snapToGrid w:val="0"/>
          <w:lang w:val="en-GB" w:eastAsia="en-US"/>
        </w:rPr>
        <w:t>T</w:t>
      </w:r>
      <w:r w:rsidRPr="008649AD">
        <w:rPr>
          <w:rFonts w:asciiTheme="minorHAnsi" w:hAnsiTheme="minorHAnsi"/>
          <w:snapToGrid w:val="0"/>
          <w:lang w:val="en-GB" w:eastAsia="en-US"/>
        </w:rPr>
        <w:t xml:space="preserve">he PBAC advised that a revised economic model including a price reduction would be required for the proposed listing to be considered cost-effective. The PBAC </w:t>
      </w:r>
      <w:r w:rsidR="00984D21">
        <w:rPr>
          <w:rFonts w:asciiTheme="minorHAnsi" w:hAnsiTheme="minorHAnsi"/>
          <w:snapToGrid w:val="0"/>
          <w:lang w:val="en-GB" w:eastAsia="en-US"/>
        </w:rPr>
        <w:t>noted</w:t>
      </w:r>
      <w:r w:rsidR="00984D21" w:rsidRPr="008649AD">
        <w:rPr>
          <w:rFonts w:asciiTheme="minorHAnsi" w:hAnsiTheme="minorHAnsi"/>
          <w:snapToGrid w:val="0"/>
          <w:lang w:val="en-GB" w:eastAsia="en-US"/>
        </w:rPr>
        <w:t xml:space="preserve"> </w:t>
      </w:r>
      <w:r w:rsidRPr="008649AD">
        <w:rPr>
          <w:rFonts w:asciiTheme="minorHAnsi" w:hAnsiTheme="minorHAnsi"/>
          <w:snapToGrid w:val="0"/>
          <w:lang w:val="en-GB" w:eastAsia="en-US"/>
        </w:rPr>
        <w:t xml:space="preserve">the financial impact </w:t>
      </w:r>
      <w:r w:rsidR="00984D21">
        <w:rPr>
          <w:rFonts w:asciiTheme="minorHAnsi" w:hAnsiTheme="minorHAnsi"/>
          <w:snapToGrid w:val="0"/>
          <w:lang w:val="en-GB" w:eastAsia="en-US"/>
        </w:rPr>
        <w:t xml:space="preserve">was </w:t>
      </w:r>
      <w:r w:rsidRPr="008649AD">
        <w:rPr>
          <w:rFonts w:asciiTheme="minorHAnsi" w:hAnsiTheme="minorHAnsi"/>
          <w:snapToGrid w:val="0"/>
          <w:lang w:val="en-GB" w:eastAsia="en-US"/>
        </w:rPr>
        <w:t>extremely high at the prices proposed in the pre-PBAC response</w:t>
      </w:r>
      <w:r w:rsidR="00984D21">
        <w:rPr>
          <w:rFonts w:asciiTheme="minorHAnsi" w:hAnsiTheme="minorHAnsi"/>
          <w:snapToGrid w:val="0"/>
          <w:lang w:val="en-GB" w:eastAsia="en-US"/>
        </w:rPr>
        <w:t>,</w:t>
      </w:r>
      <w:r w:rsidRPr="008649AD">
        <w:rPr>
          <w:rFonts w:asciiTheme="minorHAnsi" w:hAnsiTheme="minorHAnsi"/>
          <w:snapToGrid w:val="0"/>
          <w:lang w:val="en-GB" w:eastAsia="en-US"/>
        </w:rPr>
        <w:t xml:space="preserve"> </w:t>
      </w:r>
      <w:r w:rsidR="00984D21">
        <w:rPr>
          <w:rFonts w:asciiTheme="minorHAnsi" w:hAnsiTheme="minorHAnsi"/>
          <w:snapToGrid w:val="0"/>
          <w:lang w:val="en-GB" w:eastAsia="en-US"/>
        </w:rPr>
        <w:t>although</w:t>
      </w:r>
      <w:r w:rsidR="00984D21" w:rsidRPr="008649AD">
        <w:rPr>
          <w:rFonts w:asciiTheme="minorHAnsi" w:hAnsiTheme="minorHAnsi"/>
          <w:snapToGrid w:val="0"/>
          <w:lang w:val="en-GB" w:eastAsia="en-US"/>
        </w:rPr>
        <w:t xml:space="preserve"> </w:t>
      </w:r>
      <w:r w:rsidR="00984D21">
        <w:rPr>
          <w:rFonts w:asciiTheme="minorHAnsi" w:hAnsiTheme="minorHAnsi"/>
          <w:snapToGrid w:val="0"/>
          <w:lang w:val="en-GB" w:eastAsia="en-US"/>
        </w:rPr>
        <w:t xml:space="preserve">considered it </w:t>
      </w:r>
      <w:r w:rsidRPr="008649AD">
        <w:rPr>
          <w:rFonts w:asciiTheme="minorHAnsi" w:hAnsiTheme="minorHAnsi"/>
          <w:snapToGrid w:val="0"/>
          <w:lang w:val="en-GB" w:eastAsia="en-US"/>
        </w:rPr>
        <w:t xml:space="preserve">likely overestimated. The PBAC considered the risk sharing arrangements (RSA) proposed in the pre-PBAC response were unlikely to satisfactorily mitigate the risk to government of use outside of the proposed restriction. </w:t>
      </w:r>
    </w:p>
    <w:p w14:paraId="18095E1F" w14:textId="200DBD7C" w:rsidR="00FB74F4" w:rsidRPr="002A6E66" w:rsidRDefault="00957AEF" w:rsidP="00882841">
      <w:pPr>
        <w:widowControl w:val="0"/>
        <w:numPr>
          <w:ilvl w:val="1"/>
          <w:numId w:val="1"/>
        </w:numPr>
        <w:spacing w:after="120"/>
        <w:rPr>
          <w:rFonts w:asciiTheme="minorHAnsi" w:hAnsiTheme="minorHAnsi"/>
          <w:snapToGrid w:val="0"/>
          <w:lang w:val="en-GB" w:eastAsia="en-US"/>
        </w:rPr>
      </w:pPr>
      <w:bookmarkStart w:id="84" w:name="_Ref184131632"/>
      <w:r>
        <w:rPr>
          <w:rFonts w:asciiTheme="minorHAnsi" w:hAnsiTheme="minorHAnsi"/>
          <w:snapToGrid w:val="0"/>
          <w:lang w:val="en-GB" w:eastAsia="en-US"/>
        </w:rPr>
        <w:t>The PBAC noted the comments from individuals, health care professionals and organisations which</w:t>
      </w:r>
      <w:r w:rsidR="00665BF1">
        <w:rPr>
          <w:rFonts w:asciiTheme="minorHAnsi" w:hAnsiTheme="minorHAnsi"/>
          <w:snapToGrid w:val="0"/>
          <w:lang w:val="en-GB" w:eastAsia="en-US"/>
        </w:rPr>
        <w:t xml:space="preserve">, consistent with the July 2023 submission consumer comments, </w:t>
      </w:r>
      <w:r>
        <w:rPr>
          <w:rFonts w:asciiTheme="minorHAnsi" w:hAnsiTheme="minorHAnsi"/>
          <w:snapToGrid w:val="0"/>
          <w:lang w:val="en-GB" w:eastAsia="en-US"/>
        </w:rPr>
        <w:t xml:space="preserve">highlighted </w:t>
      </w:r>
      <w:r>
        <w:rPr>
          <w:rFonts w:cs="Calibri"/>
        </w:rPr>
        <w:t>benefits of treatment with tirzepatide including significant reduction in glycated haemoglobin (HbA1c) and weight loss.</w:t>
      </w:r>
      <w:r w:rsidR="00665BF1">
        <w:rPr>
          <w:rFonts w:cs="Calibri"/>
        </w:rPr>
        <w:t xml:space="preserve"> The</w:t>
      </w:r>
      <w:r w:rsidR="002A6E66">
        <w:rPr>
          <w:rFonts w:cs="Calibri"/>
        </w:rPr>
        <w:t xml:space="preserve"> consumer comments note</w:t>
      </w:r>
      <w:r w:rsidR="00220C5E">
        <w:rPr>
          <w:rFonts w:cs="Calibri"/>
        </w:rPr>
        <w:t>d</w:t>
      </w:r>
      <w:r w:rsidR="002A6E66">
        <w:rPr>
          <w:rFonts w:cs="Calibri"/>
        </w:rPr>
        <w:t xml:space="preserve"> </w:t>
      </w:r>
      <w:r w:rsidR="002A6E66" w:rsidRPr="00171248">
        <w:rPr>
          <w:rFonts w:eastAsiaTheme="minorHAnsi" w:cstheme="minorBidi"/>
        </w:rPr>
        <w:t xml:space="preserve">significant barriers to access that have been experienced with existing </w:t>
      </w:r>
      <w:r w:rsidR="002A6E66" w:rsidRPr="00E31065">
        <w:t>GLP-1 RA</w:t>
      </w:r>
      <w:r w:rsidR="002A6E66">
        <w:t xml:space="preserve"> medications and the potential advantages of having alternative treatment options available to address supply concerns. The PBAC </w:t>
      </w:r>
      <w:r w:rsidR="00F74520">
        <w:t>noted</w:t>
      </w:r>
      <w:r w:rsidR="002A6E66">
        <w:t xml:space="preserve"> the concerns raised by </w:t>
      </w:r>
      <w:r w:rsidR="0009366E">
        <w:t xml:space="preserve">health care professionals, Diabetes Australia and </w:t>
      </w:r>
      <w:r w:rsidR="0009366E" w:rsidRPr="00171248">
        <w:rPr>
          <w:rFonts w:eastAsiaTheme="minorHAnsi" w:cstheme="minorBidi"/>
        </w:rPr>
        <w:t>National Aboriginal Community Controlled Health Organisation (NACCHO)</w:t>
      </w:r>
      <w:r w:rsidR="0009366E">
        <w:t xml:space="preserve"> </w:t>
      </w:r>
      <w:r w:rsidR="002A6E66">
        <w:t>that the resubmissions</w:t>
      </w:r>
      <w:r w:rsidR="00220C5E">
        <w:t xml:space="preserve"> </w:t>
      </w:r>
      <w:r w:rsidR="002A6E66">
        <w:t xml:space="preserve">proposal to </w:t>
      </w:r>
      <w:r w:rsidR="002A6E66" w:rsidRPr="00171248">
        <w:rPr>
          <w:rFonts w:asciiTheme="minorHAnsi" w:hAnsiTheme="minorHAnsi"/>
        </w:rPr>
        <w:t>require the involvement of an endocrinologist</w:t>
      </w:r>
      <w:r w:rsidR="002A6E66">
        <w:rPr>
          <w:rFonts w:asciiTheme="minorHAnsi" w:hAnsiTheme="minorHAnsi"/>
        </w:rPr>
        <w:t xml:space="preserve"> in the prescribing of tirzepatide would be a barrier to access.</w:t>
      </w:r>
      <w:bookmarkEnd w:id="84"/>
      <w:r w:rsidR="002A6E66">
        <w:rPr>
          <w:rFonts w:asciiTheme="minorHAnsi" w:hAnsiTheme="minorHAnsi"/>
        </w:rPr>
        <w:t xml:space="preserve"> </w:t>
      </w:r>
      <w:r w:rsidR="00F74520">
        <w:rPr>
          <w:rFonts w:asciiTheme="minorHAnsi" w:hAnsiTheme="minorHAnsi"/>
        </w:rPr>
        <w:t>The PBAC considered there was no clinical reason for the treatment criteria to be different to that of semaglutide and agreed with the concerns raised that this may result in an inappropriate barrier for prescribing of tirzepatide.</w:t>
      </w:r>
    </w:p>
    <w:p w14:paraId="01A3B826" w14:textId="36B0CB57" w:rsidR="001E5A0E" w:rsidRDefault="001E5A0E" w:rsidP="00882841">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advised the </w:t>
      </w:r>
      <w:r w:rsidR="00F05DD4">
        <w:rPr>
          <w:rFonts w:asciiTheme="minorHAnsi" w:hAnsiTheme="minorHAnsi"/>
          <w:snapToGrid w:val="0"/>
          <w:lang w:val="en-GB" w:eastAsia="en-US"/>
        </w:rPr>
        <w:t xml:space="preserve">resubmission’s </w:t>
      </w:r>
      <w:r>
        <w:rPr>
          <w:rFonts w:asciiTheme="minorHAnsi" w:hAnsiTheme="minorHAnsi"/>
          <w:snapToGrid w:val="0"/>
          <w:lang w:val="en-GB" w:eastAsia="en-US"/>
        </w:rPr>
        <w:t xml:space="preserve">proposed narrower T2DM restriction, based on patients with </w:t>
      </w:r>
      <w:r w:rsidRPr="008649AD">
        <w:rPr>
          <w:rFonts w:asciiTheme="minorHAnsi" w:hAnsiTheme="minorHAnsi"/>
          <w:snapToGrid w:val="0"/>
          <w:lang w:val="en-GB" w:eastAsia="en-US"/>
        </w:rPr>
        <w:t>inadequately controlled</w:t>
      </w:r>
      <w:r>
        <w:rPr>
          <w:rFonts w:asciiTheme="minorHAnsi" w:hAnsiTheme="minorHAnsi"/>
          <w:snapToGrid w:val="0"/>
          <w:lang w:val="en-GB" w:eastAsia="en-US"/>
        </w:rPr>
        <w:t xml:space="preserve"> T2DM and </w:t>
      </w:r>
      <w:r w:rsidR="00F05DD4">
        <w:rPr>
          <w:rFonts w:asciiTheme="minorHAnsi" w:hAnsiTheme="minorHAnsi"/>
          <w:snapToGrid w:val="0"/>
          <w:lang w:val="en-GB" w:eastAsia="en-US"/>
        </w:rPr>
        <w:t xml:space="preserve">who either have </w:t>
      </w:r>
      <w:r>
        <w:rPr>
          <w:rFonts w:asciiTheme="minorHAnsi" w:hAnsiTheme="minorHAnsi"/>
          <w:snapToGrid w:val="0"/>
          <w:lang w:val="en-GB" w:eastAsia="en-US"/>
        </w:rPr>
        <w:t xml:space="preserve">a </w:t>
      </w:r>
      <w:r>
        <w:t>body mass index (</w:t>
      </w:r>
      <w:r>
        <w:rPr>
          <w:rFonts w:asciiTheme="minorHAnsi" w:hAnsiTheme="minorHAnsi"/>
          <w:snapToGrid w:val="0"/>
          <w:lang w:val="en-GB" w:eastAsia="en-US"/>
        </w:rPr>
        <w:t xml:space="preserve">BMI) </w:t>
      </w:r>
      <w:r w:rsidRPr="00AA709B">
        <w:t>≥35 kg/m</w:t>
      </w:r>
      <w:r w:rsidRPr="00AA709B">
        <w:rPr>
          <w:vertAlign w:val="superscript"/>
        </w:rPr>
        <w:t>2</w:t>
      </w:r>
      <w:r>
        <w:rPr>
          <w:vertAlign w:val="superscript"/>
        </w:rPr>
        <w:t xml:space="preserve"> </w:t>
      </w:r>
      <w:r>
        <w:rPr>
          <w:rFonts w:asciiTheme="minorHAnsi" w:hAnsiTheme="minorHAnsi"/>
          <w:snapToGrid w:val="0"/>
          <w:lang w:val="en-GB" w:eastAsia="en-US"/>
        </w:rPr>
        <w:t xml:space="preserve">or </w:t>
      </w:r>
      <w:r w:rsidRPr="008649AD">
        <w:rPr>
          <w:rFonts w:asciiTheme="minorHAnsi" w:hAnsiTheme="minorHAnsi"/>
          <w:snapToGrid w:val="0"/>
          <w:lang w:val="en-GB" w:eastAsia="en-US"/>
        </w:rPr>
        <w:t>identify as Aboriginal and Torres Strait Islander</w:t>
      </w:r>
      <w:r>
        <w:rPr>
          <w:rFonts w:asciiTheme="minorHAnsi" w:hAnsiTheme="minorHAnsi"/>
          <w:snapToGrid w:val="0"/>
          <w:lang w:val="en-GB" w:eastAsia="en-US"/>
        </w:rPr>
        <w:t xml:space="preserve">, appropriately targeted subpopulations at high risk of diabetes-related </w:t>
      </w:r>
      <w:r w:rsidR="00A1123B">
        <w:rPr>
          <w:rFonts w:asciiTheme="minorHAnsi" w:hAnsiTheme="minorHAnsi"/>
          <w:snapToGrid w:val="0"/>
          <w:lang w:val="en-GB" w:eastAsia="en-US"/>
        </w:rPr>
        <w:t>complication</w:t>
      </w:r>
      <w:r>
        <w:rPr>
          <w:rFonts w:asciiTheme="minorHAnsi" w:hAnsiTheme="minorHAnsi"/>
          <w:snapToGrid w:val="0"/>
          <w:lang w:val="en-GB" w:eastAsia="en-US"/>
        </w:rPr>
        <w:t>s</w:t>
      </w:r>
      <w:r w:rsidR="00F05DD4">
        <w:rPr>
          <w:rFonts w:asciiTheme="minorHAnsi" w:hAnsiTheme="minorHAnsi"/>
          <w:snapToGrid w:val="0"/>
          <w:lang w:val="en-GB" w:eastAsia="en-US"/>
        </w:rPr>
        <w:t>.</w:t>
      </w:r>
      <w:r>
        <w:rPr>
          <w:rFonts w:asciiTheme="minorHAnsi" w:hAnsiTheme="minorHAnsi"/>
          <w:snapToGrid w:val="0"/>
          <w:lang w:val="en-GB" w:eastAsia="en-US"/>
        </w:rPr>
        <w:t xml:space="preserve"> </w:t>
      </w:r>
      <w:r w:rsidR="00F05DD4">
        <w:rPr>
          <w:rFonts w:asciiTheme="minorHAnsi" w:hAnsiTheme="minorHAnsi"/>
          <w:snapToGrid w:val="0"/>
          <w:lang w:val="en-GB" w:eastAsia="en-US"/>
        </w:rPr>
        <w:t>However</w:t>
      </w:r>
      <w:r w:rsidR="00EE035D">
        <w:rPr>
          <w:rFonts w:asciiTheme="minorHAnsi" w:hAnsiTheme="minorHAnsi"/>
          <w:snapToGrid w:val="0"/>
          <w:lang w:val="en-GB" w:eastAsia="en-US"/>
        </w:rPr>
        <w:t>,</w:t>
      </w:r>
      <w:r w:rsidR="00F05DD4">
        <w:rPr>
          <w:rFonts w:asciiTheme="minorHAnsi" w:hAnsiTheme="minorHAnsi"/>
          <w:snapToGrid w:val="0"/>
          <w:lang w:val="en-GB" w:eastAsia="en-US"/>
        </w:rPr>
        <w:t xml:space="preserve"> it</w:t>
      </w:r>
      <w:r>
        <w:rPr>
          <w:rFonts w:asciiTheme="minorHAnsi" w:hAnsiTheme="minorHAnsi"/>
          <w:snapToGrid w:val="0"/>
          <w:lang w:val="en-GB" w:eastAsia="en-US"/>
        </w:rPr>
        <w:t xml:space="preserve"> was noted this still represented a very large eligible population. </w:t>
      </w:r>
    </w:p>
    <w:p w14:paraId="2EF2AE10" w14:textId="570D276B" w:rsidR="00220C5E" w:rsidRDefault="00220C5E" w:rsidP="00882841">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With respect to the restriction, </w:t>
      </w:r>
      <w:r w:rsidR="000937A2">
        <w:rPr>
          <w:rFonts w:asciiTheme="minorHAnsi" w:hAnsiTheme="minorHAnsi"/>
          <w:snapToGrid w:val="0"/>
          <w:lang w:val="en-GB" w:eastAsia="en-US"/>
        </w:rPr>
        <w:t>the PBAC noted that, consistent with the Committee’s July 2023 advice</w:t>
      </w:r>
      <w:r w:rsidR="00F966DB">
        <w:rPr>
          <w:rFonts w:asciiTheme="minorHAnsi" w:hAnsiTheme="minorHAnsi"/>
          <w:snapToGrid w:val="0"/>
          <w:lang w:val="en-GB" w:eastAsia="en-US"/>
        </w:rPr>
        <w:t>, the pre-PBAC response accepted that one repeat would be appropriate for the 2.5 mg, 7.5 mg and 12.5 mg dose strengths of tirzepatide which are used for titration (</w:t>
      </w:r>
      <w:r w:rsidR="00F966DB" w:rsidRPr="00F966DB">
        <w:rPr>
          <w:rFonts w:eastAsia="Calibri" w:cs="Calibri"/>
          <w:snapToGrid w:val="0"/>
          <w:lang w:eastAsia="en-US"/>
        </w:rPr>
        <w:t>paragraph 7.</w:t>
      </w:r>
      <w:r w:rsidR="00F966DB">
        <w:rPr>
          <w:rFonts w:eastAsia="Calibri" w:cs="Calibri"/>
          <w:snapToGrid w:val="0"/>
          <w:lang w:eastAsia="en-US"/>
        </w:rPr>
        <w:t>5</w:t>
      </w:r>
      <w:r w:rsidR="00F966DB" w:rsidRPr="00F966DB">
        <w:rPr>
          <w:rFonts w:eastAsia="Calibri" w:cs="Calibri"/>
          <w:snapToGrid w:val="0"/>
          <w:lang w:eastAsia="en-US"/>
        </w:rPr>
        <w:t>, tirzepatide PSD, July 2023 PBAC Meeting</w:t>
      </w:r>
      <w:r w:rsidR="00F966DB">
        <w:rPr>
          <w:rFonts w:eastAsia="Calibri" w:cs="Calibri"/>
          <w:snapToGrid w:val="0"/>
          <w:lang w:eastAsia="en-US"/>
        </w:rPr>
        <w:t>)</w:t>
      </w:r>
      <w:r w:rsidR="00F966DB">
        <w:rPr>
          <w:rFonts w:asciiTheme="minorHAnsi" w:hAnsiTheme="minorHAnsi"/>
          <w:snapToGrid w:val="0"/>
          <w:lang w:val="en-GB" w:eastAsia="en-US"/>
        </w:rPr>
        <w:t xml:space="preserve">. The PBAC considered the pre-PBAC response’s proposal to allow use of tirzepatide in combination with a sulfonylurea was appropriate but reiterated its July 2023 advice that clinicians would also want to use tirzepatide in combination with insulin (paragraph 7.5, tirzepatide PSD, July 2023 PBAC Meeting). </w:t>
      </w:r>
      <w:r w:rsidR="0064469A" w:rsidRPr="0064469A">
        <w:t xml:space="preserve">The PBAC considered the </w:t>
      </w:r>
      <w:r w:rsidR="0064469A">
        <w:t xml:space="preserve">pre-PBAC </w:t>
      </w:r>
      <w:r w:rsidR="0020285B">
        <w:t xml:space="preserve">response </w:t>
      </w:r>
      <w:r w:rsidR="0064469A">
        <w:t xml:space="preserve">proposal </w:t>
      </w:r>
      <w:r w:rsidR="0020285B">
        <w:t>to remove the continuation criteria based on glycaemic response</w:t>
      </w:r>
      <w:r w:rsidR="0020285B" w:rsidRPr="0064469A">
        <w:t xml:space="preserve"> </w:t>
      </w:r>
      <w:r w:rsidR="0020285B">
        <w:t>was appropriate. T</w:t>
      </w:r>
      <w:r w:rsidR="0064469A" w:rsidRPr="0064469A">
        <w:t xml:space="preserve">he </w:t>
      </w:r>
      <w:r w:rsidR="0020285B">
        <w:t xml:space="preserve">Committee also considered the pre-PBAC response proposed </w:t>
      </w:r>
      <w:r w:rsidR="0064469A" w:rsidRPr="0064469A">
        <w:t xml:space="preserve">addition of a clinical criterion to the initiation treatment phase for patients treated with GLP-1 RA prior to the June 2024 restriction changes </w:t>
      </w:r>
      <w:r w:rsidR="0020285B">
        <w:t xml:space="preserve">appropriate </w:t>
      </w:r>
      <w:r w:rsidR="0064469A" w:rsidRPr="0064469A">
        <w:t xml:space="preserve">to ensure that these patients </w:t>
      </w:r>
      <w:r w:rsidR="00A96B3C">
        <w:t>would</w:t>
      </w:r>
      <w:r w:rsidR="0064469A" w:rsidRPr="0064469A">
        <w:t xml:space="preserve"> not have to trial an SGLT2i prior to switching to </w:t>
      </w:r>
      <w:r w:rsidR="0020285B">
        <w:t>tirzepatide</w:t>
      </w:r>
      <w:r w:rsidR="0064469A" w:rsidRPr="0064469A">
        <w:t xml:space="preserve"> treatment. </w:t>
      </w:r>
      <w:r w:rsidR="00F966DB">
        <w:rPr>
          <w:rFonts w:asciiTheme="minorHAnsi" w:hAnsiTheme="minorHAnsi"/>
          <w:snapToGrid w:val="0"/>
          <w:lang w:val="en-GB" w:eastAsia="en-US"/>
        </w:rPr>
        <w:t xml:space="preserve">As outlined in paragraph </w:t>
      </w:r>
      <w:r w:rsidR="00F966DB">
        <w:rPr>
          <w:rFonts w:asciiTheme="minorHAnsi" w:hAnsiTheme="minorHAnsi"/>
          <w:snapToGrid w:val="0"/>
          <w:lang w:val="en-GB" w:eastAsia="en-US"/>
        </w:rPr>
        <w:fldChar w:fldCharType="begin" w:fldLock="1"/>
      </w:r>
      <w:r w:rsidR="00F966DB">
        <w:rPr>
          <w:rFonts w:asciiTheme="minorHAnsi" w:hAnsiTheme="minorHAnsi"/>
          <w:snapToGrid w:val="0"/>
          <w:lang w:val="en-GB" w:eastAsia="en-US"/>
        </w:rPr>
        <w:instrText xml:space="preserve"> REF _Ref184131632 \r \h </w:instrText>
      </w:r>
      <w:r w:rsidR="00F966DB">
        <w:rPr>
          <w:rFonts w:asciiTheme="minorHAnsi" w:hAnsiTheme="minorHAnsi"/>
          <w:snapToGrid w:val="0"/>
          <w:lang w:val="en-GB" w:eastAsia="en-US"/>
        </w:rPr>
      </w:r>
      <w:r w:rsidR="00F966DB">
        <w:rPr>
          <w:rFonts w:asciiTheme="minorHAnsi" w:hAnsiTheme="minorHAnsi"/>
          <w:snapToGrid w:val="0"/>
          <w:lang w:val="en-GB" w:eastAsia="en-US"/>
        </w:rPr>
        <w:fldChar w:fldCharType="separate"/>
      </w:r>
      <w:r w:rsidR="00EE035D">
        <w:rPr>
          <w:rFonts w:asciiTheme="minorHAnsi" w:hAnsiTheme="minorHAnsi"/>
          <w:snapToGrid w:val="0"/>
          <w:lang w:val="en-GB" w:eastAsia="en-US"/>
        </w:rPr>
        <w:t>7.2</w:t>
      </w:r>
      <w:r w:rsidR="00F966DB">
        <w:rPr>
          <w:rFonts w:asciiTheme="minorHAnsi" w:hAnsiTheme="minorHAnsi"/>
          <w:snapToGrid w:val="0"/>
          <w:lang w:val="en-GB" w:eastAsia="en-US"/>
        </w:rPr>
        <w:fldChar w:fldCharType="end"/>
      </w:r>
      <w:r w:rsidR="0009366E">
        <w:rPr>
          <w:rFonts w:asciiTheme="minorHAnsi" w:hAnsiTheme="minorHAnsi"/>
          <w:snapToGrid w:val="0"/>
          <w:lang w:val="en-GB" w:eastAsia="en-US"/>
        </w:rPr>
        <w:t xml:space="preserve">, the PBAC considered that restricting use to </w:t>
      </w:r>
      <w:r w:rsidR="0009366E">
        <w:rPr>
          <w:rFonts w:asciiTheme="minorHAnsi" w:hAnsiTheme="minorHAnsi"/>
          <w:snapToGrid w:val="0"/>
          <w:lang w:val="en-GB" w:eastAsia="en-US"/>
        </w:rPr>
        <w:lastRenderedPageBreak/>
        <w:t xml:space="preserve">treatment by an endocrinologist, </w:t>
      </w:r>
      <w:r w:rsidR="009418EE">
        <w:rPr>
          <w:rFonts w:asciiTheme="minorHAnsi" w:hAnsiTheme="minorHAnsi"/>
          <w:snapToGrid w:val="0"/>
          <w:lang w:val="en-GB" w:eastAsia="en-US"/>
        </w:rPr>
        <w:t xml:space="preserve">under the care of </w:t>
      </w:r>
      <w:r w:rsidR="0009366E">
        <w:rPr>
          <w:rFonts w:asciiTheme="minorHAnsi" w:hAnsiTheme="minorHAnsi"/>
          <w:snapToGrid w:val="0"/>
          <w:lang w:val="en-GB" w:eastAsia="en-US"/>
        </w:rPr>
        <w:t xml:space="preserve">or in consultation with an endocrinologist as proposed </w:t>
      </w:r>
      <w:r w:rsidR="0098574F">
        <w:rPr>
          <w:rFonts w:asciiTheme="minorHAnsi" w:hAnsiTheme="minorHAnsi"/>
          <w:snapToGrid w:val="0"/>
          <w:lang w:val="en-GB" w:eastAsia="en-US"/>
        </w:rPr>
        <w:t>in</w:t>
      </w:r>
      <w:r w:rsidR="0009366E">
        <w:rPr>
          <w:rFonts w:asciiTheme="minorHAnsi" w:hAnsiTheme="minorHAnsi"/>
          <w:snapToGrid w:val="0"/>
          <w:lang w:val="en-GB" w:eastAsia="en-US"/>
        </w:rPr>
        <w:t xml:space="preserve"> the pre-PBAC response</w:t>
      </w:r>
      <w:r w:rsidR="0098574F">
        <w:rPr>
          <w:rFonts w:asciiTheme="minorHAnsi" w:hAnsiTheme="minorHAnsi"/>
          <w:snapToGrid w:val="0"/>
          <w:lang w:val="en-GB" w:eastAsia="en-US"/>
        </w:rPr>
        <w:t>,</w:t>
      </w:r>
      <w:r w:rsidR="0009366E">
        <w:rPr>
          <w:rFonts w:asciiTheme="minorHAnsi" w:hAnsiTheme="minorHAnsi"/>
          <w:snapToGrid w:val="0"/>
          <w:lang w:val="en-GB" w:eastAsia="en-US"/>
        </w:rPr>
        <w:t xml:space="preserve"> was not appropriate</w:t>
      </w:r>
      <w:r w:rsidR="00F05DD4">
        <w:rPr>
          <w:rFonts w:asciiTheme="minorHAnsi" w:hAnsiTheme="minorHAnsi"/>
          <w:snapToGrid w:val="0"/>
          <w:lang w:val="en-GB" w:eastAsia="en-US"/>
        </w:rPr>
        <w:t xml:space="preserve"> as </w:t>
      </w:r>
      <w:r w:rsidR="002048BD">
        <w:rPr>
          <w:rFonts w:asciiTheme="minorHAnsi" w:hAnsiTheme="minorHAnsi"/>
          <w:snapToGrid w:val="0"/>
          <w:lang w:val="en-GB" w:eastAsia="en-US"/>
        </w:rPr>
        <w:t>broader prescriber access is needed</w:t>
      </w:r>
      <w:r w:rsidR="0009366E">
        <w:rPr>
          <w:rFonts w:asciiTheme="minorHAnsi" w:hAnsiTheme="minorHAnsi"/>
          <w:snapToGrid w:val="0"/>
          <w:lang w:val="en-GB" w:eastAsia="en-US"/>
        </w:rPr>
        <w:t xml:space="preserve">. </w:t>
      </w:r>
      <w:r w:rsidR="00A156FE">
        <w:rPr>
          <w:rFonts w:asciiTheme="minorHAnsi" w:hAnsiTheme="minorHAnsi"/>
          <w:snapToGrid w:val="0"/>
          <w:lang w:val="en-GB" w:eastAsia="en-US"/>
        </w:rPr>
        <w:t>The PBAC note</w:t>
      </w:r>
      <w:r w:rsidR="00F74520">
        <w:rPr>
          <w:rFonts w:asciiTheme="minorHAnsi" w:hAnsiTheme="minorHAnsi"/>
          <w:snapToGrid w:val="0"/>
          <w:lang w:val="en-GB" w:eastAsia="en-US"/>
        </w:rPr>
        <w:t>d</w:t>
      </w:r>
      <w:r w:rsidR="00A156FE">
        <w:rPr>
          <w:rFonts w:asciiTheme="minorHAnsi" w:hAnsiTheme="minorHAnsi"/>
          <w:snapToGrid w:val="0"/>
          <w:lang w:val="en-GB" w:eastAsia="en-US"/>
        </w:rPr>
        <w:t xml:space="preserve"> </w:t>
      </w:r>
      <w:r w:rsidR="00685B84">
        <w:rPr>
          <w:rFonts w:asciiTheme="minorHAnsi" w:hAnsiTheme="minorHAnsi"/>
          <w:snapToGrid w:val="0"/>
          <w:lang w:val="en-GB" w:eastAsia="en-US"/>
        </w:rPr>
        <w:t>the resubmission request for</w:t>
      </w:r>
      <w:r w:rsidR="00A156FE">
        <w:rPr>
          <w:rFonts w:asciiTheme="minorHAnsi" w:hAnsiTheme="minorHAnsi"/>
          <w:snapToGrid w:val="0"/>
          <w:lang w:val="en-GB" w:eastAsia="en-US"/>
        </w:rPr>
        <w:t xml:space="preserve"> </w:t>
      </w:r>
      <w:r w:rsidR="00685B84">
        <w:rPr>
          <w:rFonts w:asciiTheme="minorHAnsi" w:hAnsiTheme="minorHAnsi"/>
          <w:snapToGrid w:val="0"/>
          <w:lang w:val="en-GB" w:eastAsia="en-US"/>
        </w:rPr>
        <w:t>an ‘A</w:t>
      </w:r>
      <w:r w:rsidR="00A156FE">
        <w:rPr>
          <w:rFonts w:asciiTheme="minorHAnsi" w:hAnsiTheme="minorHAnsi"/>
          <w:snapToGrid w:val="0"/>
          <w:lang w:val="en-GB" w:eastAsia="en-US"/>
        </w:rPr>
        <w:t xml:space="preserve">uthority </w:t>
      </w:r>
      <w:r w:rsidR="00685B84">
        <w:rPr>
          <w:rFonts w:asciiTheme="minorHAnsi" w:hAnsiTheme="minorHAnsi"/>
          <w:snapToGrid w:val="0"/>
          <w:lang w:val="en-GB" w:eastAsia="en-US"/>
        </w:rPr>
        <w:t>R</w:t>
      </w:r>
      <w:r w:rsidR="00A156FE">
        <w:rPr>
          <w:rFonts w:asciiTheme="minorHAnsi" w:hAnsiTheme="minorHAnsi"/>
          <w:snapToGrid w:val="0"/>
          <w:lang w:val="en-GB" w:eastAsia="en-US"/>
        </w:rPr>
        <w:t xml:space="preserve">equired </w:t>
      </w:r>
      <w:r w:rsidR="00685B84">
        <w:rPr>
          <w:rFonts w:asciiTheme="minorHAnsi" w:hAnsiTheme="minorHAnsi"/>
          <w:snapToGrid w:val="0"/>
          <w:lang w:val="en-GB" w:eastAsia="en-US"/>
        </w:rPr>
        <w:t xml:space="preserve">– in writing’ </w:t>
      </w:r>
      <w:r w:rsidR="00A156FE">
        <w:rPr>
          <w:rFonts w:asciiTheme="minorHAnsi" w:hAnsiTheme="minorHAnsi"/>
          <w:snapToGrid w:val="0"/>
          <w:lang w:val="en-GB" w:eastAsia="en-US"/>
        </w:rPr>
        <w:t>listing</w:t>
      </w:r>
      <w:r w:rsidR="00685B84">
        <w:rPr>
          <w:rFonts w:asciiTheme="minorHAnsi" w:hAnsiTheme="minorHAnsi"/>
          <w:snapToGrid w:val="0"/>
          <w:lang w:val="en-GB" w:eastAsia="en-US"/>
        </w:rPr>
        <w:t xml:space="preserve"> </w:t>
      </w:r>
      <w:r w:rsidR="00A156FE" w:rsidRPr="00BB0818">
        <w:rPr>
          <w:rFonts w:asciiTheme="minorHAnsi" w:hAnsiTheme="minorHAnsi"/>
          <w:snapToGrid w:val="0"/>
          <w:lang w:val="en-GB" w:eastAsia="en-US"/>
        </w:rPr>
        <w:t xml:space="preserve">to mitigate </w:t>
      </w:r>
      <w:r w:rsidR="00685B84">
        <w:rPr>
          <w:rFonts w:asciiTheme="minorHAnsi" w:hAnsiTheme="minorHAnsi"/>
          <w:snapToGrid w:val="0"/>
          <w:lang w:val="en-GB" w:eastAsia="en-US"/>
        </w:rPr>
        <w:t>the</w:t>
      </w:r>
      <w:r w:rsidR="00A156FE" w:rsidRPr="00BB0818">
        <w:rPr>
          <w:rFonts w:asciiTheme="minorHAnsi" w:hAnsiTheme="minorHAnsi"/>
          <w:snapToGrid w:val="0"/>
          <w:lang w:val="en-GB" w:eastAsia="en-US"/>
        </w:rPr>
        <w:t xml:space="preserve"> risk </w:t>
      </w:r>
      <w:r w:rsidR="00685B84">
        <w:rPr>
          <w:rFonts w:asciiTheme="minorHAnsi" w:hAnsiTheme="minorHAnsi"/>
          <w:snapToGrid w:val="0"/>
          <w:lang w:val="en-GB" w:eastAsia="en-US"/>
        </w:rPr>
        <w:t>of</w:t>
      </w:r>
      <w:r w:rsidR="00A156FE" w:rsidRPr="00BB0818">
        <w:rPr>
          <w:rFonts w:asciiTheme="minorHAnsi" w:hAnsiTheme="minorHAnsi"/>
          <w:snapToGrid w:val="0"/>
          <w:lang w:val="en-GB" w:eastAsia="en-US"/>
        </w:rPr>
        <w:t xml:space="preserve"> use of </w:t>
      </w:r>
      <w:r w:rsidR="000B36BF">
        <w:rPr>
          <w:rFonts w:asciiTheme="minorHAnsi" w:hAnsiTheme="minorHAnsi"/>
          <w:snapToGrid w:val="0"/>
          <w:lang w:val="en-GB" w:eastAsia="en-US"/>
        </w:rPr>
        <w:t>tirzepatide</w:t>
      </w:r>
      <w:r w:rsidR="00A156FE" w:rsidRPr="00BB0818">
        <w:rPr>
          <w:rFonts w:asciiTheme="minorHAnsi" w:hAnsiTheme="minorHAnsi"/>
          <w:snapToGrid w:val="0"/>
          <w:lang w:val="en-GB" w:eastAsia="en-US"/>
        </w:rPr>
        <w:t xml:space="preserve"> in </w:t>
      </w:r>
      <w:r w:rsidR="00386A54">
        <w:rPr>
          <w:rFonts w:asciiTheme="minorHAnsi" w:hAnsiTheme="minorHAnsi"/>
          <w:snapToGrid w:val="0"/>
          <w:lang w:val="en-GB" w:eastAsia="en-US"/>
        </w:rPr>
        <w:t>-</w:t>
      </w:r>
      <w:r w:rsidR="00A156FE" w:rsidRPr="00BB0818">
        <w:rPr>
          <w:rFonts w:asciiTheme="minorHAnsi" w:hAnsiTheme="minorHAnsi"/>
          <w:snapToGrid w:val="0"/>
          <w:lang w:val="en-GB" w:eastAsia="en-US"/>
        </w:rPr>
        <w:t xml:space="preserve"> </w:t>
      </w:r>
      <w:r w:rsidR="00386A54">
        <w:rPr>
          <w:rFonts w:asciiTheme="minorHAnsi" w:hAnsiTheme="minorHAnsi"/>
          <w:snapToGrid w:val="0"/>
          <w:lang w:val="en-GB" w:eastAsia="en-US"/>
        </w:rPr>
        <w:t>people without diabetes</w:t>
      </w:r>
      <w:r w:rsidR="00A156FE">
        <w:rPr>
          <w:rFonts w:asciiTheme="minorHAnsi" w:hAnsiTheme="minorHAnsi"/>
          <w:snapToGrid w:val="0"/>
          <w:lang w:val="en-GB" w:eastAsia="en-US"/>
        </w:rPr>
        <w:t>. However, t</w:t>
      </w:r>
      <w:r w:rsidR="00BB0818">
        <w:rPr>
          <w:rFonts w:asciiTheme="minorHAnsi" w:hAnsiTheme="minorHAnsi"/>
          <w:snapToGrid w:val="0"/>
          <w:lang w:val="en-GB" w:eastAsia="en-US"/>
        </w:rPr>
        <w:t xml:space="preserve">he PBAC also noted </w:t>
      </w:r>
      <w:r w:rsidR="00A156FE">
        <w:rPr>
          <w:rFonts w:asciiTheme="minorHAnsi" w:hAnsiTheme="minorHAnsi"/>
          <w:snapToGrid w:val="0"/>
          <w:lang w:val="en-GB" w:eastAsia="en-US"/>
        </w:rPr>
        <w:t xml:space="preserve">the ESC concerns </w:t>
      </w:r>
      <w:r w:rsidR="00BB0818">
        <w:rPr>
          <w:rFonts w:asciiTheme="minorHAnsi" w:hAnsiTheme="minorHAnsi"/>
          <w:snapToGrid w:val="0"/>
          <w:lang w:val="en-GB" w:eastAsia="en-US"/>
        </w:rPr>
        <w:t xml:space="preserve">that </w:t>
      </w:r>
      <w:r w:rsidR="00685B84">
        <w:rPr>
          <w:rFonts w:asciiTheme="minorHAnsi" w:hAnsiTheme="minorHAnsi"/>
          <w:snapToGrid w:val="0"/>
          <w:lang w:val="en-GB" w:eastAsia="en-US"/>
        </w:rPr>
        <w:t xml:space="preserve">an </w:t>
      </w:r>
      <w:r w:rsidR="00BB0818">
        <w:rPr>
          <w:rFonts w:asciiTheme="minorHAnsi" w:hAnsiTheme="minorHAnsi"/>
          <w:snapToGrid w:val="0"/>
          <w:lang w:val="en-GB" w:eastAsia="en-US"/>
        </w:rPr>
        <w:t xml:space="preserve">‘Authority Required- in writing’ listing would likely add an administrative burden to prescribers compared to the current </w:t>
      </w:r>
      <w:r w:rsidR="000B36BF" w:rsidRPr="00745F36">
        <w:t xml:space="preserve">GLP-1 RA </w:t>
      </w:r>
      <w:r w:rsidR="00BB0818">
        <w:rPr>
          <w:rFonts w:asciiTheme="minorHAnsi" w:hAnsiTheme="minorHAnsi"/>
          <w:snapToGrid w:val="0"/>
          <w:lang w:val="en-GB" w:eastAsia="en-US"/>
        </w:rPr>
        <w:t>prescribing</w:t>
      </w:r>
      <w:r w:rsidR="00A156FE">
        <w:rPr>
          <w:rFonts w:asciiTheme="minorHAnsi" w:hAnsiTheme="minorHAnsi"/>
          <w:snapToGrid w:val="0"/>
          <w:lang w:val="en-GB" w:eastAsia="en-US"/>
        </w:rPr>
        <w:t>.</w:t>
      </w:r>
    </w:p>
    <w:p w14:paraId="1E915B0A" w14:textId="77777777" w:rsidR="001E5A0E" w:rsidRPr="00220C5E" w:rsidRDefault="001E5A0E" w:rsidP="001E5A0E">
      <w:pPr>
        <w:widowControl w:val="0"/>
        <w:numPr>
          <w:ilvl w:val="1"/>
          <w:numId w:val="1"/>
        </w:numPr>
        <w:spacing w:after="120"/>
        <w:rPr>
          <w:rFonts w:asciiTheme="minorHAnsi" w:hAnsiTheme="minorHAnsi"/>
          <w:snapToGrid w:val="0"/>
          <w:lang w:val="en-GB" w:eastAsia="en-US"/>
        </w:rPr>
      </w:pPr>
      <w:r w:rsidRPr="00FA1E86">
        <w:t xml:space="preserve">The </w:t>
      </w:r>
      <w:r>
        <w:t xml:space="preserve">PBAC considered that the nomination of </w:t>
      </w:r>
      <w:r w:rsidRPr="00FA1E86">
        <w:t xml:space="preserve">semaglutide </w:t>
      </w:r>
      <w:r>
        <w:t xml:space="preserve">as the </w:t>
      </w:r>
      <w:r w:rsidRPr="00FA1E86">
        <w:t>main comparator</w:t>
      </w:r>
      <w:r>
        <w:t xml:space="preserve"> was appropriate. </w:t>
      </w:r>
    </w:p>
    <w:p w14:paraId="6EB5388B" w14:textId="3BD997B2" w:rsidR="00E31B24" w:rsidRPr="00143126" w:rsidRDefault="00CF2C00" w:rsidP="00143126">
      <w:pPr>
        <w:widowControl w:val="0"/>
        <w:numPr>
          <w:ilvl w:val="1"/>
          <w:numId w:val="1"/>
        </w:numPr>
        <w:spacing w:after="120"/>
        <w:rPr>
          <w:rFonts w:asciiTheme="minorHAnsi" w:hAnsiTheme="minorHAnsi"/>
          <w:snapToGrid w:val="0"/>
          <w:lang w:val="en-GB" w:eastAsia="en-US"/>
        </w:rPr>
      </w:pPr>
      <w:r>
        <w:t>The PBAC noted that, as per the July 2023 submission</w:t>
      </w:r>
      <w:r w:rsidR="00C27EE5">
        <w:t>,</w:t>
      </w:r>
      <w:r>
        <w:t xml:space="preserve"> the SURPASS-2 trial was the key </w:t>
      </w:r>
      <w:r w:rsidR="00C27EE5">
        <w:t xml:space="preserve">clinical trial with </w:t>
      </w:r>
      <w:r>
        <w:t>the resubmission provid</w:t>
      </w:r>
      <w:r w:rsidR="00C27EE5">
        <w:t>ing</w:t>
      </w:r>
      <w:r>
        <w:t xml:space="preserve"> new </w:t>
      </w:r>
      <w:r w:rsidRPr="00AA709B">
        <w:rPr>
          <w:i/>
          <w:iCs/>
        </w:rPr>
        <w:t>post hoc</w:t>
      </w:r>
      <w:r w:rsidRPr="00AA709B">
        <w:t xml:space="preserve"> analyses of th</w:t>
      </w:r>
      <w:r w:rsidR="00C27EE5">
        <w:t xml:space="preserve">e trial </w:t>
      </w:r>
      <w:r w:rsidR="00984D21">
        <w:t>including</w:t>
      </w:r>
      <w:r w:rsidRPr="00AA709B">
        <w:t xml:space="preserve"> patients with</w:t>
      </w:r>
      <w:r w:rsidR="00984D21">
        <w:t xml:space="preserve"> a</w:t>
      </w:r>
      <w:r w:rsidRPr="00AA709B">
        <w:t xml:space="preserve"> baseline BMI ≥35 kg/m</w:t>
      </w:r>
      <w:r w:rsidRPr="00AA709B">
        <w:rPr>
          <w:vertAlign w:val="superscript"/>
        </w:rPr>
        <w:t>2</w:t>
      </w:r>
      <w:r w:rsidRPr="00AA709B">
        <w:t xml:space="preserve">. </w:t>
      </w:r>
      <w:r w:rsidR="00C27EE5">
        <w:t>The SURPASS-2 trial allowed comparison of tirzepatide 5 mg, 10 mg or 15 mg once weekly with semaglutide 1</w:t>
      </w:r>
      <w:r w:rsidR="00F57DBB">
        <w:t> </w:t>
      </w:r>
      <w:r w:rsidR="00C27EE5">
        <w:t>mg once weekly. The PBAC did not accept the resubmission</w:t>
      </w:r>
      <w:r w:rsidR="00386A54">
        <w:t>’</w:t>
      </w:r>
      <w:r w:rsidR="00C27EE5">
        <w:t>s claim that</w:t>
      </w:r>
      <w:r w:rsidR="004A72EB">
        <w:t xml:space="preserve"> tirzepatide 5</w:t>
      </w:r>
      <w:r w:rsidR="00F57DBB">
        <w:t> </w:t>
      </w:r>
      <w:r w:rsidR="004A72EB">
        <w:t xml:space="preserve">mg would only be used as a temporary dose and hence </w:t>
      </w:r>
      <w:r w:rsidR="00C27EE5">
        <w:t xml:space="preserve">a </w:t>
      </w:r>
      <w:r w:rsidR="00C27EE5" w:rsidRPr="004855E5">
        <w:t>comparison of tirzepatide 5</w:t>
      </w:r>
      <w:r w:rsidR="00F57DBB">
        <w:t> </w:t>
      </w:r>
      <w:r w:rsidR="00C27EE5" w:rsidRPr="004855E5">
        <w:t>mg versus semaglutide 1 mg was not relevant</w:t>
      </w:r>
      <w:r w:rsidR="004A72EB">
        <w:t>. Instead</w:t>
      </w:r>
      <w:r w:rsidR="00C27EE5" w:rsidRPr="004855E5">
        <w:t>,</w:t>
      </w:r>
      <w:r w:rsidR="004A72EB">
        <w:t xml:space="preserve"> the PBAC reaffirmed its July 2023 advice that this</w:t>
      </w:r>
      <w:r w:rsidR="004A72EB" w:rsidRPr="00E96CBF">
        <w:t xml:space="preserve"> comparison </w:t>
      </w:r>
      <w:r w:rsidR="004A72EB">
        <w:t xml:space="preserve">was </w:t>
      </w:r>
      <w:r w:rsidR="004A72EB" w:rsidRPr="00E96CBF">
        <w:t xml:space="preserve">relevant given that increased adverse events associated with higher doses of tirzepatide may limit titration to higher doses in practice; and the </w:t>
      </w:r>
      <w:bookmarkStart w:id="85" w:name="_Hlk184199145"/>
      <w:r w:rsidR="004A72EB" w:rsidRPr="00E96CBF">
        <w:t>requested price for tirzepatide 5 mg was higher than semaglutide 1</w:t>
      </w:r>
      <w:r w:rsidR="00F57DBB">
        <w:t> </w:t>
      </w:r>
      <w:r w:rsidR="004A72EB" w:rsidRPr="00E96CBF">
        <w:t xml:space="preserve">mg </w:t>
      </w:r>
      <w:bookmarkEnd w:id="85"/>
      <w:r w:rsidR="004A72EB" w:rsidRPr="00E96CBF">
        <w:t>(para 7.7, 7.11 tirzepatide PSD, July 2023 PBAC meeting).</w:t>
      </w:r>
      <w:r w:rsidR="004A72EB">
        <w:t xml:space="preserve"> </w:t>
      </w:r>
      <w:r w:rsidR="00143126" w:rsidRPr="00E96CBF">
        <w:t xml:space="preserve">The PBAC </w:t>
      </w:r>
      <w:r w:rsidR="00143126">
        <w:t xml:space="preserve">recalled that in July 2023 it had </w:t>
      </w:r>
      <w:r w:rsidR="00143126" w:rsidRPr="00E96CBF">
        <w:t xml:space="preserve">considered that the data did not support superior efficacy of </w:t>
      </w:r>
      <w:bookmarkStart w:id="86" w:name="_Hlk184190502"/>
      <w:r w:rsidR="00143126" w:rsidRPr="00E96CBF">
        <w:t>tirzepatide 5 mg versus semaglutide 1 mg</w:t>
      </w:r>
      <w:bookmarkEnd w:id="86"/>
      <w:r w:rsidR="00143126" w:rsidRPr="00E96CBF">
        <w:t xml:space="preserve"> (para 7.10, tirzepatide PSD, July 2023 PBAC meeting). </w:t>
      </w:r>
      <w:r w:rsidR="00143126">
        <w:t>The PBAC noted that s</w:t>
      </w:r>
      <w:r w:rsidR="00143126" w:rsidRPr="00E96CBF">
        <w:t>ubgroup data in those with BMI ≥35 kg/m</w:t>
      </w:r>
      <w:r w:rsidR="00143126" w:rsidRPr="00E96CBF">
        <w:rPr>
          <w:vertAlign w:val="superscript"/>
        </w:rPr>
        <w:t xml:space="preserve">2 </w:t>
      </w:r>
      <w:r w:rsidR="00143126" w:rsidRPr="00E96CBF">
        <w:t>were consistent with data in the whole trial population</w:t>
      </w:r>
      <w:r w:rsidR="00143126">
        <w:t xml:space="preserve"> for this comparison</w:t>
      </w:r>
      <w:r w:rsidR="00143126" w:rsidRPr="00E96CBF">
        <w:t>.</w:t>
      </w:r>
      <w:r w:rsidR="00143126">
        <w:t xml:space="preserve"> As such, the PBAC considered that superior efficacy was not supported for the comparison of </w:t>
      </w:r>
      <w:r w:rsidR="00143126" w:rsidRPr="00E96CBF">
        <w:t>tirzepatide 5 mg versus semaglutide 1 mg</w:t>
      </w:r>
      <w:r w:rsidR="00143126">
        <w:t xml:space="preserve"> in this subgroup. </w:t>
      </w:r>
    </w:p>
    <w:p w14:paraId="4B964F03" w14:textId="2CE03E89" w:rsidR="008255D9" w:rsidRPr="00E96CBF" w:rsidRDefault="008255D9" w:rsidP="008C2A25">
      <w:pPr>
        <w:pStyle w:val="COMexecsummnumbered"/>
        <w:rPr>
          <w:color w:val="0066FF"/>
        </w:rPr>
      </w:pPr>
      <w:r>
        <w:t>The resubmission described tirzepatide 10 mg or 15 mg once weekly as superior in terms of efficacy compared to semaglutide 1 mg once weekly</w:t>
      </w:r>
      <w:r w:rsidR="00143126">
        <w:t xml:space="preserve"> based on the </w:t>
      </w:r>
      <w:r w:rsidR="00143126" w:rsidRPr="00882841">
        <w:rPr>
          <w:snapToGrid w:val="0"/>
          <w:lang w:val="en-GB" w:eastAsia="en-US"/>
        </w:rPr>
        <w:t>glycaemic benefits and short</w:t>
      </w:r>
      <w:r w:rsidR="00143126" w:rsidRPr="00882841">
        <w:rPr>
          <w:snapToGrid w:val="0"/>
          <w:lang w:val="en-GB" w:eastAsia="en-US"/>
        </w:rPr>
        <w:noBreakHyphen/>
        <w:t>term weight loss</w:t>
      </w:r>
      <w:r w:rsidR="00143126">
        <w:rPr>
          <w:snapToGrid w:val="0"/>
          <w:lang w:val="en-GB" w:eastAsia="en-US"/>
        </w:rPr>
        <w:t xml:space="preserve"> reported in the </w:t>
      </w:r>
      <w:r w:rsidR="00143126">
        <w:t>SURPASS-2 trial</w:t>
      </w:r>
      <w:r w:rsidRPr="00E96CBF">
        <w:t xml:space="preserve">. The PBAC previously considered the claim was reasonable </w:t>
      </w:r>
      <w:r>
        <w:t xml:space="preserve">for the whole trial population </w:t>
      </w:r>
      <w:r w:rsidRPr="00E96CBF">
        <w:t xml:space="preserve">(para 7.10, tirzepatide PSD, July 2023 PBAC meeting). </w:t>
      </w:r>
      <w:r>
        <w:t>The PBAC considered the r</w:t>
      </w:r>
      <w:r w:rsidRPr="00E96CBF">
        <w:t>esults</w:t>
      </w:r>
      <w:r w:rsidR="00E31B24" w:rsidRPr="00882841">
        <w:rPr>
          <w:snapToGrid w:val="0"/>
          <w:lang w:val="en-GB" w:eastAsia="en-US"/>
        </w:rPr>
        <w:t xml:space="preserve"> </w:t>
      </w:r>
      <w:r w:rsidRPr="00E96CBF">
        <w:t xml:space="preserve">in the subgroup with BMI </w:t>
      </w:r>
      <w:r w:rsidRPr="00E96CBF">
        <w:rPr>
          <w:rFonts w:cs="Calibri"/>
        </w:rPr>
        <w:t>≥</w:t>
      </w:r>
      <w:r w:rsidRPr="00E96CBF">
        <w:t>35 kg/m</w:t>
      </w:r>
      <w:r w:rsidRPr="00E96CBF">
        <w:rPr>
          <w:vertAlign w:val="superscript"/>
        </w:rPr>
        <w:t xml:space="preserve">2 </w:t>
      </w:r>
      <w:r w:rsidRPr="00E96CBF">
        <w:t>appeared consistent with results in the whole trial population</w:t>
      </w:r>
      <w:r w:rsidR="00405928">
        <w:t>. As such, the PBAC advised that the claim of superior comparative effectiveness was reasonable for tirzepatide 10 mg or 15 mg once weekly compared to semaglutide 1 mg once weekly in this subgroup.</w:t>
      </w:r>
    </w:p>
    <w:p w14:paraId="3FF8B071" w14:textId="59F26C93" w:rsidR="00980075" w:rsidRDefault="00980075" w:rsidP="008C2A25">
      <w:pPr>
        <w:pStyle w:val="COMexecsummnumbered"/>
      </w:pPr>
      <w:r>
        <w:rPr>
          <w:snapToGrid w:val="0"/>
          <w:lang w:val="en-GB" w:eastAsia="en-US"/>
        </w:rPr>
        <w:t xml:space="preserve">The resubmission described tirzepatide 5 mg once weekly as superior in efficacy compared to semaglutide 0.5 mg once weekly based on the results of an indirect comparison using the SURPASS-2 trial and the SUSTAIN-7 trial. </w:t>
      </w:r>
      <w:r w:rsidR="00FE3C68" w:rsidRPr="00E96CBF">
        <w:t xml:space="preserve">The PBAC </w:t>
      </w:r>
      <w:r w:rsidR="00FE3C68">
        <w:t>recalled that it had previously considered this claim reasonable</w:t>
      </w:r>
      <w:r w:rsidR="00FE3C68" w:rsidRPr="00E96CBF">
        <w:t xml:space="preserve"> </w:t>
      </w:r>
      <w:r w:rsidR="00FE3C68">
        <w:t xml:space="preserve">for the whole trial population </w:t>
      </w:r>
      <w:r w:rsidR="00FE3C68" w:rsidRPr="00E96CBF">
        <w:t>(para 7.10, tirzepatide PSD, July 2023 PBAC meeting).</w:t>
      </w:r>
      <w:r w:rsidR="00FE3C68">
        <w:t xml:space="preserve"> </w:t>
      </w:r>
      <w:r>
        <w:rPr>
          <w:snapToGrid w:val="0"/>
          <w:lang w:val="en-GB" w:eastAsia="en-US"/>
        </w:rPr>
        <w:t xml:space="preserve">The PBAC noted that </w:t>
      </w:r>
      <w:r w:rsidR="00DC3B84">
        <w:rPr>
          <w:snapToGrid w:val="0"/>
          <w:lang w:val="en-GB" w:eastAsia="en-US"/>
        </w:rPr>
        <w:t xml:space="preserve">while the point estimate favoured </w:t>
      </w:r>
      <w:r w:rsidR="00DC3B84">
        <w:t xml:space="preserve">tirzepatide 5 mg compared to semaglutide 0.5 mg in the </w:t>
      </w:r>
      <w:r w:rsidR="00DC3B84" w:rsidRPr="00952086">
        <w:rPr>
          <w:i/>
          <w:iCs/>
        </w:rPr>
        <w:t xml:space="preserve">post hoc </w:t>
      </w:r>
      <w:r w:rsidR="00DC3B84">
        <w:t>subgroup with BMI ≥35 kg/m</w:t>
      </w:r>
      <w:r w:rsidR="00DC3B84" w:rsidRPr="00952086">
        <w:rPr>
          <w:vertAlign w:val="superscript"/>
        </w:rPr>
        <w:t>2</w:t>
      </w:r>
      <w:r w:rsidR="00DC3B84">
        <w:t xml:space="preserve">, </w:t>
      </w:r>
      <w:r>
        <w:rPr>
          <w:snapToGrid w:val="0"/>
          <w:lang w:val="en-GB" w:eastAsia="en-US"/>
        </w:rPr>
        <w:t xml:space="preserve">in </w:t>
      </w:r>
      <w:r w:rsidR="00DC3B84">
        <w:rPr>
          <w:snapToGrid w:val="0"/>
          <w:lang w:val="en-GB" w:eastAsia="en-US"/>
        </w:rPr>
        <w:t xml:space="preserve">contrast to </w:t>
      </w:r>
      <w:r>
        <w:rPr>
          <w:snapToGrid w:val="0"/>
          <w:lang w:val="en-GB" w:eastAsia="en-US"/>
        </w:rPr>
        <w:t>the</w:t>
      </w:r>
      <w:r>
        <w:t xml:space="preserve"> whole trial population, the result did </w:t>
      </w:r>
      <w:r>
        <w:lastRenderedPageBreak/>
        <w:t>not achieve statistical significance or exceed the nominated MCID.</w:t>
      </w:r>
      <w:r w:rsidR="00DC3B84">
        <w:t xml:space="preserve"> However, the PBAC noted that results consistent with the whole trial population were evident with respect to changes in mean body weight, with a numerically greater reduction in body weight based on the point estimate. </w:t>
      </w:r>
      <w:r w:rsidR="00FE3C68">
        <w:t xml:space="preserve">Overall, the PBAC considered the claim of superior comparative efficacy for tirzepatide 5 mg once weekly compared to semaglutide 0.5 mg once weekly in the </w:t>
      </w:r>
      <w:r w:rsidR="00FE3C68" w:rsidRPr="00E96CBF">
        <w:t xml:space="preserve">subgroup with BMI </w:t>
      </w:r>
      <w:r w:rsidR="00FE3C68" w:rsidRPr="00E96CBF">
        <w:rPr>
          <w:rFonts w:cs="Calibri"/>
        </w:rPr>
        <w:t>≥</w:t>
      </w:r>
      <w:r w:rsidR="00FE3C68" w:rsidRPr="00E96CBF">
        <w:t>35 kg/m</w:t>
      </w:r>
      <w:r w:rsidR="00FE3C68" w:rsidRPr="00E96CBF">
        <w:rPr>
          <w:vertAlign w:val="superscript"/>
        </w:rPr>
        <w:t xml:space="preserve">2 </w:t>
      </w:r>
      <w:r w:rsidR="00FE3C68" w:rsidRPr="00981170">
        <w:t>was</w:t>
      </w:r>
      <w:r w:rsidR="00FE3C68">
        <w:t xml:space="preserve"> uncertain but likely reasonable.</w:t>
      </w:r>
    </w:p>
    <w:p w14:paraId="3E51E592" w14:textId="7FD30869" w:rsidR="00C27EE5" w:rsidRDefault="003908C2" w:rsidP="008C2A25">
      <w:pPr>
        <w:pStyle w:val="COMexecsummnumbered"/>
      </w:pPr>
      <w:r>
        <w:t>In terms of safety, the PBAC noted that the r</w:t>
      </w:r>
      <w:r w:rsidR="00A1194B" w:rsidRPr="00EA0CF2">
        <w:t xml:space="preserve">esults based on the subgroup analysis </w:t>
      </w:r>
      <w:r>
        <w:t xml:space="preserve">of patients </w:t>
      </w:r>
      <w:r w:rsidRPr="00E96CBF">
        <w:t xml:space="preserve">with BMI </w:t>
      </w:r>
      <w:r w:rsidRPr="00E96CBF">
        <w:rPr>
          <w:rFonts w:cs="Calibri"/>
        </w:rPr>
        <w:t>≥</w:t>
      </w:r>
      <w:r w:rsidRPr="00E96CBF">
        <w:t>35 kg/m</w:t>
      </w:r>
      <w:r w:rsidRPr="00E96CBF">
        <w:rPr>
          <w:vertAlign w:val="superscript"/>
        </w:rPr>
        <w:t xml:space="preserve">2 </w:t>
      </w:r>
      <w:r w:rsidR="00A1194B" w:rsidRPr="00EA0CF2">
        <w:t>appeared similar to the whole trial population.</w:t>
      </w:r>
      <w:r>
        <w:t xml:space="preserve"> As such, the PBAC reaffirmed its July 2023 advice that the claim of non-inferior safety was not adequately supported by the data for any of the comparisons. </w:t>
      </w:r>
    </w:p>
    <w:p w14:paraId="36C8A266" w14:textId="6F56D848" w:rsidR="003F4E6D" w:rsidRDefault="003F4E6D" w:rsidP="008C2A25">
      <w:pPr>
        <w:pStyle w:val="COMexecsummnumbered"/>
      </w:pPr>
      <w:r>
        <w:t xml:space="preserve">The PBAC noted the resubmission presented a modelled economic evaluation of tirzepatide 10 mg and 15 mg weekly compared to semaglutide 1 mg weekly, and the evaluation provided an additional analysis of tirzepatide 5 mg weekly versus semaglutide 1 mg weekly. The PBAC considered the additional analysis informative given the </w:t>
      </w:r>
      <w:r w:rsidRPr="00E96CBF">
        <w:t>requested price for tirzepatide 5 mg was higher than semaglutide 1 mg</w:t>
      </w:r>
      <w:r>
        <w:t xml:space="preserve">. </w:t>
      </w:r>
    </w:p>
    <w:p w14:paraId="274DF41F" w14:textId="7482BC80" w:rsidR="007C356B" w:rsidRPr="0017709F" w:rsidRDefault="002E788E" w:rsidP="008C2A25">
      <w:pPr>
        <w:pStyle w:val="COMexecsummnumbered"/>
      </w:pPr>
      <w:r>
        <w:t>The PBAC recalled that in July 2023 it had asked for an</w:t>
      </w:r>
      <w:r w:rsidR="00B410DA">
        <w:t>y resubmission to include</w:t>
      </w:r>
      <w:r>
        <w:t xml:space="preserve"> </w:t>
      </w:r>
      <w:r w:rsidR="00102586">
        <w:t xml:space="preserve">an </w:t>
      </w:r>
      <w:r>
        <w:t>economic model that addresse</w:t>
      </w:r>
      <w:r w:rsidR="00B410DA">
        <w:t>d</w:t>
      </w:r>
      <w:r>
        <w:t xml:space="preserve"> the Committee’s concerns regarding circumstances of use</w:t>
      </w:r>
      <w:r w:rsidR="00DF3FE4">
        <w:t xml:space="preserve"> (</w:t>
      </w:r>
      <w:r w:rsidR="00DF3FE4" w:rsidRPr="0076762E">
        <w:rPr>
          <w:snapToGrid w:val="0"/>
        </w:rPr>
        <w:t xml:space="preserve">fixed dosing of GLP-1 RA/GIP and insulin therapies, perfect persistence, </w:t>
      </w:r>
      <w:r w:rsidR="00DF3FE4">
        <w:rPr>
          <w:snapToGrid w:val="0"/>
        </w:rPr>
        <w:t xml:space="preserve">low threshold for </w:t>
      </w:r>
      <w:r w:rsidR="00DF3FE4" w:rsidRPr="0076762E">
        <w:rPr>
          <w:snapToGrid w:val="0"/>
        </w:rPr>
        <w:t>insulin intensification</w:t>
      </w:r>
      <w:r w:rsidR="00DF3FE4">
        <w:rPr>
          <w:snapToGrid w:val="0"/>
        </w:rPr>
        <w:t xml:space="preserve"> (</w:t>
      </w:r>
      <w:r w:rsidR="00DF3FE4" w:rsidRPr="0076762E">
        <w:rPr>
          <w:snapToGrid w:val="0"/>
        </w:rPr>
        <w:t>HbA1c &gt; 7.5%</w:t>
      </w:r>
      <w:r w:rsidR="00DF3FE4">
        <w:rPr>
          <w:snapToGrid w:val="0"/>
        </w:rPr>
        <w:t>)</w:t>
      </w:r>
      <w:r w:rsidR="00DF3FE4" w:rsidRPr="0076762E">
        <w:rPr>
          <w:snapToGrid w:val="0"/>
        </w:rPr>
        <w:t xml:space="preserve"> and no concomitant use of GLP-1 RA and insulin therapies</w:t>
      </w:r>
      <w:r w:rsidR="00DF3FE4">
        <w:rPr>
          <w:snapToGrid w:val="0"/>
        </w:rPr>
        <w:t>)</w:t>
      </w:r>
      <w:r>
        <w:t xml:space="preserve"> and weight-based utility/disutility</w:t>
      </w:r>
      <w:r w:rsidR="00DF3FE4">
        <w:t xml:space="preserve"> </w:t>
      </w:r>
      <w:r w:rsidR="00DF3FE4" w:rsidRPr="00E96CBF">
        <w:t>(para 7.1</w:t>
      </w:r>
      <w:r w:rsidR="00DF3FE4">
        <w:t xml:space="preserve">8 and para </w:t>
      </w:r>
      <w:r w:rsidR="00B410DA">
        <w:t>7.13</w:t>
      </w:r>
      <w:r w:rsidR="00DF3FE4" w:rsidRPr="00E96CBF">
        <w:t>, tirzepatide PSD, July 2023 PBAC meeting)</w:t>
      </w:r>
      <w:r w:rsidR="00B410DA">
        <w:t>. The PBAC recalled that it had advised a revised base case should incorporate: constant eGFR treatment effects; UKPDS drift for all biomarkers, insulin intensification at HbA1c 8.0% and reduced hypoglycaemia disutility to -0.003 per event (para 7.16</w:t>
      </w:r>
      <w:r w:rsidR="00B410DA" w:rsidRPr="00E96CBF">
        <w:t>, tirzepatide PSD, July 2023 PBAC meeting)</w:t>
      </w:r>
      <w:r w:rsidR="00B410DA">
        <w:t xml:space="preserve">. </w:t>
      </w:r>
      <w:r w:rsidR="0051466D">
        <w:t>T</w:t>
      </w:r>
      <w:r w:rsidR="00B410DA">
        <w:t>he Committee had asked for a price reduction that results in an ICER in the order of $30,000 per QALY gained (para 7.18</w:t>
      </w:r>
      <w:r w:rsidR="00B410DA" w:rsidRPr="00E96CBF">
        <w:t>, tirzepatide PSD, July 2023 PBAC meeting)</w:t>
      </w:r>
      <w:r w:rsidR="00B410DA">
        <w:t xml:space="preserve">. The PBAC noted that the resubmission </w:t>
      </w:r>
      <w:r w:rsidR="001A06A1">
        <w:t xml:space="preserve">provided a revised base case model </w:t>
      </w:r>
      <w:r w:rsidR="00102586">
        <w:t xml:space="preserve">that </w:t>
      </w:r>
      <w:r w:rsidR="001A06A1">
        <w:t xml:space="preserve">addressed some but not </w:t>
      </w:r>
      <w:proofErr w:type="gramStart"/>
      <w:r w:rsidR="001A06A1">
        <w:t>all of</w:t>
      </w:r>
      <w:proofErr w:type="gramEnd"/>
      <w:r w:rsidR="001A06A1">
        <w:t xml:space="preserve"> the changes requested (see paragraph </w:t>
      </w:r>
      <w:r w:rsidR="001A06A1">
        <w:fldChar w:fldCharType="begin" w:fldLock="1"/>
      </w:r>
      <w:r w:rsidR="001A06A1">
        <w:instrText xml:space="preserve"> REF _Ref184200929 \r \h </w:instrText>
      </w:r>
      <w:r w:rsidR="001A06A1">
        <w:fldChar w:fldCharType="separate"/>
      </w:r>
      <w:r w:rsidR="00EE035D">
        <w:t>6.66</w:t>
      </w:r>
      <w:r w:rsidR="001A06A1">
        <w:fldChar w:fldCharType="end"/>
      </w:r>
      <w:r w:rsidR="001A06A1">
        <w:t>)</w:t>
      </w:r>
      <w:r w:rsidR="0017709F">
        <w:t>.</w:t>
      </w:r>
      <w:r w:rsidR="001A06A1">
        <w:t xml:space="preserve"> </w:t>
      </w:r>
      <w:r w:rsidR="0023485B">
        <w:t>The PBAC noted the revised base case model continue</w:t>
      </w:r>
      <w:r w:rsidR="00057E65">
        <w:t>d</w:t>
      </w:r>
      <w:r w:rsidR="0023485B">
        <w:t xml:space="preserve"> to assume </w:t>
      </w:r>
      <w:r w:rsidR="0023485B" w:rsidRPr="00057E65">
        <w:rPr>
          <w:snapToGrid w:val="0"/>
          <w:lang w:val="en-GB" w:eastAsia="en-US"/>
        </w:rPr>
        <w:t xml:space="preserve">that both tirzepatide and semaglutide are discontinued before switching to insulin therapy. The </w:t>
      </w:r>
      <w:r w:rsidR="00057E65">
        <w:rPr>
          <w:snapToGrid w:val="0"/>
          <w:lang w:val="en-GB" w:eastAsia="en-US"/>
        </w:rPr>
        <w:t xml:space="preserve">PBAC considered the </w:t>
      </w:r>
      <w:r w:rsidR="0023485B" w:rsidRPr="00057E65">
        <w:rPr>
          <w:snapToGrid w:val="0"/>
          <w:lang w:val="en-GB" w:eastAsia="en-US"/>
        </w:rPr>
        <w:t>ability to use semaglutide in combination with insulin is a key differentiating factor between the therapies</w:t>
      </w:r>
      <w:r w:rsidR="0051466D">
        <w:rPr>
          <w:snapToGrid w:val="0"/>
          <w:lang w:val="en-GB" w:eastAsia="en-US"/>
        </w:rPr>
        <w:t xml:space="preserve"> (</w:t>
      </w:r>
      <w:r w:rsidR="0023485B" w:rsidRPr="00057E65">
        <w:rPr>
          <w:snapToGrid w:val="0"/>
          <w:lang w:val="en-GB" w:eastAsia="en-US"/>
        </w:rPr>
        <w:t>given that the proposed tirzepatide restriction specifically excludes combination therapy with insulin</w:t>
      </w:r>
      <w:r w:rsidR="0051466D">
        <w:rPr>
          <w:snapToGrid w:val="0"/>
          <w:lang w:val="en-GB" w:eastAsia="en-US"/>
        </w:rPr>
        <w:t>)</w:t>
      </w:r>
      <w:r w:rsidR="00057E65">
        <w:rPr>
          <w:snapToGrid w:val="0"/>
          <w:lang w:val="en-GB" w:eastAsia="en-US"/>
        </w:rPr>
        <w:t xml:space="preserve"> </w:t>
      </w:r>
      <w:r w:rsidR="0051466D">
        <w:rPr>
          <w:snapToGrid w:val="0"/>
          <w:lang w:val="en-GB" w:eastAsia="en-US"/>
        </w:rPr>
        <w:t>with</w:t>
      </w:r>
      <w:r w:rsidR="00057E65">
        <w:rPr>
          <w:snapToGrid w:val="0"/>
          <w:lang w:val="en-GB" w:eastAsia="en-US"/>
        </w:rPr>
        <w:t xml:space="preserve"> semaglutide frequently used in combination with insulin in clinical practice</w:t>
      </w:r>
      <w:r w:rsidR="0023485B" w:rsidRPr="00057E65">
        <w:rPr>
          <w:snapToGrid w:val="0"/>
          <w:lang w:val="en-GB" w:eastAsia="en-US"/>
        </w:rPr>
        <w:t xml:space="preserve">. The </w:t>
      </w:r>
      <w:r w:rsidR="00057E65">
        <w:rPr>
          <w:snapToGrid w:val="0"/>
          <w:lang w:val="en-GB" w:eastAsia="en-US"/>
        </w:rPr>
        <w:t xml:space="preserve">PBAC noted the </w:t>
      </w:r>
      <w:r w:rsidR="0023485B" w:rsidRPr="00057E65">
        <w:rPr>
          <w:snapToGrid w:val="0"/>
          <w:lang w:val="en-GB" w:eastAsia="en-US"/>
        </w:rPr>
        <w:t>impact on the ICER of correcting for this was uncertain as ongoing semaglutide would provide additional benefit at additional cost</w:t>
      </w:r>
      <w:r w:rsidR="00840E65">
        <w:rPr>
          <w:snapToGrid w:val="0"/>
          <w:lang w:val="en-GB" w:eastAsia="en-US"/>
        </w:rPr>
        <w:t xml:space="preserve"> (see </w:t>
      </w:r>
      <w:r w:rsidR="00840E65">
        <w:rPr>
          <w:snapToGrid w:val="0"/>
          <w:lang w:val="en-GB" w:eastAsia="en-US"/>
        </w:rPr>
        <w:fldChar w:fldCharType="begin" w:fldLock="1"/>
      </w:r>
      <w:r w:rsidR="00840E65">
        <w:rPr>
          <w:snapToGrid w:val="0"/>
          <w:lang w:val="en-GB" w:eastAsia="en-US"/>
        </w:rPr>
        <w:instrText xml:space="preserve"> REF _Ref174711314 \h </w:instrText>
      </w:r>
      <w:r w:rsidR="00840E65">
        <w:rPr>
          <w:snapToGrid w:val="0"/>
          <w:lang w:val="en-GB" w:eastAsia="en-US"/>
        </w:rPr>
      </w:r>
      <w:r w:rsidR="00840E65">
        <w:rPr>
          <w:snapToGrid w:val="0"/>
          <w:lang w:val="en-GB" w:eastAsia="en-US"/>
        </w:rPr>
        <w:fldChar w:fldCharType="separate"/>
      </w:r>
      <w:r w:rsidR="00EE035D" w:rsidRPr="00FA1E86">
        <w:t>Table</w:t>
      </w:r>
      <w:r w:rsidR="00EE035D">
        <w:t xml:space="preserve"> </w:t>
      </w:r>
      <w:r w:rsidR="00EE035D">
        <w:rPr>
          <w:noProof/>
        </w:rPr>
        <w:t>11</w:t>
      </w:r>
      <w:r w:rsidR="00840E65">
        <w:rPr>
          <w:snapToGrid w:val="0"/>
          <w:lang w:val="en-GB" w:eastAsia="en-US"/>
        </w:rPr>
        <w:fldChar w:fldCharType="end"/>
      </w:r>
      <w:r w:rsidR="00840E65">
        <w:rPr>
          <w:snapToGrid w:val="0"/>
          <w:lang w:val="en-GB" w:eastAsia="en-US"/>
        </w:rPr>
        <w:t>)</w:t>
      </w:r>
      <w:r w:rsidR="0023485B" w:rsidRPr="00057E65">
        <w:rPr>
          <w:snapToGrid w:val="0"/>
          <w:lang w:val="en-GB" w:eastAsia="en-US"/>
        </w:rPr>
        <w:t>.</w:t>
      </w:r>
      <w:r w:rsidR="0023485B">
        <w:rPr>
          <w:snapToGrid w:val="0"/>
          <w:lang w:val="en-GB" w:eastAsia="en-US"/>
        </w:rPr>
        <w:t xml:space="preserve"> </w:t>
      </w:r>
      <w:r w:rsidR="001A06A1">
        <w:t xml:space="preserve">In addition, the PBAC </w:t>
      </w:r>
      <w:r w:rsidR="00057E65">
        <w:t xml:space="preserve">also </w:t>
      </w:r>
      <w:r w:rsidR="001A06A1">
        <w:t xml:space="preserve">noted the resubmission </w:t>
      </w:r>
      <w:r w:rsidR="004D0BC6">
        <w:t xml:space="preserve">had </w:t>
      </w:r>
      <w:r w:rsidR="001A06A1" w:rsidRPr="001A06A1">
        <w:rPr>
          <w:snapToGrid w:val="0"/>
          <w:lang w:val="en-GB" w:eastAsia="en-US"/>
        </w:rPr>
        <w:t>increased the price of the highest maintenance dose and argued for a higher ICER based on targeting high risk populations</w:t>
      </w:r>
      <w:r w:rsidR="001A06A1">
        <w:rPr>
          <w:snapToGrid w:val="0"/>
          <w:lang w:val="en-GB" w:eastAsia="en-US"/>
        </w:rPr>
        <w:t>.</w:t>
      </w:r>
      <w:r w:rsidR="00A81475">
        <w:rPr>
          <w:snapToGrid w:val="0"/>
          <w:lang w:val="en-GB" w:eastAsia="en-US"/>
        </w:rPr>
        <w:t xml:space="preserve"> </w:t>
      </w:r>
    </w:p>
    <w:p w14:paraId="63976F08" w14:textId="276C39D1" w:rsidR="004D0BC6" w:rsidRDefault="0017709F" w:rsidP="008C2A25">
      <w:pPr>
        <w:pStyle w:val="COMexecsummnumbered"/>
        <w:rPr>
          <w:snapToGrid w:val="0"/>
          <w:lang w:val="en-GB" w:eastAsia="en-US"/>
        </w:rPr>
      </w:pPr>
      <w:r>
        <w:rPr>
          <w:snapToGrid w:val="0"/>
          <w:lang w:val="en-GB" w:eastAsia="en-US"/>
        </w:rPr>
        <w:t xml:space="preserve">The PBAC noted </w:t>
      </w:r>
      <w:r w:rsidR="00A81475">
        <w:rPr>
          <w:snapToGrid w:val="0"/>
          <w:lang w:val="en-GB" w:eastAsia="en-US"/>
        </w:rPr>
        <w:t xml:space="preserve">ESC advice that </w:t>
      </w:r>
      <w:r w:rsidR="00A54C08" w:rsidRPr="008E000E">
        <w:rPr>
          <w:snapToGrid w:val="0"/>
          <w:lang w:val="en-GB" w:eastAsia="en-US"/>
        </w:rPr>
        <w:t>that the economic evaluation presented in the resubmission may not provide a basis for the PBAC to recommend tirzepatide for the proposed population</w:t>
      </w:r>
      <w:r w:rsidR="002A2F0A">
        <w:rPr>
          <w:snapToGrid w:val="0"/>
          <w:lang w:val="en-GB" w:eastAsia="en-US"/>
        </w:rPr>
        <w:t xml:space="preserve"> with the ICER remaining uncertain. The PBAC noted </w:t>
      </w:r>
      <w:r w:rsidR="00102586">
        <w:rPr>
          <w:snapToGrid w:val="0"/>
          <w:lang w:val="en-GB" w:eastAsia="en-US"/>
        </w:rPr>
        <w:t xml:space="preserve">that in </w:t>
      </w:r>
      <w:r w:rsidR="00102586">
        <w:rPr>
          <w:snapToGrid w:val="0"/>
          <w:lang w:val="en-GB" w:eastAsia="en-US"/>
        </w:rPr>
        <w:lastRenderedPageBreak/>
        <w:t xml:space="preserve">response to the concerns raised by the ESC </w:t>
      </w:r>
      <w:r w:rsidR="002A2F0A">
        <w:rPr>
          <w:snapToGrid w:val="0"/>
          <w:lang w:val="en-GB" w:eastAsia="en-US"/>
        </w:rPr>
        <w:t xml:space="preserve">the pre-PBAC response </w:t>
      </w:r>
      <w:r w:rsidR="00E056BD">
        <w:rPr>
          <w:snapToGrid w:val="0"/>
          <w:lang w:val="en-GB" w:eastAsia="en-US"/>
        </w:rPr>
        <w:t>provided a revised base case that included: s</w:t>
      </w:r>
      <w:r w:rsidR="00E056BD" w:rsidRPr="001F3166">
        <w:t>witching to insulin/insulin intensification when HbA1c &gt;</w:t>
      </w:r>
      <w:r w:rsidR="00F57DBB">
        <w:t> </w:t>
      </w:r>
      <w:r w:rsidR="00E056BD">
        <w:t xml:space="preserve">7.5%; systolic blood pressure (SBP), heart rate and BMI remaining constant while on either tirzepatide or semaglutide with </w:t>
      </w:r>
      <w:r w:rsidR="00E056BD" w:rsidRPr="001F3166">
        <w:t xml:space="preserve">UKPDS biomarker drift </w:t>
      </w:r>
      <w:r w:rsidR="00E056BD">
        <w:t xml:space="preserve">applied while on insulin; and </w:t>
      </w:r>
      <w:r w:rsidR="00E056BD">
        <w:rPr>
          <w:snapToGrid w:val="0"/>
          <w:lang w:val="en-GB" w:eastAsia="en-US"/>
        </w:rPr>
        <w:t xml:space="preserve">a </w:t>
      </w:r>
      <w:r w:rsidR="00E056BD">
        <w:t xml:space="preserve">price reduction for all doses of tirzepatide (see paragraph </w:t>
      </w:r>
      <w:r w:rsidR="00E056BD">
        <w:fldChar w:fldCharType="begin" w:fldLock="1"/>
      </w:r>
      <w:r w:rsidR="00E056BD">
        <w:instrText xml:space="preserve"> REF _Ref184112046 \r \h </w:instrText>
      </w:r>
      <w:r w:rsidR="00E056BD">
        <w:fldChar w:fldCharType="separate"/>
      </w:r>
      <w:r w:rsidR="00EE035D">
        <w:t>3.2</w:t>
      </w:r>
      <w:r w:rsidR="00E056BD">
        <w:fldChar w:fldCharType="end"/>
      </w:r>
      <w:r w:rsidR="00E056BD">
        <w:t xml:space="preserve">). </w:t>
      </w:r>
      <w:r w:rsidR="00F231A7">
        <w:t xml:space="preserve">The PBAC noted that the price of the highest maintenance dose remained higher than that proposed in July 2023. In addition, the PBAC noted the pre-PBAC response maintained that the proposed population are of sufficiently high unmet need to warrant an ICER of </w:t>
      </w:r>
      <w:r w:rsidR="00AF1BFE" w:rsidRPr="00AF1BFE">
        <w:t>$45,000 to &lt; $55,000</w:t>
      </w:r>
      <w:r w:rsidR="00F57DBB">
        <w:t xml:space="preserve"> </w:t>
      </w:r>
      <w:r w:rsidR="00F231A7">
        <w:t xml:space="preserve">per QALY gained. </w:t>
      </w:r>
      <w:r w:rsidR="0044006A" w:rsidRPr="001F3166">
        <w:t xml:space="preserve">The </w:t>
      </w:r>
      <w:r w:rsidR="0044006A">
        <w:t xml:space="preserve">PBAC agreed with the </w:t>
      </w:r>
      <w:r w:rsidR="0044006A" w:rsidRPr="001F3166">
        <w:t xml:space="preserve">ESC </w:t>
      </w:r>
      <w:r w:rsidR="0044006A">
        <w:t xml:space="preserve">that </w:t>
      </w:r>
      <w:r w:rsidR="0044006A" w:rsidRPr="001F3166">
        <w:t>the subgroup of patients with severe obesity is substantial</w:t>
      </w:r>
      <w:r w:rsidR="0044006A">
        <w:t xml:space="preserve"> </w:t>
      </w:r>
      <w:r w:rsidR="0044006A" w:rsidRPr="001F3166">
        <w:t>and therefore does not justify the higher value proposition of a more targeted high risk group, such as Aboriginal and Torres Strait Islander peoples.</w:t>
      </w:r>
      <w:r w:rsidR="0044006A">
        <w:t xml:space="preserve"> </w:t>
      </w:r>
    </w:p>
    <w:p w14:paraId="30B7189A" w14:textId="4EE9220B" w:rsidR="00E056BD" w:rsidRDefault="00E056BD" w:rsidP="008C2A25">
      <w:pPr>
        <w:pStyle w:val="COMexecsummnumbered"/>
        <w:rPr>
          <w:snapToGrid w:val="0"/>
          <w:lang w:val="en-GB" w:eastAsia="en-US"/>
        </w:rPr>
      </w:pPr>
      <w:r>
        <w:t xml:space="preserve">The PBAC noted that raising insulin initiation/intensification to </w:t>
      </w:r>
      <w:r w:rsidRPr="001F3166">
        <w:t>HbA1c &gt; 8.0%</w:t>
      </w:r>
      <w:r>
        <w:t xml:space="preserve"> and applying UKPDS biomarker drift for all biomarkers in the pre-PBAC response model increased the ICERs for the comparison of tirzepatide 15 mg versus semaglutide 1 mg, tirzepatide 10 mg versus semaglutide 1 mg and tirzepatide 5 mg versus semaglutide 1</w:t>
      </w:r>
      <w:r w:rsidR="005C3B0D">
        <w:t> </w:t>
      </w:r>
      <w:r>
        <w:t xml:space="preserve">mg to </w:t>
      </w:r>
      <w:r w:rsidR="00670ACF" w:rsidRPr="00670ACF">
        <w:t xml:space="preserve">$55,000 to &lt; $75,000 </w:t>
      </w:r>
      <w:r>
        <w:t xml:space="preserve">per QALY, </w:t>
      </w:r>
      <w:r w:rsidR="00670ACF" w:rsidRPr="00670ACF">
        <w:t xml:space="preserve">$55,000 to &lt; $75,000 </w:t>
      </w:r>
      <w:r>
        <w:t xml:space="preserve">per QALY and </w:t>
      </w:r>
      <w:r w:rsidR="006F776C" w:rsidRPr="006F776C">
        <w:t>$115,000</w:t>
      </w:r>
      <w:r w:rsidR="00F57DBB">
        <w:t> </w:t>
      </w:r>
      <w:r w:rsidR="006F776C" w:rsidRPr="006F776C">
        <w:t>to &lt; $135,000</w:t>
      </w:r>
      <w:r w:rsidR="00F57DBB">
        <w:t xml:space="preserve"> </w:t>
      </w:r>
      <w:r>
        <w:t>per QALY respectively.</w:t>
      </w:r>
      <w:r w:rsidR="00102586">
        <w:t xml:space="preserve"> </w:t>
      </w:r>
      <w:r w:rsidR="00685B84">
        <w:rPr>
          <w:snapToGrid w:val="0"/>
          <w:lang w:val="en-GB" w:eastAsia="en-US"/>
        </w:rPr>
        <w:t xml:space="preserve">The PBAC noted that the financial estimates assumed that </w:t>
      </w:r>
      <w:r w:rsidR="00F111EB" w:rsidRPr="00F111EB">
        <w:rPr>
          <w:snapToGrid w:val="0"/>
          <w:color w:val="000000"/>
          <w:w w:val="60"/>
          <w:shd w:val="solid" w:color="000000" w:fill="000000"/>
          <w:fitText w:val="468" w:id="-761013238"/>
          <w:lang w:val="en-GB" w:eastAsia="en-US"/>
          <w14:textFill>
            <w14:solidFill>
              <w14:srgbClr w14:val="000000">
                <w14:alpha w14:val="100000"/>
              </w14:srgbClr>
            </w14:solidFill>
          </w14:textFill>
        </w:rPr>
        <w:t>||</w:t>
      </w:r>
      <w:proofErr w:type="gramStart"/>
      <w:r w:rsidR="00F111EB" w:rsidRPr="00F111EB">
        <w:rPr>
          <w:snapToGrid w:val="0"/>
          <w:color w:val="000000"/>
          <w:w w:val="60"/>
          <w:shd w:val="solid" w:color="000000" w:fill="000000"/>
          <w:fitText w:val="468" w:id="-761013238"/>
          <w:lang w:val="en-GB" w:eastAsia="en-US"/>
          <w14:textFill>
            <w14:solidFill>
              <w14:srgbClr w14:val="000000">
                <w14:alpha w14:val="100000"/>
              </w14:srgbClr>
            </w14:solidFill>
          </w14:textFill>
        </w:rPr>
        <w:t>|  |</w:t>
      </w:r>
      <w:proofErr w:type="gramEnd"/>
      <w:r w:rsidR="00F111EB" w:rsidRPr="00F111EB">
        <w:rPr>
          <w:snapToGrid w:val="0"/>
          <w:color w:val="000000"/>
          <w:w w:val="60"/>
          <w:shd w:val="solid" w:color="000000" w:fill="000000"/>
          <w:fitText w:val="468" w:id="-761013238"/>
          <w:lang w:val="en-GB" w:eastAsia="en-US"/>
          <w14:textFill>
            <w14:solidFill>
              <w14:srgbClr w14:val="000000">
                <w14:alpha w14:val="100000"/>
              </w14:srgbClr>
            </w14:solidFill>
          </w14:textFill>
        </w:rPr>
        <w:t>|</w:t>
      </w:r>
      <w:r w:rsidR="00F111EB" w:rsidRPr="00F111EB">
        <w:rPr>
          <w:snapToGrid w:val="0"/>
          <w:color w:val="000000"/>
          <w:spacing w:val="4"/>
          <w:w w:val="60"/>
          <w:shd w:val="solid" w:color="000000" w:fill="000000"/>
          <w:fitText w:val="468" w:id="-761013238"/>
          <w:lang w:val="en-GB" w:eastAsia="en-US"/>
          <w14:textFill>
            <w14:solidFill>
              <w14:srgbClr w14:val="000000">
                <w14:alpha w14:val="100000"/>
              </w14:srgbClr>
            </w14:solidFill>
          </w14:textFill>
        </w:rPr>
        <w:t>|</w:t>
      </w:r>
      <w:r w:rsidR="00685B84" w:rsidRPr="00B44835">
        <w:rPr>
          <w:snapToGrid w:val="0"/>
          <w:lang w:val="en-GB" w:eastAsia="en-US"/>
        </w:rPr>
        <w:t>% of</w:t>
      </w:r>
      <w:r w:rsidR="00685B84">
        <w:rPr>
          <w:snapToGrid w:val="0"/>
          <w:lang w:val="en-GB" w:eastAsia="en-US"/>
        </w:rPr>
        <w:t xml:space="preserve"> patients would receive the tirzepatide 5 mg dose (see </w:t>
      </w:r>
      <w:r w:rsidR="00685B84">
        <w:rPr>
          <w:snapToGrid w:val="0"/>
          <w:lang w:val="en-GB" w:eastAsia="en-US"/>
        </w:rPr>
        <w:fldChar w:fldCharType="begin" w:fldLock="1"/>
      </w:r>
      <w:r w:rsidR="00685B84">
        <w:rPr>
          <w:snapToGrid w:val="0"/>
          <w:lang w:val="en-GB" w:eastAsia="en-US"/>
        </w:rPr>
        <w:instrText xml:space="preserve"> REF _Ref104805262 \h </w:instrText>
      </w:r>
      <w:r w:rsidR="00685B84">
        <w:rPr>
          <w:snapToGrid w:val="0"/>
          <w:lang w:val="en-GB" w:eastAsia="en-US"/>
        </w:rPr>
      </w:r>
      <w:r w:rsidR="00685B84">
        <w:rPr>
          <w:snapToGrid w:val="0"/>
          <w:lang w:val="en-GB" w:eastAsia="en-US"/>
        </w:rPr>
        <w:fldChar w:fldCharType="separate"/>
      </w:r>
      <w:r w:rsidR="00685B84" w:rsidRPr="0076762E">
        <w:t xml:space="preserve">Table </w:t>
      </w:r>
      <w:r w:rsidR="00685B84">
        <w:rPr>
          <w:noProof/>
        </w:rPr>
        <w:t>15</w:t>
      </w:r>
      <w:r w:rsidR="00685B84">
        <w:rPr>
          <w:snapToGrid w:val="0"/>
          <w:lang w:val="en-GB" w:eastAsia="en-US"/>
        </w:rPr>
        <w:fldChar w:fldCharType="end"/>
      </w:r>
      <w:r w:rsidR="00685B84">
        <w:rPr>
          <w:snapToGrid w:val="0"/>
          <w:lang w:val="en-GB" w:eastAsia="en-US"/>
        </w:rPr>
        <w:t xml:space="preserve">). </w:t>
      </w:r>
      <w:r w:rsidR="00102586">
        <w:t xml:space="preserve">Overall, </w:t>
      </w:r>
      <w:r w:rsidR="00102586">
        <w:rPr>
          <w:snapToGrid w:val="0"/>
          <w:lang w:val="en-GB" w:eastAsia="en-US"/>
        </w:rPr>
        <w:t>t</w:t>
      </w:r>
      <w:r w:rsidR="00102586" w:rsidRPr="00882841">
        <w:rPr>
          <w:snapToGrid w:val="0"/>
          <w:lang w:val="en-GB" w:eastAsia="en-US"/>
        </w:rPr>
        <w:t xml:space="preserve">he PBAC considered the pre-PBAC response economic model did not adequately address the concerns raised by the Committee in July 2023 or the subsequent concerns raised by the ESC in this consideration with inadequate justification provided to refute the changes requested. The PBAC considered that the </w:t>
      </w:r>
      <w:r w:rsidR="00DD7F25">
        <w:rPr>
          <w:snapToGrid w:val="0"/>
          <w:lang w:val="en-GB" w:eastAsia="en-US"/>
        </w:rPr>
        <w:t xml:space="preserve">pre-PBAC response </w:t>
      </w:r>
      <w:r w:rsidR="00102586">
        <w:rPr>
          <w:snapToGrid w:val="0"/>
          <w:lang w:val="en-GB" w:eastAsia="en-US"/>
        </w:rPr>
        <w:t>ICER</w:t>
      </w:r>
      <w:r w:rsidR="00102586" w:rsidRPr="00882841">
        <w:rPr>
          <w:snapToGrid w:val="0"/>
          <w:lang w:val="en-GB" w:eastAsia="en-US"/>
        </w:rPr>
        <w:t xml:space="preserve"> was high and uncertain</w:t>
      </w:r>
      <w:r w:rsidR="00DD7F25">
        <w:rPr>
          <w:snapToGrid w:val="0"/>
          <w:lang w:val="en-GB" w:eastAsia="en-US"/>
        </w:rPr>
        <w:t xml:space="preserve">. </w:t>
      </w:r>
      <w:r w:rsidR="00DD7F25" w:rsidRPr="00882841">
        <w:rPr>
          <w:snapToGrid w:val="0"/>
          <w:lang w:val="en-GB" w:eastAsia="en-US"/>
        </w:rPr>
        <w:t>Noting the modest price reductions provided in the pre-PBAC response, the PBAC advised that a revised economic model</w:t>
      </w:r>
      <w:r w:rsidR="009811F6">
        <w:rPr>
          <w:snapToGrid w:val="0"/>
          <w:lang w:val="en-GB" w:eastAsia="en-US"/>
        </w:rPr>
        <w:t xml:space="preserve"> </w:t>
      </w:r>
      <w:r w:rsidR="00DD7F25" w:rsidRPr="00882841">
        <w:rPr>
          <w:snapToGrid w:val="0"/>
          <w:lang w:val="en-GB" w:eastAsia="en-US"/>
        </w:rPr>
        <w:t>including a further price reduction would be required for the proposed listing to be considered cost-effective.</w:t>
      </w:r>
      <w:r w:rsidR="00DD7F25">
        <w:rPr>
          <w:snapToGrid w:val="0"/>
          <w:lang w:val="en-GB" w:eastAsia="en-US"/>
        </w:rPr>
        <w:t xml:space="preserve"> </w:t>
      </w:r>
      <w:r w:rsidR="009811F6">
        <w:rPr>
          <w:snapToGrid w:val="0"/>
          <w:lang w:val="en-GB" w:eastAsia="en-US"/>
        </w:rPr>
        <w:t xml:space="preserve">The PBAC considered the revised base case inputs and considerations proposed by the ESC in paragraph </w:t>
      </w:r>
      <w:r w:rsidR="009811F6">
        <w:rPr>
          <w:snapToGrid w:val="0"/>
          <w:lang w:val="en-GB" w:eastAsia="en-US"/>
        </w:rPr>
        <w:fldChar w:fldCharType="begin" w:fldLock="1"/>
      </w:r>
      <w:r w:rsidR="009811F6">
        <w:rPr>
          <w:snapToGrid w:val="0"/>
          <w:lang w:val="en-GB" w:eastAsia="en-US"/>
        </w:rPr>
        <w:instrText xml:space="preserve"> REF _Ref184281802 \r \h </w:instrText>
      </w:r>
      <w:r w:rsidR="009811F6">
        <w:rPr>
          <w:snapToGrid w:val="0"/>
          <w:lang w:val="en-GB" w:eastAsia="en-US"/>
        </w:rPr>
      </w:r>
      <w:r w:rsidR="009811F6">
        <w:rPr>
          <w:snapToGrid w:val="0"/>
          <w:lang w:val="en-GB" w:eastAsia="en-US"/>
        </w:rPr>
        <w:fldChar w:fldCharType="separate"/>
      </w:r>
      <w:r w:rsidR="0063358E">
        <w:rPr>
          <w:snapToGrid w:val="0"/>
          <w:lang w:val="en-GB" w:eastAsia="en-US"/>
        </w:rPr>
        <w:t>6.92</w:t>
      </w:r>
      <w:r w:rsidR="009811F6">
        <w:rPr>
          <w:snapToGrid w:val="0"/>
          <w:lang w:val="en-GB" w:eastAsia="en-US"/>
        </w:rPr>
        <w:fldChar w:fldCharType="end"/>
      </w:r>
      <w:r w:rsidR="009811F6">
        <w:rPr>
          <w:snapToGrid w:val="0"/>
          <w:lang w:val="en-GB" w:eastAsia="en-US"/>
        </w:rPr>
        <w:t xml:space="preserve"> remained appropriate as the basis for revisions to the economic model. </w:t>
      </w:r>
      <w:r w:rsidR="00260C3D">
        <w:rPr>
          <w:snapToGrid w:val="0"/>
          <w:lang w:val="en-GB" w:eastAsia="en-US"/>
        </w:rPr>
        <w:t>T</w:t>
      </w:r>
      <w:r w:rsidR="00420348">
        <w:rPr>
          <w:snapToGrid w:val="0"/>
          <w:lang w:val="en-GB" w:eastAsia="en-US"/>
        </w:rPr>
        <w:t xml:space="preserve">he PBAC </w:t>
      </w:r>
      <w:r w:rsidR="00260C3D">
        <w:rPr>
          <w:snapToGrid w:val="0"/>
          <w:lang w:val="en-GB" w:eastAsia="en-US"/>
        </w:rPr>
        <w:t xml:space="preserve">also </w:t>
      </w:r>
      <w:r w:rsidR="00420348">
        <w:rPr>
          <w:snapToGrid w:val="0"/>
          <w:lang w:val="en-GB" w:eastAsia="en-US"/>
        </w:rPr>
        <w:t xml:space="preserve">reaffirmed its July 2023 advice that an </w:t>
      </w:r>
      <w:r w:rsidR="000451C6" w:rsidRPr="000451C6">
        <w:rPr>
          <w:bCs/>
          <w:iCs/>
          <w:lang w:val="en-GB" w:eastAsia="en-US"/>
        </w:rPr>
        <w:t>ICER in the order of $30,000 per QALY would be appropriate.</w:t>
      </w:r>
    </w:p>
    <w:p w14:paraId="2E938D49" w14:textId="645CA938" w:rsidR="002831E2" w:rsidRDefault="00840E65" w:rsidP="008C2A25">
      <w:pPr>
        <w:pStyle w:val="COMexecsummnumbered"/>
        <w:rPr>
          <w:snapToGrid w:val="0"/>
          <w:lang w:val="en-GB" w:eastAsia="en-US"/>
        </w:rPr>
      </w:pPr>
      <w:bookmarkStart w:id="87" w:name="_Ref184278121"/>
      <w:r w:rsidRPr="00840E65">
        <w:rPr>
          <w:snapToGrid w:val="0"/>
          <w:lang w:val="en-GB" w:eastAsia="en-US"/>
        </w:rPr>
        <w:t xml:space="preserve">Although the resubmission was targeted towards a narrower population than the </w:t>
      </w:r>
      <w:r>
        <w:rPr>
          <w:snapToGrid w:val="0"/>
          <w:lang w:val="en-GB" w:eastAsia="en-US"/>
        </w:rPr>
        <w:t>July</w:t>
      </w:r>
      <w:r w:rsidR="00F57DBB">
        <w:rPr>
          <w:snapToGrid w:val="0"/>
          <w:lang w:val="en-GB" w:eastAsia="en-US"/>
        </w:rPr>
        <w:t> </w:t>
      </w:r>
      <w:r>
        <w:rPr>
          <w:snapToGrid w:val="0"/>
          <w:lang w:val="en-GB" w:eastAsia="en-US"/>
        </w:rPr>
        <w:t>2023</w:t>
      </w:r>
      <w:r w:rsidRPr="00840E65">
        <w:rPr>
          <w:snapToGrid w:val="0"/>
          <w:lang w:val="en-GB" w:eastAsia="en-US"/>
        </w:rPr>
        <w:t xml:space="preserve"> submission, the PBAC noted the estimated utilisation of tirzepatide and net cost to the PBS and RPBS </w:t>
      </w:r>
      <w:r w:rsidR="006F1518">
        <w:rPr>
          <w:snapToGrid w:val="0"/>
          <w:lang w:val="en-GB" w:eastAsia="en-US"/>
        </w:rPr>
        <w:t xml:space="preserve">presented in the resubmission </w:t>
      </w:r>
      <w:r w:rsidRPr="00840E65">
        <w:rPr>
          <w:snapToGrid w:val="0"/>
          <w:lang w:val="en-GB" w:eastAsia="en-US"/>
        </w:rPr>
        <w:t>w</w:t>
      </w:r>
      <w:r w:rsidR="006F1518">
        <w:rPr>
          <w:snapToGrid w:val="0"/>
          <w:lang w:val="en-GB" w:eastAsia="en-US"/>
        </w:rPr>
        <w:t>ere</w:t>
      </w:r>
      <w:r w:rsidRPr="00840E65">
        <w:rPr>
          <w:snapToGrid w:val="0"/>
          <w:lang w:val="en-GB" w:eastAsia="en-US"/>
        </w:rPr>
        <w:t xml:space="preserve"> substantially higher</w:t>
      </w:r>
      <w:r w:rsidR="006F1518">
        <w:rPr>
          <w:snapToGrid w:val="0"/>
          <w:lang w:val="en-GB" w:eastAsia="en-US"/>
        </w:rPr>
        <w:t xml:space="preserve"> that that seen previously</w:t>
      </w:r>
      <w:r w:rsidRPr="00840E65">
        <w:rPr>
          <w:snapToGrid w:val="0"/>
          <w:lang w:val="en-GB" w:eastAsia="en-US"/>
        </w:rPr>
        <w:t>.</w:t>
      </w:r>
      <w:r>
        <w:rPr>
          <w:snapToGrid w:val="0"/>
          <w:lang w:val="en-GB" w:eastAsia="en-US"/>
        </w:rPr>
        <w:t xml:space="preserve"> </w:t>
      </w:r>
      <w:r w:rsidR="008C305E" w:rsidRPr="001F3166">
        <w:t xml:space="preserve">The </w:t>
      </w:r>
      <w:r w:rsidR="008C305E">
        <w:t xml:space="preserve">PBAC noted the </w:t>
      </w:r>
      <w:r w:rsidR="008C305E" w:rsidRPr="001F3166">
        <w:t xml:space="preserve">ESC considered the </w:t>
      </w:r>
      <w:r w:rsidR="008C305E">
        <w:t>resubmission</w:t>
      </w:r>
      <w:r w:rsidR="00353090">
        <w:t>’s</w:t>
      </w:r>
      <w:r w:rsidR="008C305E">
        <w:t xml:space="preserve"> </w:t>
      </w:r>
      <w:r w:rsidR="008C305E" w:rsidRPr="001F3166">
        <w:t xml:space="preserve">estimated utilisation and financial estimates were extremely high and uncertain and not sufficiently reliable for PBAC decision-making. </w:t>
      </w:r>
      <w:r w:rsidR="008C305E">
        <w:t xml:space="preserve">The PBAC noted the pre-PBAC response provided revised financial estimates </w:t>
      </w:r>
      <w:r w:rsidR="00A51CA4">
        <w:t>which:</w:t>
      </w:r>
      <w:r w:rsidR="00260C3D">
        <w:t xml:space="preserve"> </w:t>
      </w:r>
      <w:r w:rsidR="00A51CA4">
        <w:t xml:space="preserve">changed the assumed duration of established eligibility of prevalent patients from 6 years to 3 years prior to the first PBS listing; </w:t>
      </w:r>
      <w:r w:rsidR="00A51CA4" w:rsidRPr="00A51CA4">
        <w:t>adjusted the starting point for extrapolating the newly eligible incident population to October 2022</w:t>
      </w:r>
      <w:r w:rsidR="00A51CA4">
        <w:t xml:space="preserve">; reduced the adherence rate </w:t>
      </w:r>
      <w:r w:rsidR="00A51CA4" w:rsidRPr="00B44835">
        <w:t>from 100% to 93%;</w:t>
      </w:r>
      <w:r w:rsidR="00A51CA4">
        <w:t xml:space="preserve"> amended the persistence rate (see </w:t>
      </w:r>
      <w:r w:rsidR="00A51CA4">
        <w:fldChar w:fldCharType="begin" w:fldLock="1"/>
      </w:r>
      <w:r w:rsidR="00A51CA4">
        <w:instrText xml:space="preserve"> REF _Ref104805262 \h </w:instrText>
      </w:r>
      <w:r w:rsidR="00A51CA4">
        <w:fldChar w:fldCharType="separate"/>
      </w:r>
      <w:r w:rsidR="00EE035D" w:rsidRPr="0076762E">
        <w:t xml:space="preserve">Table </w:t>
      </w:r>
      <w:r w:rsidR="00EE035D">
        <w:rPr>
          <w:noProof/>
        </w:rPr>
        <w:t>15</w:t>
      </w:r>
      <w:r w:rsidR="00A51CA4">
        <w:fldChar w:fldCharType="end"/>
      </w:r>
      <w:r w:rsidR="00A51CA4">
        <w:t>)</w:t>
      </w:r>
      <w:r w:rsidR="00353090">
        <w:t xml:space="preserve">; and included the </w:t>
      </w:r>
      <w:r w:rsidR="00353090" w:rsidRPr="00882841">
        <w:rPr>
          <w:snapToGrid w:val="0"/>
          <w:lang w:val="en-GB" w:eastAsia="en-US"/>
        </w:rPr>
        <w:t>price reductions provided in the pre-PBAC response</w:t>
      </w:r>
      <w:r w:rsidR="00A51CA4">
        <w:t xml:space="preserve">. </w:t>
      </w:r>
      <w:r w:rsidR="009209EE">
        <w:t xml:space="preserve">The PBAC noted that no change to the uptake rate was made in </w:t>
      </w:r>
      <w:r w:rsidR="009209EE">
        <w:lastRenderedPageBreak/>
        <w:t xml:space="preserve">the pre-PBAC response revised financial estimates and that despite amendments </w:t>
      </w:r>
      <w:r w:rsidR="00D64E13">
        <w:t xml:space="preserve">made </w:t>
      </w:r>
      <w:r w:rsidR="009209EE">
        <w:t xml:space="preserve">the </w:t>
      </w:r>
      <w:r w:rsidR="00D64E13">
        <w:t>persistence estimates</w:t>
      </w:r>
      <w:r w:rsidR="009209EE">
        <w:t xml:space="preserve"> remained considerably higher than applied in the economic model. </w:t>
      </w:r>
      <w:r w:rsidR="003D1B77">
        <w:t xml:space="preserve">The PBAC noted that the resulting net PBS/RPBS cost in the pre-PBAC response was </w:t>
      </w:r>
      <w:r w:rsidR="006F1518">
        <w:t xml:space="preserve">substantially </w:t>
      </w:r>
      <w:r w:rsidR="003D1B77">
        <w:t>lower than estimated in the resubmission</w:t>
      </w:r>
      <w:r w:rsidR="006F1518">
        <w:t>,</w:t>
      </w:r>
      <w:r w:rsidR="003D1B77">
        <w:t xml:space="preserve"> primarily due to a reduction in the estimated size of the eligible population. However, </w:t>
      </w:r>
      <w:r w:rsidR="003D1B77">
        <w:rPr>
          <w:snapToGrid w:val="0"/>
          <w:lang w:val="en-GB" w:eastAsia="en-US"/>
        </w:rPr>
        <w:t>t</w:t>
      </w:r>
      <w:r w:rsidR="008C305E">
        <w:t xml:space="preserve">he </w:t>
      </w:r>
      <w:r w:rsidR="003D1B77" w:rsidRPr="00882841">
        <w:rPr>
          <w:snapToGrid w:val="0"/>
          <w:lang w:val="en-GB" w:eastAsia="en-US"/>
        </w:rPr>
        <w:t xml:space="preserve">PBAC considered the financial impact </w:t>
      </w:r>
      <w:r w:rsidR="00353090">
        <w:rPr>
          <w:snapToGrid w:val="0"/>
          <w:lang w:val="en-GB" w:eastAsia="en-US"/>
        </w:rPr>
        <w:t xml:space="preserve">remained </w:t>
      </w:r>
      <w:r w:rsidR="003D1B77" w:rsidRPr="00882841">
        <w:rPr>
          <w:snapToGrid w:val="0"/>
          <w:lang w:val="en-GB" w:eastAsia="en-US"/>
        </w:rPr>
        <w:t xml:space="preserve">extremely high at the prices proposed in the pre-PBAC response </w:t>
      </w:r>
      <w:r w:rsidR="006F1518">
        <w:rPr>
          <w:snapToGrid w:val="0"/>
          <w:lang w:val="en-GB" w:eastAsia="en-US"/>
        </w:rPr>
        <w:t>and considered the</w:t>
      </w:r>
      <w:r w:rsidR="00542061">
        <w:rPr>
          <w:snapToGrid w:val="0"/>
          <w:lang w:val="en-GB" w:eastAsia="en-US"/>
        </w:rPr>
        <w:t xml:space="preserve"> impact</w:t>
      </w:r>
      <w:r w:rsidR="003D1B77" w:rsidRPr="00882841">
        <w:rPr>
          <w:snapToGrid w:val="0"/>
          <w:lang w:val="en-GB" w:eastAsia="en-US"/>
        </w:rPr>
        <w:t xml:space="preserve"> likely overestimated</w:t>
      </w:r>
      <w:r w:rsidR="006F1518">
        <w:rPr>
          <w:snapToGrid w:val="0"/>
          <w:lang w:val="en-GB" w:eastAsia="en-US"/>
        </w:rPr>
        <w:t xml:space="preserve">. </w:t>
      </w:r>
      <w:r w:rsidR="00353090">
        <w:rPr>
          <w:snapToGrid w:val="0"/>
          <w:lang w:val="en-GB" w:eastAsia="en-US"/>
        </w:rPr>
        <w:t>In addition, t</w:t>
      </w:r>
      <w:r w:rsidR="006F1518">
        <w:rPr>
          <w:snapToGrid w:val="0"/>
          <w:lang w:val="en-GB" w:eastAsia="en-US"/>
        </w:rPr>
        <w:t xml:space="preserve">he PBAC considered </w:t>
      </w:r>
      <w:r w:rsidR="00353090">
        <w:rPr>
          <w:snapToGrid w:val="0"/>
          <w:lang w:val="en-GB" w:eastAsia="en-US"/>
        </w:rPr>
        <w:t xml:space="preserve">the pre-PBAC response </w:t>
      </w:r>
      <w:r w:rsidR="00353090" w:rsidRPr="001F3166">
        <w:t xml:space="preserve">estimated </w:t>
      </w:r>
      <w:proofErr w:type="gramStart"/>
      <w:r w:rsidR="00353090" w:rsidRPr="001F3166">
        <w:t>utilisation</w:t>
      </w:r>
      <w:proofErr w:type="gramEnd"/>
      <w:r w:rsidR="00353090" w:rsidRPr="001F3166">
        <w:t xml:space="preserve"> and financial estimates</w:t>
      </w:r>
      <w:r w:rsidR="00353090" w:rsidRPr="00882841">
        <w:rPr>
          <w:snapToGrid w:val="0"/>
          <w:lang w:val="en-GB" w:eastAsia="en-US"/>
        </w:rPr>
        <w:t xml:space="preserve"> </w:t>
      </w:r>
      <w:r w:rsidR="00353090">
        <w:rPr>
          <w:snapToGrid w:val="0"/>
          <w:lang w:val="en-GB" w:eastAsia="en-US"/>
        </w:rPr>
        <w:t xml:space="preserve">were </w:t>
      </w:r>
      <w:r w:rsidR="003D1B77" w:rsidRPr="00882841">
        <w:rPr>
          <w:snapToGrid w:val="0"/>
          <w:lang w:val="en-GB" w:eastAsia="en-US"/>
        </w:rPr>
        <w:t xml:space="preserve">unable to be relied upon given </w:t>
      </w:r>
      <w:r w:rsidR="00353090">
        <w:rPr>
          <w:snapToGrid w:val="0"/>
          <w:lang w:val="en-GB" w:eastAsia="en-US"/>
        </w:rPr>
        <w:t xml:space="preserve">they had </w:t>
      </w:r>
      <w:r w:rsidR="003D1B77" w:rsidRPr="00882841">
        <w:rPr>
          <w:snapToGrid w:val="0"/>
          <w:lang w:val="en-GB" w:eastAsia="en-US"/>
        </w:rPr>
        <w:t xml:space="preserve">not </w:t>
      </w:r>
      <w:r w:rsidR="00353090">
        <w:rPr>
          <w:snapToGrid w:val="0"/>
          <w:lang w:val="en-GB" w:eastAsia="en-US"/>
        </w:rPr>
        <w:t xml:space="preserve">been </w:t>
      </w:r>
      <w:r w:rsidR="003D1B77" w:rsidRPr="00882841">
        <w:rPr>
          <w:snapToGrid w:val="0"/>
          <w:lang w:val="en-GB" w:eastAsia="en-US"/>
        </w:rPr>
        <w:t>evaluated.</w:t>
      </w:r>
      <w:bookmarkEnd w:id="87"/>
    </w:p>
    <w:p w14:paraId="0FF364FC" w14:textId="6F6AB4B4" w:rsidR="000F485D" w:rsidRPr="00420348" w:rsidRDefault="00AD2C6D" w:rsidP="008C2A25">
      <w:pPr>
        <w:pStyle w:val="COMexecsummnumbered"/>
        <w:rPr>
          <w:snapToGrid w:val="0"/>
          <w:lang w:val="en-GB" w:eastAsia="en-US"/>
        </w:rPr>
      </w:pPr>
      <w:r>
        <w:rPr>
          <w:snapToGrid w:val="0"/>
          <w:lang w:val="en-GB" w:eastAsia="en-US"/>
        </w:rPr>
        <w:t xml:space="preserve">The PBAC agreed with the ESC that an RSA would be required given the high risk of use outside of the restriction into the chronic weight management indication. </w:t>
      </w:r>
      <w:r w:rsidR="00353090">
        <w:rPr>
          <w:snapToGrid w:val="0"/>
          <w:lang w:val="en-GB" w:eastAsia="en-US"/>
        </w:rPr>
        <w:t>The PBAC noted that</w:t>
      </w:r>
      <w:r w:rsidR="00FC1F60">
        <w:rPr>
          <w:snapToGrid w:val="0"/>
          <w:lang w:val="en-GB" w:eastAsia="en-US"/>
        </w:rPr>
        <w:t xml:space="preserve"> the pre-PBAC response proposed an RSA based on the </w:t>
      </w:r>
      <w:r w:rsidR="00420348">
        <w:rPr>
          <w:snapToGrid w:val="0"/>
          <w:lang w:val="en-GB" w:eastAsia="en-US"/>
        </w:rPr>
        <w:t xml:space="preserve">revised financial estimates provided in the response. The PBAC considered the financial estimates were not sufficiently robust to be used for an RSA and advised that the arrangements proposed were </w:t>
      </w:r>
      <w:r w:rsidR="00D53E33" w:rsidRPr="00420348">
        <w:rPr>
          <w:snapToGrid w:val="0"/>
          <w:lang w:val="en-GB" w:eastAsia="en-US"/>
        </w:rPr>
        <w:t>unlikely to satisfactorily mitigate the risk to government of use outside of the proposed restriction.</w:t>
      </w:r>
    </w:p>
    <w:p w14:paraId="230E29EC" w14:textId="523DACF2" w:rsidR="00D744FC" w:rsidRPr="002D39C5" w:rsidRDefault="00882841" w:rsidP="008C2A25">
      <w:pPr>
        <w:widowControl w:val="0"/>
        <w:numPr>
          <w:ilvl w:val="1"/>
          <w:numId w:val="1"/>
        </w:numPr>
        <w:spacing w:after="120"/>
        <w:rPr>
          <w:rFonts w:asciiTheme="minorHAnsi" w:hAnsiTheme="minorHAnsi"/>
          <w:snapToGrid w:val="0"/>
          <w:lang w:val="en-GB" w:eastAsia="en-US"/>
        </w:rPr>
      </w:pPr>
      <w:r w:rsidRPr="00882841">
        <w:rPr>
          <w:rFonts w:asciiTheme="minorHAnsi" w:hAnsiTheme="minorHAnsi"/>
          <w:snapToGrid w:val="0"/>
          <w:lang w:val="en-GB" w:eastAsia="en-US"/>
        </w:rPr>
        <w:t xml:space="preserve">The PBAC </w:t>
      </w:r>
      <w:r w:rsidRPr="00193E17">
        <w:rPr>
          <w:rFonts w:asciiTheme="minorHAnsi" w:hAnsiTheme="minorHAnsi"/>
          <w:snapToGrid w:val="0"/>
          <w:lang w:val="en-GB" w:eastAsia="en-US"/>
        </w:rPr>
        <w:t>noted the pre-PBAC response identified the “opportunity cost of private market revenue” as a key consideration for the sponsor regarding the proposed PBS population,</w:t>
      </w:r>
      <w:r w:rsidRPr="00882841">
        <w:rPr>
          <w:rFonts w:asciiTheme="minorHAnsi" w:hAnsiTheme="minorHAnsi"/>
          <w:snapToGrid w:val="0"/>
          <w:lang w:val="en-GB" w:eastAsia="en-US"/>
        </w:rPr>
        <w:t xml:space="preserve"> the proposed RSA and ultimately the price offered to Government for a PBS listing for T2DM. </w:t>
      </w:r>
      <w:bookmarkEnd w:id="83"/>
    </w:p>
    <w:p w14:paraId="716B0C03" w14:textId="144592A1" w:rsidR="00D744FC" w:rsidRDefault="00D744FC" w:rsidP="008C2A25">
      <w:pPr>
        <w:pStyle w:val="COMexecsummnumbered"/>
        <w:rPr>
          <w:bCs/>
          <w:snapToGrid w:val="0"/>
          <w:lang w:val="en-GB" w:eastAsia="en-US"/>
        </w:rPr>
      </w:pPr>
      <w:r w:rsidRPr="00D744FC">
        <w:rPr>
          <w:bCs/>
          <w:snapToGrid w:val="0"/>
          <w:lang w:val="en-GB" w:eastAsia="en-US"/>
        </w:rPr>
        <w:t xml:space="preserve">The PBAC considered a resubmission for </w:t>
      </w:r>
      <w:r w:rsidR="00046275">
        <w:rPr>
          <w:bCs/>
          <w:snapToGrid w:val="0"/>
          <w:lang w:val="en-GB" w:eastAsia="en-US"/>
        </w:rPr>
        <w:t>tirzepatide</w:t>
      </w:r>
      <w:r w:rsidRPr="00D744FC">
        <w:rPr>
          <w:bCs/>
          <w:snapToGrid w:val="0"/>
          <w:lang w:val="en-GB" w:eastAsia="en-US"/>
        </w:rPr>
        <w:t xml:space="preserve"> should address the following issues:</w:t>
      </w:r>
    </w:p>
    <w:p w14:paraId="08CC437E" w14:textId="1AD97624" w:rsidR="00260C3D" w:rsidRPr="00EF2904" w:rsidRDefault="00260C3D" w:rsidP="008C2A25">
      <w:pPr>
        <w:pStyle w:val="COMexecsummnumbered"/>
        <w:numPr>
          <w:ilvl w:val="0"/>
          <w:numId w:val="18"/>
        </w:numPr>
      </w:pPr>
      <w:r w:rsidRPr="00EF2904">
        <w:t>Provide an economic model which</w:t>
      </w:r>
      <w:r w:rsidR="009811F6" w:rsidRPr="00EF2904">
        <w:t xml:space="preserve"> incorporates the inputs and addresses the considerations raised by the ESC in paragraph </w:t>
      </w:r>
      <w:r w:rsidR="009811F6" w:rsidRPr="00EF2904">
        <w:fldChar w:fldCharType="begin" w:fldLock="1"/>
      </w:r>
      <w:r w:rsidR="009811F6" w:rsidRPr="00EF2904">
        <w:instrText xml:space="preserve"> REF _Ref184281802 \r \h </w:instrText>
      </w:r>
      <w:r w:rsidR="00EF2904">
        <w:instrText xml:space="preserve"> \* MERGEFORMAT </w:instrText>
      </w:r>
      <w:r w:rsidR="009811F6" w:rsidRPr="00EF2904">
        <w:fldChar w:fldCharType="separate"/>
      </w:r>
      <w:r w:rsidR="00EE035D" w:rsidRPr="00EF2904">
        <w:t>6.92</w:t>
      </w:r>
      <w:r w:rsidR="009811F6" w:rsidRPr="00EF2904">
        <w:fldChar w:fldCharType="end"/>
      </w:r>
      <w:r w:rsidR="009811F6" w:rsidRPr="00EF2904">
        <w:t xml:space="preserve"> </w:t>
      </w:r>
      <w:r w:rsidRPr="00EF2904">
        <w:t>and a price reduction that results in an ICER in the order of $30,000 per QALY; and</w:t>
      </w:r>
    </w:p>
    <w:p w14:paraId="1B929BD5" w14:textId="49BB253B" w:rsidR="00046275" w:rsidRPr="00EF2904" w:rsidRDefault="00260C3D" w:rsidP="008C2A25">
      <w:pPr>
        <w:pStyle w:val="COMexecsummnumbered"/>
        <w:numPr>
          <w:ilvl w:val="0"/>
          <w:numId w:val="18"/>
        </w:numPr>
      </w:pPr>
      <w:r w:rsidRPr="00EF2904">
        <w:t xml:space="preserve">Provide revised financial estimates incorporating a revised price and addressing the issues outlined in </w:t>
      </w:r>
      <w:r w:rsidRPr="00EF2904">
        <w:fldChar w:fldCharType="begin" w:fldLock="1"/>
      </w:r>
      <w:r w:rsidRPr="00EF2904">
        <w:instrText xml:space="preserve"> REF _Ref184278121 \r \h </w:instrText>
      </w:r>
      <w:r w:rsidR="00EF2904">
        <w:instrText xml:space="preserve"> \* MERGEFORMAT </w:instrText>
      </w:r>
      <w:r w:rsidRPr="00EF2904">
        <w:fldChar w:fldCharType="separate"/>
      </w:r>
      <w:r w:rsidR="00EE035D" w:rsidRPr="00EF2904">
        <w:t>7.14</w:t>
      </w:r>
      <w:r w:rsidRPr="00EF2904">
        <w:fldChar w:fldCharType="end"/>
      </w:r>
      <w:r w:rsidRPr="00EF2904">
        <w:t>.</w:t>
      </w:r>
    </w:p>
    <w:p w14:paraId="7FAC93DF" w14:textId="5D0E1EE0" w:rsidR="009811F6" w:rsidRPr="00EF2904" w:rsidRDefault="009811F6" w:rsidP="008C2A25">
      <w:pPr>
        <w:pStyle w:val="COMexecsummnumbered"/>
        <w:numPr>
          <w:ilvl w:val="0"/>
          <w:numId w:val="18"/>
        </w:numPr>
      </w:pPr>
      <w:r w:rsidRPr="00EF2904">
        <w:t xml:space="preserve">Provide a revised RSA to address the high risk of use outside of the restriction. </w:t>
      </w:r>
    </w:p>
    <w:p w14:paraId="33C18913" w14:textId="1EB749FE" w:rsidR="00FF1320" w:rsidRPr="00EF2904" w:rsidRDefault="00FF1320" w:rsidP="008C2A25">
      <w:pPr>
        <w:pStyle w:val="COMexecsummnumbered"/>
        <w:numPr>
          <w:ilvl w:val="0"/>
          <w:numId w:val="18"/>
        </w:numPr>
      </w:pPr>
      <w:r w:rsidRPr="00EF2904">
        <w:t>Provide a revised restriction to address the PBAC recommendation regarding the restriction.</w:t>
      </w:r>
    </w:p>
    <w:p w14:paraId="74EA1987" w14:textId="04D6F78B" w:rsidR="00D744FC" w:rsidRDefault="00D744FC" w:rsidP="008C2A25">
      <w:pPr>
        <w:widowControl w:val="0"/>
        <w:spacing w:after="120"/>
        <w:ind w:left="720"/>
        <w:rPr>
          <w:rFonts w:asciiTheme="minorHAnsi" w:hAnsiTheme="minorHAnsi"/>
          <w:bCs/>
          <w:snapToGrid w:val="0"/>
          <w:lang w:val="en-GB" w:eastAsia="en-US"/>
        </w:rPr>
      </w:pPr>
      <w:r w:rsidRPr="00D744FC">
        <w:rPr>
          <w:rFonts w:asciiTheme="minorHAnsi" w:hAnsiTheme="minorHAnsi"/>
          <w:bCs/>
          <w:snapToGrid w:val="0"/>
          <w:lang w:val="en-GB" w:eastAsia="en-US"/>
        </w:rPr>
        <w:t>The resubmission may be lodged at any future standard due date for PBAC submissions using the standard re-entry pathway.</w:t>
      </w:r>
    </w:p>
    <w:p w14:paraId="33B1BE8E" w14:textId="36BF8C12" w:rsidR="002D39C5" w:rsidRPr="009F5F6C" w:rsidRDefault="009F5F6C" w:rsidP="008C2A25">
      <w:pPr>
        <w:widowControl w:val="0"/>
        <w:numPr>
          <w:ilvl w:val="1"/>
          <w:numId w:val="1"/>
        </w:numPr>
        <w:spacing w:after="120"/>
        <w:jc w:val="left"/>
        <w:rPr>
          <w:rFonts w:asciiTheme="minorHAnsi" w:hAnsiTheme="minorHAnsi"/>
          <w:bCs/>
          <w:i/>
          <w:snapToGrid w:val="0"/>
          <w:lang w:val="en-GB" w:eastAsia="en-US"/>
        </w:rPr>
      </w:pPr>
      <w:r w:rsidRPr="00A2714D">
        <w:rPr>
          <w:rFonts w:asciiTheme="minorHAnsi" w:hAnsiTheme="minorHAnsi"/>
          <w:bCs/>
          <w:snapToGrid w:val="0"/>
          <w:lang w:val="en-GB" w:eastAsia="en-US"/>
        </w:rPr>
        <w:t xml:space="preserve">The PBAC noted that this submission is eligible for an Independent Review. </w:t>
      </w:r>
    </w:p>
    <w:p w14:paraId="2D64DF1A" w14:textId="77777777" w:rsidR="00D744FC" w:rsidRPr="00D744FC" w:rsidRDefault="00D744FC" w:rsidP="00D744FC">
      <w:pPr>
        <w:spacing w:before="240"/>
        <w:rPr>
          <w:rFonts w:asciiTheme="minorHAnsi" w:hAnsiTheme="minorHAnsi"/>
          <w:b/>
          <w:bCs/>
          <w:snapToGrid w:val="0"/>
          <w:lang w:val="en-GB" w:eastAsia="en-US"/>
        </w:rPr>
      </w:pPr>
      <w:r w:rsidRPr="00D744FC">
        <w:rPr>
          <w:rFonts w:asciiTheme="minorHAnsi" w:hAnsiTheme="minorHAnsi"/>
          <w:b/>
          <w:bCs/>
          <w:snapToGrid w:val="0"/>
          <w:lang w:val="en-GB" w:eastAsia="en-US"/>
        </w:rPr>
        <w:t>Outcome:</w:t>
      </w:r>
    </w:p>
    <w:p w14:paraId="11E9F6C9" w14:textId="0BEA3E65" w:rsidR="00A3097D" w:rsidRDefault="00D744FC" w:rsidP="00882841">
      <w:pPr>
        <w:spacing w:after="120"/>
        <w:rPr>
          <w:rFonts w:asciiTheme="minorHAnsi" w:hAnsiTheme="minorHAnsi"/>
          <w:bCs/>
          <w:snapToGrid w:val="0"/>
          <w:lang w:val="en-GB" w:eastAsia="en-US"/>
        </w:rPr>
      </w:pPr>
      <w:r w:rsidRPr="00D744FC">
        <w:rPr>
          <w:rFonts w:asciiTheme="minorHAnsi" w:hAnsiTheme="minorHAnsi"/>
          <w:bCs/>
          <w:snapToGrid w:val="0"/>
          <w:lang w:val="en-GB" w:eastAsia="en-US"/>
        </w:rPr>
        <w:t>Not recommended</w:t>
      </w:r>
    </w:p>
    <w:p w14:paraId="70C16B39" w14:textId="77777777" w:rsidR="003E0501" w:rsidRPr="005B23D0" w:rsidRDefault="003E0501" w:rsidP="003E0501">
      <w:pPr>
        <w:pStyle w:val="COMH1-numbered"/>
      </w:pPr>
      <w:r w:rsidRPr="005B23D0">
        <w:lastRenderedPageBreak/>
        <w:t>Context for Decision</w:t>
      </w:r>
    </w:p>
    <w:p w14:paraId="473B5B99" w14:textId="77777777" w:rsidR="003E0501" w:rsidRPr="005B23D0" w:rsidRDefault="003E0501" w:rsidP="003E0501">
      <w:pPr>
        <w:spacing w:after="120"/>
        <w:ind w:left="720"/>
        <w:rPr>
          <w:bCs/>
          <w:lang w:val="en-GB"/>
        </w:rPr>
      </w:pPr>
      <w:r w:rsidRPr="005B23D0">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B35DA04" w14:textId="77777777" w:rsidR="003E0501" w:rsidRPr="005B23D0" w:rsidRDefault="003E0501" w:rsidP="003E0501">
      <w:pPr>
        <w:keepNext/>
        <w:numPr>
          <w:ilvl w:val="0"/>
          <w:numId w:val="1"/>
        </w:numPr>
        <w:spacing w:before="240" w:after="120"/>
        <w:jc w:val="left"/>
        <w:outlineLvl w:val="0"/>
        <w:rPr>
          <w:b/>
          <w:snapToGrid w:val="0"/>
          <w:sz w:val="32"/>
          <w:szCs w:val="32"/>
        </w:rPr>
      </w:pPr>
      <w:r w:rsidRPr="005B23D0">
        <w:rPr>
          <w:rFonts w:asciiTheme="minorHAnsi" w:hAnsiTheme="minorHAnsi"/>
          <w:b/>
          <w:snapToGrid w:val="0"/>
          <w:sz w:val="32"/>
          <w:szCs w:val="32"/>
        </w:rPr>
        <w:t>Sponsor’s Comment</w:t>
      </w:r>
    </w:p>
    <w:p w14:paraId="673C0E5A" w14:textId="19389FBC" w:rsidR="005B23D0" w:rsidRPr="00882841" w:rsidRDefault="003E0501" w:rsidP="00273631">
      <w:pPr>
        <w:spacing w:after="120" w:line="276" w:lineRule="auto"/>
        <w:ind w:left="720"/>
        <w:rPr>
          <w:rFonts w:asciiTheme="minorHAnsi" w:hAnsiTheme="minorHAnsi"/>
          <w:bCs/>
          <w:snapToGrid w:val="0"/>
          <w:lang w:val="en-GB" w:eastAsia="en-US"/>
        </w:rPr>
      </w:pPr>
      <w:r w:rsidRPr="005B23D0">
        <w:rPr>
          <w:rFonts w:eastAsia="Calibri"/>
          <w:bCs/>
          <w:szCs w:val="22"/>
          <w:lang w:eastAsia="en-US"/>
        </w:rPr>
        <w:t>The sponsor had no comment.</w:t>
      </w:r>
      <w:bookmarkEnd w:id="81"/>
      <w:bookmarkEnd w:id="82"/>
    </w:p>
    <w:sectPr w:rsidR="005B23D0" w:rsidRPr="00882841" w:rsidSect="008C2A25">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62A9" w14:textId="77777777" w:rsidR="0084194C" w:rsidRDefault="0084194C" w:rsidP="00124A51">
      <w:r>
        <w:separator/>
      </w:r>
    </w:p>
    <w:p w14:paraId="11CBD420" w14:textId="77777777" w:rsidR="0084194C" w:rsidRDefault="0084194C"/>
    <w:p w14:paraId="53958439" w14:textId="77777777" w:rsidR="0084194C" w:rsidRDefault="0084194C"/>
    <w:p w14:paraId="29FE6C2E" w14:textId="77777777" w:rsidR="0084194C" w:rsidRDefault="0084194C"/>
  </w:endnote>
  <w:endnote w:type="continuationSeparator" w:id="0">
    <w:p w14:paraId="3E6BCE26" w14:textId="77777777" w:rsidR="0084194C" w:rsidRDefault="0084194C" w:rsidP="00124A51">
      <w:r>
        <w:continuationSeparator/>
      </w:r>
    </w:p>
    <w:p w14:paraId="48D06B76" w14:textId="77777777" w:rsidR="0084194C" w:rsidRDefault="0084194C"/>
    <w:p w14:paraId="7EB757AB" w14:textId="77777777" w:rsidR="0084194C" w:rsidRDefault="0084194C"/>
    <w:p w14:paraId="5AAB381A" w14:textId="77777777" w:rsidR="0084194C" w:rsidRDefault="0084194C"/>
  </w:endnote>
  <w:endnote w:type="continuationNotice" w:id="1">
    <w:p w14:paraId="4D2B9EBE" w14:textId="77777777" w:rsidR="0084194C" w:rsidRDefault="0084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565B71D" w:rsidR="00D843F2" w:rsidRDefault="00D843F2" w:rsidP="00753B29">
    <w:pPr>
      <w:jc w:val="center"/>
    </w:pPr>
  </w:p>
  <w:p w14:paraId="37484CD3" w14:textId="37640ABE" w:rsidR="00D843F2" w:rsidRPr="007C1CD9" w:rsidRDefault="00151640" w:rsidP="00AB5410">
    <w:pPr>
      <w:pStyle w:val="PageFooter"/>
    </w:pPr>
    <w:sdt>
      <w:sdtPr>
        <w:id w:val="1036156457"/>
        <w:docPartObj>
          <w:docPartGallery w:val="Page Numbers (Bottom of Page)"/>
          <w:docPartUnique/>
        </w:docPartObj>
      </w:sdtPr>
      <w:sdtEndPr/>
      <w:sdtContent>
        <w:r w:rsidR="00D843F2">
          <w:fldChar w:fldCharType="begin"/>
        </w:r>
        <w:r w:rsidR="00D843F2">
          <w:instrText xml:space="preserve"> PAGE   \* MERGEFORMAT </w:instrText>
        </w:r>
        <w:r w:rsidR="00D843F2">
          <w:fldChar w:fldCharType="separate"/>
        </w:r>
        <w:r w:rsidR="00D843F2">
          <w:t>2</w:t>
        </w:r>
        <w:r w:rsidR="00D843F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EE77" w14:textId="77777777" w:rsidR="0084194C" w:rsidRDefault="0084194C" w:rsidP="00124A51">
      <w:r>
        <w:separator/>
      </w:r>
    </w:p>
    <w:p w14:paraId="69EE26DE" w14:textId="77777777" w:rsidR="0084194C" w:rsidRDefault="0084194C"/>
    <w:p w14:paraId="7055F21B" w14:textId="77777777" w:rsidR="0084194C" w:rsidRDefault="0084194C"/>
    <w:p w14:paraId="2C35DF62" w14:textId="77777777" w:rsidR="0084194C" w:rsidRDefault="0084194C"/>
  </w:footnote>
  <w:footnote w:type="continuationSeparator" w:id="0">
    <w:p w14:paraId="6701E11E" w14:textId="77777777" w:rsidR="0084194C" w:rsidRDefault="0084194C" w:rsidP="00124A51">
      <w:r>
        <w:continuationSeparator/>
      </w:r>
    </w:p>
    <w:p w14:paraId="4E262E50" w14:textId="77777777" w:rsidR="0084194C" w:rsidRDefault="0084194C"/>
    <w:p w14:paraId="29CB9AEA" w14:textId="77777777" w:rsidR="0084194C" w:rsidRDefault="0084194C"/>
    <w:p w14:paraId="0302D369" w14:textId="77777777" w:rsidR="0084194C" w:rsidRDefault="0084194C"/>
  </w:footnote>
  <w:footnote w:type="continuationNotice" w:id="1">
    <w:p w14:paraId="0C5F0A09" w14:textId="77777777" w:rsidR="0084194C" w:rsidRDefault="0084194C"/>
  </w:footnote>
  <w:footnote w:id="2">
    <w:p w14:paraId="5505F6FC" w14:textId="77777777" w:rsidR="009B34C0" w:rsidRDefault="009B34C0">
      <w:pPr>
        <w:pStyle w:val="FootnoteText"/>
        <w:rPr>
          <w:rFonts w:asciiTheme="minorHAnsi" w:hAnsiTheme="minorHAnsi" w:cstheme="minorHAnsi"/>
          <w:color w:val="45494B"/>
          <w:shd w:val="clear" w:color="auto" w:fill="FFFFFF"/>
        </w:rPr>
      </w:pPr>
      <w:r>
        <w:rPr>
          <w:rStyle w:val="FootnoteReference"/>
        </w:rPr>
        <w:footnoteRef/>
      </w:r>
      <w:r>
        <w:t xml:space="preserve"> </w:t>
      </w:r>
      <w:r w:rsidRPr="009B34C0">
        <w:rPr>
          <w:rFonts w:asciiTheme="minorHAnsi" w:hAnsiTheme="minorHAnsi" w:cstheme="minorHAnsi"/>
          <w:color w:val="45494B"/>
          <w:shd w:val="clear" w:color="auto" w:fill="FFFFFF"/>
        </w:rPr>
        <w:t>Australian Institute of Health and Welfare (AIHW) 2024, </w:t>
      </w:r>
      <w:r w:rsidRPr="009B34C0">
        <w:rPr>
          <w:rStyle w:val="Emphasis"/>
          <w:rFonts w:asciiTheme="minorHAnsi" w:hAnsiTheme="minorHAnsi" w:cstheme="minorHAnsi"/>
          <w:color w:val="45494B"/>
          <w:shd w:val="clear" w:color="auto" w:fill="FFFFFF"/>
        </w:rPr>
        <w:t>Diabetes: Australian facts</w:t>
      </w:r>
      <w:r w:rsidRPr="009B34C0">
        <w:rPr>
          <w:rFonts w:asciiTheme="minorHAnsi" w:hAnsiTheme="minorHAnsi" w:cstheme="minorHAnsi"/>
          <w:color w:val="45494B"/>
          <w:shd w:val="clear" w:color="auto" w:fill="FFFFFF"/>
        </w:rPr>
        <w:t>,</w:t>
      </w:r>
    </w:p>
    <w:p w14:paraId="3F635E7F" w14:textId="289E1E87" w:rsidR="009B34C0" w:rsidRPr="009B34C0" w:rsidRDefault="009B34C0">
      <w:pPr>
        <w:pStyle w:val="FootnoteText"/>
        <w:rPr>
          <w:rFonts w:asciiTheme="minorHAnsi" w:hAnsiTheme="minorHAnsi" w:cstheme="minorHAnsi"/>
        </w:rPr>
      </w:pPr>
      <w:r w:rsidRPr="009B34C0">
        <w:rPr>
          <w:rFonts w:asciiTheme="minorHAnsi" w:hAnsiTheme="minorHAnsi" w:cstheme="minorHAnsi"/>
          <w:color w:val="45494B"/>
          <w:shd w:val="clear" w:color="auto" w:fill="FFFFFF"/>
        </w:rPr>
        <w:t xml:space="preserve"> https://www.aihw.gov.au/reports/diabetes/diabetes</w:t>
      </w:r>
    </w:p>
  </w:footnote>
  <w:footnote w:id="3">
    <w:p w14:paraId="003C96CF" w14:textId="3A68189D" w:rsidR="00756570" w:rsidRDefault="00756570">
      <w:pPr>
        <w:pStyle w:val="FootnoteText"/>
      </w:pPr>
      <w:r>
        <w:rPr>
          <w:rStyle w:val="FootnoteReference"/>
        </w:rPr>
        <w:footnoteRef/>
      </w:r>
      <w:r>
        <w:t xml:space="preserve"> </w:t>
      </w:r>
      <w:r w:rsidRPr="00D0675D">
        <w:rPr>
          <w:rStyle w:val="cf01"/>
          <w:rFonts w:asciiTheme="minorHAnsi" w:hAnsiTheme="minorHAnsi" w:cstheme="minorHAnsi"/>
          <w:sz w:val="20"/>
          <w:szCs w:val="20"/>
        </w:rPr>
        <w:t>Note that the results presented in Paragraph 6.12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footnote>
  <w:footnote w:id="4">
    <w:p w14:paraId="556832F7" w14:textId="02C2CE55" w:rsidR="00083418" w:rsidRDefault="00083418">
      <w:pPr>
        <w:pStyle w:val="FootnoteText"/>
      </w:pPr>
      <w:r>
        <w:rPr>
          <w:rStyle w:val="FootnoteReference"/>
        </w:rPr>
        <w:footnoteRef/>
      </w:r>
      <w:r>
        <w:t xml:space="preserve"> </w:t>
      </w:r>
      <w:r w:rsidRPr="00D705D0">
        <w:t xml:space="preserve">Chuang, M. H., J. Y. Chen, H. Y. Wang, Z. H. Jiang, and V. C. Wu. 2024. "Clinical Outcomes of Tirzepatide or GLP-1 Receptor Agonists in Individuals With Type 2 Diabetes." </w:t>
      </w:r>
      <w:r w:rsidRPr="00D705D0">
        <w:rPr>
          <w:i/>
        </w:rPr>
        <w:t>JAMA Netw Open</w:t>
      </w:r>
      <w:r w:rsidRPr="00D705D0">
        <w:t xml:space="preserve"> 7 (8):e2427258.</w:t>
      </w:r>
    </w:p>
  </w:footnote>
  <w:footnote w:id="5">
    <w:p w14:paraId="6BD6B060" w14:textId="5AF697D8" w:rsidR="005B128A" w:rsidRDefault="005B128A">
      <w:pPr>
        <w:pStyle w:val="FootnoteText"/>
      </w:pPr>
      <w:r>
        <w:rPr>
          <w:rStyle w:val="FootnoteReference"/>
        </w:rPr>
        <w:footnoteRef/>
      </w:r>
      <w:r>
        <w:t xml:space="preserve"> </w:t>
      </w:r>
      <w:r w:rsidR="00E46968" w:rsidRPr="00E46968">
        <w:t xml:space="preserve">Hathaway, Jimena Tatiana et al. “Risk of Nonarteritic Anterior Ischemic Optic Neuropathy in Patients Prescribed Semaglutide.” </w:t>
      </w:r>
      <w:r w:rsidR="00E46968" w:rsidRPr="0006117A">
        <w:rPr>
          <w:i/>
          <w:iCs/>
        </w:rPr>
        <w:t>JAMA ophthalmology</w:t>
      </w:r>
      <w:r w:rsidR="00E46968" w:rsidRPr="00E46968">
        <w:t xml:space="preserve"> vol. 142,8 (2024): 732-739.</w:t>
      </w:r>
    </w:p>
  </w:footnote>
  <w:footnote w:id="6">
    <w:p w14:paraId="2E2A6FC7" w14:textId="7BDFC782" w:rsidR="00083418" w:rsidRDefault="00083418">
      <w:pPr>
        <w:pStyle w:val="FootnoteText"/>
      </w:pPr>
      <w:r>
        <w:rPr>
          <w:rStyle w:val="FootnoteReference"/>
        </w:rPr>
        <w:footnoteRef/>
      </w:r>
      <w:r>
        <w:t xml:space="preserve"> </w:t>
      </w:r>
      <w:r w:rsidRPr="00D705D0">
        <w:t xml:space="preserve">Chuang, M. H., J. Y. Chen, H. Y. Wang, Z. H. Jiang, and V. C. Wu. 2024. "Clinical Outcomes of Tirzepatide or GLP-1 Receptor Agonists in Individuals With Type 2 Diabetes." </w:t>
      </w:r>
      <w:r w:rsidRPr="00D705D0">
        <w:rPr>
          <w:i/>
        </w:rPr>
        <w:t>JAMA Netw Open</w:t>
      </w:r>
      <w:r w:rsidRPr="00D705D0">
        <w:t xml:space="preserve"> 7 (8):e2427258.</w:t>
      </w:r>
    </w:p>
  </w:footnote>
  <w:footnote w:id="7">
    <w:p w14:paraId="57057AA5" w14:textId="6A515289" w:rsidR="00C02A0F" w:rsidRDefault="00C02A0F">
      <w:pPr>
        <w:pStyle w:val="FootnoteText"/>
      </w:pPr>
      <w:r>
        <w:rPr>
          <w:rStyle w:val="FootnoteReference"/>
        </w:rPr>
        <w:footnoteRef/>
      </w:r>
      <w:r>
        <w:t xml:space="preserve"> </w:t>
      </w:r>
      <w:r w:rsidRPr="00C02A0F">
        <w:rPr>
          <w:rStyle w:val="cf01"/>
          <w:rFonts w:asciiTheme="minorHAnsi" w:hAnsiTheme="minorHAnsi" w:cstheme="minorHAnsi"/>
          <w:sz w:val="20"/>
          <w:szCs w:val="20"/>
        </w:rPr>
        <w:t>Note that the results presented in Table 10 are derived from post-hoc analyses conducted by the applicant specifically for the purposes of informing the PBAC consideration. These analyses were not part of the pre-specified statistical plan for Study SURPASS-2.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3017E34" w:rsidR="00D843F2" w:rsidRPr="00224DA7" w:rsidRDefault="00B62690" w:rsidP="00A51C91">
    <w:pPr>
      <w:pStyle w:val="Header"/>
      <w:rPr>
        <w:rFonts w:asciiTheme="minorHAnsi" w:hAnsiTheme="minorHAnsi"/>
      </w:rPr>
    </w:pPr>
    <w:r w:rsidRPr="00224DA7">
      <w:t>Public Summary Document</w:t>
    </w:r>
    <w:r w:rsidRPr="00224DA7" w:rsidDel="00AC69EE">
      <w:t xml:space="preserve"> </w:t>
    </w:r>
    <w:r w:rsidR="00D916B0" w:rsidRPr="00224DA7">
      <w:rPr>
        <w:rFonts w:asciiTheme="minorHAnsi" w:hAnsiTheme="minorHAnsi"/>
      </w:rPr>
      <w:t xml:space="preserve">- </w:t>
    </w:r>
    <w:r w:rsidR="00AA6E0C" w:rsidRPr="00224DA7">
      <w:rPr>
        <w:rFonts w:asciiTheme="minorHAnsi" w:hAnsiTheme="minorHAnsi"/>
      </w:rPr>
      <w:t>November</w:t>
    </w:r>
    <w:r w:rsidR="00D843F2" w:rsidRPr="00224DA7">
      <w:rPr>
        <w:rFonts w:asciiTheme="minorHAnsi" w:hAnsiTheme="minorHAnsi"/>
      </w:rPr>
      <w:t xml:space="preserve"> 202</w:t>
    </w:r>
    <w:r w:rsidR="00AA6E0C" w:rsidRPr="00224DA7">
      <w:rPr>
        <w:rFonts w:asciiTheme="minorHAnsi" w:hAnsiTheme="minorHAnsi"/>
      </w:rPr>
      <w:t>4</w:t>
    </w:r>
    <w:r w:rsidR="00D843F2" w:rsidRPr="00224DA7">
      <w:rPr>
        <w:rFonts w:asciiTheme="minorHAnsi" w:hAnsiTheme="minorHAnsi"/>
      </w:rPr>
      <w:t xml:space="preserve"> 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F67856"/>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530CA4"/>
    <w:multiLevelType w:val="hybridMultilevel"/>
    <w:tmpl w:val="ECAE77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9B0E1F"/>
    <w:multiLevelType w:val="hybridMultilevel"/>
    <w:tmpl w:val="8DD4898A"/>
    <w:lvl w:ilvl="0" w:tplc="0C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FD7956"/>
    <w:multiLevelType w:val="hybridMultilevel"/>
    <w:tmpl w:val="391A2874"/>
    <w:lvl w:ilvl="0" w:tplc="4C0A933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925D0"/>
    <w:multiLevelType w:val="hybridMultilevel"/>
    <w:tmpl w:val="28489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C81BB9"/>
    <w:multiLevelType w:val="hybridMultilevel"/>
    <w:tmpl w:val="4B962106"/>
    <w:lvl w:ilvl="0" w:tplc="399A3B2E">
      <w:numFmt w:val="bullet"/>
      <w:lvlText w:val="-"/>
      <w:lvlJc w:val="left"/>
      <w:pPr>
        <w:ind w:left="1494" w:hanging="360"/>
      </w:pPr>
      <w:rPr>
        <w:rFonts w:ascii="Calibri" w:eastAsia="Calibri" w:hAnsi="Calibri" w:cs="Calibri" w:hint="default"/>
      </w:rPr>
    </w:lvl>
    <w:lvl w:ilvl="1" w:tplc="FFFFFFFF">
      <w:start w:val="1"/>
      <w:numFmt w:val="bullet"/>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1FB219F8"/>
    <w:multiLevelType w:val="hybridMultilevel"/>
    <w:tmpl w:val="EE0E1618"/>
    <w:lvl w:ilvl="0" w:tplc="4F38898A">
      <w:start w:val="1"/>
      <w:numFmt w:val="bullet"/>
      <w:pStyle w:val="COMexecsummmainissuesbullets"/>
      <w:lvlText w:val=""/>
      <w:lvlJc w:val="left"/>
      <w:pPr>
        <w:ind w:left="720" w:hanging="360"/>
      </w:pPr>
      <w:rPr>
        <w:rFonts w:ascii="Symbol" w:hAnsi="Symbol" w:hint="default"/>
      </w:rPr>
    </w:lvl>
    <w:lvl w:ilvl="1" w:tplc="F702CE4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4E95"/>
    <w:multiLevelType w:val="hybridMultilevel"/>
    <w:tmpl w:val="0CD22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534478A"/>
    <w:multiLevelType w:val="hybridMultilevel"/>
    <w:tmpl w:val="9BBC21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0027FF"/>
    <w:multiLevelType w:val="hybridMultilevel"/>
    <w:tmpl w:val="2B1EAB5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0" w15:restartNumberingAfterBreak="0">
    <w:nsid w:val="3B3636AE"/>
    <w:multiLevelType w:val="multilevel"/>
    <w:tmpl w:val="0E28873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5036FF"/>
    <w:multiLevelType w:val="hybridMultilevel"/>
    <w:tmpl w:val="08BED4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F5216"/>
    <w:multiLevelType w:val="hybridMultilevel"/>
    <w:tmpl w:val="28489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4643B"/>
    <w:multiLevelType w:val="hybridMultilevel"/>
    <w:tmpl w:val="FC9EFBE8"/>
    <w:lvl w:ilvl="0" w:tplc="FFFFFFFF">
      <w:start w:val="1"/>
      <w:numFmt w:val="lowerLetter"/>
      <w:lvlText w:val="(%1)"/>
      <w:lvlJc w:val="left"/>
      <w:pPr>
        <w:ind w:left="720" w:hanging="360"/>
      </w:pPr>
      <w:rPr>
        <w:rFonts w:ascii="Arial Narrow" w:eastAsiaTheme="minorHAnsi" w:hAnsi="Arial Narrow"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026B6A"/>
    <w:multiLevelType w:val="hybridMultilevel"/>
    <w:tmpl w:val="28489772"/>
    <w:lvl w:ilvl="0" w:tplc="D9F40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3338AD"/>
    <w:multiLevelType w:val="hybridMultilevel"/>
    <w:tmpl w:val="FC9EFBE8"/>
    <w:lvl w:ilvl="0" w:tplc="89564732">
      <w:start w:val="1"/>
      <w:numFmt w:val="lowerLetter"/>
      <w:lvlText w:val="(%1)"/>
      <w:lvlJc w:val="left"/>
      <w:pPr>
        <w:ind w:left="720" w:hanging="360"/>
      </w:pPr>
      <w:rPr>
        <w:rFonts w:ascii="Arial Narrow" w:eastAsiaTheme="minorHAnsi" w:hAnsi="Arial Narrow"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E622AB"/>
    <w:multiLevelType w:val="hybridMultilevel"/>
    <w:tmpl w:val="D826C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98131B"/>
    <w:multiLevelType w:val="hybridMultilevel"/>
    <w:tmpl w:val="4A74BDC6"/>
    <w:lvl w:ilvl="0" w:tplc="FFFFFFFF">
      <w:start w:val="1"/>
      <w:numFmt w:val="bullet"/>
      <w:lvlText w:val="o"/>
      <w:lvlJc w:val="left"/>
      <w:pPr>
        <w:ind w:left="1494" w:hanging="360"/>
      </w:pPr>
      <w:rPr>
        <w:rFonts w:ascii="Courier New" w:hAnsi="Courier New" w:hint="default"/>
      </w:rPr>
    </w:lvl>
    <w:lvl w:ilvl="1" w:tplc="FFFFFFFF">
      <w:start w:val="1"/>
      <w:numFmt w:val="bullet"/>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B97B0F"/>
    <w:multiLevelType w:val="hybridMultilevel"/>
    <w:tmpl w:val="A67678F0"/>
    <w:lvl w:ilvl="0" w:tplc="58843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6068C"/>
    <w:multiLevelType w:val="hybridMultilevel"/>
    <w:tmpl w:val="08BED4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6186631">
    <w:abstractNumId w:val="20"/>
  </w:num>
  <w:num w:numId="2" w16cid:durableId="917793048">
    <w:abstractNumId w:val="12"/>
  </w:num>
  <w:num w:numId="3" w16cid:durableId="521091235">
    <w:abstractNumId w:val="0"/>
  </w:num>
  <w:num w:numId="4" w16cid:durableId="2123836775">
    <w:abstractNumId w:val="14"/>
  </w:num>
  <w:num w:numId="5" w16cid:durableId="690643893">
    <w:abstractNumId w:val="6"/>
  </w:num>
  <w:num w:numId="6" w16cid:durableId="821656349">
    <w:abstractNumId w:val="18"/>
  </w:num>
  <w:num w:numId="7" w16cid:durableId="1211041626">
    <w:abstractNumId w:val="5"/>
  </w:num>
  <w:num w:numId="8" w16cid:durableId="896864993">
    <w:abstractNumId w:val="3"/>
  </w:num>
  <w:num w:numId="9" w16cid:durableId="1810782755">
    <w:abstractNumId w:val="2"/>
  </w:num>
  <w:num w:numId="10" w16cid:durableId="979698290">
    <w:abstractNumId w:val="16"/>
  </w:num>
  <w:num w:numId="11" w16cid:durableId="1273778873">
    <w:abstractNumId w:val="4"/>
  </w:num>
  <w:num w:numId="12" w16cid:durableId="1403989453">
    <w:abstractNumId w:val="13"/>
  </w:num>
  <w:num w:numId="13" w16cid:durableId="1278416725">
    <w:abstractNumId w:val="17"/>
  </w:num>
  <w:num w:numId="14" w16cid:durableId="265962592">
    <w:abstractNumId w:val="11"/>
  </w:num>
  <w:num w:numId="15" w16cid:durableId="58286316">
    <w:abstractNumId w:val="15"/>
  </w:num>
  <w:num w:numId="16" w16cid:durableId="1492916083">
    <w:abstractNumId w:val="22"/>
  </w:num>
  <w:num w:numId="17" w16cid:durableId="2004040832">
    <w:abstractNumId w:val="9"/>
  </w:num>
  <w:num w:numId="18" w16cid:durableId="1378817960">
    <w:abstractNumId w:val="8"/>
  </w:num>
  <w:num w:numId="19" w16cid:durableId="2102605857">
    <w:abstractNumId w:val="20"/>
  </w:num>
  <w:num w:numId="20" w16cid:durableId="1997681307">
    <w:abstractNumId w:val="20"/>
  </w:num>
  <w:num w:numId="21" w16cid:durableId="864440700">
    <w:abstractNumId w:val="20"/>
  </w:num>
  <w:num w:numId="22" w16cid:durableId="919825310">
    <w:abstractNumId w:val="20"/>
  </w:num>
  <w:num w:numId="23" w16cid:durableId="116947003">
    <w:abstractNumId w:val="14"/>
  </w:num>
  <w:num w:numId="24" w16cid:durableId="814028912">
    <w:abstractNumId w:val="21"/>
  </w:num>
  <w:num w:numId="25" w16cid:durableId="810633973">
    <w:abstractNumId w:val="1"/>
  </w:num>
  <w:num w:numId="26" w16cid:durableId="1396080297">
    <w:abstractNumId w:val="14"/>
  </w:num>
  <w:num w:numId="27" w16cid:durableId="84738150">
    <w:abstractNumId w:val="20"/>
  </w:num>
  <w:num w:numId="28" w16cid:durableId="393964601">
    <w:abstractNumId w:val="20"/>
  </w:num>
  <w:num w:numId="29" w16cid:durableId="410933915">
    <w:abstractNumId w:val="20"/>
  </w:num>
  <w:num w:numId="30" w16cid:durableId="1884712959">
    <w:abstractNumId w:val="14"/>
  </w:num>
  <w:num w:numId="31" w16cid:durableId="214776607">
    <w:abstractNumId w:val="7"/>
  </w:num>
  <w:num w:numId="32" w16cid:durableId="1730762225">
    <w:abstractNumId w:val="14"/>
  </w:num>
  <w:num w:numId="33" w16cid:durableId="190994495">
    <w:abstractNumId w:val="20"/>
  </w:num>
  <w:num w:numId="34" w16cid:durableId="822163413">
    <w:abstractNumId w:val="20"/>
  </w:num>
  <w:num w:numId="35" w16cid:durableId="1316184467">
    <w:abstractNumId w:val="20"/>
  </w:num>
  <w:num w:numId="36" w16cid:durableId="1786927422">
    <w:abstractNumId w:val="20"/>
  </w:num>
  <w:num w:numId="37" w16cid:durableId="1894149763">
    <w:abstractNumId w:val="20"/>
  </w:num>
  <w:num w:numId="38" w16cid:durableId="1018629137">
    <w:abstractNumId w:val="20"/>
  </w:num>
  <w:num w:numId="39" w16cid:durableId="420681084">
    <w:abstractNumId w:val="20"/>
  </w:num>
  <w:num w:numId="40" w16cid:durableId="319358112">
    <w:abstractNumId w:val="20"/>
  </w:num>
  <w:num w:numId="41" w16cid:durableId="1535771497">
    <w:abstractNumId w:val="20"/>
  </w:num>
  <w:num w:numId="42" w16cid:durableId="1226069955">
    <w:abstractNumId w:val="20"/>
  </w:num>
  <w:num w:numId="43" w16cid:durableId="693457521">
    <w:abstractNumId w:val="20"/>
  </w:num>
  <w:num w:numId="44" w16cid:durableId="1679698447">
    <w:abstractNumId w:val="20"/>
  </w:num>
  <w:num w:numId="45" w16cid:durableId="1520121336">
    <w:abstractNumId w:val="20"/>
  </w:num>
  <w:num w:numId="46" w16cid:durableId="1244148801">
    <w:abstractNumId w:val="20"/>
  </w:num>
  <w:num w:numId="47" w16cid:durableId="1365977472">
    <w:abstractNumId w:val="20"/>
  </w:num>
  <w:num w:numId="48" w16cid:durableId="1996567200">
    <w:abstractNumId w:val="20"/>
  </w:num>
  <w:num w:numId="49" w16cid:durableId="1434672340">
    <w:abstractNumId w:val="10"/>
  </w:num>
  <w:num w:numId="50" w16cid:durableId="4175311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B1"/>
    <w:rsid w:val="00000790"/>
    <w:rsid w:val="00000889"/>
    <w:rsid w:val="00000942"/>
    <w:rsid w:val="00000FB8"/>
    <w:rsid w:val="0000110B"/>
    <w:rsid w:val="00001684"/>
    <w:rsid w:val="00001A05"/>
    <w:rsid w:val="00001D73"/>
    <w:rsid w:val="00001F78"/>
    <w:rsid w:val="00002088"/>
    <w:rsid w:val="000023E3"/>
    <w:rsid w:val="0000278A"/>
    <w:rsid w:val="000029D7"/>
    <w:rsid w:val="00002A04"/>
    <w:rsid w:val="00002BC6"/>
    <w:rsid w:val="00002FAD"/>
    <w:rsid w:val="00003415"/>
    <w:rsid w:val="00003499"/>
    <w:rsid w:val="000036D2"/>
    <w:rsid w:val="000039B7"/>
    <w:rsid w:val="00003AD5"/>
    <w:rsid w:val="00003B1E"/>
    <w:rsid w:val="00003BD7"/>
    <w:rsid w:val="00004157"/>
    <w:rsid w:val="0000441D"/>
    <w:rsid w:val="00004578"/>
    <w:rsid w:val="00004988"/>
    <w:rsid w:val="00004C03"/>
    <w:rsid w:val="000053ED"/>
    <w:rsid w:val="000056B9"/>
    <w:rsid w:val="0000639A"/>
    <w:rsid w:val="00006812"/>
    <w:rsid w:val="00006DF8"/>
    <w:rsid w:val="00007265"/>
    <w:rsid w:val="0000755C"/>
    <w:rsid w:val="00007753"/>
    <w:rsid w:val="00010582"/>
    <w:rsid w:val="00010961"/>
    <w:rsid w:val="00010F85"/>
    <w:rsid w:val="000110E0"/>
    <w:rsid w:val="00011E52"/>
    <w:rsid w:val="00013247"/>
    <w:rsid w:val="000133D9"/>
    <w:rsid w:val="0001367A"/>
    <w:rsid w:val="00013740"/>
    <w:rsid w:val="00013887"/>
    <w:rsid w:val="00013DD2"/>
    <w:rsid w:val="00013E92"/>
    <w:rsid w:val="00014F10"/>
    <w:rsid w:val="00015715"/>
    <w:rsid w:val="00015886"/>
    <w:rsid w:val="000162CF"/>
    <w:rsid w:val="000162EF"/>
    <w:rsid w:val="000163AE"/>
    <w:rsid w:val="000164C7"/>
    <w:rsid w:val="00016842"/>
    <w:rsid w:val="00016F5D"/>
    <w:rsid w:val="0001734B"/>
    <w:rsid w:val="00017BB8"/>
    <w:rsid w:val="00020134"/>
    <w:rsid w:val="0002015C"/>
    <w:rsid w:val="000207C9"/>
    <w:rsid w:val="00020C38"/>
    <w:rsid w:val="00020DC7"/>
    <w:rsid w:val="00021151"/>
    <w:rsid w:val="000212DA"/>
    <w:rsid w:val="00021574"/>
    <w:rsid w:val="0002225F"/>
    <w:rsid w:val="00022726"/>
    <w:rsid w:val="00022D53"/>
    <w:rsid w:val="00022E2E"/>
    <w:rsid w:val="000236E9"/>
    <w:rsid w:val="00023763"/>
    <w:rsid w:val="00023914"/>
    <w:rsid w:val="00023B68"/>
    <w:rsid w:val="00023F09"/>
    <w:rsid w:val="000243F7"/>
    <w:rsid w:val="000244DD"/>
    <w:rsid w:val="000247C4"/>
    <w:rsid w:val="00024974"/>
    <w:rsid w:val="00024A58"/>
    <w:rsid w:val="00024EB5"/>
    <w:rsid w:val="000250D4"/>
    <w:rsid w:val="000254C8"/>
    <w:rsid w:val="00025B03"/>
    <w:rsid w:val="00026094"/>
    <w:rsid w:val="00026175"/>
    <w:rsid w:val="0002626D"/>
    <w:rsid w:val="000263A0"/>
    <w:rsid w:val="00027165"/>
    <w:rsid w:val="000274B8"/>
    <w:rsid w:val="000275E5"/>
    <w:rsid w:val="00027972"/>
    <w:rsid w:val="00027D16"/>
    <w:rsid w:val="00027EF1"/>
    <w:rsid w:val="000301D2"/>
    <w:rsid w:val="00030388"/>
    <w:rsid w:val="000304CB"/>
    <w:rsid w:val="00030A48"/>
    <w:rsid w:val="00030FF3"/>
    <w:rsid w:val="0003151E"/>
    <w:rsid w:val="00031E9F"/>
    <w:rsid w:val="00032C98"/>
    <w:rsid w:val="00033000"/>
    <w:rsid w:val="000333F3"/>
    <w:rsid w:val="00033863"/>
    <w:rsid w:val="000339F6"/>
    <w:rsid w:val="000345C0"/>
    <w:rsid w:val="00034739"/>
    <w:rsid w:val="00034AAE"/>
    <w:rsid w:val="00034ED2"/>
    <w:rsid w:val="0003503F"/>
    <w:rsid w:val="0003576F"/>
    <w:rsid w:val="00035777"/>
    <w:rsid w:val="000357DB"/>
    <w:rsid w:val="00035C43"/>
    <w:rsid w:val="00035DC0"/>
    <w:rsid w:val="00035DF9"/>
    <w:rsid w:val="000363E3"/>
    <w:rsid w:val="00036746"/>
    <w:rsid w:val="00036797"/>
    <w:rsid w:val="00036829"/>
    <w:rsid w:val="00036849"/>
    <w:rsid w:val="000373C8"/>
    <w:rsid w:val="000376AA"/>
    <w:rsid w:val="00037CF0"/>
    <w:rsid w:val="00037F82"/>
    <w:rsid w:val="00040182"/>
    <w:rsid w:val="0004027E"/>
    <w:rsid w:val="00040399"/>
    <w:rsid w:val="0004054B"/>
    <w:rsid w:val="00040669"/>
    <w:rsid w:val="000407F1"/>
    <w:rsid w:val="00040895"/>
    <w:rsid w:val="00040AA6"/>
    <w:rsid w:val="00040FC0"/>
    <w:rsid w:val="000410A0"/>
    <w:rsid w:val="0004112A"/>
    <w:rsid w:val="00041CCB"/>
    <w:rsid w:val="000420A4"/>
    <w:rsid w:val="000423E2"/>
    <w:rsid w:val="0004247A"/>
    <w:rsid w:val="000427A1"/>
    <w:rsid w:val="0004281B"/>
    <w:rsid w:val="00042984"/>
    <w:rsid w:val="00042B8A"/>
    <w:rsid w:val="0004359C"/>
    <w:rsid w:val="000435EE"/>
    <w:rsid w:val="00043947"/>
    <w:rsid w:val="00043C37"/>
    <w:rsid w:val="000440DC"/>
    <w:rsid w:val="00044114"/>
    <w:rsid w:val="000441DC"/>
    <w:rsid w:val="00044200"/>
    <w:rsid w:val="00044733"/>
    <w:rsid w:val="00044E75"/>
    <w:rsid w:val="00044EFD"/>
    <w:rsid w:val="00045017"/>
    <w:rsid w:val="000450A1"/>
    <w:rsid w:val="000451C6"/>
    <w:rsid w:val="00045A2B"/>
    <w:rsid w:val="00045E02"/>
    <w:rsid w:val="00046275"/>
    <w:rsid w:val="0004698F"/>
    <w:rsid w:val="00046D4A"/>
    <w:rsid w:val="00046D64"/>
    <w:rsid w:val="00046F8C"/>
    <w:rsid w:val="000476E6"/>
    <w:rsid w:val="00050079"/>
    <w:rsid w:val="0005020E"/>
    <w:rsid w:val="000502D7"/>
    <w:rsid w:val="00050398"/>
    <w:rsid w:val="000508C2"/>
    <w:rsid w:val="00050D50"/>
    <w:rsid w:val="00050E41"/>
    <w:rsid w:val="0005146C"/>
    <w:rsid w:val="0005147D"/>
    <w:rsid w:val="000515A9"/>
    <w:rsid w:val="000518FE"/>
    <w:rsid w:val="00051A65"/>
    <w:rsid w:val="0005239F"/>
    <w:rsid w:val="00052E87"/>
    <w:rsid w:val="00052EDC"/>
    <w:rsid w:val="00053479"/>
    <w:rsid w:val="00053594"/>
    <w:rsid w:val="000535FC"/>
    <w:rsid w:val="000539D0"/>
    <w:rsid w:val="00053BAA"/>
    <w:rsid w:val="00054621"/>
    <w:rsid w:val="000546D7"/>
    <w:rsid w:val="00054A8D"/>
    <w:rsid w:val="00054AE2"/>
    <w:rsid w:val="000550D0"/>
    <w:rsid w:val="000559ED"/>
    <w:rsid w:val="00055E02"/>
    <w:rsid w:val="000569BE"/>
    <w:rsid w:val="00056C36"/>
    <w:rsid w:val="00056ECF"/>
    <w:rsid w:val="0005749D"/>
    <w:rsid w:val="00057CCD"/>
    <w:rsid w:val="00057E65"/>
    <w:rsid w:val="00057EDD"/>
    <w:rsid w:val="00057F8B"/>
    <w:rsid w:val="000604DF"/>
    <w:rsid w:val="000604FD"/>
    <w:rsid w:val="000606F7"/>
    <w:rsid w:val="0006074D"/>
    <w:rsid w:val="00060A6E"/>
    <w:rsid w:val="00060E50"/>
    <w:rsid w:val="0006117A"/>
    <w:rsid w:val="00061305"/>
    <w:rsid w:val="0006130F"/>
    <w:rsid w:val="00061463"/>
    <w:rsid w:val="0006155C"/>
    <w:rsid w:val="00061C8C"/>
    <w:rsid w:val="00061F2D"/>
    <w:rsid w:val="00062211"/>
    <w:rsid w:val="00062324"/>
    <w:rsid w:val="000624FE"/>
    <w:rsid w:val="00062D2C"/>
    <w:rsid w:val="000631D0"/>
    <w:rsid w:val="00063225"/>
    <w:rsid w:val="00063262"/>
    <w:rsid w:val="000632D7"/>
    <w:rsid w:val="000633E9"/>
    <w:rsid w:val="00063A82"/>
    <w:rsid w:val="00064CDD"/>
    <w:rsid w:val="00064F67"/>
    <w:rsid w:val="00065052"/>
    <w:rsid w:val="000653B5"/>
    <w:rsid w:val="000653D4"/>
    <w:rsid w:val="000656FD"/>
    <w:rsid w:val="0006595D"/>
    <w:rsid w:val="0006635F"/>
    <w:rsid w:val="00066360"/>
    <w:rsid w:val="000668E8"/>
    <w:rsid w:val="00066AF8"/>
    <w:rsid w:val="000675AD"/>
    <w:rsid w:val="000679BC"/>
    <w:rsid w:val="0007078F"/>
    <w:rsid w:val="00071248"/>
    <w:rsid w:val="00071DD3"/>
    <w:rsid w:val="00071E06"/>
    <w:rsid w:val="00071E9A"/>
    <w:rsid w:val="00071EE0"/>
    <w:rsid w:val="000720B9"/>
    <w:rsid w:val="000720D8"/>
    <w:rsid w:val="00072114"/>
    <w:rsid w:val="0007278C"/>
    <w:rsid w:val="00072D61"/>
    <w:rsid w:val="00072F63"/>
    <w:rsid w:val="00073008"/>
    <w:rsid w:val="000730A5"/>
    <w:rsid w:val="000737F7"/>
    <w:rsid w:val="00073A6D"/>
    <w:rsid w:val="0007444C"/>
    <w:rsid w:val="000745D6"/>
    <w:rsid w:val="00074BF7"/>
    <w:rsid w:val="00074CA2"/>
    <w:rsid w:val="00074CCF"/>
    <w:rsid w:val="00074EAA"/>
    <w:rsid w:val="0007519D"/>
    <w:rsid w:val="000757AD"/>
    <w:rsid w:val="00075A5A"/>
    <w:rsid w:val="00075B59"/>
    <w:rsid w:val="0007613D"/>
    <w:rsid w:val="000761E5"/>
    <w:rsid w:val="0007672F"/>
    <w:rsid w:val="00076B54"/>
    <w:rsid w:val="00077008"/>
    <w:rsid w:val="000774F0"/>
    <w:rsid w:val="00077825"/>
    <w:rsid w:val="00080682"/>
    <w:rsid w:val="00080909"/>
    <w:rsid w:val="00080D3E"/>
    <w:rsid w:val="00080EE8"/>
    <w:rsid w:val="00080FCC"/>
    <w:rsid w:val="000812CA"/>
    <w:rsid w:val="000813CB"/>
    <w:rsid w:val="00081990"/>
    <w:rsid w:val="00081E63"/>
    <w:rsid w:val="00082127"/>
    <w:rsid w:val="0008258D"/>
    <w:rsid w:val="00082869"/>
    <w:rsid w:val="00083115"/>
    <w:rsid w:val="00083214"/>
    <w:rsid w:val="00083418"/>
    <w:rsid w:val="00083907"/>
    <w:rsid w:val="00083E99"/>
    <w:rsid w:val="000843BA"/>
    <w:rsid w:val="000845E7"/>
    <w:rsid w:val="00084B33"/>
    <w:rsid w:val="00084CAC"/>
    <w:rsid w:val="00084D9C"/>
    <w:rsid w:val="00084FA8"/>
    <w:rsid w:val="000856C5"/>
    <w:rsid w:val="00085C31"/>
    <w:rsid w:val="00085F7B"/>
    <w:rsid w:val="00086140"/>
    <w:rsid w:val="00086EB0"/>
    <w:rsid w:val="000875FA"/>
    <w:rsid w:val="00087773"/>
    <w:rsid w:val="00087900"/>
    <w:rsid w:val="000902D9"/>
    <w:rsid w:val="0009050F"/>
    <w:rsid w:val="00090BD1"/>
    <w:rsid w:val="00090C7E"/>
    <w:rsid w:val="000911AC"/>
    <w:rsid w:val="0009178E"/>
    <w:rsid w:val="00091E4A"/>
    <w:rsid w:val="0009215C"/>
    <w:rsid w:val="00092260"/>
    <w:rsid w:val="000923B2"/>
    <w:rsid w:val="00092412"/>
    <w:rsid w:val="00092600"/>
    <w:rsid w:val="0009262B"/>
    <w:rsid w:val="00092A05"/>
    <w:rsid w:val="00093310"/>
    <w:rsid w:val="00093519"/>
    <w:rsid w:val="0009366E"/>
    <w:rsid w:val="000937A2"/>
    <w:rsid w:val="00093F15"/>
    <w:rsid w:val="000940A7"/>
    <w:rsid w:val="0009445C"/>
    <w:rsid w:val="000947E7"/>
    <w:rsid w:val="0009496A"/>
    <w:rsid w:val="00094FC5"/>
    <w:rsid w:val="00095002"/>
    <w:rsid w:val="00095200"/>
    <w:rsid w:val="00095A14"/>
    <w:rsid w:val="00095BC2"/>
    <w:rsid w:val="00095EFA"/>
    <w:rsid w:val="00095FE5"/>
    <w:rsid w:val="00096284"/>
    <w:rsid w:val="00096338"/>
    <w:rsid w:val="000963F2"/>
    <w:rsid w:val="00096575"/>
    <w:rsid w:val="000965F2"/>
    <w:rsid w:val="00096884"/>
    <w:rsid w:val="00096D84"/>
    <w:rsid w:val="00096EE5"/>
    <w:rsid w:val="0009751F"/>
    <w:rsid w:val="00097C92"/>
    <w:rsid w:val="000A050A"/>
    <w:rsid w:val="000A0653"/>
    <w:rsid w:val="000A0ACF"/>
    <w:rsid w:val="000A0F56"/>
    <w:rsid w:val="000A168E"/>
    <w:rsid w:val="000A1BC0"/>
    <w:rsid w:val="000A1D1A"/>
    <w:rsid w:val="000A1F51"/>
    <w:rsid w:val="000A2BBA"/>
    <w:rsid w:val="000A2C0F"/>
    <w:rsid w:val="000A2D9D"/>
    <w:rsid w:val="000A2F9E"/>
    <w:rsid w:val="000A3095"/>
    <w:rsid w:val="000A32B7"/>
    <w:rsid w:val="000A339E"/>
    <w:rsid w:val="000A3441"/>
    <w:rsid w:val="000A3ADA"/>
    <w:rsid w:val="000A3AE4"/>
    <w:rsid w:val="000A3E47"/>
    <w:rsid w:val="000A417C"/>
    <w:rsid w:val="000A4556"/>
    <w:rsid w:val="000A46D9"/>
    <w:rsid w:val="000A4734"/>
    <w:rsid w:val="000A4892"/>
    <w:rsid w:val="000A522B"/>
    <w:rsid w:val="000A59E9"/>
    <w:rsid w:val="000A5D8B"/>
    <w:rsid w:val="000A6039"/>
    <w:rsid w:val="000A60F2"/>
    <w:rsid w:val="000A684A"/>
    <w:rsid w:val="000A6A0C"/>
    <w:rsid w:val="000A71D5"/>
    <w:rsid w:val="000A7453"/>
    <w:rsid w:val="000A7475"/>
    <w:rsid w:val="000A7B93"/>
    <w:rsid w:val="000A7D08"/>
    <w:rsid w:val="000B0121"/>
    <w:rsid w:val="000B0428"/>
    <w:rsid w:val="000B0670"/>
    <w:rsid w:val="000B06BD"/>
    <w:rsid w:val="000B07BA"/>
    <w:rsid w:val="000B0A97"/>
    <w:rsid w:val="000B0E75"/>
    <w:rsid w:val="000B0FF3"/>
    <w:rsid w:val="000B1055"/>
    <w:rsid w:val="000B116B"/>
    <w:rsid w:val="000B16EE"/>
    <w:rsid w:val="000B16FB"/>
    <w:rsid w:val="000B1991"/>
    <w:rsid w:val="000B1A74"/>
    <w:rsid w:val="000B1BFE"/>
    <w:rsid w:val="000B1D74"/>
    <w:rsid w:val="000B1F38"/>
    <w:rsid w:val="000B29A6"/>
    <w:rsid w:val="000B2CF6"/>
    <w:rsid w:val="000B2DCB"/>
    <w:rsid w:val="000B2DDE"/>
    <w:rsid w:val="000B308B"/>
    <w:rsid w:val="000B36BF"/>
    <w:rsid w:val="000B38CA"/>
    <w:rsid w:val="000B39B0"/>
    <w:rsid w:val="000B3E7B"/>
    <w:rsid w:val="000B4074"/>
    <w:rsid w:val="000B4C2D"/>
    <w:rsid w:val="000B5CE0"/>
    <w:rsid w:val="000B608B"/>
    <w:rsid w:val="000B60C2"/>
    <w:rsid w:val="000B6241"/>
    <w:rsid w:val="000B663D"/>
    <w:rsid w:val="000B668C"/>
    <w:rsid w:val="000B6A10"/>
    <w:rsid w:val="000B6CAC"/>
    <w:rsid w:val="000B6CBA"/>
    <w:rsid w:val="000B73F4"/>
    <w:rsid w:val="000B7612"/>
    <w:rsid w:val="000B78AE"/>
    <w:rsid w:val="000B78B2"/>
    <w:rsid w:val="000B7CE6"/>
    <w:rsid w:val="000C02D1"/>
    <w:rsid w:val="000C04AF"/>
    <w:rsid w:val="000C05A8"/>
    <w:rsid w:val="000C16BE"/>
    <w:rsid w:val="000C1B51"/>
    <w:rsid w:val="000C2041"/>
    <w:rsid w:val="000C21FE"/>
    <w:rsid w:val="000C2244"/>
    <w:rsid w:val="000C304A"/>
    <w:rsid w:val="000C3DF9"/>
    <w:rsid w:val="000C414D"/>
    <w:rsid w:val="000C4421"/>
    <w:rsid w:val="000C476D"/>
    <w:rsid w:val="000C4A7A"/>
    <w:rsid w:val="000C4C35"/>
    <w:rsid w:val="000C4CF2"/>
    <w:rsid w:val="000C4D8A"/>
    <w:rsid w:val="000C4E37"/>
    <w:rsid w:val="000C53E2"/>
    <w:rsid w:val="000C5C92"/>
    <w:rsid w:val="000C605A"/>
    <w:rsid w:val="000C6713"/>
    <w:rsid w:val="000C6ADB"/>
    <w:rsid w:val="000C6D9F"/>
    <w:rsid w:val="000C74D7"/>
    <w:rsid w:val="000C7786"/>
    <w:rsid w:val="000D03C3"/>
    <w:rsid w:val="000D0478"/>
    <w:rsid w:val="000D0683"/>
    <w:rsid w:val="000D1130"/>
    <w:rsid w:val="000D1BFC"/>
    <w:rsid w:val="000D1C80"/>
    <w:rsid w:val="000D1D5D"/>
    <w:rsid w:val="000D281A"/>
    <w:rsid w:val="000D2848"/>
    <w:rsid w:val="000D29A0"/>
    <w:rsid w:val="000D2E85"/>
    <w:rsid w:val="000D326A"/>
    <w:rsid w:val="000D383F"/>
    <w:rsid w:val="000D3A17"/>
    <w:rsid w:val="000D3AF2"/>
    <w:rsid w:val="000D3AF9"/>
    <w:rsid w:val="000D3CC0"/>
    <w:rsid w:val="000D3E89"/>
    <w:rsid w:val="000D4ACA"/>
    <w:rsid w:val="000D5167"/>
    <w:rsid w:val="000D51FB"/>
    <w:rsid w:val="000D527C"/>
    <w:rsid w:val="000D53D7"/>
    <w:rsid w:val="000D5980"/>
    <w:rsid w:val="000D5A23"/>
    <w:rsid w:val="000D6C34"/>
    <w:rsid w:val="000D78D1"/>
    <w:rsid w:val="000E0603"/>
    <w:rsid w:val="000E0640"/>
    <w:rsid w:val="000E079A"/>
    <w:rsid w:val="000E135D"/>
    <w:rsid w:val="000E1BFD"/>
    <w:rsid w:val="000E2103"/>
    <w:rsid w:val="000E24A9"/>
    <w:rsid w:val="000E26D1"/>
    <w:rsid w:val="000E28D6"/>
    <w:rsid w:val="000E29F9"/>
    <w:rsid w:val="000E3061"/>
    <w:rsid w:val="000E315D"/>
    <w:rsid w:val="000E3600"/>
    <w:rsid w:val="000E3743"/>
    <w:rsid w:val="000E3C6F"/>
    <w:rsid w:val="000E468A"/>
    <w:rsid w:val="000E5507"/>
    <w:rsid w:val="000E572B"/>
    <w:rsid w:val="000E5926"/>
    <w:rsid w:val="000E5AFA"/>
    <w:rsid w:val="000E5D66"/>
    <w:rsid w:val="000E6305"/>
    <w:rsid w:val="000E66AA"/>
    <w:rsid w:val="000E6BB9"/>
    <w:rsid w:val="000E70BE"/>
    <w:rsid w:val="000E740E"/>
    <w:rsid w:val="000E76F8"/>
    <w:rsid w:val="000E77FB"/>
    <w:rsid w:val="000E7836"/>
    <w:rsid w:val="000E7EEE"/>
    <w:rsid w:val="000E7F10"/>
    <w:rsid w:val="000F00BA"/>
    <w:rsid w:val="000F00F2"/>
    <w:rsid w:val="000F05ED"/>
    <w:rsid w:val="000F0F58"/>
    <w:rsid w:val="000F1635"/>
    <w:rsid w:val="000F1807"/>
    <w:rsid w:val="000F1B0A"/>
    <w:rsid w:val="000F1ED3"/>
    <w:rsid w:val="000F1F69"/>
    <w:rsid w:val="000F20C4"/>
    <w:rsid w:val="000F213E"/>
    <w:rsid w:val="000F25F9"/>
    <w:rsid w:val="000F2C94"/>
    <w:rsid w:val="000F2E78"/>
    <w:rsid w:val="000F316A"/>
    <w:rsid w:val="000F3185"/>
    <w:rsid w:val="000F35BE"/>
    <w:rsid w:val="000F3668"/>
    <w:rsid w:val="000F392E"/>
    <w:rsid w:val="000F3B62"/>
    <w:rsid w:val="000F3C74"/>
    <w:rsid w:val="000F3CA1"/>
    <w:rsid w:val="000F3DF3"/>
    <w:rsid w:val="000F4086"/>
    <w:rsid w:val="000F41AF"/>
    <w:rsid w:val="000F4246"/>
    <w:rsid w:val="000F461A"/>
    <w:rsid w:val="000F4640"/>
    <w:rsid w:val="000F4728"/>
    <w:rsid w:val="000F485D"/>
    <w:rsid w:val="000F4BB8"/>
    <w:rsid w:val="000F4C04"/>
    <w:rsid w:val="000F4CAD"/>
    <w:rsid w:val="000F4FA9"/>
    <w:rsid w:val="000F53C2"/>
    <w:rsid w:val="000F53FB"/>
    <w:rsid w:val="000F575C"/>
    <w:rsid w:val="000F5981"/>
    <w:rsid w:val="000F5C7B"/>
    <w:rsid w:val="000F5FBA"/>
    <w:rsid w:val="000F7127"/>
    <w:rsid w:val="000F72BC"/>
    <w:rsid w:val="000F756A"/>
    <w:rsid w:val="000F7B54"/>
    <w:rsid w:val="000F7B84"/>
    <w:rsid w:val="000F7D44"/>
    <w:rsid w:val="001000B3"/>
    <w:rsid w:val="0010013A"/>
    <w:rsid w:val="00100477"/>
    <w:rsid w:val="001006C5"/>
    <w:rsid w:val="0010080D"/>
    <w:rsid w:val="00100F8A"/>
    <w:rsid w:val="00100F9B"/>
    <w:rsid w:val="00101281"/>
    <w:rsid w:val="001015CD"/>
    <w:rsid w:val="00101F3B"/>
    <w:rsid w:val="00102586"/>
    <w:rsid w:val="001035E7"/>
    <w:rsid w:val="00103694"/>
    <w:rsid w:val="0010389D"/>
    <w:rsid w:val="00103ACB"/>
    <w:rsid w:val="001044CC"/>
    <w:rsid w:val="0010452E"/>
    <w:rsid w:val="00104749"/>
    <w:rsid w:val="001047A2"/>
    <w:rsid w:val="00104C5C"/>
    <w:rsid w:val="00104E60"/>
    <w:rsid w:val="001050EA"/>
    <w:rsid w:val="0010510C"/>
    <w:rsid w:val="001058AC"/>
    <w:rsid w:val="001059BF"/>
    <w:rsid w:val="00105AE2"/>
    <w:rsid w:val="00105CA3"/>
    <w:rsid w:val="00105DF9"/>
    <w:rsid w:val="00105F36"/>
    <w:rsid w:val="00105FAE"/>
    <w:rsid w:val="001060C6"/>
    <w:rsid w:val="001062E5"/>
    <w:rsid w:val="001067A2"/>
    <w:rsid w:val="00106936"/>
    <w:rsid w:val="00106B80"/>
    <w:rsid w:val="00106C72"/>
    <w:rsid w:val="00106CB4"/>
    <w:rsid w:val="001071D8"/>
    <w:rsid w:val="0010776E"/>
    <w:rsid w:val="00107939"/>
    <w:rsid w:val="00107F45"/>
    <w:rsid w:val="0011032E"/>
    <w:rsid w:val="00110548"/>
    <w:rsid w:val="001116E3"/>
    <w:rsid w:val="00111827"/>
    <w:rsid w:val="00111B69"/>
    <w:rsid w:val="0011204A"/>
    <w:rsid w:val="00112F5B"/>
    <w:rsid w:val="0011348B"/>
    <w:rsid w:val="001134BC"/>
    <w:rsid w:val="00113549"/>
    <w:rsid w:val="0011410D"/>
    <w:rsid w:val="00114179"/>
    <w:rsid w:val="0011429F"/>
    <w:rsid w:val="00114D8A"/>
    <w:rsid w:val="00115179"/>
    <w:rsid w:val="0011549B"/>
    <w:rsid w:val="00115982"/>
    <w:rsid w:val="00115999"/>
    <w:rsid w:val="00115AEE"/>
    <w:rsid w:val="00115D62"/>
    <w:rsid w:val="001160BB"/>
    <w:rsid w:val="00116413"/>
    <w:rsid w:val="0011659B"/>
    <w:rsid w:val="00116AF9"/>
    <w:rsid w:val="00116BC6"/>
    <w:rsid w:val="00116C53"/>
    <w:rsid w:val="00116D36"/>
    <w:rsid w:val="001202CC"/>
    <w:rsid w:val="001205DF"/>
    <w:rsid w:val="0012088D"/>
    <w:rsid w:val="00120D6D"/>
    <w:rsid w:val="00121799"/>
    <w:rsid w:val="0012185C"/>
    <w:rsid w:val="0012188F"/>
    <w:rsid w:val="001218AC"/>
    <w:rsid w:val="001221C3"/>
    <w:rsid w:val="0012220A"/>
    <w:rsid w:val="001222FC"/>
    <w:rsid w:val="00122318"/>
    <w:rsid w:val="00122A55"/>
    <w:rsid w:val="00122E41"/>
    <w:rsid w:val="00122E48"/>
    <w:rsid w:val="00122EA0"/>
    <w:rsid w:val="00123050"/>
    <w:rsid w:val="00123400"/>
    <w:rsid w:val="001235B9"/>
    <w:rsid w:val="00123902"/>
    <w:rsid w:val="00123A71"/>
    <w:rsid w:val="001240D5"/>
    <w:rsid w:val="0012429F"/>
    <w:rsid w:val="00124813"/>
    <w:rsid w:val="00124A51"/>
    <w:rsid w:val="00124B12"/>
    <w:rsid w:val="00124B29"/>
    <w:rsid w:val="00124BF4"/>
    <w:rsid w:val="00124F9B"/>
    <w:rsid w:val="001254C5"/>
    <w:rsid w:val="00125B0D"/>
    <w:rsid w:val="00125BC5"/>
    <w:rsid w:val="00125C7F"/>
    <w:rsid w:val="00126503"/>
    <w:rsid w:val="00126621"/>
    <w:rsid w:val="00126B1D"/>
    <w:rsid w:val="001278C2"/>
    <w:rsid w:val="00127A7E"/>
    <w:rsid w:val="00127F88"/>
    <w:rsid w:val="00127F96"/>
    <w:rsid w:val="001301E9"/>
    <w:rsid w:val="00130CC7"/>
    <w:rsid w:val="001314CD"/>
    <w:rsid w:val="001314D3"/>
    <w:rsid w:val="0013165D"/>
    <w:rsid w:val="00131D82"/>
    <w:rsid w:val="00132195"/>
    <w:rsid w:val="001321E9"/>
    <w:rsid w:val="00132378"/>
    <w:rsid w:val="001324B1"/>
    <w:rsid w:val="00132B22"/>
    <w:rsid w:val="00132B4D"/>
    <w:rsid w:val="00132D34"/>
    <w:rsid w:val="001339B8"/>
    <w:rsid w:val="00133ACE"/>
    <w:rsid w:val="00133D36"/>
    <w:rsid w:val="00134059"/>
    <w:rsid w:val="00134817"/>
    <w:rsid w:val="00135871"/>
    <w:rsid w:val="0013590D"/>
    <w:rsid w:val="00135931"/>
    <w:rsid w:val="00135F7D"/>
    <w:rsid w:val="00135F90"/>
    <w:rsid w:val="001364DA"/>
    <w:rsid w:val="00136679"/>
    <w:rsid w:val="0013671C"/>
    <w:rsid w:val="00136864"/>
    <w:rsid w:val="00137645"/>
    <w:rsid w:val="00137964"/>
    <w:rsid w:val="0014015A"/>
    <w:rsid w:val="001402FD"/>
    <w:rsid w:val="0014054B"/>
    <w:rsid w:val="00140E99"/>
    <w:rsid w:val="00140ED8"/>
    <w:rsid w:val="00141843"/>
    <w:rsid w:val="00141F53"/>
    <w:rsid w:val="00142281"/>
    <w:rsid w:val="0014242F"/>
    <w:rsid w:val="00142626"/>
    <w:rsid w:val="001426EA"/>
    <w:rsid w:val="00142849"/>
    <w:rsid w:val="00142872"/>
    <w:rsid w:val="001428EC"/>
    <w:rsid w:val="00142975"/>
    <w:rsid w:val="00143126"/>
    <w:rsid w:val="00143540"/>
    <w:rsid w:val="00143771"/>
    <w:rsid w:val="00143A3E"/>
    <w:rsid w:val="00143BD8"/>
    <w:rsid w:val="00143DA7"/>
    <w:rsid w:val="00143F62"/>
    <w:rsid w:val="00143F67"/>
    <w:rsid w:val="0014433F"/>
    <w:rsid w:val="001444C0"/>
    <w:rsid w:val="00145227"/>
    <w:rsid w:val="00145234"/>
    <w:rsid w:val="00145409"/>
    <w:rsid w:val="00145540"/>
    <w:rsid w:val="001456B0"/>
    <w:rsid w:val="001456DB"/>
    <w:rsid w:val="00145E3C"/>
    <w:rsid w:val="00145E76"/>
    <w:rsid w:val="00146156"/>
    <w:rsid w:val="001467B0"/>
    <w:rsid w:val="0014694D"/>
    <w:rsid w:val="00146D98"/>
    <w:rsid w:val="0015093E"/>
    <w:rsid w:val="00150BD0"/>
    <w:rsid w:val="00150D15"/>
    <w:rsid w:val="0015148B"/>
    <w:rsid w:val="00151640"/>
    <w:rsid w:val="001516C8"/>
    <w:rsid w:val="001516FC"/>
    <w:rsid w:val="0015192D"/>
    <w:rsid w:val="00151C0B"/>
    <w:rsid w:val="00151CF4"/>
    <w:rsid w:val="00152279"/>
    <w:rsid w:val="00152A50"/>
    <w:rsid w:val="00152F92"/>
    <w:rsid w:val="00153A48"/>
    <w:rsid w:val="0015458E"/>
    <w:rsid w:val="001547AB"/>
    <w:rsid w:val="001548C7"/>
    <w:rsid w:val="0015496A"/>
    <w:rsid w:val="00154A31"/>
    <w:rsid w:val="0015522E"/>
    <w:rsid w:val="001555C5"/>
    <w:rsid w:val="00155CF8"/>
    <w:rsid w:val="00155FC9"/>
    <w:rsid w:val="00156387"/>
    <w:rsid w:val="00156389"/>
    <w:rsid w:val="001564DF"/>
    <w:rsid w:val="00156F8F"/>
    <w:rsid w:val="00157130"/>
    <w:rsid w:val="001576B1"/>
    <w:rsid w:val="001576CD"/>
    <w:rsid w:val="00157994"/>
    <w:rsid w:val="00157A7E"/>
    <w:rsid w:val="00157CB1"/>
    <w:rsid w:val="00157E73"/>
    <w:rsid w:val="00157FB3"/>
    <w:rsid w:val="001600E6"/>
    <w:rsid w:val="00160144"/>
    <w:rsid w:val="001603A6"/>
    <w:rsid w:val="0016047B"/>
    <w:rsid w:val="001605A3"/>
    <w:rsid w:val="00160759"/>
    <w:rsid w:val="00160A4C"/>
    <w:rsid w:val="00160E25"/>
    <w:rsid w:val="0016178C"/>
    <w:rsid w:val="00161A7D"/>
    <w:rsid w:val="00161B06"/>
    <w:rsid w:val="00162067"/>
    <w:rsid w:val="00162118"/>
    <w:rsid w:val="001623DF"/>
    <w:rsid w:val="00162913"/>
    <w:rsid w:val="0016293A"/>
    <w:rsid w:val="00163060"/>
    <w:rsid w:val="00163251"/>
    <w:rsid w:val="00163EFF"/>
    <w:rsid w:val="00163F66"/>
    <w:rsid w:val="001646EA"/>
    <w:rsid w:val="0016478E"/>
    <w:rsid w:val="00164875"/>
    <w:rsid w:val="00165088"/>
    <w:rsid w:val="00165C6C"/>
    <w:rsid w:val="00165EC4"/>
    <w:rsid w:val="001661FB"/>
    <w:rsid w:val="001666A4"/>
    <w:rsid w:val="001667E3"/>
    <w:rsid w:val="00166EC9"/>
    <w:rsid w:val="0016713C"/>
    <w:rsid w:val="001671A0"/>
    <w:rsid w:val="00167451"/>
    <w:rsid w:val="0016767F"/>
    <w:rsid w:val="00167789"/>
    <w:rsid w:val="00167F62"/>
    <w:rsid w:val="001707D1"/>
    <w:rsid w:val="00170B6C"/>
    <w:rsid w:val="00171083"/>
    <w:rsid w:val="00171248"/>
    <w:rsid w:val="00171455"/>
    <w:rsid w:val="0017148F"/>
    <w:rsid w:val="00171A89"/>
    <w:rsid w:val="00171B1A"/>
    <w:rsid w:val="001721DE"/>
    <w:rsid w:val="00172A05"/>
    <w:rsid w:val="00173565"/>
    <w:rsid w:val="0017387D"/>
    <w:rsid w:val="00173B07"/>
    <w:rsid w:val="00173F3F"/>
    <w:rsid w:val="001745C2"/>
    <w:rsid w:val="00174B88"/>
    <w:rsid w:val="00174F03"/>
    <w:rsid w:val="00174F4B"/>
    <w:rsid w:val="001751FA"/>
    <w:rsid w:val="00175320"/>
    <w:rsid w:val="00176354"/>
    <w:rsid w:val="0017709F"/>
    <w:rsid w:val="0017739A"/>
    <w:rsid w:val="0017796B"/>
    <w:rsid w:val="0017798D"/>
    <w:rsid w:val="00177A6B"/>
    <w:rsid w:val="00177B5C"/>
    <w:rsid w:val="00177D1E"/>
    <w:rsid w:val="001800E3"/>
    <w:rsid w:val="001803F2"/>
    <w:rsid w:val="00180562"/>
    <w:rsid w:val="00180963"/>
    <w:rsid w:val="00180BA4"/>
    <w:rsid w:val="00180D46"/>
    <w:rsid w:val="00181412"/>
    <w:rsid w:val="00181C10"/>
    <w:rsid w:val="00181D9C"/>
    <w:rsid w:val="001820C2"/>
    <w:rsid w:val="0018286D"/>
    <w:rsid w:val="00182AA1"/>
    <w:rsid w:val="00182AFC"/>
    <w:rsid w:val="00182C5F"/>
    <w:rsid w:val="00182D11"/>
    <w:rsid w:val="00183478"/>
    <w:rsid w:val="00183753"/>
    <w:rsid w:val="001837FF"/>
    <w:rsid w:val="00183A17"/>
    <w:rsid w:val="00183D01"/>
    <w:rsid w:val="0018408A"/>
    <w:rsid w:val="00184123"/>
    <w:rsid w:val="001844B7"/>
    <w:rsid w:val="00184529"/>
    <w:rsid w:val="001848E8"/>
    <w:rsid w:val="00184B0E"/>
    <w:rsid w:val="00184D35"/>
    <w:rsid w:val="00184EA0"/>
    <w:rsid w:val="00185111"/>
    <w:rsid w:val="001851A1"/>
    <w:rsid w:val="001857C2"/>
    <w:rsid w:val="00185846"/>
    <w:rsid w:val="00185B1D"/>
    <w:rsid w:val="00185C49"/>
    <w:rsid w:val="00185EBE"/>
    <w:rsid w:val="00186138"/>
    <w:rsid w:val="001862B9"/>
    <w:rsid w:val="001862C9"/>
    <w:rsid w:val="001868E3"/>
    <w:rsid w:val="00186D63"/>
    <w:rsid w:val="001874E6"/>
    <w:rsid w:val="0018752F"/>
    <w:rsid w:val="00187C8A"/>
    <w:rsid w:val="00187DAF"/>
    <w:rsid w:val="00190768"/>
    <w:rsid w:val="001909D7"/>
    <w:rsid w:val="00190D68"/>
    <w:rsid w:val="00190E85"/>
    <w:rsid w:val="0019133E"/>
    <w:rsid w:val="0019205E"/>
    <w:rsid w:val="001922A4"/>
    <w:rsid w:val="00192AF3"/>
    <w:rsid w:val="00192C80"/>
    <w:rsid w:val="0019332C"/>
    <w:rsid w:val="001934EA"/>
    <w:rsid w:val="00193838"/>
    <w:rsid w:val="00193DAC"/>
    <w:rsid w:val="00193E17"/>
    <w:rsid w:val="00193F4D"/>
    <w:rsid w:val="001948DE"/>
    <w:rsid w:val="00194AD8"/>
    <w:rsid w:val="00195222"/>
    <w:rsid w:val="00195308"/>
    <w:rsid w:val="00195452"/>
    <w:rsid w:val="00195901"/>
    <w:rsid w:val="00195BF4"/>
    <w:rsid w:val="0019602E"/>
    <w:rsid w:val="00196075"/>
    <w:rsid w:val="0019620D"/>
    <w:rsid w:val="00196711"/>
    <w:rsid w:val="001970A4"/>
    <w:rsid w:val="00197409"/>
    <w:rsid w:val="001975D8"/>
    <w:rsid w:val="0019775A"/>
    <w:rsid w:val="00197905"/>
    <w:rsid w:val="001A0251"/>
    <w:rsid w:val="001A042E"/>
    <w:rsid w:val="001A06A1"/>
    <w:rsid w:val="001A1117"/>
    <w:rsid w:val="001A178E"/>
    <w:rsid w:val="001A1CA2"/>
    <w:rsid w:val="001A1ECC"/>
    <w:rsid w:val="001A22E8"/>
    <w:rsid w:val="001A2739"/>
    <w:rsid w:val="001A2F37"/>
    <w:rsid w:val="001A370F"/>
    <w:rsid w:val="001A3CE9"/>
    <w:rsid w:val="001A3FFE"/>
    <w:rsid w:val="001A4076"/>
    <w:rsid w:val="001A43FA"/>
    <w:rsid w:val="001A47C5"/>
    <w:rsid w:val="001A4AE8"/>
    <w:rsid w:val="001A59FB"/>
    <w:rsid w:val="001A5E9E"/>
    <w:rsid w:val="001A6183"/>
    <w:rsid w:val="001A6185"/>
    <w:rsid w:val="001A632D"/>
    <w:rsid w:val="001A6354"/>
    <w:rsid w:val="001A6366"/>
    <w:rsid w:val="001A655A"/>
    <w:rsid w:val="001A65C1"/>
    <w:rsid w:val="001A6B50"/>
    <w:rsid w:val="001A6D29"/>
    <w:rsid w:val="001A6DEC"/>
    <w:rsid w:val="001A7AE8"/>
    <w:rsid w:val="001A7D1D"/>
    <w:rsid w:val="001A7EDC"/>
    <w:rsid w:val="001B0171"/>
    <w:rsid w:val="001B060E"/>
    <w:rsid w:val="001B0935"/>
    <w:rsid w:val="001B1049"/>
    <w:rsid w:val="001B14A8"/>
    <w:rsid w:val="001B1BA3"/>
    <w:rsid w:val="001B1F85"/>
    <w:rsid w:val="001B204E"/>
    <w:rsid w:val="001B2372"/>
    <w:rsid w:val="001B2377"/>
    <w:rsid w:val="001B23B4"/>
    <w:rsid w:val="001B2568"/>
    <w:rsid w:val="001B3291"/>
    <w:rsid w:val="001B3443"/>
    <w:rsid w:val="001B34FC"/>
    <w:rsid w:val="001B442D"/>
    <w:rsid w:val="001B45D9"/>
    <w:rsid w:val="001B4BDD"/>
    <w:rsid w:val="001B4CE1"/>
    <w:rsid w:val="001B4D20"/>
    <w:rsid w:val="001B4D69"/>
    <w:rsid w:val="001B4F85"/>
    <w:rsid w:val="001B5756"/>
    <w:rsid w:val="001B5993"/>
    <w:rsid w:val="001B5B72"/>
    <w:rsid w:val="001B6769"/>
    <w:rsid w:val="001B693F"/>
    <w:rsid w:val="001B7145"/>
    <w:rsid w:val="001B7199"/>
    <w:rsid w:val="001B7432"/>
    <w:rsid w:val="001B7999"/>
    <w:rsid w:val="001B7D22"/>
    <w:rsid w:val="001B7EA7"/>
    <w:rsid w:val="001B7F84"/>
    <w:rsid w:val="001C002E"/>
    <w:rsid w:val="001C0440"/>
    <w:rsid w:val="001C0BA1"/>
    <w:rsid w:val="001C1BB6"/>
    <w:rsid w:val="001C1D51"/>
    <w:rsid w:val="001C1E8B"/>
    <w:rsid w:val="001C2058"/>
    <w:rsid w:val="001C217D"/>
    <w:rsid w:val="001C2231"/>
    <w:rsid w:val="001C2405"/>
    <w:rsid w:val="001C2457"/>
    <w:rsid w:val="001C2A9B"/>
    <w:rsid w:val="001C2E34"/>
    <w:rsid w:val="001C2F93"/>
    <w:rsid w:val="001C3136"/>
    <w:rsid w:val="001C3357"/>
    <w:rsid w:val="001C361B"/>
    <w:rsid w:val="001C3DD6"/>
    <w:rsid w:val="001C3F9F"/>
    <w:rsid w:val="001C4299"/>
    <w:rsid w:val="001C4539"/>
    <w:rsid w:val="001C4874"/>
    <w:rsid w:val="001C498C"/>
    <w:rsid w:val="001C560F"/>
    <w:rsid w:val="001C562E"/>
    <w:rsid w:val="001C5CCF"/>
    <w:rsid w:val="001C5F94"/>
    <w:rsid w:val="001C61EE"/>
    <w:rsid w:val="001C628C"/>
    <w:rsid w:val="001C6E66"/>
    <w:rsid w:val="001C7177"/>
    <w:rsid w:val="001C71CB"/>
    <w:rsid w:val="001C7424"/>
    <w:rsid w:val="001C78A5"/>
    <w:rsid w:val="001C78BC"/>
    <w:rsid w:val="001C7BF4"/>
    <w:rsid w:val="001D021C"/>
    <w:rsid w:val="001D051D"/>
    <w:rsid w:val="001D0748"/>
    <w:rsid w:val="001D0A5B"/>
    <w:rsid w:val="001D0ACD"/>
    <w:rsid w:val="001D0B2C"/>
    <w:rsid w:val="001D1100"/>
    <w:rsid w:val="001D1391"/>
    <w:rsid w:val="001D13FE"/>
    <w:rsid w:val="001D1466"/>
    <w:rsid w:val="001D19CB"/>
    <w:rsid w:val="001D1A8A"/>
    <w:rsid w:val="001D1C51"/>
    <w:rsid w:val="001D1C99"/>
    <w:rsid w:val="001D25D7"/>
    <w:rsid w:val="001D3018"/>
    <w:rsid w:val="001D337D"/>
    <w:rsid w:val="001D338D"/>
    <w:rsid w:val="001D3580"/>
    <w:rsid w:val="001D3B3F"/>
    <w:rsid w:val="001D3B67"/>
    <w:rsid w:val="001D3C7D"/>
    <w:rsid w:val="001D4164"/>
    <w:rsid w:val="001D42FC"/>
    <w:rsid w:val="001D444D"/>
    <w:rsid w:val="001D4DC2"/>
    <w:rsid w:val="001D4F2B"/>
    <w:rsid w:val="001D50B2"/>
    <w:rsid w:val="001D57DC"/>
    <w:rsid w:val="001D6338"/>
    <w:rsid w:val="001D6892"/>
    <w:rsid w:val="001D6F99"/>
    <w:rsid w:val="001D71F4"/>
    <w:rsid w:val="001D7645"/>
    <w:rsid w:val="001D76FB"/>
    <w:rsid w:val="001D7CAE"/>
    <w:rsid w:val="001D7D35"/>
    <w:rsid w:val="001E033A"/>
    <w:rsid w:val="001E0423"/>
    <w:rsid w:val="001E0D60"/>
    <w:rsid w:val="001E1358"/>
    <w:rsid w:val="001E13B9"/>
    <w:rsid w:val="001E18DB"/>
    <w:rsid w:val="001E1926"/>
    <w:rsid w:val="001E1965"/>
    <w:rsid w:val="001E1B31"/>
    <w:rsid w:val="001E1E86"/>
    <w:rsid w:val="001E238E"/>
    <w:rsid w:val="001E2483"/>
    <w:rsid w:val="001E253A"/>
    <w:rsid w:val="001E256C"/>
    <w:rsid w:val="001E2644"/>
    <w:rsid w:val="001E265F"/>
    <w:rsid w:val="001E297F"/>
    <w:rsid w:val="001E2B1E"/>
    <w:rsid w:val="001E2CFF"/>
    <w:rsid w:val="001E2F24"/>
    <w:rsid w:val="001E30D4"/>
    <w:rsid w:val="001E312C"/>
    <w:rsid w:val="001E34DF"/>
    <w:rsid w:val="001E3892"/>
    <w:rsid w:val="001E39A0"/>
    <w:rsid w:val="001E3DE3"/>
    <w:rsid w:val="001E481B"/>
    <w:rsid w:val="001E4984"/>
    <w:rsid w:val="001E4DEA"/>
    <w:rsid w:val="001E4DEE"/>
    <w:rsid w:val="001E4F64"/>
    <w:rsid w:val="001E5090"/>
    <w:rsid w:val="001E52EB"/>
    <w:rsid w:val="001E577E"/>
    <w:rsid w:val="001E5A0E"/>
    <w:rsid w:val="001E5B8B"/>
    <w:rsid w:val="001E5EE6"/>
    <w:rsid w:val="001E61D2"/>
    <w:rsid w:val="001E6349"/>
    <w:rsid w:val="001E68BB"/>
    <w:rsid w:val="001E6B58"/>
    <w:rsid w:val="001E740C"/>
    <w:rsid w:val="001E7749"/>
    <w:rsid w:val="001E783B"/>
    <w:rsid w:val="001F025E"/>
    <w:rsid w:val="001F04C3"/>
    <w:rsid w:val="001F0505"/>
    <w:rsid w:val="001F0542"/>
    <w:rsid w:val="001F09E0"/>
    <w:rsid w:val="001F0C9B"/>
    <w:rsid w:val="001F0E5D"/>
    <w:rsid w:val="001F1235"/>
    <w:rsid w:val="001F1266"/>
    <w:rsid w:val="001F15EA"/>
    <w:rsid w:val="001F166F"/>
    <w:rsid w:val="001F1A38"/>
    <w:rsid w:val="001F1ACC"/>
    <w:rsid w:val="001F1CB3"/>
    <w:rsid w:val="001F21BB"/>
    <w:rsid w:val="001F2307"/>
    <w:rsid w:val="001F2AA3"/>
    <w:rsid w:val="001F2CC2"/>
    <w:rsid w:val="001F3166"/>
    <w:rsid w:val="001F31F3"/>
    <w:rsid w:val="001F3295"/>
    <w:rsid w:val="001F38B5"/>
    <w:rsid w:val="001F3B71"/>
    <w:rsid w:val="001F4081"/>
    <w:rsid w:val="001F4825"/>
    <w:rsid w:val="001F4A1F"/>
    <w:rsid w:val="001F4D9C"/>
    <w:rsid w:val="001F50BE"/>
    <w:rsid w:val="001F51FE"/>
    <w:rsid w:val="001F6026"/>
    <w:rsid w:val="001F60E9"/>
    <w:rsid w:val="001F64B2"/>
    <w:rsid w:val="001F6890"/>
    <w:rsid w:val="001F68BA"/>
    <w:rsid w:val="001F6A34"/>
    <w:rsid w:val="001F6C75"/>
    <w:rsid w:val="001F7361"/>
    <w:rsid w:val="00200468"/>
    <w:rsid w:val="0020084A"/>
    <w:rsid w:val="00200BCB"/>
    <w:rsid w:val="002011B0"/>
    <w:rsid w:val="00201283"/>
    <w:rsid w:val="00201357"/>
    <w:rsid w:val="00202123"/>
    <w:rsid w:val="00202145"/>
    <w:rsid w:val="00202399"/>
    <w:rsid w:val="0020248E"/>
    <w:rsid w:val="0020261C"/>
    <w:rsid w:val="0020285B"/>
    <w:rsid w:val="00202A5A"/>
    <w:rsid w:val="00203181"/>
    <w:rsid w:val="00203783"/>
    <w:rsid w:val="0020385F"/>
    <w:rsid w:val="00204151"/>
    <w:rsid w:val="00204353"/>
    <w:rsid w:val="00204666"/>
    <w:rsid w:val="002048BD"/>
    <w:rsid w:val="0020500D"/>
    <w:rsid w:val="002059A2"/>
    <w:rsid w:val="00205B56"/>
    <w:rsid w:val="00205E6A"/>
    <w:rsid w:val="002068A0"/>
    <w:rsid w:val="00207021"/>
    <w:rsid w:val="0020732F"/>
    <w:rsid w:val="002073D7"/>
    <w:rsid w:val="00207728"/>
    <w:rsid w:val="002078A0"/>
    <w:rsid w:val="002078F2"/>
    <w:rsid w:val="00207937"/>
    <w:rsid w:val="00207C20"/>
    <w:rsid w:val="00207D00"/>
    <w:rsid w:val="00207F00"/>
    <w:rsid w:val="00210423"/>
    <w:rsid w:val="002104CD"/>
    <w:rsid w:val="002105C1"/>
    <w:rsid w:val="0021102F"/>
    <w:rsid w:val="0021103C"/>
    <w:rsid w:val="00211298"/>
    <w:rsid w:val="00211572"/>
    <w:rsid w:val="002116FD"/>
    <w:rsid w:val="00211DAA"/>
    <w:rsid w:val="00211EBF"/>
    <w:rsid w:val="00211F58"/>
    <w:rsid w:val="00212007"/>
    <w:rsid w:val="00212989"/>
    <w:rsid w:val="00212A53"/>
    <w:rsid w:val="00212D37"/>
    <w:rsid w:val="00213342"/>
    <w:rsid w:val="002136CD"/>
    <w:rsid w:val="002138D9"/>
    <w:rsid w:val="00213EF5"/>
    <w:rsid w:val="00214238"/>
    <w:rsid w:val="00214353"/>
    <w:rsid w:val="002148DD"/>
    <w:rsid w:val="0021499C"/>
    <w:rsid w:val="0021507F"/>
    <w:rsid w:val="002151EA"/>
    <w:rsid w:val="00216623"/>
    <w:rsid w:val="0021672E"/>
    <w:rsid w:val="002168FB"/>
    <w:rsid w:val="00216BF5"/>
    <w:rsid w:val="002171C8"/>
    <w:rsid w:val="002172DA"/>
    <w:rsid w:val="00217454"/>
    <w:rsid w:val="00217820"/>
    <w:rsid w:val="00217ACD"/>
    <w:rsid w:val="00217D01"/>
    <w:rsid w:val="00217E47"/>
    <w:rsid w:val="00220207"/>
    <w:rsid w:val="00220356"/>
    <w:rsid w:val="00220C5E"/>
    <w:rsid w:val="00220CC1"/>
    <w:rsid w:val="00221654"/>
    <w:rsid w:val="0022171B"/>
    <w:rsid w:val="00221B45"/>
    <w:rsid w:val="00221E14"/>
    <w:rsid w:val="00221E90"/>
    <w:rsid w:val="0022202C"/>
    <w:rsid w:val="002221BF"/>
    <w:rsid w:val="00222542"/>
    <w:rsid w:val="0022294B"/>
    <w:rsid w:val="00222C24"/>
    <w:rsid w:val="00223736"/>
    <w:rsid w:val="00223B49"/>
    <w:rsid w:val="00223D5A"/>
    <w:rsid w:val="002244DB"/>
    <w:rsid w:val="00224726"/>
    <w:rsid w:val="00224DA7"/>
    <w:rsid w:val="00224DD4"/>
    <w:rsid w:val="00224EF8"/>
    <w:rsid w:val="00225344"/>
    <w:rsid w:val="002253D4"/>
    <w:rsid w:val="00225518"/>
    <w:rsid w:val="002257A6"/>
    <w:rsid w:val="0022586D"/>
    <w:rsid w:val="00225A53"/>
    <w:rsid w:val="00225E65"/>
    <w:rsid w:val="0022735F"/>
    <w:rsid w:val="002273A4"/>
    <w:rsid w:val="002278A0"/>
    <w:rsid w:val="00227E27"/>
    <w:rsid w:val="0023016F"/>
    <w:rsid w:val="00230722"/>
    <w:rsid w:val="00230948"/>
    <w:rsid w:val="002309CC"/>
    <w:rsid w:val="00230DE3"/>
    <w:rsid w:val="002311D6"/>
    <w:rsid w:val="00231334"/>
    <w:rsid w:val="00231493"/>
    <w:rsid w:val="00231611"/>
    <w:rsid w:val="002318E9"/>
    <w:rsid w:val="00231BA9"/>
    <w:rsid w:val="0023209F"/>
    <w:rsid w:val="00232B7D"/>
    <w:rsid w:val="002336C2"/>
    <w:rsid w:val="00233C01"/>
    <w:rsid w:val="0023413C"/>
    <w:rsid w:val="00234291"/>
    <w:rsid w:val="00234355"/>
    <w:rsid w:val="0023446F"/>
    <w:rsid w:val="002344D0"/>
    <w:rsid w:val="002346F0"/>
    <w:rsid w:val="0023485B"/>
    <w:rsid w:val="00234E09"/>
    <w:rsid w:val="002351AB"/>
    <w:rsid w:val="00235267"/>
    <w:rsid w:val="002352E9"/>
    <w:rsid w:val="0023559A"/>
    <w:rsid w:val="00235B46"/>
    <w:rsid w:val="00235EE2"/>
    <w:rsid w:val="00236188"/>
    <w:rsid w:val="0023629D"/>
    <w:rsid w:val="0023668D"/>
    <w:rsid w:val="00236988"/>
    <w:rsid w:val="00236ECD"/>
    <w:rsid w:val="00236FD0"/>
    <w:rsid w:val="00237255"/>
    <w:rsid w:val="00237994"/>
    <w:rsid w:val="00237B2B"/>
    <w:rsid w:val="00237FB0"/>
    <w:rsid w:val="0024040B"/>
    <w:rsid w:val="00240531"/>
    <w:rsid w:val="0024064E"/>
    <w:rsid w:val="002406BC"/>
    <w:rsid w:val="00240B8D"/>
    <w:rsid w:val="002410C9"/>
    <w:rsid w:val="00241BF9"/>
    <w:rsid w:val="00241DFB"/>
    <w:rsid w:val="00242397"/>
    <w:rsid w:val="0024244B"/>
    <w:rsid w:val="002424AF"/>
    <w:rsid w:val="00242C89"/>
    <w:rsid w:val="002437A2"/>
    <w:rsid w:val="002439DC"/>
    <w:rsid w:val="00243D45"/>
    <w:rsid w:val="002441D2"/>
    <w:rsid w:val="002447B2"/>
    <w:rsid w:val="0024484A"/>
    <w:rsid w:val="00244916"/>
    <w:rsid w:val="00244DC8"/>
    <w:rsid w:val="002455B8"/>
    <w:rsid w:val="002458BA"/>
    <w:rsid w:val="00245B71"/>
    <w:rsid w:val="00245CE9"/>
    <w:rsid w:val="0024625C"/>
    <w:rsid w:val="0024636C"/>
    <w:rsid w:val="00246805"/>
    <w:rsid w:val="00246A14"/>
    <w:rsid w:val="00246B2A"/>
    <w:rsid w:val="00246B9D"/>
    <w:rsid w:val="00246EAF"/>
    <w:rsid w:val="002475C8"/>
    <w:rsid w:val="002475CC"/>
    <w:rsid w:val="002476F2"/>
    <w:rsid w:val="002477C5"/>
    <w:rsid w:val="00247925"/>
    <w:rsid w:val="00247CC8"/>
    <w:rsid w:val="00247CCD"/>
    <w:rsid w:val="00247D38"/>
    <w:rsid w:val="00247FF9"/>
    <w:rsid w:val="00250184"/>
    <w:rsid w:val="0025086C"/>
    <w:rsid w:val="00250B95"/>
    <w:rsid w:val="00251006"/>
    <w:rsid w:val="0025101C"/>
    <w:rsid w:val="0025155C"/>
    <w:rsid w:val="00251AC8"/>
    <w:rsid w:val="002523B9"/>
    <w:rsid w:val="002523FA"/>
    <w:rsid w:val="002524D5"/>
    <w:rsid w:val="0025284D"/>
    <w:rsid w:val="00252CFF"/>
    <w:rsid w:val="00252D87"/>
    <w:rsid w:val="0025303E"/>
    <w:rsid w:val="002533F1"/>
    <w:rsid w:val="002534C1"/>
    <w:rsid w:val="002535F0"/>
    <w:rsid w:val="002537FA"/>
    <w:rsid w:val="0025388A"/>
    <w:rsid w:val="00253B1D"/>
    <w:rsid w:val="00253B64"/>
    <w:rsid w:val="00253D35"/>
    <w:rsid w:val="002540DF"/>
    <w:rsid w:val="0025417B"/>
    <w:rsid w:val="002541BF"/>
    <w:rsid w:val="002542D4"/>
    <w:rsid w:val="00254DCF"/>
    <w:rsid w:val="0025534B"/>
    <w:rsid w:val="00255466"/>
    <w:rsid w:val="00255BB7"/>
    <w:rsid w:val="00255E27"/>
    <w:rsid w:val="00255F45"/>
    <w:rsid w:val="00256A1D"/>
    <w:rsid w:val="00256BDC"/>
    <w:rsid w:val="00256D3B"/>
    <w:rsid w:val="0025743A"/>
    <w:rsid w:val="00257541"/>
    <w:rsid w:val="00257A39"/>
    <w:rsid w:val="00257AC4"/>
    <w:rsid w:val="00257BBE"/>
    <w:rsid w:val="0026008C"/>
    <w:rsid w:val="00260683"/>
    <w:rsid w:val="00260C3D"/>
    <w:rsid w:val="00260CC7"/>
    <w:rsid w:val="00260F10"/>
    <w:rsid w:val="0026142F"/>
    <w:rsid w:val="00261778"/>
    <w:rsid w:val="00261DBF"/>
    <w:rsid w:val="00261EEF"/>
    <w:rsid w:val="002628A3"/>
    <w:rsid w:val="00262939"/>
    <w:rsid w:val="002629CD"/>
    <w:rsid w:val="00262A1A"/>
    <w:rsid w:val="00262A87"/>
    <w:rsid w:val="00262B03"/>
    <w:rsid w:val="002630C6"/>
    <w:rsid w:val="0026324B"/>
    <w:rsid w:val="002634E8"/>
    <w:rsid w:val="00263815"/>
    <w:rsid w:val="00263873"/>
    <w:rsid w:val="00263B77"/>
    <w:rsid w:val="00263CFC"/>
    <w:rsid w:val="00263DD9"/>
    <w:rsid w:val="00264085"/>
    <w:rsid w:val="00264190"/>
    <w:rsid w:val="00264263"/>
    <w:rsid w:val="0026436F"/>
    <w:rsid w:val="00264D26"/>
    <w:rsid w:val="0026500F"/>
    <w:rsid w:val="00265596"/>
    <w:rsid w:val="002656EF"/>
    <w:rsid w:val="00265C2D"/>
    <w:rsid w:val="00266028"/>
    <w:rsid w:val="0026617B"/>
    <w:rsid w:val="00266954"/>
    <w:rsid w:val="00266B8D"/>
    <w:rsid w:val="00266DBB"/>
    <w:rsid w:val="0026704F"/>
    <w:rsid w:val="002672DF"/>
    <w:rsid w:val="00267642"/>
    <w:rsid w:val="00267AEA"/>
    <w:rsid w:val="002700E6"/>
    <w:rsid w:val="002711C1"/>
    <w:rsid w:val="002711E9"/>
    <w:rsid w:val="002714E7"/>
    <w:rsid w:val="00271623"/>
    <w:rsid w:val="00271773"/>
    <w:rsid w:val="00272298"/>
    <w:rsid w:val="00272582"/>
    <w:rsid w:val="0027294B"/>
    <w:rsid w:val="002729FF"/>
    <w:rsid w:val="00272AF4"/>
    <w:rsid w:val="00272B95"/>
    <w:rsid w:val="00272FE6"/>
    <w:rsid w:val="0027300E"/>
    <w:rsid w:val="00273163"/>
    <w:rsid w:val="00273631"/>
    <w:rsid w:val="00273EB4"/>
    <w:rsid w:val="00274295"/>
    <w:rsid w:val="00274682"/>
    <w:rsid w:val="002746CA"/>
    <w:rsid w:val="002746F8"/>
    <w:rsid w:val="00274A6F"/>
    <w:rsid w:val="00274EBF"/>
    <w:rsid w:val="00275158"/>
    <w:rsid w:val="002753FB"/>
    <w:rsid w:val="002758D7"/>
    <w:rsid w:val="00275B27"/>
    <w:rsid w:val="00275C5A"/>
    <w:rsid w:val="00275C63"/>
    <w:rsid w:val="00276414"/>
    <w:rsid w:val="0027649D"/>
    <w:rsid w:val="00276D85"/>
    <w:rsid w:val="00276EDA"/>
    <w:rsid w:val="0027739C"/>
    <w:rsid w:val="002776D5"/>
    <w:rsid w:val="002778A5"/>
    <w:rsid w:val="002803D3"/>
    <w:rsid w:val="00280DEE"/>
    <w:rsid w:val="00280FA4"/>
    <w:rsid w:val="00281014"/>
    <w:rsid w:val="00281083"/>
    <w:rsid w:val="002812CE"/>
    <w:rsid w:val="0028136D"/>
    <w:rsid w:val="00281498"/>
    <w:rsid w:val="00281A7E"/>
    <w:rsid w:val="00281D47"/>
    <w:rsid w:val="00282997"/>
    <w:rsid w:val="002829B7"/>
    <w:rsid w:val="0028301F"/>
    <w:rsid w:val="002831E2"/>
    <w:rsid w:val="00283278"/>
    <w:rsid w:val="002833A1"/>
    <w:rsid w:val="002837B2"/>
    <w:rsid w:val="00283A13"/>
    <w:rsid w:val="00283B49"/>
    <w:rsid w:val="00283D38"/>
    <w:rsid w:val="002845EE"/>
    <w:rsid w:val="00284EDC"/>
    <w:rsid w:val="00284F98"/>
    <w:rsid w:val="00285561"/>
    <w:rsid w:val="002856B1"/>
    <w:rsid w:val="00285BCE"/>
    <w:rsid w:val="00285E32"/>
    <w:rsid w:val="00286349"/>
    <w:rsid w:val="002865CB"/>
    <w:rsid w:val="0028665D"/>
    <w:rsid w:val="00286813"/>
    <w:rsid w:val="00286A97"/>
    <w:rsid w:val="00286FCA"/>
    <w:rsid w:val="00287C76"/>
    <w:rsid w:val="0029030A"/>
    <w:rsid w:val="002905DF"/>
    <w:rsid w:val="00290B4F"/>
    <w:rsid w:val="00290E94"/>
    <w:rsid w:val="00290FED"/>
    <w:rsid w:val="002911F9"/>
    <w:rsid w:val="002914AE"/>
    <w:rsid w:val="00291811"/>
    <w:rsid w:val="002918E0"/>
    <w:rsid w:val="00291DAA"/>
    <w:rsid w:val="00292028"/>
    <w:rsid w:val="00292526"/>
    <w:rsid w:val="0029275F"/>
    <w:rsid w:val="002927A3"/>
    <w:rsid w:val="00292E9A"/>
    <w:rsid w:val="002932E1"/>
    <w:rsid w:val="002937AA"/>
    <w:rsid w:val="00293D4B"/>
    <w:rsid w:val="00294114"/>
    <w:rsid w:val="00294219"/>
    <w:rsid w:val="002943B7"/>
    <w:rsid w:val="00294AFD"/>
    <w:rsid w:val="00295098"/>
    <w:rsid w:val="00295688"/>
    <w:rsid w:val="00295DFE"/>
    <w:rsid w:val="00295F17"/>
    <w:rsid w:val="00296006"/>
    <w:rsid w:val="00296060"/>
    <w:rsid w:val="002961B7"/>
    <w:rsid w:val="002967A4"/>
    <w:rsid w:val="00296C07"/>
    <w:rsid w:val="00296DBC"/>
    <w:rsid w:val="00296FAC"/>
    <w:rsid w:val="0029772A"/>
    <w:rsid w:val="002A032F"/>
    <w:rsid w:val="002A0AB4"/>
    <w:rsid w:val="002A0CE7"/>
    <w:rsid w:val="002A0DE6"/>
    <w:rsid w:val="002A0F1C"/>
    <w:rsid w:val="002A0F1E"/>
    <w:rsid w:val="002A14AB"/>
    <w:rsid w:val="002A1AD2"/>
    <w:rsid w:val="002A1B81"/>
    <w:rsid w:val="002A1C61"/>
    <w:rsid w:val="002A25AD"/>
    <w:rsid w:val="002A25E8"/>
    <w:rsid w:val="002A2752"/>
    <w:rsid w:val="002A2ADE"/>
    <w:rsid w:val="002A2D6C"/>
    <w:rsid w:val="002A2F0A"/>
    <w:rsid w:val="002A2F50"/>
    <w:rsid w:val="002A30F5"/>
    <w:rsid w:val="002A321C"/>
    <w:rsid w:val="002A36CE"/>
    <w:rsid w:val="002A3787"/>
    <w:rsid w:val="002A4425"/>
    <w:rsid w:val="002A5723"/>
    <w:rsid w:val="002A5949"/>
    <w:rsid w:val="002A5E69"/>
    <w:rsid w:val="002A627D"/>
    <w:rsid w:val="002A66BC"/>
    <w:rsid w:val="002A68A1"/>
    <w:rsid w:val="002A6AAE"/>
    <w:rsid w:val="002A6DE9"/>
    <w:rsid w:val="002A6E66"/>
    <w:rsid w:val="002A7241"/>
    <w:rsid w:val="002A748C"/>
    <w:rsid w:val="002A770A"/>
    <w:rsid w:val="002A77B7"/>
    <w:rsid w:val="002A7943"/>
    <w:rsid w:val="002B0045"/>
    <w:rsid w:val="002B0100"/>
    <w:rsid w:val="002B05A1"/>
    <w:rsid w:val="002B0946"/>
    <w:rsid w:val="002B09A4"/>
    <w:rsid w:val="002B0A0C"/>
    <w:rsid w:val="002B13AB"/>
    <w:rsid w:val="002B1789"/>
    <w:rsid w:val="002B1C1F"/>
    <w:rsid w:val="002B214F"/>
    <w:rsid w:val="002B2F2C"/>
    <w:rsid w:val="002B2F3E"/>
    <w:rsid w:val="002B2FE9"/>
    <w:rsid w:val="002B40A2"/>
    <w:rsid w:val="002B4204"/>
    <w:rsid w:val="002B427A"/>
    <w:rsid w:val="002B432F"/>
    <w:rsid w:val="002B45F6"/>
    <w:rsid w:val="002B54DB"/>
    <w:rsid w:val="002B58F3"/>
    <w:rsid w:val="002B5950"/>
    <w:rsid w:val="002B5B31"/>
    <w:rsid w:val="002B62B3"/>
    <w:rsid w:val="002B6754"/>
    <w:rsid w:val="002B68C2"/>
    <w:rsid w:val="002B6ADD"/>
    <w:rsid w:val="002B6C90"/>
    <w:rsid w:val="002B6CCE"/>
    <w:rsid w:val="002B6DD7"/>
    <w:rsid w:val="002B7307"/>
    <w:rsid w:val="002B7782"/>
    <w:rsid w:val="002B7C41"/>
    <w:rsid w:val="002C016B"/>
    <w:rsid w:val="002C0583"/>
    <w:rsid w:val="002C0647"/>
    <w:rsid w:val="002C06A2"/>
    <w:rsid w:val="002C07FD"/>
    <w:rsid w:val="002C0BE4"/>
    <w:rsid w:val="002C0F15"/>
    <w:rsid w:val="002C0FBC"/>
    <w:rsid w:val="002C12DD"/>
    <w:rsid w:val="002C1390"/>
    <w:rsid w:val="002C13B1"/>
    <w:rsid w:val="002C1AAD"/>
    <w:rsid w:val="002C1B8B"/>
    <w:rsid w:val="002C1D06"/>
    <w:rsid w:val="002C1FAC"/>
    <w:rsid w:val="002C2510"/>
    <w:rsid w:val="002C2775"/>
    <w:rsid w:val="002C27C1"/>
    <w:rsid w:val="002C2A9C"/>
    <w:rsid w:val="002C2B5F"/>
    <w:rsid w:val="002C3021"/>
    <w:rsid w:val="002C33DA"/>
    <w:rsid w:val="002C33F4"/>
    <w:rsid w:val="002C36E3"/>
    <w:rsid w:val="002C3EB2"/>
    <w:rsid w:val="002C3FC2"/>
    <w:rsid w:val="002C4DC9"/>
    <w:rsid w:val="002C5099"/>
    <w:rsid w:val="002C50DD"/>
    <w:rsid w:val="002C516E"/>
    <w:rsid w:val="002C541A"/>
    <w:rsid w:val="002C56AF"/>
    <w:rsid w:val="002C5889"/>
    <w:rsid w:val="002C58D5"/>
    <w:rsid w:val="002C5D17"/>
    <w:rsid w:val="002C5E8E"/>
    <w:rsid w:val="002C6432"/>
    <w:rsid w:val="002C6C98"/>
    <w:rsid w:val="002C71CE"/>
    <w:rsid w:val="002C729A"/>
    <w:rsid w:val="002C72D3"/>
    <w:rsid w:val="002C7430"/>
    <w:rsid w:val="002C782F"/>
    <w:rsid w:val="002C7AFD"/>
    <w:rsid w:val="002C7BC0"/>
    <w:rsid w:val="002D02E2"/>
    <w:rsid w:val="002D08DF"/>
    <w:rsid w:val="002D08F8"/>
    <w:rsid w:val="002D0DE7"/>
    <w:rsid w:val="002D1494"/>
    <w:rsid w:val="002D1885"/>
    <w:rsid w:val="002D19DD"/>
    <w:rsid w:val="002D1F92"/>
    <w:rsid w:val="002D24F5"/>
    <w:rsid w:val="002D273F"/>
    <w:rsid w:val="002D28D0"/>
    <w:rsid w:val="002D2ED3"/>
    <w:rsid w:val="002D2F58"/>
    <w:rsid w:val="002D3767"/>
    <w:rsid w:val="002D389F"/>
    <w:rsid w:val="002D39C5"/>
    <w:rsid w:val="002D3B9D"/>
    <w:rsid w:val="002D3CBB"/>
    <w:rsid w:val="002D3F0C"/>
    <w:rsid w:val="002D449C"/>
    <w:rsid w:val="002D48C9"/>
    <w:rsid w:val="002D4F74"/>
    <w:rsid w:val="002D514E"/>
    <w:rsid w:val="002D53D4"/>
    <w:rsid w:val="002D577C"/>
    <w:rsid w:val="002D586F"/>
    <w:rsid w:val="002D5987"/>
    <w:rsid w:val="002D5C00"/>
    <w:rsid w:val="002D5E2A"/>
    <w:rsid w:val="002D6211"/>
    <w:rsid w:val="002D642B"/>
    <w:rsid w:val="002D6512"/>
    <w:rsid w:val="002D6B0F"/>
    <w:rsid w:val="002D6ECA"/>
    <w:rsid w:val="002D7832"/>
    <w:rsid w:val="002D798F"/>
    <w:rsid w:val="002D79F1"/>
    <w:rsid w:val="002D7CDB"/>
    <w:rsid w:val="002E07AE"/>
    <w:rsid w:val="002E0A01"/>
    <w:rsid w:val="002E0F41"/>
    <w:rsid w:val="002E103F"/>
    <w:rsid w:val="002E1071"/>
    <w:rsid w:val="002E1202"/>
    <w:rsid w:val="002E12F7"/>
    <w:rsid w:val="002E15B9"/>
    <w:rsid w:val="002E2111"/>
    <w:rsid w:val="002E2158"/>
    <w:rsid w:val="002E2DFB"/>
    <w:rsid w:val="002E3998"/>
    <w:rsid w:val="002E3C56"/>
    <w:rsid w:val="002E3D86"/>
    <w:rsid w:val="002E3DCB"/>
    <w:rsid w:val="002E3EFE"/>
    <w:rsid w:val="002E4528"/>
    <w:rsid w:val="002E4F02"/>
    <w:rsid w:val="002E5272"/>
    <w:rsid w:val="002E52EB"/>
    <w:rsid w:val="002E5855"/>
    <w:rsid w:val="002E5D90"/>
    <w:rsid w:val="002E60B7"/>
    <w:rsid w:val="002E6A29"/>
    <w:rsid w:val="002E6C39"/>
    <w:rsid w:val="002E71C7"/>
    <w:rsid w:val="002E74C4"/>
    <w:rsid w:val="002E7627"/>
    <w:rsid w:val="002E76F2"/>
    <w:rsid w:val="002E7722"/>
    <w:rsid w:val="002E788E"/>
    <w:rsid w:val="002E7D89"/>
    <w:rsid w:val="002F07BA"/>
    <w:rsid w:val="002F0B6F"/>
    <w:rsid w:val="002F0DA9"/>
    <w:rsid w:val="002F0DE0"/>
    <w:rsid w:val="002F1014"/>
    <w:rsid w:val="002F1C07"/>
    <w:rsid w:val="002F1E3B"/>
    <w:rsid w:val="002F21F5"/>
    <w:rsid w:val="002F2243"/>
    <w:rsid w:val="002F28B8"/>
    <w:rsid w:val="002F2E46"/>
    <w:rsid w:val="002F30C9"/>
    <w:rsid w:val="002F321C"/>
    <w:rsid w:val="002F3BBA"/>
    <w:rsid w:val="002F4095"/>
    <w:rsid w:val="002F4123"/>
    <w:rsid w:val="002F42F5"/>
    <w:rsid w:val="002F46AA"/>
    <w:rsid w:val="002F474F"/>
    <w:rsid w:val="002F4AEB"/>
    <w:rsid w:val="002F4CDE"/>
    <w:rsid w:val="002F4DE9"/>
    <w:rsid w:val="002F5053"/>
    <w:rsid w:val="002F56BE"/>
    <w:rsid w:val="002F5746"/>
    <w:rsid w:val="002F5A22"/>
    <w:rsid w:val="002F5E6C"/>
    <w:rsid w:val="002F614F"/>
    <w:rsid w:val="002F643C"/>
    <w:rsid w:val="002F6C0D"/>
    <w:rsid w:val="002F6E7B"/>
    <w:rsid w:val="002F6EC4"/>
    <w:rsid w:val="002F6EE3"/>
    <w:rsid w:val="002F70D3"/>
    <w:rsid w:val="002F71C0"/>
    <w:rsid w:val="002F72D4"/>
    <w:rsid w:val="002F74F1"/>
    <w:rsid w:val="002F7AA5"/>
    <w:rsid w:val="002F7D4E"/>
    <w:rsid w:val="002F7FDA"/>
    <w:rsid w:val="0030011A"/>
    <w:rsid w:val="00300122"/>
    <w:rsid w:val="00300191"/>
    <w:rsid w:val="003001D6"/>
    <w:rsid w:val="003002B7"/>
    <w:rsid w:val="00300FBA"/>
    <w:rsid w:val="00301017"/>
    <w:rsid w:val="0030125B"/>
    <w:rsid w:val="0030155F"/>
    <w:rsid w:val="003019EA"/>
    <w:rsid w:val="00301C1A"/>
    <w:rsid w:val="00302544"/>
    <w:rsid w:val="003029EC"/>
    <w:rsid w:val="00302BB8"/>
    <w:rsid w:val="00303149"/>
    <w:rsid w:val="00303460"/>
    <w:rsid w:val="003038B3"/>
    <w:rsid w:val="00303B09"/>
    <w:rsid w:val="00304114"/>
    <w:rsid w:val="00304184"/>
    <w:rsid w:val="003044F3"/>
    <w:rsid w:val="00304654"/>
    <w:rsid w:val="00304A68"/>
    <w:rsid w:val="00305388"/>
    <w:rsid w:val="0030587B"/>
    <w:rsid w:val="00305AC7"/>
    <w:rsid w:val="00305CF5"/>
    <w:rsid w:val="00305E1A"/>
    <w:rsid w:val="00305EF0"/>
    <w:rsid w:val="0030699B"/>
    <w:rsid w:val="00306D98"/>
    <w:rsid w:val="00306F5A"/>
    <w:rsid w:val="0030751D"/>
    <w:rsid w:val="0030786C"/>
    <w:rsid w:val="00307A27"/>
    <w:rsid w:val="0031031A"/>
    <w:rsid w:val="00310354"/>
    <w:rsid w:val="00310415"/>
    <w:rsid w:val="0031091E"/>
    <w:rsid w:val="00310981"/>
    <w:rsid w:val="0031134A"/>
    <w:rsid w:val="00311C19"/>
    <w:rsid w:val="00311D99"/>
    <w:rsid w:val="00311D9B"/>
    <w:rsid w:val="003122A7"/>
    <w:rsid w:val="003123E5"/>
    <w:rsid w:val="003124D9"/>
    <w:rsid w:val="00312594"/>
    <w:rsid w:val="00312866"/>
    <w:rsid w:val="003129A7"/>
    <w:rsid w:val="00312D6A"/>
    <w:rsid w:val="00313C17"/>
    <w:rsid w:val="00313C28"/>
    <w:rsid w:val="00314425"/>
    <w:rsid w:val="00314822"/>
    <w:rsid w:val="003148A0"/>
    <w:rsid w:val="00314F56"/>
    <w:rsid w:val="00315498"/>
    <w:rsid w:val="0031637A"/>
    <w:rsid w:val="003163C5"/>
    <w:rsid w:val="00316474"/>
    <w:rsid w:val="0031659A"/>
    <w:rsid w:val="00317288"/>
    <w:rsid w:val="003173FA"/>
    <w:rsid w:val="0031765A"/>
    <w:rsid w:val="00317F52"/>
    <w:rsid w:val="003200DF"/>
    <w:rsid w:val="003207AC"/>
    <w:rsid w:val="003208CE"/>
    <w:rsid w:val="00320B0A"/>
    <w:rsid w:val="003212D2"/>
    <w:rsid w:val="0032185B"/>
    <w:rsid w:val="00321949"/>
    <w:rsid w:val="00321E3A"/>
    <w:rsid w:val="003220B3"/>
    <w:rsid w:val="00322107"/>
    <w:rsid w:val="00322321"/>
    <w:rsid w:val="00322355"/>
    <w:rsid w:val="00322846"/>
    <w:rsid w:val="00322C30"/>
    <w:rsid w:val="00323074"/>
    <w:rsid w:val="003232D3"/>
    <w:rsid w:val="00323388"/>
    <w:rsid w:val="003234C8"/>
    <w:rsid w:val="0032358A"/>
    <w:rsid w:val="003235DE"/>
    <w:rsid w:val="00323F9E"/>
    <w:rsid w:val="0032469A"/>
    <w:rsid w:val="00324908"/>
    <w:rsid w:val="00324B96"/>
    <w:rsid w:val="00324D61"/>
    <w:rsid w:val="00325069"/>
    <w:rsid w:val="00325280"/>
    <w:rsid w:val="003256FA"/>
    <w:rsid w:val="003258DF"/>
    <w:rsid w:val="003259F3"/>
    <w:rsid w:val="00325D93"/>
    <w:rsid w:val="00325EC5"/>
    <w:rsid w:val="00326317"/>
    <w:rsid w:val="00326344"/>
    <w:rsid w:val="00326661"/>
    <w:rsid w:val="00326BA6"/>
    <w:rsid w:val="00326DA7"/>
    <w:rsid w:val="00326E4E"/>
    <w:rsid w:val="00326F61"/>
    <w:rsid w:val="003270E4"/>
    <w:rsid w:val="00327330"/>
    <w:rsid w:val="0032778D"/>
    <w:rsid w:val="00327D4C"/>
    <w:rsid w:val="00330560"/>
    <w:rsid w:val="003306FE"/>
    <w:rsid w:val="00330DAA"/>
    <w:rsid w:val="00330F1B"/>
    <w:rsid w:val="00330F5C"/>
    <w:rsid w:val="003310E6"/>
    <w:rsid w:val="00331870"/>
    <w:rsid w:val="00331C8A"/>
    <w:rsid w:val="003324B2"/>
    <w:rsid w:val="0033291C"/>
    <w:rsid w:val="00332A3B"/>
    <w:rsid w:val="00332B04"/>
    <w:rsid w:val="00333271"/>
    <w:rsid w:val="00333317"/>
    <w:rsid w:val="003335E8"/>
    <w:rsid w:val="0033371E"/>
    <w:rsid w:val="00333A50"/>
    <w:rsid w:val="00333BC0"/>
    <w:rsid w:val="00333FDB"/>
    <w:rsid w:val="00334A88"/>
    <w:rsid w:val="00334AC3"/>
    <w:rsid w:val="00334B1C"/>
    <w:rsid w:val="00334C4F"/>
    <w:rsid w:val="00334F38"/>
    <w:rsid w:val="00334FF0"/>
    <w:rsid w:val="003353D6"/>
    <w:rsid w:val="0033546B"/>
    <w:rsid w:val="0033560B"/>
    <w:rsid w:val="003358AF"/>
    <w:rsid w:val="0033592D"/>
    <w:rsid w:val="003362B0"/>
    <w:rsid w:val="003366C9"/>
    <w:rsid w:val="00336D1F"/>
    <w:rsid w:val="00336DEC"/>
    <w:rsid w:val="003371B0"/>
    <w:rsid w:val="0033725E"/>
    <w:rsid w:val="0033752E"/>
    <w:rsid w:val="003379D9"/>
    <w:rsid w:val="00337A53"/>
    <w:rsid w:val="00337D0F"/>
    <w:rsid w:val="00337D3D"/>
    <w:rsid w:val="00337F1F"/>
    <w:rsid w:val="00340973"/>
    <w:rsid w:val="00340A0E"/>
    <w:rsid w:val="00340D22"/>
    <w:rsid w:val="00340DF1"/>
    <w:rsid w:val="00341AC8"/>
    <w:rsid w:val="003422A1"/>
    <w:rsid w:val="003422FF"/>
    <w:rsid w:val="0034265A"/>
    <w:rsid w:val="00342981"/>
    <w:rsid w:val="00342C45"/>
    <w:rsid w:val="00342C5C"/>
    <w:rsid w:val="00342E70"/>
    <w:rsid w:val="003431ED"/>
    <w:rsid w:val="00344068"/>
    <w:rsid w:val="003448F3"/>
    <w:rsid w:val="00344DD0"/>
    <w:rsid w:val="00344EED"/>
    <w:rsid w:val="0034545E"/>
    <w:rsid w:val="00346405"/>
    <w:rsid w:val="00346788"/>
    <w:rsid w:val="003467BE"/>
    <w:rsid w:val="00346F20"/>
    <w:rsid w:val="00346F9F"/>
    <w:rsid w:val="00347145"/>
    <w:rsid w:val="003476DA"/>
    <w:rsid w:val="00347958"/>
    <w:rsid w:val="00347E0E"/>
    <w:rsid w:val="003507FB"/>
    <w:rsid w:val="003517F9"/>
    <w:rsid w:val="00351BA9"/>
    <w:rsid w:val="00352D64"/>
    <w:rsid w:val="00352F40"/>
    <w:rsid w:val="00353090"/>
    <w:rsid w:val="003531B6"/>
    <w:rsid w:val="00353B50"/>
    <w:rsid w:val="00354044"/>
    <w:rsid w:val="003542B8"/>
    <w:rsid w:val="0035461C"/>
    <w:rsid w:val="003548F2"/>
    <w:rsid w:val="00354F64"/>
    <w:rsid w:val="00355789"/>
    <w:rsid w:val="00355DE7"/>
    <w:rsid w:val="0035604F"/>
    <w:rsid w:val="0035620E"/>
    <w:rsid w:val="003568E9"/>
    <w:rsid w:val="00356C69"/>
    <w:rsid w:val="00357541"/>
    <w:rsid w:val="003575BE"/>
    <w:rsid w:val="00357B4D"/>
    <w:rsid w:val="00360345"/>
    <w:rsid w:val="00360DE4"/>
    <w:rsid w:val="00360E8D"/>
    <w:rsid w:val="00361A05"/>
    <w:rsid w:val="00361A25"/>
    <w:rsid w:val="00361AD0"/>
    <w:rsid w:val="00361D6A"/>
    <w:rsid w:val="003620BC"/>
    <w:rsid w:val="003624C4"/>
    <w:rsid w:val="0036265C"/>
    <w:rsid w:val="00362FCF"/>
    <w:rsid w:val="003633CE"/>
    <w:rsid w:val="00363948"/>
    <w:rsid w:val="00363A3E"/>
    <w:rsid w:val="00363A55"/>
    <w:rsid w:val="00363A85"/>
    <w:rsid w:val="00363B00"/>
    <w:rsid w:val="00363CD2"/>
    <w:rsid w:val="00365236"/>
    <w:rsid w:val="0036526F"/>
    <w:rsid w:val="003652D7"/>
    <w:rsid w:val="003654AC"/>
    <w:rsid w:val="00365668"/>
    <w:rsid w:val="00365D7E"/>
    <w:rsid w:val="00365E9F"/>
    <w:rsid w:val="00366558"/>
    <w:rsid w:val="003669C0"/>
    <w:rsid w:val="00366AA2"/>
    <w:rsid w:val="00366C2E"/>
    <w:rsid w:val="00366D06"/>
    <w:rsid w:val="003674FD"/>
    <w:rsid w:val="0037054E"/>
    <w:rsid w:val="003708AD"/>
    <w:rsid w:val="00370931"/>
    <w:rsid w:val="00370C7D"/>
    <w:rsid w:val="00370E03"/>
    <w:rsid w:val="003710CF"/>
    <w:rsid w:val="003717E3"/>
    <w:rsid w:val="003717F5"/>
    <w:rsid w:val="00372AD3"/>
    <w:rsid w:val="00372C2E"/>
    <w:rsid w:val="0037358A"/>
    <w:rsid w:val="00373A71"/>
    <w:rsid w:val="00373E02"/>
    <w:rsid w:val="00373F7F"/>
    <w:rsid w:val="00374222"/>
    <w:rsid w:val="00374436"/>
    <w:rsid w:val="0037451B"/>
    <w:rsid w:val="00374807"/>
    <w:rsid w:val="0037489A"/>
    <w:rsid w:val="003750F6"/>
    <w:rsid w:val="003760FC"/>
    <w:rsid w:val="00376484"/>
    <w:rsid w:val="003765DD"/>
    <w:rsid w:val="00376C52"/>
    <w:rsid w:val="0037704B"/>
    <w:rsid w:val="0037765C"/>
    <w:rsid w:val="00377EF3"/>
    <w:rsid w:val="0038003E"/>
    <w:rsid w:val="00380174"/>
    <w:rsid w:val="003804FB"/>
    <w:rsid w:val="003808B1"/>
    <w:rsid w:val="0038094A"/>
    <w:rsid w:val="003809F6"/>
    <w:rsid w:val="00380E97"/>
    <w:rsid w:val="00381A8E"/>
    <w:rsid w:val="003828E2"/>
    <w:rsid w:val="00382FD5"/>
    <w:rsid w:val="003830DE"/>
    <w:rsid w:val="00383416"/>
    <w:rsid w:val="00383421"/>
    <w:rsid w:val="003835D2"/>
    <w:rsid w:val="003835FC"/>
    <w:rsid w:val="0038365C"/>
    <w:rsid w:val="0038369B"/>
    <w:rsid w:val="003839FD"/>
    <w:rsid w:val="00383A51"/>
    <w:rsid w:val="00383B78"/>
    <w:rsid w:val="00383C66"/>
    <w:rsid w:val="00383CE3"/>
    <w:rsid w:val="00383E8D"/>
    <w:rsid w:val="00383F47"/>
    <w:rsid w:val="00384170"/>
    <w:rsid w:val="00384DDA"/>
    <w:rsid w:val="00384EE7"/>
    <w:rsid w:val="00385336"/>
    <w:rsid w:val="00385531"/>
    <w:rsid w:val="00385A9D"/>
    <w:rsid w:val="00386A54"/>
    <w:rsid w:val="00386AA1"/>
    <w:rsid w:val="00386B9E"/>
    <w:rsid w:val="00386D17"/>
    <w:rsid w:val="00386EE6"/>
    <w:rsid w:val="00387121"/>
    <w:rsid w:val="003871BD"/>
    <w:rsid w:val="00387669"/>
    <w:rsid w:val="003878A0"/>
    <w:rsid w:val="00387991"/>
    <w:rsid w:val="00387CB6"/>
    <w:rsid w:val="003901C1"/>
    <w:rsid w:val="003902B1"/>
    <w:rsid w:val="00390818"/>
    <w:rsid w:val="00390847"/>
    <w:rsid w:val="003908C2"/>
    <w:rsid w:val="00390B5A"/>
    <w:rsid w:val="003912FD"/>
    <w:rsid w:val="003916D0"/>
    <w:rsid w:val="0039179C"/>
    <w:rsid w:val="003918E7"/>
    <w:rsid w:val="00391C52"/>
    <w:rsid w:val="003922AD"/>
    <w:rsid w:val="003928E0"/>
    <w:rsid w:val="00392F4C"/>
    <w:rsid w:val="0039300B"/>
    <w:rsid w:val="00393C1E"/>
    <w:rsid w:val="00393C7D"/>
    <w:rsid w:val="00393D42"/>
    <w:rsid w:val="00394B9F"/>
    <w:rsid w:val="00394D28"/>
    <w:rsid w:val="00394D59"/>
    <w:rsid w:val="003950A8"/>
    <w:rsid w:val="00395583"/>
    <w:rsid w:val="00395B7F"/>
    <w:rsid w:val="003966C4"/>
    <w:rsid w:val="0039674F"/>
    <w:rsid w:val="00396896"/>
    <w:rsid w:val="00396A8E"/>
    <w:rsid w:val="00396AB4"/>
    <w:rsid w:val="00396FD0"/>
    <w:rsid w:val="0039733E"/>
    <w:rsid w:val="0039776E"/>
    <w:rsid w:val="00397946"/>
    <w:rsid w:val="003A0443"/>
    <w:rsid w:val="003A0DD7"/>
    <w:rsid w:val="003A111B"/>
    <w:rsid w:val="003A1432"/>
    <w:rsid w:val="003A1A7A"/>
    <w:rsid w:val="003A1AFD"/>
    <w:rsid w:val="003A238C"/>
    <w:rsid w:val="003A2392"/>
    <w:rsid w:val="003A2831"/>
    <w:rsid w:val="003A28CE"/>
    <w:rsid w:val="003A2C45"/>
    <w:rsid w:val="003A2DD6"/>
    <w:rsid w:val="003A33A4"/>
    <w:rsid w:val="003A34B9"/>
    <w:rsid w:val="003A3CB6"/>
    <w:rsid w:val="003A3ED1"/>
    <w:rsid w:val="003A4475"/>
    <w:rsid w:val="003A44DB"/>
    <w:rsid w:val="003A45E3"/>
    <w:rsid w:val="003A4750"/>
    <w:rsid w:val="003A4C14"/>
    <w:rsid w:val="003A5417"/>
    <w:rsid w:val="003A5897"/>
    <w:rsid w:val="003A5B66"/>
    <w:rsid w:val="003A5DFC"/>
    <w:rsid w:val="003A6007"/>
    <w:rsid w:val="003A623E"/>
    <w:rsid w:val="003A6CA8"/>
    <w:rsid w:val="003A6CE3"/>
    <w:rsid w:val="003A788F"/>
    <w:rsid w:val="003A7A8F"/>
    <w:rsid w:val="003A7AFB"/>
    <w:rsid w:val="003B0213"/>
    <w:rsid w:val="003B02C1"/>
    <w:rsid w:val="003B032C"/>
    <w:rsid w:val="003B0F95"/>
    <w:rsid w:val="003B11F5"/>
    <w:rsid w:val="003B11FE"/>
    <w:rsid w:val="003B1940"/>
    <w:rsid w:val="003B1A49"/>
    <w:rsid w:val="003B2626"/>
    <w:rsid w:val="003B2E5C"/>
    <w:rsid w:val="003B3217"/>
    <w:rsid w:val="003B3339"/>
    <w:rsid w:val="003B34DC"/>
    <w:rsid w:val="003B37BB"/>
    <w:rsid w:val="003B3971"/>
    <w:rsid w:val="003B3BB8"/>
    <w:rsid w:val="003B3CC9"/>
    <w:rsid w:val="003B55D1"/>
    <w:rsid w:val="003B5A7E"/>
    <w:rsid w:val="003B5B61"/>
    <w:rsid w:val="003B6022"/>
    <w:rsid w:val="003B65DF"/>
    <w:rsid w:val="003B6F40"/>
    <w:rsid w:val="003B7196"/>
    <w:rsid w:val="003B7C2F"/>
    <w:rsid w:val="003C0188"/>
    <w:rsid w:val="003C0A5B"/>
    <w:rsid w:val="003C0DBA"/>
    <w:rsid w:val="003C1654"/>
    <w:rsid w:val="003C1A20"/>
    <w:rsid w:val="003C1E0B"/>
    <w:rsid w:val="003C221D"/>
    <w:rsid w:val="003C22D1"/>
    <w:rsid w:val="003C25D0"/>
    <w:rsid w:val="003C2B04"/>
    <w:rsid w:val="003C2BB1"/>
    <w:rsid w:val="003C2CC3"/>
    <w:rsid w:val="003C30AD"/>
    <w:rsid w:val="003C329F"/>
    <w:rsid w:val="003C3B40"/>
    <w:rsid w:val="003C44AE"/>
    <w:rsid w:val="003C4908"/>
    <w:rsid w:val="003C4AF3"/>
    <w:rsid w:val="003C4E85"/>
    <w:rsid w:val="003C5082"/>
    <w:rsid w:val="003C535A"/>
    <w:rsid w:val="003C5542"/>
    <w:rsid w:val="003C5870"/>
    <w:rsid w:val="003C5D9D"/>
    <w:rsid w:val="003C7B8A"/>
    <w:rsid w:val="003C7C15"/>
    <w:rsid w:val="003C7D19"/>
    <w:rsid w:val="003C7D2F"/>
    <w:rsid w:val="003D0092"/>
    <w:rsid w:val="003D02FE"/>
    <w:rsid w:val="003D0C5A"/>
    <w:rsid w:val="003D0DB6"/>
    <w:rsid w:val="003D12F4"/>
    <w:rsid w:val="003D1828"/>
    <w:rsid w:val="003D1B44"/>
    <w:rsid w:val="003D1B77"/>
    <w:rsid w:val="003D1CBD"/>
    <w:rsid w:val="003D1D5E"/>
    <w:rsid w:val="003D1DE4"/>
    <w:rsid w:val="003D1E9A"/>
    <w:rsid w:val="003D2422"/>
    <w:rsid w:val="003D2963"/>
    <w:rsid w:val="003D2CF0"/>
    <w:rsid w:val="003D2E09"/>
    <w:rsid w:val="003D31FA"/>
    <w:rsid w:val="003D3421"/>
    <w:rsid w:val="003D34D9"/>
    <w:rsid w:val="003D36BD"/>
    <w:rsid w:val="003D39A1"/>
    <w:rsid w:val="003D3FBF"/>
    <w:rsid w:val="003D4598"/>
    <w:rsid w:val="003D45B7"/>
    <w:rsid w:val="003D482F"/>
    <w:rsid w:val="003D4A30"/>
    <w:rsid w:val="003D4C17"/>
    <w:rsid w:val="003D4E4E"/>
    <w:rsid w:val="003D4FE5"/>
    <w:rsid w:val="003D50EF"/>
    <w:rsid w:val="003D5212"/>
    <w:rsid w:val="003D5381"/>
    <w:rsid w:val="003D5857"/>
    <w:rsid w:val="003D5950"/>
    <w:rsid w:val="003D5DE7"/>
    <w:rsid w:val="003D7128"/>
    <w:rsid w:val="003D7452"/>
    <w:rsid w:val="003D74A8"/>
    <w:rsid w:val="003D7581"/>
    <w:rsid w:val="003D76BA"/>
    <w:rsid w:val="003D79BB"/>
    <w:rsid w:val="003D7C98"/>
    <w:rsid w:val="003D7D9D"/>
    <w:rsid w:val="003E0359"/>
    <w:rsid w:val="003E0501"/>
    <w:rsid w:val="003E0543"/>
    <w:rsid w:val="003E064C"/>
    <w:rsid w:val="003E0B3F"/>
    <w:rsid w:val="003E0B5D"/>
    <w:rsid w:val="003E0B64"/>
    <w:rsid w:val="003E0F79"/>
    <w:rsid w:val="003E13ED"/>
    <w:rsid w:val="003E19E0"/>
    <w:rsid w:val="003E1D7A"/>
    <w:rsid w:val="003E204D"/>
    <w:rsid w:val="003E20C8"/>
    <w:rsid w:val="003E283D"/>
    <w:rsid w:val="003E2A5D"/>
    <w:rsid w:val="003E2BC4"/>
    <w:rsid w:val="003E345F"/>
    <w:rsid w:val="003E365A"/>
    <w:rsid w:val="003E38FC"/>
    <w:rsid w:val="003E417D"/>
    <w:rsid w:val="003E493A"/>
    <w:rsid w:val="003E5295"/>
    <w:rsid w:val="003E53C0"/>
    <w:rsid w:val="003E54F5"/>
    <w:rsid w:val="003E5603"/>
    <w:rsid w:val="003E5662"/>
    <w:rsid w:val="003E5722"/>
    <w:rsid w:val="003E585E"/>
    <w:rsid w:val="003E5A58"/>
    <w:rsid w:val="003E5B75"/>
    <w:rsid w:val="003E62DE"/>
    <w:rsid w:val="003E6511"/>
    <w:rsid w:val="003E6AC7"/>
    <w:rsid w:val="003E6CEE"/>
    <w:rsid w:val="003E7099"/>
    <w:rsid w:val="003E70E8"/>
    <w:rsid w:val="003E749E"/>
    <w:rsid w:val="003E7752"/>
    <w:rsid w:val="003E77AF"/>
    <w:rsid w:val="003E78AA"/>
    <w:rsid w:val="003E7E18"/>
    <w:rsid w:val="003F03B1"/>
    <w:rsid w:val="003F0A3B"/>
    <w:rsid w:val="003F0B56"/>
    <w:rsid w:val="003F0F63"/>
    <w:rsid w:val="003F0FB6"/>
    <w:rsid w:val="003F0FF5"/>
    <w:rsid w:val="003F160A"/>
    <w:rsid w:val="003F1695"/>
    <w:rsid w:val="003F1700"/>
    <w:rsid w:val="003F192A"/>
    <w:rsid w:val="003F1AF4"/>
    <w:rsid w:val="003F1DB7"/>
    <w:rsid w:val="003F209D"/>
    <w:rsid w:val="003F222E"/>
    <w:rsid w:val="003F2403"/>
    <w:rsid w:val="003F27AA"/>
    <w:rsid w:val="003F3508"/>
    <w:rsid w:val="003F4156"/>
    <w:rsid w:val="003F46B4"/>
    <w:rsid w:val="003F4E6D"/>
    <w:rsid w:val="003F512E"/>
    <w:rsid w:val="003F566D"/>
    <w:rsid w:val="003F5ABE"/>
    <w:rsid w:val="003F5ADF"/>
    <w:rsid w:val="003F5CBF"/>
    <w:rsid w:val="003F5FF5"/>
    <w:rsid w:val="003F6AA0"/>
    <w:rsid w:val="003F7308"/>
    <w:rsid w:val="003F76AC"/>
    <w:rsid w:val="003F7E36"/>
    <w:rsid w:val="004005C8"/>
    <w:rsid w:val="00400771"/>
    <w:rsid w:val="00400AAE"/>
    <w:rsid w:val="00400B29"/>
    <w:rsid w:val="004010F3"/>
    <w:rsid w:val="00401493"/>
    <w:rsid w:val="004017E3"/>
    <w:rsid w:val="00401A84"/>
    <w:rsid w:val="00401A9D"/>
    <w:rsid w:val="00401B32"/>
    <w:rsid w:val="00401DFC"/>
    <w:rsid w:val="00401E56"/>
    <w:rsid w:val="00402812"/>
    <w:rsid w:val="004029A9"/>
    <w:rsid w:val="00402B94"/>
    <w:rsid w:val="00402DDA"/>
    <w:rsid w:val="004030D9"/>
    <w:rsid w:val="0040388F"/>
    <w:rsid w:val="00403996"/>
    <w:rsid w:val="00403A65"/>
    <w:rsid w:val="004041C2"/>
    <w:rsid w:val="004043AE"/>
    <w:rsid w:val="004049B1"/>
    <w:rsid w:val="00404D26"/>
    <w:rsid w:val="0040504B"/>
    <w:rsid w:val="0040530E"/>
    <w:rsid w:val="00405928"/>
    <w:rsid w:val="004059F4"/>
    <w:rsid w:val="004061E9"/>
    <w:rsid w:val="004065C0"/>
    <w:rsid w:val="004068A6"/>
    <w:rsid w:val="004069E5"/>
    <w:rsid w:val="00406FFD"/>
    <w:rsid w:val="0040762D"/>
    <w:rsid w:val="004078DC"/>
    <w:rsid w:val="00407A58"/>
    <w:rsid w:val="00407FE5"/>
    <w:rsid w:val="004101B0"/>
    <w:rsid w:val="00410326"/>
    <w:rsid w:val="0041053A"/>
    <w:rsid w:val="00410565"/>
    <w:rsid w:val="00410708"/>
    <w:rsid w:val="00410759"/>
    <w:rsid w:val="00410940"/>
    <w:rsid w:val="00410EC7"/>
    <w:rsid w:val="00411382"/>
    <w:rsid w:val="004117E9"/>
    <w:rsid w:val="00411B39"/>
    <w:rsid w:val="0041256E"/>
    <w:rsid w:val="00412572"/>
    <w:rsid w:val="0041263E"/>
    <w:rsid w:val="004127A7"/>
    <w:rsid w:val="00412B92"/>
    <w:rsid w:val="00412E34"/>
    <w:rsid w:val="00412EB3"/>
    <w:rsid w:val="00412F4F"/>
    <w:rsid w:val="00412FD6"/>
    <w:rsid w:val="004133B9"/>
    <w:rsid w:val="0041380B"/>
    <w:rsid w:val="00413A1E"/>
    <w:rsid w:val="0041427D"/>
    <w:rsid w:val="00414398"/>
    <w:rsid w:val="00414476"/>
    <w:rsid w:val="004147A3"/>
    <w:rsid w:val="004148D7"/>
    <w:rsid w:val="004149B9"/>
    <w:rsid w:val="00414C2E"/>
    <w:rsid w:val="004151CF"/>
    <w:rsid w:val="004158A3"/>
    <w:rsid w:val="004158EB"/>
    <w:rsid w:val="00415CEB"/>
    <w:rsid w:val="00415E4B"/>
    <w:rsid w:val="00416364"/>
    <w:rsid w:val="004164AC"/>
    <w:rsid w:val="00416595"/>
    <w:rsid w:val="00416645"/>
    <w:rsid w:val="00416A34"/>
    <w:rsid w:val="004170FC"/>
    <w:rsid w:val="00417127"/>
    <w:rsid w:val="00417144"/>
    <w:rsid w:val="0041745A"/>
    <w:rsid w:val="0041765A"/>
    <w:rsid w:val="00417BBE"/>
    <w:rsid w:val="00417C9F"/>
    <w:rsid w:val="00420348"/>
    <w:rsid w:val="00420372"/>
    <w:rsid w:val="0042047F"/>
    <w:rsid w:val="00420593"/>
    <w:rsid w:val="00420AA6"/>
    <w:rsid w:val="00420B20"/>
    <w:rsid w:val="00420B9F"/>
    <w:rsid w:val="00420F03"/>
    <w:rsid w:val="00420F44"/>
    <w:rsid w:val="0042192C"/>
    <w:rsid w:val="00421BE6"/>
    <w:rsid w:val="00422260"/>
    <w:rsid w:val="0042243F"/>
    <w:rsid w:val="00422B48"/>
    <w:rsid w:val="00422FD9"/>
    <w:rsid w:val="004230A5"/>
    <w:rsid w:val="0042349D"/>
    <w:rsid w:val="0042360F"/>
    <w:rsid w:val="0042413F"/>
    <w:rsid w:val="004241AB"/>
    <w:rsid w:val="004243E1"/>
    <w:rsid w:val="004245C2"/>
    <w:rsid w:val="00424767"/>
    <w:rsid w:val="00424B7B"/>
    <w:rsid w:val="00425061"/>
    <w:rsid w:val="004253AD"/>
    <w:rsid w:val="004253C5"/>
    <w:rsid w:val="0042552F"/>
    <w:rsid w:val="00425668"/>
    <w:rsid w:val="00425D0F"/>
    <w:rsid w:val="00425FAB"/>
    <w:rsid w:val="0042626E"/>
    <w:rsid w:val="00426D23"/>
    <w:rsid w:val="00426E94"/>
    <w:rsid w:val="00426F16"/>
    <w:rsid w:val="004273CA"/>
    <w:rsid w:val="004275C8"/>
    <w:rsid w:val="0042796C"/>
    <w:rsid w:val="00427F21"/>
    <w:rsid w:val="00430181"/>
    <w:rsid w:val="00430835"/>
    <w:rsid w:val="00430F8A"/>
    <w:rsid w:val="00431379"/>
    <w:rsid w:val="00431444"/>
    <w:rsid w:val="0043159A"/>
    <w:rsid w:val="004319F8"/>
    <w:rsid w:val="00431D35"/>
    <w:rsid w:val="00431E55"/>
    <w:rsid w:val="00432045"/>
    <w:rsid w:val="004321F6"/>
    <w:rsid w:val="00432316"/>
    <w:rsid w:val="004324F3"/>
    <w:rsid w:val="00432C34"/>
    <w:rsid w:val="00433044"/>
    <w:rsid w:val="00433388"/>
    <w:rsid w:val="00433764"/>
    <w:rsid w:val="004337BE"/>
    <w:rsid w:val="004339E9"/>
    <w:rsid w:val="00433B3B"/>
    <w:rsid w:val="00433CF6"/>
    <w:rsid w:val="00434044"/>
    <w:rsid w:val="00434088"/>
    <w:rsid w:val="004340A5"/>
    <w:rsid w:val="0043454F"/>
    <w:rsid w:val="0043459D"/>
    <w:rsid w:val="0043468D"/>
    <w:rsid w:val="00434DC0"/>
    <w:rsid w:val="00434F3F"/>
    <w:rsid w:val="00435D99"/>
    <w:rsid w:val="00435DD0"/>
    <w:rsid w:val="00435E73"/>
    <w:rsid w:val="0043666C"/>
    <w:rsid w:val="004369D3"/>
    <w:rsid w:val="004375B9"/>
    <w:rsid w:val="00437EB7"/>
    <w:rsid w:val="0044006A"/>
    <w:rsid w:val="00440378"/>
    <w:rsid w:val="00440670"/>
    <w:rsid w:val="00440A5A"/>
    <w:rsid w:val="00441E32"/>
    <w:rsid w:val="004428A7"/>
    <w:rsid w:val="004428D0"/>
    <w:rsid w:val="00442AD2"/>
    <w:rsid w:val="0044308A"/>
    <w:rsid w:val="00443116"/>
    <w:rsid w:val="00443216"/>
    <w:rsid w:val="004432D3"/>
    <w:rsid w:val="004434B3"/>
    <w:rsid w:val="00443633"/>
    <w:rsid w:val="004438B1"/>
    <w:rsid w:val="00444185"/>
    <w:rsid w:val="004443A7"/>
    <w:rsid w:val="0044442C"/>
    <w:rsid w:val="00444665"/>
    <w:rsid w:val="00444F93"/>
    <w:rsid w:val="00445941"/>
    <w:rsid w:val="00445DCF"/>
    <w:rsid w:val="00445F11"/>
    <w:rsid w:val="0044616A"/>
    <w:rsid w:val="00446366"/>
    <w:rsid w:val="004464EB"/>
    <w:rsid w:val="004466CC"/>
    <w:rsid w:val="00446E9A"/>
    <w:rsid w:val="004470AB"/>
    <w:rsid w:val="00447419"/>
    <w:rsid w:val="00447A0F"/>
    <w:rsid w:val="00447D26"/>
    <w:rsid w:val="00447DFC"/>
    <w:rsid w:val="0045077E"/>
    <w:rsid w:val="00450F2C"/>
    <w:rsid w:val="004514FB"/>
    <w:rsid w:val="00451A5B"/>
    <w:rsid w:val="00451B94"/>
    <w:rsid w:val="00452297"/>
    <w:rsid w:val="004528AB"/>
    <w:rsid w:val="004528B8"/>
    <w:rsid w:val="00452BE1"/>
    <w:rsid w:val="00452D7E"/>
    <w:rsid w:val="004530E3"/>
    <w:rsid w:val="0045326E"/>
    <w:rsid w:val="00453282"/>
    <w:rsid w:val="004535A1"/>
    <w:rsid w:val="00453E48"/>
    <w:rsid w:val="00454392"/>
    <w:rsid w:val="00454B8C"/>
    <w:rsid w:val="004552F9"/>
    <w:rsid w:val="0045534E"/>
    <w:rsid w:val="00455A1C"/>
    <w:rsid w:val="00455C69"/>
    <w:rsid w:val="00455C82"/>
    <w:rsid w:val="00455D45"/>
    <w:rsid w:val="004561F7"/>
    <w:rsid w:val="004563D6"/>
    <w:rsid w:val="004565DD"/>
    <w:rsid w:val="004566E5"/>
    <w:rsid w:val="00456F62"/>
    <w:rsid w:val="004570A2"/>
    <w:rsid w:val="00457114"/>
    <w:rsid w:val="0045738E"/>
    <w:rsid w:val="004576A5"/>
    <w:rsid w:val="00457786"/>
    <w:rsid w:val="0045794D"/>
    <w:rsid w:val="00457A74"/>
    <w:rsid w:val="0046024F"/>
    <w:rsid w:val="00460387"/>
    <w:rsid w:val="00460D04"/>
    <w:rsid w:val="00460D53"/>
    <w:rsid w:val="004612D1"/>
    <w:rsid w:val="004618BA"/>
    <w:rsid w:val="00461F08"/>
    <w:rsid w:val="00461F8E"/>
    <w:rsid w:val="00462196"/>
    <w:rsid w:val="004621BC"/>
    <w:rsid w:val="00462447"/>
    <w:rsid w:val="00462531"/>
    <w:rsid w:val="004626DD"/>
    <w:rsid w:val="00462C83"/>
    <w:rsid w:val="00462D78"/>
    <w:rsid w:val="00463057"/>
    <w:rsid w:val="004631E8"/>
    <w:rsid w:val="004636C1"/>
    <w:rsid w:val="0046374A"/>
    <w:rsid w:val="00463788"/>
    <w:rsid w:val="00463ED3"/>
    <w:rsid w:val="004641C4"/>
    <w:rsid w:val="004644E4"/>
    <w:rsid w:val="00464595"/>
    <w:rsid w:val="004653C8"/>
    <w:rsid w:val="00465676"/>
    <w:rsid w:val="0046579D"/>
    <w:rsid w:val="0046579F"/>
    <w:rsid w:val="004658B5"/>
    <w:rsid w:val="00465AAF"/>
    <w:rsid w:val="00465FEC"/>
    <w:rsid w:val="00466039"/>
    <w:rsid w:val="0046657F"/>
    <w:rsid w:val="00466F9F"/>
    <w:rsid w:val="0046735E"/>
    <w:rsid w:val="004674FF"/>
    <w:rsid w:val="0046771A"/>
    <w:rsid w:val="00467897"/>
    <w:rsid w:val="00467ECC"/>
    <w:rsid w:val="004711F4"/>
    <w:rsid w:val="0047154E"/>
    <w:rsid w:val="00471D05"/>
    <w:rsid w:val="00471DF6"/>
    <w:rsid w:val="00471EA5"/>
    <w:rsid w:val="004722E6"/>
    <w:rsid w:val="00472A79"/>
    <w:rsid w:val="00472E1F"/>
    <w:rsid w:val="0047364C"/>
    <w:rsid w:val="00473702"/>
    <w:rsid w:val="0047387F"/>
    <w:rsid w:val="00473D14"/>
    <w:rsid w:val="00473E95"/>
    <w:rsid w:val="00473F19"/>
    <w:rsid w:val="00474423"/>
    <w:rsid w:val="0047448F"/>
    <w:rsid w:val="004744DA"/>
    <w:rsid w:val="0047475E"/>
    <w:rsid w:val="00475141"/>
    <w:rsid w:val="0047519C"/>
    <w:rsid w:val="00475B84"/>
    <w:rsid w:val="00475BC4"/>
    <w:rsid w:val="00475C3F"/>
    <w:rsid w:val="00475CD6"/>
    <w:rsid w:val="00475E22"/>
    <w:rsid w:val="00475F2E"/>
    <w:rsid w:val="004766D9"/>
    <w:rsid w:val="00476A44"/>
    <w:rsid w:val="00476C92"/>
    <w:rsid w:val="00476CC5"/>
    <w:rsid w:val="00476EA7"/>
    <w:rsid w:val="00477A0A"/>
    <w:rsid w:val="00477B0B"/>
    <w:rsid w:val="00477CBF"/>
    <w:rsid w:val="004804F3"/>
    <w:rsid w:val="00480701"/>
    <w:rsid w:val="0048088E"/>
    <w:rsid w:val="00480A11"/>
    <w:rsid w:val="00480F2B"/>
    <w:rsid w:val="00481201"/>
    <w:rsid w:val="00481232"/>
    <w:rsid w:val="004813A8"/>
    <w:rsid w:val="00481650"/>
    <w:rsid w:val="004818DB"/>
    <w:rsid w:val="00481AB9"/>
    <w:rsid w:val="00481C52"/>
    <w:rsid w:val="00481C9B"/>
    <w:rsid w:val="00482297"/>
    <w:rsid w:val="004825ED"/>
    <w:rsid w:val="00482720"/>
    <w:rsid w:val="004827EE"/>
    <w:rsid w:val="0048319C"/>
    <w:rsid w:val="00483293"/>
    <w:rsid w:val="004832B0"/>
    <w:rsid w:val="004835E7"/>
    <w:rsid w:val="004835F6"/>
    <w:rsid w:val="00483610"/>
    <w:rsid w:val="00483962"/>
    <w:rsid w:val="00483A40"/>
    <w:rsid w:val="00483BDC"/>
    <w:rsid w:val="00483F44"/>
    <w:rsid w:val="004840F3"/>
    <w:rsid w:val="00484149"/>
    <w:rsid w:val="004853E4"/>
    <w:rsid w:val="004855E5"/>
    <w:rsid w:val="00485854"/>
    <w:rsid w:val="004859E1"/>
    <w:rsid w:val="00485AC3"/>
    <w:rsid w:val="00485FF3"/>
    <w:rsid w:val="00486019"/>
    <w:rsid w:val="0048611B"/>
    <w:rsid w:val="004863F9"/>
    <w:rsid w:val="0048644D"/>
    <w:rsid w:val="004867E2"/>
    <w:rsid w:val="00486837"/>
    <w:rsid w:val="004870F8"/>
    <w:rsid w:val="00487DDA"/>
    <w:rsid w:val="004902E4"/>
    <w:rsid w:val="00490B17"/>
    <w:rsid w:val="00490C40"/>
    <w:rsid w:val="004912E1"/>
    <w:rsid w:val="004915F0"/>
    <w:rsid w:val="00491B3A"/>
    <w:rsid w:val="00491C6A"/>
    <w:rsid w:val="00491E00"/>
    <w:rsid w:val="00492592"/>
    <w:rsid w:val="004929AE"/>
    <w:rsid w:val="00492CFD"/>
    <w:rsid w:val="0049316C"/>
    <w:rsid w:val="0049327A"/>
    <w:rsid w:val="00493D74"/>
    <w:rsid w:val="004940AB"/>
    <w:rsid w:val="00494207"/>
    <w:rsid w:val="0049438A"/>
    <w:rsid w:val="004948DD"/>
    <w:rsid w:val="00494C7F"/>
    <w:rsid w:val="00494DD5"/>
    <w:rsid w:val="00495AAD"/>
    <w:rsid w:val="0049603E"/>
    <w:rsid w:val="004962D2"/>
    <w:rsid w:val="00496456"/>
    <w:rsid w:val="004965D0"/>
    <w:rsid w:val="00496AC8"/>
    <w:rsid w:val="00496CC7"/>
    <w:rsid w:val="00496D00"/>
    <w:rsid w:val="00496F1A"/>
    <w:rsid w:val="0049755C"/>
    <w:rsid w:val="00497C5B"/>
    <w:rsid w:val="00497EC5"/>
    <w:rsid w:val="00497EDE"/>
    <w:rsid w:val="004A0561"/>
    <w:rsid w:val="004A0956"/>
    <w:rsid w:val="004A0DA1"/>
    <w:rsid w:val="004A13D6"/>
    <w:rsid w:val="004A1CBD"/>
    <w:rsid w:val="004A1F4F"/>
    <w:rsid w:val="004A2150"/>
    <w:rsid w:val="004A27A4"/>
    <w:rsid w:val="004A2832"/>
    <w:rsid w:val="004A2A68"/>
    <w:rsid w:val="004A32B6"/>
    <w:rsid w:val="004A33F7"/>
    <w:rsid w:val="004A340E"/>
    <w:rsid w:val="004A3BA6"/>
    <w:rsid w:val="004A3CD1"/>
    <w:rsid w:val="004A4525"/>
    <w:rsid w:val="004A4997"/>
    <w:rsid w:val="004A4B40"/>
    <w:rsid w:val="004A52E9"/>
    <w:rsid w:val="004A59E9"/>
    <w:rsid w:val="004A5A42"/>
    <w:rsid w:val="004A5A90"/>
    <w:rsid w:val="004A6040"/>
    <w:rsid w:val="004A6097"/>
    <w:rsid w:val="004A6185"/>
    <w:rsid w:val="004A61EB"/>
    <w:rsid w:val="004A6597"/>
    <w:rsid w:val="004A669B"/>
    <w:rsid w:val="004A7272"/>
    <w:rsid w:val="004A72EB"/>
    <w:rsid w:val="004A7848"/>
    <w:rsid w:val="004A793B"/>
    <w:rsid w:val="004A79FC"/>
    <w:rsid w:val="004A7F65"/>
    <w:rsid w:val="004B0260"/>
    <w:rsid w:val="004B0325"/>
    <w:rsid w:val="004B0D23"/>
    <w:rsid w:val="004B0DB5"/>
    <w:rsid w:val="004B0DF0"/>
    <w:rsid w:val="004B123C"/>
    <w:rsid w:val="004B1282"/>
    <w:rsid w:val="004B14C2"/>
    <w:rsid w:val="004B15E4"/>
    <w:rsid w:val="004B181C"/>
    <w:rsid w:val="004B1871"/>
    <w:rsid w:val="004B1AAE"/>
    <w:rsid w:val="004B1CB4"/>
    <w:rsid w:val="004B260D"/>
    <w:rsid w:val="004B2660"/>
    <w:rsid w:val="004B2ABF"/>
    <w:rsid w:val="004B2BE4"/>
    <w:rsid w:val="004B2F18"/>
    <w:rsid w:val="004B3DDB"/>
    <w:rsid w:val="004B4386"/>
    <w:rsid w:val="004B44FD"/>
    <w:rsid w:val="004B5295"/>
    <w:rsid w:val="004B593F"/>
    <w:rsid w:val="004B5C0D"/>
    <w:rsid w:val="004B5CFC"/>
    <w:rsid w:val="004B5D61"/>
    <w:rsid w:val="004B5F2A"/>
    <w:rsid w:val="004B6003"/>
    <w:rsid w:val="004B67E0"/>
    <w:rsid w:val="004B6A44"/>
    <w:rsid w:val="004B6F79"/>
    <w:rsid w:val="004B71B7"/>
    <w:rsid w:val="004B7448"/>
    <w:rsid w:val="004B774D"/>
    <w:rsid w:val="004B785A"/>
    <w:rsid w:val="004B7D34"/>
    <w:rsid w:val="004C00D4"/>
    <w:rsid w:val="004C014B"/>
    <w:rsid w:val="004C02DE"/>
    <w:rsid w:val="004C0482"/>
    <w:rsid w:val="004C0B8C"/>
    <w:rsid w:val="004C0F1E"/>
    <w:rsid w:val="004C1992"/>
    <w:rsid w:val="004C1D07"/>
    <w:rsid w:val="004C1FAE"/>
    <w:rsid w:val="004C2068"/>
    <w:rsid w:val="004C2939"/>
    <w:rsid w:val="004C2AC2"/>
    <w:rsid w:val="004C3081"/>
    <w:rsid w:val="004C313D"/>
    <w:rsid w:val="004C33E7"/>
    <w:rsid w:val="004C372E"/>
    <w:rsid w:val="004C3AAC"/>
    <w:rsid w:val="004C3B02"/>
    <w:rsid w:val="004C3C2D"/>
    <w:rsid w:val="004C3C3F"/>
    <w:rsid w:val="004C3CA6"/>
    <w:rsid w:val="004C47D7"/>
    <w:rsid w:val="004C4AED"/>
    <w:rsid w:val="004C4B2B"/>
    <w:rsid w:val="004C4BD7"/>
    <w:rsid w:val="004C4F44"/>
    <w:rsid w:val="004C4FC1"/>
    <w:rsid w:val="004C5576"/>
    <w:rsid w:val="004C5C53"/>
    <w:rsid w:val="004C5D5B"/>
    <w:rsid w:val="004C5E10"/>
    <w:rsid w:val="004C63F4"/>
    <w:rsid w:val="004C6567"/>
    <w:rsid w:val="004C691A"/>
    <w:rsid w:val="004C6B99"/>
    <w:rsid w:val="004C72F2"/>
    <w:rsid w:val="004C7508"/>
    <w:rsid w:val="004C75BB"/>
    <w:rsid w:val="004C786A"/>
    <w:rsid w:val="004C7914"/>
    <w:rsid w:val="004C7B43"/>
    <w:rsid w:val="004C7B8A"/>
    <w:rsid w:val="004C7C36"/>
    <w:rsid w:val="004C7EDE"/>
    <w:rsid w:val="004D0105"/>
    <w:rsid w:val="004D04B2"/>
    <w:rsid w:val="004D0BC6"/>
    <w:rsid w:val="004D17B6"/>
    <w:rsid w:val="004D1BDB"/>
    <w:rsid w:val="004D2C2D"/>
    <w:rsid w:val="004D3182"/>
    <w:rsid w:val="004D31BC"/>
    <w:rsid w:val="004D35BE"/>
    <w:rsid w:val="004D37AD"/>
    <w:rsid w:val="004D391B"/>
    <w:rsid w:val="004D39CD"/>
    <w:rsid w:val="004D3A37"/>
    <w:rsid w:val="004D3DD2"/>
    <w:rsid w:val="004D4045"/>
    <w:rsid w:val="004D469E"/>
    <w:rsid w:val="004D4B41"/>
    <w:rsid w:val="004D4C63"/>
    <w:rsid w:val="004D4CB6"/>
    <w:rsid w:val="004D544A"/>
    <w:rsid w:val="004D5831"/>
    <w:rsid w:val="004D5A45"/>
    <w:rsid w:val="004D617D"/>
    <w:rsid w:val="004D6859"/>
    <w:rsid w:val="004D687E"/>
    <w:rsid w:val="004D69B5"/>
    <w:rsid w:val="004D6FE2"/>
    <w:rsid w:val="004D709D"/>
    <w:rsid w:val="004D7163"/>
    <w:rsid w:val="004D7227"/>
    <w:rsid w:val="004D7966"/>
    <w:rsid w:val="004D79EE"/>
    <w:rsid w:val="004D7A64"/>
    <w:rsid w:val="004D7B5E"/>
    <w:rsid w:val="004E007E"/>
    <w:rsid w:val="004E0202"/>
    <w:rsid w:val="004E04F3"/>
    <w:rsid w:val="004E0926"/>
    <w:rsid w:val="004E0C4D"/>
    <w:rsid w:val="004E0E7F"/>
    <w:rsid w:val="004E0EB8"/>
    <w:rsid w:val="004E18E9"/>
    <w:rsid w:val="004E1A1D"/>
    <w:rsid w:val="004E1AA6"/>
    <w:rsid w:val="004E1B01"/>
    <w:rsid w:val="004E1BD8"/>
    <w:rsid w:val="004E2198"/>
    <w:rsid w:val="004E22DE"/>
    <w:rsid w:val="004E2453"/>
    <w:rsid w:val="004E2920"/>
    <w:rsid w:val="004E29DC"/>
    <w:rsid w:val="004E2ADC"/>
    <w:rsid w:val="004E2BB5"/>
    <w:rsid w:val="004E2BF9"/>
    <w:rsid w:val="004E32D9"/>
    <w:rsid w:val="004E3A11"/>
    <w:rsid w:val="004E3E57"/>
    <w:rsid w:val="004E43B2"/>
    <w:rsid w:val="004E44CB"/>
    <w:rsid w:val="004E4A5C"/>
    <w:rsid w:val="004E4EA1"/>
    <w:rsid w:val="004E56D2"/>
    <w:rsid w:val="004E5844"/>
    <w:rsid w:val="004E5879"/>
    <w:rsid w:val="004E5D5D"/>
    <w:rsid w:val="004E5FDE"/>
    <w:rsid w:val="004E67D3"/>
    <w:rsid w:val="004E6A9A"/>
    <w:rsid w:val="004E6BAA"/>
    <w:rsid w:val="004E6F24"/>
    <w:rsid w:val="004E7353"/>
    <w:rsid w:val="004E768E"/>
    <w:rsid w:val="004E77E2"/>
    <w:rsid w:val="004E7C99"/>
    <w:rsid w:val="004F0557"/>
    <w:rsid w:val="004F07AA"/>
    <w:rsid w:val="004F118D"/>
    <w:rsid w:val="004F12AB"/>
    <w:rsid w:val="004F169F"/>
    <w:rsid w:val="004F1770"/>
    <w:rsid w:val="004F1BAB"/>
    <w:rsid w:val="004F1D02"/>
    <w:rsid w:val="004F1D1D"/>
    <w:rsid w:val="004F20D0"/>
    <w:rsid w:val="004F220D"/>
    <w:rsid w:val="004F2679"/>
    <w:rsid w:val="004F2AAF"/>
    <w:rsid w:val="004F2C9A"/>
    <w:rsid w:val="004F2F21"/>
    <w:rsid w:val="004F3B94"/>
    <w:rsid w:val="004F3BEA"/>
    <w:rsid w:val="004F3C18"/>
    <w:rsid w:val="004F3DE5"/>
    <w:rsid w:val="004F3E08"/>
    <w:rsid w:val="004F41C3"/>
    <w:rsid w:val="004F4463"/>
    <w:rsid w:val="004F4B44"/>
    <w:rsid w:val="004F4B97"/>
    <w:rsid w:val="004F566B"/>
    <w:rsid w:val="004F57ED"/>
    <w:rsid w:val="004F59E8"/>
    <w:rsid w:val="004F5A74"/>
    <w:rsid w:val="004F6076"/>
    <w:rsid w:val="004F6913"/>
    <w:rsid w:val="004F756F"/>
    <w:rsid w:val="004F76AC"/>
    <w:rsid w:val="004F7865"/>
    <w:rsid w:val="004F786C"/>
    <w:rsid w:val="00500868"/>
    <w:rsid w:val="00500A93"/>
    <w:rsid w:val="00501265"/>
    <w:rsid w:val="00501461"/>
    <w:rsid w:val="0050174E"/>
    <w:rsid w:val="00501854"/>
    <w:rsid w:val="00501A7F"/>
    <w:rsid w:val="00501C21"/>
    <w:rsid w:val="00501E6C"/>
    <w:rsid w:val="0050219B"/>
    <w:rsid w:val="005026F8"/>
    <w:rsid w:val="005028A4"/>
    <w:rsid w:val="00502B37"/>
    <w:rsid w:val="00503521"/>
    <w:rsid w:val="005039BC"/>
    <w:rsid w:val="00503D22"/>
    <w:rsid w:val="00503F17"/>
    <w:rsid w:val="00503F3A"/>
    <w:rsid w:val="00504356"/>
    <w:rsid w:val="00505025"/>
    <w:rsid w:val="0050549D"/>
    <w:rsid w:val="00505728"/>
    <w:rsid w:val="00505913"/>
    <w:rsid w:val="0050594D"/>
    <w:rsid w:val="00505B99"/>
    <w:rsid w:val="00505D07"/>
    <w:rsid w:val="00505F51"/>
    <w:rsid w:val="00506000"/>
    <w:rsid w:val="00506928"/>
    <w:rsid w:val="00506B43"/>
    <w:rsid w:val="00506B50"/>
    <w:rsid w:val="0050722C"/>
    <w:rsid w:val="00507272"/>
    <w:rsid w:val="005077EF"/>
    <w:rsid w:val="00507A12"/>
    <w:rsid w:val="00507BAD"/>
    <w:rsid w:val="00507C78"/>
    <w:rsid w:val="005105C4"/>
    <w:rsid w:val="00511446"/>
    <w:rsid w:val="005114BF"/>
    <w:rsid w:val="00511AD5"/>
    <w:rsid w:val="00511D32"/>
    <w:rsid w:val="00511DC0"/>
    <w:rsid w:val="00511DC7"/>
    <w:rsid w:val="00512605"/>
    <w:rsid w:val="00512757"/>
    <w:rsid w:val="00512943"/>
    <w:rsid w:val="00512CF9"/>
    <w:rsid w:val="00513549"/>
    <w:rsid w:val="00513561"/>
    <w:rsid w:val="0051361A"/>
    <w:rsid w:val="005136E7"/>
    <w:rsid w:val="005136EA"/>
    <w:rsid w:val="00513B78"/>
    <w:rsid w:val="00513BDE"/>
    <w:rsid w:val="00513E24"/>
    <w:rsid w:val="00514280"/>
    <w:rsid w:val="005142C5"/>
    <w:rsid w:val="0051466D"/>
    <w:rsid w:val="00514691"/>
    <w:rsid w:val="00514775"/>
    <w:rsid w:val="00514BBE"/>
    <w:rsid w:val="0051501B"/>
    <w:rsid w:val="005152B5"/>
    <w:rsid w:val="00515886"/>
    <w:rsid w:val="00515A91"/>
    <w:rsid w:val="00515B89"/>
    <w:rsid w:val="00515D51"/>
    <w:rsid w:val="00515FE7"/>
    <w:rsid w:val="0051635B"/>
    <w:rsid w:val="00516AB7"/>
    <w:rsid w:val="00516C40"/>
    <w:rsid w:val="0051731F"/>
    <w:rsid w:val="00517384"/>
    <w:rsid w:val="0052004D"/>
    <w:rsid w:val="00520247"/>
    <w:rsid w:val="005203C3"/>
    <w:rsid w:val="005203CF"/>
    <w:rsid w:val="00520E8F"/>
    <w:rsid w:val="0052123C"/>
    <w:rsid w:val="0052128A"/>
    <w:rsid w:val="00521319"/>
    <w:rsid w:val="0052167D"/>
    <w:rsid w:val="00521963"/>
    <w:rsid w:val="00521E0A"/>
    <w:rsid w:val="00521F12"/>
    <w:rsid w:val="00522BC8"/>
    <w:rsid w:val="00522CD5"/>
    <w:rsid w:val="00522DB7"/>
    <w:rsid w:val="0052302F"/>
    <w:rsid w:val="005231F9"/>
    <w:rsid w:val="005239DB"/>
    <w:rsid w:val="00523BBB"/>
    <w:rsid w:val="00523C28"/>
    <w:rsid w:val="00523E2C"/>
    <w:rsid w:val="00524148"/>
    <w:rsid w:val="0052433F"/>
    <w:rsid w:val="00524419"/>
    <w:rsid w:val="005244AF"/>
    <w:rsid w:val="005247B9"/>
    <w:rsid w:val="00524E36"/>
    <w:rsid w:val="005258F9"/>
    <w:rsid w:val="00526057"/>
    <w:rsid w:val="00526460"/>
    <w:rsid w:val="00526739"/>
    <w:rsid w:val="00526934"/>
    <w:rsid w:val="005273C6"/>
    <w:rsid w:val="005273C8"/>
    <w:rsid w:val="005275F7"/>
    <w:rsid w:val="00527780"/>
    <w:rsid w:val="00527796"/>
    <w:rsid w:val="0053004E"/>
    <w:rsid w:val="005300E4"/>
    <w:rsid w:val="005305F6"/>
    <w:rsid w:val="00530679"/>
    <w:rsid w:val="0053081B"/>
    <w:rsid w:val="00530A07"/>
    <w:rsid w:val="00530F40"/>
    <w:rsid w:val="00531076"/>
    <w:rsid w:val="00531244"/>
    <w:rsid w:val="005315A5"/>
    <w:rsid w:val="0053176B"/>
    <w:rsid w:val="00531C00"/>
    <w:rsid w:val="005321AF"/>
    <w:rsid w:val="00532A38"/>
    <w:rsid w:val="00532D43"/>
    <w:rsid w:val="00532F08"/>
    <w:rsid w:val="005331C1"/>
    <w:rsid w:val="005337ED"/>
    <w:rsid w:val="00533CE3"/>
    <w:rsid w:val="005341B3"/>
    <w:rsid w:val="0053425D"/>
    <w:rsid w:val="0053426D"/>
    <w:rsid w:val="00534A04"/>
    <w:rsid w:val="00535167"/>
    <w:rsid w:val="0053534C"/>
    <w:rsid w:val="00535CEA"/>
    <w:rsid w:val="0053697A"/>
    <w:rsid w:val="005369F1"/>
    <w:rsid w:val="00536CB6"/>
    <w:rsid w:val="00536F42"/>
    <w:rsid w:val="00537110"/>
    <w:rsid w:val="00537182"/>
    <w:rsid w:val="00537ABA"/>
    <w:rsid w:val="00537CD9"/>
    <w:rsid w:val="005413ED"/>
    <w:rsid w:val="00541691"/>
    <w:rsid w:val="005419C4"/>
    <w:rsid w:val="00541DBD"/>
    <w:rsid w:val="00541ECC"/>
    <w:rsid w:val="00541EDD"/>
    <w:rsid w:val="00542061"/>
    <w:rsid w:val="00542095"/>
    <w:rsid w:val="00542334"/>
    <w:rsid w:val="005426CC"/>
    <w:rsid w:val="00542711"/>
    <w:rsid w:val="00542743"/>
    <w:rsid w:val="00542782"/>
    <w:rsid w:val="00542C2D"/>
    <w:rsid w:val="00542E56"/>
    <w:rsid w:val="005432BC"/>
    <w:rsid w:val="00544A09"/>
    <w:rsid w:val="005451E6"/>
    <w:rsid w:val="00545219"/>
    <w:rsid w:val="0054528F"/>
    <w:rsid w:val="00545769"/>
    <w:rsid w:val="005457F3"/>
    <w:rsid w:val="00545B07"/>
    <w:rsid w:val="00545BD9"/>
    <w:rsid w:val="00545D98"/>
    <w:rsid w:val="0054622F"/>
    <w:rsid w:val="00546C04"/>
    <w:rsid w:val="00546E23"/>
    <w:rsid w:val="005478BD"/>
    <w:rsid w:val="005479E3"/>
    <w:rsid w:val="00547C78"/>
    <w:rsid w:val="00547D57"/>
    <w:rsid w:val="00550090"/>
    <w:rsid w:val="005500A0"/>
    <w:rsid w:val="00550124"/>
    <w:rsid w:val="0055065F"/>
    <w:rsid w:val="00550887"/>
    <w:rsid w:val="00550F90"/>
    <w:rsid w:val="00551006"/>
    <w:rsid w:val="005516DE"/>
    <w:rsid w:val="0055188E"/>
    <w:rsid w:val="00551985"/>
    <w:rsid w:val="00551D41"/>
    <w:rsid w:val="00551E75"/>
    <w:rsid w:val="00552216"/>
    <w:rsid w:val="0055235C"/>
    <w:rsid w:val="005526FA"/>
    <w:rsid w:val="00552B53"/>
    <w:rsid w:val="00552BD3"/>
    <w:rsid w:val="00552F9A"/>
    <w:rsid w:val="005532A0"/>
    <w:rsid w:val="00553448"/>
    <w:rsid w:val="005534A1"/>
    <w:rsid w:val="0055380F"/>
    <w:rsid w:val="00554095"/>
    <w:rsid w:val="00554340"/>
    <w:rsid w:val="005543EE"/>
    <w:rsid w:val="00554536"/>
    <w:rsid w:val="0055456B"/>
    <w:rsid w:val="00554681"/>
    <w:rsid w:val="0055473B"/>
    <w:rsid w:val="00554D55"/>
    <w:rsid w:val="00554F98"/>
    <w:rsid w:val="00555109"/>
    <w:rsid w:val="0055562F"/>
    <w:rsid w:val="00555D42"/>
    <w:rsid w:val="005567D7"/>
    <w:rsid w:val="00556B35"/>
    <w:rsid w:val="00556F63"/>
    <w:rsid w:val="0055704D"/>
    <w:rsid w:val="0055741A"/>
    <w:rsid w:val="00557570"/>
    <w:rsid w:val="005575E5"/>
    <w:rsid w:val="005578EB"/>
    <w:rsid w:val="00557F26"/>
    <w:rsid w:val="00560BDF"/>
    <w:rsid w:val="005611B7"/>
    <w:rsid w:val="00561532"/>
    <w:rsid w:val="0056155A"/>
    <w:rsid w:val="005618D4"/>
    <w:rsid w:val="0056201D"/>
    <w:rsid w:val="00562444"/>
    <w:rsid w:val="005625F0"/>
    <w:rsid w:val="0056271E"/>
    <w:rsid w:val="005633F8"/>
    <w:rsid w:val="0056347E"/>
    <w:rsid w:val="0056388A"/>
    <w:rsid w:val="00563BDF"/>
    <w:rsid w:val="0056412F"/>
    <w:rsid w:val="00564867"/>
    <w:rsid w:val="00564A2C"/>
    <w:rsid w:val="00564BDC"/>
    <w:rsid w:val="00564C0D"/>
    <w:rsid w:val="00564C50"/>
    <w:rsid w:val="00564C95"/>
    <w:rsid w:val="00564F2E"/>
    <w:rsid w:val="005652EB"/>
    <w:rsid w:val="00565331"/>
    <w:rsid w:val="00565336"/>
    <w:rsid w:val="005654AD"/>
    <w:rsid w:val="005654C0"/>
    <w:rsid w:val="005656C1"/>
    <w:rsid w:val="00565A73"/>
    <w:rsid w:val="00565ABE"/>
    <w:rsid w:val="00565C79"/>
    <w:rsid w:val="00565D09"/>
    <w:rsid w:val="00565DF0"/>
    <w:rsid w:val="005663E5"/>
    <w:rsid w:val="005664AE"/>
    <w:rsid w:val="005668F0"/>
    <w:rsid w:val="0056696F"/>
    <w:rsid w:val="00566E26"/>
    <w:rsid w:val="00566F4A"/>
    <w:rsid w:val="00567302"/>
    <w:rsid w:val="00567866"/>
    <w:rsid w:val="00567B72"/>
    <w:rsid w:val="00567CAC"/>
    <w:rsid w:val="00567D2F"/>
    <w:rsid w:val="00567E6D"/>
    <w:rsid w:val="00570529"/>
    <w:rsid w:val="005705A5"/>
    <w:rsid w:val="00570FC4"/>
    <w:rsid w:val="0057160F"/>
    <w:rsid w:val="00572088"/>
    <w:rsid w:val="00572269"/>
    <w:rsid w:val="0057244A"/>
    <w:rsid w:val="0057261A"/>
    <w:rsid w:val="0057288D"/>
    <w:rsid w:val="00572B95"/>
    <w:rsid w:val="00572E9B"/>
    <w:rsid w:val="00572F26"/>
    <w:rsid w:val="00573448"/>
    <w:rsid w:val="005735A6"/>
    <w:rsid w:val="00573833"/>
    <w:rsid w:val="00573D7F"/>
    <w:rsid w:val="00573DB5"/>
    <w:rsid w:val="00573E61"/>
    <w:rsid w:val="0057474C"/>
    <w:rsid w:val="00574A98"/>
    <w:rsid w:val="00574ACC"/>
    <w:rsid w:val="00574C50"/>
    <w:rsid w:val="00574E0D"/>
    <w:rsid w:val="00574EC9"/>
    <w:rsid w:val="00574FBA"/>
    <w:rsid w:val="005750C5"/>
    <w:rsid w:val="00575124"/>
    <w:rsid w:val="005751A0"/>
    <w:rsid w:val="005752DE"/>
    <w:rsid w:val="005755AC"/>
    <w:rsid w:val="005759EC"/>
    <w:rsid w:val="00575D60"/>
    <w:rsid w:val="00575D8D"/>
    <w:rsid w:val="00576564"/>
    <w:rsid w:val="005767F7"/>
    <w:rsid w:val="00576972"/>
    <w:rsid w:val="00576989"/>
    <w:rsid w:val="00576A8E"/>
    <w:rsid w:val="00577248"/>
    <w:rsid w:val="00577626"/>
    <w:rsid w:val="005777E1"/>
    <w:rsid w:val="005778EB"/>
    <w:rsid w:val="00577B98"/>
    <w:rsid w:val="00577BD4"/>
    <w:rsid w:val="00577ED8"/>
    <w:rsid w:val="00580763"/>
    <w:rsid w:val="005808D1"/>
    <w:rsid w:val="0058091D"/>
    <w:rsid w:val="0058095B"/>
    <w:rsid w:val="00580D73"/>
    <w:rsid w:val="005811EC"/>
    <w:rsid w:val="00581387"/>
    <w:rsid w:val="005813C2"/>
    <w:rsid w:val="005815E8"/>
    <w:rsid w:val="00582731"/>
    <w:rsid w:val="00582B2B"/>
    <w:rsid w:val="00582B45"/>
    <w:rsid w:val="00582ED9"/>
    <w:rsid w:val="005835A1"/>
    <w:rsid w:val="00583699"/>
    <w:rsid w:val="00583A4E"/>
    <w:rsid w:val="00583E8E"/>
    <w:rsid w:val="00584204"/>
    <w:rsid w:val="00584466"/>
    <w:rsid w:val="00584757"/>
    <w:rsid w:val="00584C18"/>
    <w:rsid w:val="00584F4C"/>
    <w:rsid w:val="005854D3"/>
    <w:rsid w:val="005857FD"/>
    <w:rsid w:val="00585CDD"/>
    <w:rsid w:val="00585DE9"/>
    <w:rsid w:val="005861D5"/>
    <w:rsid w:val="005866A8"/>
    <w:rsid w:val="00586755"/>
    <w:rsid w:val="00586929"/>
    <w:rsid w:val="00586988"/>
    <w:rsid w:val="00587058"/>
    <w:rsid w:val="005870C4"/>
    <w:rsid w:val="005871AE"/>
    <w:rsid w:val="005872E4"/>
    <w:rsid w:val="005873AA"/>
    <w:rsid w:val="00587CDD"/>
    <w:rsid w:val="00587DF7"/>
    <w:rsid w:val="0059009B"/>
    <w:rsid w:val="005902D6"/>
    <w:rsid w:val="00590356"/>
    <w:rsid w:val="005904AA"/>
    <w:rsid w:val="005905A7"/>
    <w:rsid w:val="00590BCE"/>
    <w:rsid w:val="00590F46"/>
    <w:rsid w:val="0059100D"/>
    <w:rsid w:val="005910E1"/>
    <w:rsid w:val="005912AC"/>
    <w:rsid w:val="005918F6"/>
    <w:rsid w:val="00591957"/>
    <w:rsid w:val="00591D7C"/>
    <w:rsid w:val="00591E1D"/>
    <w:rsid w:val="00592FAF"/>
    <w:rsid w:val="0059314E"/>
    <w:rsid w:val="00593168"/>
    <w:rsid w:val="0059329D"/>
    <w:rsid w:val="00593517"/>
    <w:rsid w:val="005935E2"/>
    <w:rsid w:val="005935E6"/>
    <w:rsid w:val="0059366D"/>
    <w:rsid w:val="00593ABF"/>
    <w:rsid w:val="005945C4"/>
    <w:rsid w:val="0059463C"/>
    <w:rsid w:val="005947AE"/>
    <w:rsid w:val="005952FC"/>
    <w:rsid w:val="00595362"/>
    <w:rsid w:val="00595537"/>
    <w:rsid w:val="00595791"/>
    <w:rsid w:val="00595DF4"/>
    <w:rsid w:val="005966DD"/>
    <w:rsid w:val="00596F38"/>
    <w:rsid w:val="00597444"/>
    <w:rsid w:val="00597BF9"/>
    <w:rsid w:val="00597E78"/>
    <w:rsid w:val="005A0C11"/>
    <w:rsid w:val="005A1573"/>
    <w:rsid w:val="005A15B7"/>
    <w:rsid w:val="005A169E"/>
    <w:rsid w:val="005A1E2E"/>
    <w:rsid w:val="005A2069"/>
    <w:rsid w:val="005A20C9"/>
    <w:rsid w:val="005A2176"/>
    <w:rsid w:val="005A2375"/>
    <w:rsid w:val="005A23C8"/>
    <w:rsid w:val="005A263A"/>
    <w:rsid w:val="005A309A"/>
    <w:rsid w:val="005A3522"/>
    <w:rsid w:val="005A373D"/>
    <w:rsid w:val="005A3A86"/>
    <w:rsid w:val="005A3BF2"/>
    <w:rsid w:val="005A3D59"/>
    <w:rsid w:val="005A3E5E"/>
    <w:rsid w:val="005A3F95"/>
    <w:rsid w:val="005A4647"/>
    <w:rsid w:val="005A468D"/>
    <w:rsid w:val="005A4C13"/>
    <w:rsid w:val="005A582C"/>
    <w:rsid w:val="005A59BE"/>
    <w:rsid w:val="005A5E0C"/>
    <w:rsid w:val="005A61C5"/>
    <w:rsid w:val="005A638C"/>
    <w:rsid w:val="005A6ED9"/>
    <w:rsid w:val="005A747D"/>
    <w:rsid w:val="005A754B"/>
    <w:rsid w:val="005A769B"/>
    <w:rsid w:val="005A775C"/>
    <w:rsid w:val="005A7F05"/>
    <w:rsid w:val="005B0B58"/>
    <w:rsid w:val="005B0BE0"/>
    <w:rsid w:val="005B0EEC"/>
    <w:rsid w:val="005B128A"/>
    <w:rsid w:val="005B1693"/>
    <w:rsid w:val="005B1A3F"/>
    <w:rsid w:val="005B1A91"/>
    <w:rsid w:val="005B1BCE"/>
    <w:rsid w:val="005B1E7D"/>
    <w:rsid w:val="005B1F57"/>
    <w:rsid w:val="005B2380"/>
    <w:rsid w:val="005B23D0"/>
    <w:rsid w:val="005B2482"/>
    <w:rsid w:val="005B254F"/>
    <w:rsid w:val="005B2806"/>
    <w:rsid w:val="005B2916"/>
    <w:rsid w:val="005B29E6"/>
    <w:rsid w:val="005B2F4E"/>
    <w:rsid w:val="005B3D23"/>
    <w:rsid w:val="005B3EAD"/>
    <w:rsid w:val="005B3EC4"/>
    <w:rsid w:val="005B4351"/>
    <w:rsid w:val="005B46F3"/>
    <w:rsid w:val="005B4E53"/>
    <w:rsid w:val="005B4E55"/>
    <w:rsid w:val="005B5015"/>
    <w:rsid w:val="005B55FD"/>
    <w:rsid w:val="005B5857"/>
    <w:rsid w:val="005B598F"/>
    <w:rsid w:val="005B6250"/>
    <w:rsid w:val="005B6511"/>
    <w:rsid w:val="005B6679"/>
    <w:rsid w:val="005B6FA2"/>
    <w:rsid w:val="005C028E"/>
    <w:rsid w:val="005C0658"/>
    <w:rsid w:val="005C0BCC"/>
    <w:rsid w:val="005C0CD6"/>
    <w:rsid w:val="005C1067"/>
    <w:rsid w:val="005C19C4"/>
    <w:rsid w:val="005C1B83"/>
    <w:rsid w:val="005C1FA4"/>
    <w:rsid w:val="005C23FA"/>
    <w:rsid w:val="005C25FF"/>
    <w:rsid w:val="005C2D55"/>
    <w:rsid w:val="005C346B"/>
    <w:rsid w:val="005C3766"/>
    <w:rsid w:val="005C3B0D"/>
    <w:rsid w:val="005C4136"/>
    <w:rsid w:val="005C41CD"/>
    <w:rsid w:val="005C41DC"/>
    <w:rsid w:val="005C478D"/>
    <w:rsid w:val="005C484D"/>
    <w:rsid w:val="005C487D"/>
    <w:rsid w:val="005C48C8"/>
    <w:rsid w:val="005C4B68"/>
    <w:rsid w:val="005C4C75"/>
    <w:rsid w:val="005C4E8C"/>
    <w:rsid w:val="005C519D"/>
    <w:rsid w:val="005C531A"/>
    <w:rsid w:val="005C5454"/>
    <w:rsid w:val="005C56B4"/>
    <w:rsid w:val="005C5ABC"/>
    <w:rsid w:val="005C5B70"/>
    <w:rsid w:val="005C5C0A"/>
    <w:rsid w:val="005C5D04"/>
    <w:rsid w:val="005C5E13"/>
    <w:rsid w:val="005C5E2F"/>
    <w:rsid w:val="005C60B2"/>
    <w:rsid w:val="005C6369"/>
    <w:rsid w:val="005C6A92"/>
    <w:rsid w:val="005C6ECD"/>
    <w:rsid w:val="005C7246"/>
    <w:rsid w:val="005C74C1"/>
    <w:rsid w:val="005C7AD7"/>
    <w:rsid w:val="005C7FD3"/>
    <w:rsid w:val="005D044D"/>
    <w:rsid w:val="005D045D"/>
    <w:rsid w:val="005D088A"/>
    <w:rsid w:val="005D0ABD"/>
    <w:rsid w:val="005D0E22"/>
    <w:rsid w:val="005D165A"/>
    <w:rsid w:val="005D18AD"/>
    <w:rsid w:val="005D1A06"/>
    <w:rsid w:val="005D1A1B"/>
    <w:rsid w:val="005D1B49"/>
    <w:rsid w:val="005D1BBE"/>
    <w:rsid w:val="005D1DA1"/>
    <w:rsid w:val="005D23B4"/>
    <w:rsid w:val="005D26B4"/>
    <w:rsid w:val="005D3C30"/>
    <w:rsid w:val="005D44C3"/>
    <w:rsid w:val="005D4573"/>
    <w:rsid w:val="005D45C5"/>
    <w:rsid w:val="005D4AD0"/>
    <w:rsid w:val="005D4B29"/>
    <w:rsid w:val="005D5113"/>
    <w:rsid w:val="005D53FD"/>
    <w:rsid w:val="005D549C"/>
    <w:rsid w:val="005D594D"/>
    <w:rsid w:val="005D59EC"/>
    <w:rsid w:val="005D5EB7"/>
    <w:rsid w:val="005D649E"/>
    <w:rsid w:val="005D65A8"/>
    <w:rsid w:val="005D7055"/>
    <w:rsid w:val="005E00E1"/>
    <w:rsid w:val="005E08D7"/>
    <w:rsid w:val="005E0DC6"/>
    <w:rsid w:val="005E1067"/>
    <w:rsid w:val="005E14C4"/>
    <w:rsid w:val="005E155C"/>
    <w:rsid w:val="005E156F"/>
    <w:rsid w:val="005E15B9"/>
    <w:rsid w:val="005E1731"/>
    <w:rsid w:val="005E189C"/>
    <w:rsid w:val="005E1995"/>
    <w:rsid w:val="005E1F1F"/>
    <w:rsid w:val="005E2144"/>
    <w:rsid w:val="005E22F6"/>
    <w:rsid w:val="005E23A6"/>
    <w:rsid w:val="005E2C51"/>
    <w:rsid w:val="005E3316"/>
    <w:rsid w:val="005E33C6"/>
    <w:rsid w:val="005E3407"/>
    <w:rsid w:val="005E3A6A"/>
    <w:rsid w:val="005E4F19"/>
    <w:rsid w:val="005E551E"/>
    <w:rsid w:val="005E56CE"/>
    <w:rsid w:val="005E5D7E"/>
    <w:rsid w:val="005E6129"/>
    <w:rsid w:val="005E636D"/>
    <w:rsid w:val="005E6985"/>
    <w:rsid w:val="005E6CBC"/>
    <w:rsid w:val="005E6CF2"/>
    <w:rsid w:val="005E71FF"/>
    <w:rsid w:val="005E72FF"/>
    <w:rsid w:val="005E73C0"/>
    <w:rsid w:val="005E754F"/>
    <w:rsid w:val="005F02D4"/>
    <w:rsid w:val="005F047C"/>
    <w:rsid w:val="005F07ED"/>
    <w:rsid w:val="005F0A43"/>
    <w:rsid w:val="005F0F7A"/>
    <w:rsid w:val="005F11AE"/>
    <w:rsid w:val="005F170A"/>
    <w:rsid w:val="005F196A"/>
    <w:rsid w:val="005F1A84"/>
    <w:rsid w:val="005F1FC2"/>
    <w:rsid w:val="005F2706"/>
    <w:rsid w:val="005F2C5E"/>
    <w:rsid w:val="005F2F32"/>
    <w:rsid w:val="005F3440"/>
    <w:rsid w:val="005F38BD"/>
    <w:rsid w:val="005F3FBC"/>
    <w:rsid w:val="005F422F"/>
    <w:rsid w:val="005F46D8"/>
    <w:rsid w:val="005F4965"/>
    <w:rsid w:val="005F4B0E"/>
    <w:rsid w:val="005F4C02"/>
    <w:rsid w:val="005F4C19"/>
    <w:rsid w:val="005F4EE7"/>
    <w:rsid w:val="005F555A"/>
    <w:rsid w:val="005F574E"/>
    <w:rsid w:val="005F57C7"/>
    <w:rsid w:val="005F5DCF"/>
    <w:rsid w:val="005F6052"/>
    <w:rsid w:val="005F6790"/>
    <w:rsid w:val="005F6936"/>
    <w:rsid w:val="005F69A9"/>
    <w:rsid w:val="005F69E2"/>
    <w:rsid w:val="005F6A8F"/>
    <w:rsid w:val="005F6BB7"/>
    <w:rsid w:val="005F6BD2"/>
    <w:rsid w:val="005F6F91"/>
    <w:rsid w:val="005F7588"/>
    <w:rsid w:val="005F7783"/>
    <w:rsid w:val="005F7867"/>
    <w:rsid w:val="006000E0"/>
    <w:rsid w:val="006007F8"/>
    <w:rsid w:val="0060098F"/>
    <w:rsid w:val="00600ABF"/>
    <w:rsid w:val="00600DF2"/>
    <w:rsid w:val="00600E96"/>
    <w:rsid w:val="00600ED9"/>
    <w:rsid w:val="006012B6"/>
    <w:rsid w:val="006012E8"/>
    <w:rsid w:val="00601797"/>
    <w:rsid w:val="00601D60"/>
    <w:rsid w:val="006020EB"/>
    <w:rsid w:val="006027EC"/>
    <w:rsid w:val="0060285C"/>
    <w:rsid w:val="006028D3"/>
    <w:rsid w:val="00602A62"/>
    <w:rsid w:val="00602E60"/>
    <w:rsid w:val="00602FA5"/>
    <w:rsid w:val="0060316A"/>
    <w:rsid w:val="006031E0"/>
    <w:rsid w:val="00603563"/>
    <w:rsid w:val="006038AA"/>
    <w:rsid w:val="00603C3F"/>
    <w:rsid w:val="00603C70"/>
    <w:rsid w:val="00603DB9"/>
    <w:rsid w:val="0060459D"/>
    <w:rsid w:val="00604624"/>
    <w:rsid w:val="00604BD8"/>
    <w:rsid w:val="00605745"/>
    <w:rsid w:val="00605786"/>
    <w:rsid w:val="0060580D"/>
    <w:rsid w:val="006058A6"/>
    <w:rsid w:val="00605AAB"/>
    <w:rsid w:val="0060655E"/>
    <w:rsid w:val="006067D3"/>
    <w:rsid w:val="00606FBA"/>
    <w:rsid w:val="00607303"/>
    <w:rsid w:val="00607669"/>
    <w:rsid w:val="006076F4"/>
    <w:rsid w:val="00607AFD"/>
    <w:rsid w:val="00607C2C"/>
    <w:rsid w:val="00611A17"/>
    <w:rsid w:val="00611B12"/>
    <w:rsid w:val="00611CCE"/>
    <w:rsid w:val="00611CEC"/>
    <w:rsid w:val="0061281C"/>
    <w:rsid w:val="00612B04"/>
    <w:rsid w:val="00612F49"/>
    <w:rsid w:val="00612F97"/>
    <w:rsid w:val="0061345D"/>
    <w:rsid w:val="0061372C"/>
    <w:rsid w:val="00613774"/>
    <w:rsid w:val="00613A43"/>
    <w:rsid w:val="00613AA0"/>
    <w:rsid w:val="00614991"/>
    <w:rsid w:val="0061508A"/>
    <w:rsid w:val="00615157"/>
    <w:rsid w:val="006152C0"/>
    <w:rsid w:val="0061549B"/>
    <w:rsid w:val="00615717"/>
    <w:rsid w:val="0061582D"/>
    <w:rsid w:val="00616802"/>
    <w:rsid w:val="00616ABF"/>
    <w:rsid w:val="00616E54"/>
    <w:rsid w:val="006176DD"/>
    <w:rsid w:val="00617D5E"/>
    <w:rsid w:val="00617DC1"/>
    <w:rsid w:val="00617E12"/>
    <w:rsid w:val="00620AAB"/>
    <w:rsid w:val="00620B0F"/>
    <w:rsid w:val="00620C25"/>
    <w:rsid w:val="00621477"/>
    <w:rsid w:val="00621715"/>
    <w:rsid w:val="006218DA"/>
    <w:rsid w:val="00621A48"/>
    <w:rsid w:val="00621ADA"/>
    <w:rsid w:val="0062211E"/>
    <w:rsid w:val="006224A9"/>
    <w:rsid w:val="00622BAC"/>
    <w:rsid w:val="00623F7B"/>
    <w:rsid w:val="00624B3B"/>
    <w:rsid w:val="00624BD4"/>
    <w:rsid w:val="00625159"/>
    <w:rsid w:val="0062516B"/>
    <w:rsid w:val="00625392"/>
    <w:rsid w:val="006254F0"/>
    <w:rsid w:val="006255A7"/>
    <w:rsid w:val="006257CD"/>
    <w:rsid w:val="0062596A"/>
    <w:rsid w:val="00626B7D"/>
    <w:rsid w:val="006279B9"/>
    <w:rsid w:val="00627F40"/>
    <w:rsid w:val="0063023E"/>
    <w:rsid w:val="00631361"/>
    <w:rsid w:val="006313F9"/>
    <w:rsid w:val="0063158F"/>
    <w:rsid w:val="00631AEF"/>
    <w:rsid w:val="00631B29"/>
    <w:rsid w:val="00631D6B"/>
    <w:rsid w:val="00632183"/>
    <w:rsid w:val="006322CF"/>
    <w:rsid w:val="00632382"/>
    <w:rsid w:val="00632BF0"/>
    <w:rsid w:val="00632CBB"/>
    <w:rsid w:val="00632F31"/>
    <w:rsid w:val="006330A1"/>
    <w:rsid w:val="00633189"/>
    <w:rsid w:val="00633310"/>
    <w:rsid w:val="0063358E"/>
    <w:rsid w:val="00633DF0"/>
    <w:rsid w:val="0063466C"/>
    <w:rsid w:val="0063479F"/>
    <w:rsid w:val="0063485B"/>
    <w:rsid w:val="0063488F"/>
    <w:rsid w:val="00634F19"/>
    <w:rsid w:val="00635177"/>
    <w:rsid w:val="006353F0"/>
    <w:rsid w:val="006357B5"/>
    <w:rsid w:val="00635D81"/>
    <w:rsid w:val="006361EF"/>
    <w:rsid w:val="006364A1"/>
    <w:rsid w:val="0063678E"/>
    <w:rsid w:val="00636967"/>
    <w:rsid w:val="00636F40"/>
    <w:rsid w:val="0063708B"/>
    <w:rsid w:val="00637188"/>
    <w:rsid w:val="006378A4"/>
    <w:rsid w:val="00637A1D"/>
    <w:rsid w:val="00637BFD"/>
    <w:rsid w:val="00637C5C"/>
    <w:rsid w:val="00640011"/>
    <w:rsid w:val="00640180"/>
    <w:rsid w:val="00640AC1"/>
    <w:rsid w:val="00640C1E"/>
    <w:rsid w:val="00640DD3"/>
    <w:rsid w:val="00640E2B"/>
    <w:rsid w:val="006412CE"/>
    <w:rsid w:val="006414EC"/>
    <w:rsid w:val="0064163D"/>
    <w:rsid w:val="00641A04"/>
    <w:rsid w:val="00641C4E"/>
    <w:rsid w:val="00641FB3"/>
    <w:rsid w:val="006429E7"/>
    <w:rsid w:val="00642F2F"/>
    <w:rsid w:val="00643B4C"/>
    <w:rsid w:val="0064402C"/>
    <w:rsid w:val="006440DC"/>
    <w:rsid w:val="006442A1"/>
    <w:rsid w:val="0064434C"/>
    <w:rsid w:val="0064469A"/>
    <w:rsid w:val="006454FA"/>
    <w:rsid w:val="006456D9"/>
    <w:rsid w:val="00645852"/>
    <w:rsid w:val="00645BB9"/>
    <w:rsid w:val="00645F7F"/>
    <w:rsid w:val="006461CD"/>
    <w:rsid w:val="006466AA"/>
    <w:rsid w:val="006467F1"/>
    <w:rsid w:val="00646822"/>
    <w:rsid w:val="006469E6"/>
    <w:rsid w:val="006471CC"/>
    <w:rsid w:val="00647236"/>
    <w:rsid w:val="006472FE"/>
    <w:rsid w:val="0064767D"/>
    <w:rsid w:val="00647A29"/>
    <w:rsid w:val="00650109"/>
    <w:rsid w:val="00650499"/>
    <w:rsid w:val="006504FC"/>
    <w:rsid w:val="00650520"/>
    <w:rsid w:val="006505D5"/>
    <w:rsid w:val="0065079F"/>
    <w:rsid w:val="006509F8"/>
    <w:rsid w:val="00650E24"/>
    <w:rsid w:val="00651265"/>
    <w:rsid w:val="0065151C"/>
    <w:rsid w:val="00651539"/>
    <w:rsid w:val="00651CBC"/>
    <w:rsid w:val="0065232A"/>
    <w:rsid w:val="00652A28"/>
    <w:rsid w:val="00652C35"/>
    <w:rsid w:val="00652CA5"/>
    <w:rsid w:val="006530A6"/>
    <w:rsid w:val="0065312D"/>
    <w:rsid w:val="006532B6"/>
    <w:rsid w:val="00653511"/>
    <w:rsid w:val="0065379F"/>
    <w:rsid w:val="006538DC"/>
    <w:rsid w:val="0065390B"/>
    <w:rsid w:val="00653B06"/>
    <w:rsid w:val="00653CC2"/>
    <w:rsid w:val="00653EBC"/>
    <w:rsid w:val="00653FF5"/>
    <w:rsid w:val="00654FC7"/>
    <w:rsid w:val="00655109"/>
    <w:rsid w:val="00655610"/>
    <w:rsid w:val="00655757"/>
    <w:rsid w:val="006557C1"/>
    <w:rsid w:val="00656069"/>
    <w:rsid w:val="00656188"/>
    <w:rsid w:val="00656496"/>
    <w:rsid w:val="00656A1E"/>
    <w:rsid w:val="00656D07"/>
    <w:rsid w:val="00656DD4"/>
    <w:rsid w:val="00656EA6"/>
    <w:rsid w:val="0065715A"/>
    <w:rsid w:val="006576EB"/>
    <w:rsid w:val="00657DDC"/>
    <w:rsid w:val="00657E45"/>
    <w:rsid w:val="0066067D"/>
    <w:rsid w:val="006610F1"/>
    <w:rsid w:val="00661A57"/>
    <w:rsid w:val="00661C6B"/>
    <w:rsid w:val="00661D23"/>
    <w:rsid w:val="00661E7B"/>
    <w:rsid w:val="00662860"/>
    <w:rsid w:val="00662A29"/>
    <w:rsid w:val="00662D3B"/>
    <w:rsid w:val="00662D3E"/>
    <w:rsid w:val="00663402"/>
    <w:rsid w:val="0066363D"/>
    <w:rsid w:val="00663878"/>
    <w:rsid w:val="00663D38"/>
    <w:rsid w:val="00664160"/>
    <w:rsid w:val="006644D4"/>
    <w:rsid w:val="006648A1"/>
    <w:rsid w:val="00664A97"/>
    <w:rsid w:val="00664C4B"/>
    <w:rsid w:val="00664D11"/>
    <w:rsid w:val="00664ED4"/>
    <w:rsid w:val="00665295"/>
    <w:rsid w:val="00665BC0"/>
    <w:rsid w:val="00665BF1"/>
    <w:rsid w:val="00665CC6"/>
    <w:rsid w:val="00666140"/>
    <w:rsid w:val="00666360"/>
    <w:rsid w:val="006666C5"/>
    <w:rsid w:val="00666708"/>
    <w:rsid w:val="006668AD"/>
    <w:rsid w:val="00666B34"/>
    <w:rsid w:val="00666D11"/>
    <w:rsid w:val="00666DF2"/>
    <w:rsid w:val="00666FAC"/>
    <w:rsid w:val="00667976"/>
    <w:rsid w:val="0066799D"/>
    <w:rsid w:val="00667BE3"/>
    <w:rsid w:val="00667DE2"/>
    <w:rsid w:val="006700E7"/>
    <w:rsid w:val="00670141"/>
    <w:rsid w:val="006704CD"/>
    <w:rsid w:val="0067088A"/>
    <w:rsid w:val="00670A5B"/>
    <w:rsid w:val="00670ACF"/>
    <w:rsid w:val="00670E5B"/>
    <w:rsid w:val="00671004"/>
    <w:rsid w:val="00671B0A"/>
    <w:rsid w:val="0067209F"/>
    <w:rsid w:val="006721FB"/>
    <w:rsid w:val="006723FB"/>
    <w:rsid w:val="00672646"/>
    <w:rsid w:val="0067287A"/>
    <w:rsid w:val="0067289D"/>
    <w:rsid w:val="00672A4F"/>
    <w:rsid w:val="00672D8F"/>
    <w:rsid w:val="006733B5"/>
    <w:rsid w:val="00673C9F"/>
    <w:rsid w:val="00673F53"/>
    <w:rsid w:val="00674371"/>
    <w:rsid w:val="00674782"/>
    <w:rsid w:val="00674A1A"/>
    <w:rsid w:val="00674B6F"/>
    <w:rsid w:val="00674D5E"/>
    <w:rsid w:val="00674DDD"/>
    <w:rsid w:val="00674E42"/>
    <w:rsid w:val="006755F5"/>
    <w:rsid w:val="00675917"/>
    <w:rsid w:val="00675E66"/>
    <w:rsid w:val="00676563"/>
    <w:rsid w:val="006765E9"/>
    <w:rsid w:val="00676F66"/>
    <w:rsid w:val="006770BB"/>
    <w:rsid w:val="00677468"/>
    <w:rsid w:val="0067767B"/>
    <w:rsid w:val="0067769F"/>
    <w:rsid w:val="0067772B"/>
    <w:rsid w:val="00677E92"/>
    <w:rsid w:val="00680E9B"/>
    <w:rsid w:val="00681155"/>
    <w:rsid w:val="006813F8"/>
    <w:rsid w:val="00681965"/>
    <w:rsid w:val="00681C7F"/>
    <w:rsid w:val="00682112"/>
    <w:rsid w:val="0068250C"/>
    <w:rsid w:val="0068271D"/>
    <w:rsid w:val="006828B6"/>
    <w:rsid w:val="00682BA6"/>
    <w:rsid w:val="0068332F"/>
    <w:rsid w:val="00683749"/>
    <w:rsid w:val="00683F82"/>
    <w:rsid w:val="0068401E"/>
    <w:rsid w:val="00684028"/>
    <w:rsid w:val="00684047"/>
    <w:rsid w:val="00684F23"/>
    <w:rsid w:val="0068504D"/>
    <w:rsid w:val="00685073"/>
    <w:rsid w:val="0068569A"/>
    <w:rsid w:val="00685B84"/>
    <w:rsid w:val="00685CA1"/>
    <w:rsid w:val="00685CE2"/>
    <w:rsid w:val="00685F71"/>
    <w:rsid w:val="006860E0"/>
    <w:rsid w:val="00686157"/>
    <w:rsid w:val="0068647F"/>
    <w:rsid w:val="00686740"/>
    <w:rsid w:val="0068692C"/>
    <w:rsid w:val="00686957"/>
    <w:rsid w:val="00686E1D"/>
    <w:rsid w:val="00687001"/>
    <w:rsid w:val="0068708A"/>
    <w:rsid w:val="006872BA"/>
    <w:rsid w:val="006873AE"/>
    <w:rsid w:val="006878FF"/>
    <w:rsid w:val="00687AF0"/>
    <w:rsid w:val="00687CC3"/>
    <w:rsid w:val="00687DA0"/>
    <w:rsid w:val="00687E98"/>
    <w:rsid w:val="00687F89"/>
    <w:rsid w:val="00690375"/>
    <w:rsid w:val="00690795"/>
    <w:rsid w:val="00690975"/>
    <w:rsid w:val="00690D17"/>
    <w:rsid w:val="00690D59"/>
    <w:rsid w:val="00690E1B"/>
    <w:rsid w:val="00691261"/>
    <w:rsid w:val="00691648"/>
    <w:rsid w:val="00691786"/>
    <w:rsid w:val="006917D7"/>
    <w:rsid w:val="00691A00"/>
    <w:rsid w:val="00691B92"/>
    <w:rsid w:val="00692566"/>
    <w:rsid w:val="006925DB"/>
    <w:rsid w:val="00692999"/>
    <w:rsid w:val="006938A2"/>
    <w:rsid w:val="0069413C"/>
    <w:rsid w:val="0069434C"/>
    <w:rsid w:val="00694386"/>
    <w:rsid w:val="00694F44"/>
    <w:rsid w:val="00695308"/>
    <w:rsid w:val="0069531F"/>
    <w:rsid w:val="00695457"/>
    <w:rsid w:val="006956E9"/>
    <w:rsid w:val="00695730"/>
    <w:rsid w:val="00695C18"/>
    <w:rsid w:val="00695F92"/>
    <w:rsid w:val="006963F9"/>
    <w:rsid w:val="0069665B"/>
    <w:rsid w:val="00696EF9"/>
    <w:rsid w:val="00696F51"/>
    <w:rsid w:val="00697447"/>
    <w:rsid w:val="00697968"/>
    <w:rsid w:val="006979A5"/>
    <w:rsid w:val="006A016F"/>
    <w:rsid w:val="006A037F"/>
    <w:rsid w:val="006A0DF7"/>
    <w:rsid w:val="006A2207"/>
    <w:rsid w:val="006A22ED"/>
    <w:rsid w:val="006A266B"/>
    <w:rsid w:val="006A29FC"/>
    <w:rsid w:val="006A2A68"/>
    <w:rsid w:val="006A32F0"/>
    <w:rsid w:val="006A33FC"/>
    <w:rsid w:val="006A342A"/>
    <w:rsid w:val="006A36BB"/>
    <w:rsid w:val="006A3935"/>
    <w:rsid w:val="006A3AD5"/>
    <w:rsid w:val="006A42C3"/>
    <w:rsid w:val="006A4321"/>
    <w:rsid w:val="006A43D9"/>
    <w:rsid w:val="006A46CD"/>
    <w:rsid w:val="006A48D4"/>
    <w:rsid w:val="006A4FA9"/>
    <w:rsid w:val="006A553D"/>
    <w:rsid w:val="006A5CF5"/>
    <w:rsid w:val="006A619D"/>
    <w:rsid w:val="006A676F"/>
    <w:rsid w:val="006A6B99"/>
    <w:rsid w:val="006A6C46"/>
    <w:rsid w:val="006A7905"/>
    <w:rsid w:val="006A7E5F"/>
    <w:rsid w:val="006B0BCE"/>
    <w:rsid w:val="006B114B"/>
    <w:rsid w:val="006B114F"/>
    <w:rsid w:val="006B2138"/>
    <w:rsid w:val="006B261B"/>
    <w:rsid w:val="006B2C90"/>
    <w:rsid w:val="006B2DDC"/>
    <w:rsid w:val="006B34A9"/>
    <w:rsid w:val="006B35E6"/>
    <w:rsid w:val="006B3C4E"/>
    <w:rsid w:val="006B3D9B"/>
    <w:rsid w:val="006B3F87"/>
    <w:rsid w:val="006B4029"/>
    <w:rsid w:val="006B4212"/>
    <w:rsid w:val="006B45AF"/>
    <w:rsid w:val="006B465A"/>
    <w:rsid w:val="006B481A"/>
    <w:rsid w:val="006B51AC"/>
    <w:rsid w:val="006B5400"/>
    <w:rsid w:val="006B58C4"/>
    <w:rsid w:val="006B5AC8"/>
    <w:rsid w:val="006B5AE6"/>
    <w:rsid w:val="006B5D79"/>
    <w:rsid w:val="006B5E1C"/>
    <w:rsid w:val="006B6D76"/>
    <w:rsid w:val="006B6DD0"/>
    <w:rsid w:val="006B6FBE"/>
    <w:rsid w:val="006B7297"/>
    <w:rsid w:val="006B739F"/>
    <w:rsid w:val="006B7519"/>
    <w:rsid w:val="006B77D4"/>
    <w:rsid w:val="006B7AD1"/>
    <w:rsid w:val="006C0399"/>
    <w:rsid w:val="006C0CBB"/>
    <w:rsid w:val="006C1BF0"/>
    <w:rsid w:val="006C20B9"/>
    <w:rsid w:val="006C2A8E"/>
    <w:rsid w:val="006C2B49"/>
    <w:rsid w:val="006C3255"/>
    <w:rsid w:val="006C3A14"/>
    <w:rsid w:val="006C3A1F"/>
    <w:rsid w:val="006C3DFB"/>
    <w:rsid w:val="006C3F25"/>
    <w:rsid w:val="006C3F26"/>
    <w:rsid w:val="006C4A94"/>
    <w:rsid w:val="006C51B2"/>
    <w:rsid w:val="006C5891"/>
    <w:rsid w:val="006C5AA9"/>
    <w:rsid w:val="006C5C23"/>
    <w:rsid w:val="006C6145"/>
    <w:rsid w:val="006C6722"/>
    <w:rsid w:val="006C736F"/>
    <w:rsid w:val="006C797C"/>
    <w:rsid w:val="006C7B44"/>
    <w:rsid w:val="006D01D9"/>
    <w:rsid w:val="006D0B39"/>
    <w:rsid w:val="006D0D17"/>
    <w:rsid w:val="006D0DB3"/>
    <w:rsid w:val="006D16FA"/>
    <w:rsid w:val="006D1E76"/>
    <w:rsid w:val="006D2906"/>
    <w:rsid w:val="006D2E8A"/>
    <w:rsid w:val="006D332F"/>
    <w:rsid w:val="006D3778"/>
    <w:rsid w:val="006D37C7"/>
    <w:rsid w:val="006D38B4"/>
    <w:rsid w:val="006D3C7D"/>
    <w:rsid w:val="006D4135"/>
    <w:rsid w:val="006D4659"/>
    <w:rsid w:val="006D47A3"/>
    <w:rsid w:val="006D49BF"/>
    <w:rsid w:val="006D4CCF"/>
    <w:rsid w:val="006D4DD6"/>
    <w:rsid w:val="006D5519"/>
    <w:rsid w:val="006D56CC"/>
    <w:rsid w:val="006D5926"/>
    <w:rsid w:val="006D5B16"/>
    <w:rsid w:val="006D5C31"/>
    <w:rsid w:val="006D5D23"/>
    <w:rsid w:val="006D5D5F"/>
    <w:rsid w:val="006D6098"/>
    <w:rsid w:val="006D68FB"/>
    <w:rsid w:val="006D6C60"/>
    <w:rsid w:val="006D6EEE"/>
    <w:rsid w:val="006E0777"/>
    <w:rsid w:val="006E08ED"/>
    <w:rsid w:val="006E0CB6"/>
    <w:rsid w:val="006E1031"/>
    <w:rsid w:val="006E1349"/>
    <w:rsid w:val="006E196F"/>
    <w:rsid w:val="006E1C0C"/>
    <w:rsid w:val="006E1CD1"/>
    <w:rsid w:val="006E20E9"/>
    <w:rsid w:val="006E22B2"/>
    <w:rsid w:val="006E2367"/>
    <w:rsid w:val="006E2868"/>
    <w:rsid w:val="006E2A64"/>
    <w:rsid w:val="006E30B8"/>
    <w:rsid w:val="006E3BF3"/>
    <w:rsid w:val="006E3D64"/>
    <w:rsid w:val="006E4329"/>
    <w:rsid w:val="006E458A"/>
    <w:rsid w:val="006E5585"/>
    <w:rsid w:val="006E57F5"/>
    <w:rsid w:val="006E5A86"/>
    <w:rsid w:val="006E5F8A"/>
    <w:rsid w:val="006E6525"/>
    <w:rsid w:val="006E72B2"/>
    <w:rsid w:val="006E7641"/>
    <w:rsid w:val="006E7C70"/>
    <w:rsid w:val="006F1082"/>
    <w:rsid w:val="006F1518"/>
    <w:rsid w:val="006F177C"/>
    <w:rsid w:val="006F1C7E"/>
    <w:rsid w:val="006F1C8F"/>
    <w:rsid w:val="006F2828"/>
    <w:rsid w:val="006F306C"/>
    <w:rsid w:val="006F33A7"/>
    <w:rsid w:val="006F3970"/>
    <w:rsid w:val="006F3A41"/>
    <w:rsid w:val="006F3DC8"/>
    <w:rsid w:val="006F4019"/>
    <w:rsid w:val="006F419D"/>
    <w:rsid w:val="006F562F"/>
    <w:rsid w:val="006F62A4"/>
    <w:rsid w:val="006F63A5"/>
    <w:rsid w:val="006F6E4B"/>
    <w:rsid w:val="006F7042"/>
    <w:rsid w:val="006F776C"/>
    <w:rsid w:val="006F79C4"/>
    <w:rsid w:val="00700247"/>
    <w:rsid w:val="007002E9"/>
    <w:rsid w:val="00700512"/>
    <w:rsid w:val="00700737"/>
    <w:rsid w:val="00700A1D"/>
    <w:rsid w:val="00700AAB"/>
    <w:rsid w:val="00700D05"/>
    <w:rsid w:val="00700ECF"/>
    <w:rsid w:val="00700FE7"/>
    <w:rsid w:val="007013AA"/>
    <w:rsid w:val="0070142B"/>
    <w:rsid w:val="007015F5"/>
    <w:rsid w:val="00701A98"/>
    <w:rsid w:val="0070232F"/>
    <w:rsid w:val="007023B6"/>
    <w:rsid w:val="0070276E"/>
    <w:rsid w:val="007027E0"/>
    <w:rsid w:val="00702820"/>
    <w:rsid w:val="00702C23"/>
    <w:rsid w:val="00702F45"/>
    <w:rsid w:val="00702F8F"/>
    <w:rsid w:val="00703210"/>
    <w:rsid w:val="007036EA"/>
    <w:rsid w:val="00703783"/>
    <w:rsid w:val="00703C12"/>
    <w:rsid w:val="00703FEF"/>
    <w:rsid w:val="00704206"/>
    <w:rsid w:val="007042FB"/>
    <w:rsid w:val="007043B3"/>
    <w:rsid w:val="007043E4"/>
    <w:rsid w:val="007044CD"/>
    <w:rsid w:val="007044F5"/>
    <w:rsid w:val="00704FF3"/>
    <w:rsid w:val="00704FF7"/>
    <w:rsid w:val="007053F4"/>
    <w:rsid w:val="0070556A"/>
    <w:rsid w:val="00705705"/>
    <w:rsid w:val="007060F4"/>
    <w:rsid w:val="00706539"/>
    <w:rsid w:val="007068EA"/>
    <w:rsid w:val="00706F94"/>
    <w:rsid w:val="007075B6"/>
    <w:rsid w:val="007076A4"/>
    <w:rsid w:val="007079FC"/>
    <w:rsid w:val="00707E89"/>
    <w:rsid w:val="00710360"/>
    <w:rsid w:val="00710923"/>
    <w:rsid w:val="00710A1A"/>
    <w:rsid w:val="0071174F"/>
    <w:rsid w:val="00711A36"/>
    <w:rsid w:val="00711C34"/>
    <w:rsid w:val="00711D3A"/>
    <w:rsid w:val="00712233"/>
    <w:rsid w:val="00712576"/>
    <w:rsid w:val="007125D3"/>
    <w:rsid w:val="00712BC9"/>
    <w:rsid w:val="00712BF8"/>
    <w:rsid w:val="007137E2"/>
    <w:rsid w:val="00713DCC"/>
    <w:rsid w:val="00714215"/>
    <w:rsid w:val="00714959"/>
    <w:rsid w:val="00714C26"/>
    <w:rsid w:val="00714F29"/>
    <w:rsid w:val="0071501B"/>
    <w:rsid w:val="0071505A"/>
    <w:rsid w:val="0071529C"/>
    <w:rsid w:val="0071539C"/>
    <w:rsid w:val="007158AE"/>
    <w:rsid w:val="00715A8F"/>
    <w:rsid w:val="00715C4F"/>
    <w:rsid w:val="00716021"/>
    <w:rsid w:val="0071626C"/>
    <w:rsid w:val="00716EC7"/>
    <w:rsid w:val="007170DA"/>
    <w:rsid w:val="00717114"/>
    <w:rsid w:val="007172AD"/>
    <w:rsid w:val="00717546"/>
    <w:rsid w:val="007179A9"/>
    <w:rsid w:val="00720396"/>
    <w:rsid w:val="0072060A"/>
    <w:rsid w:val="00720786"/>
    <w:rsid w:val="007207A0"/>
    <w:rsid w:val="00720801"/>
    <w:rsid w:val="00720B68"/>
    <w:rsid w:val="00720FAA"/>
    <w:rsid w:val="00721233"/>
    <w:rsid w:val="0072201C"/>
    <w:rsid w:val="0072215C"/>
    <w:rsid w:val="00722330"/>
    <w:rsid w:val="007227C5"/>
    <w:rsid w:val="00722954"/>
    <w:rsid w:val="00722B1B"/>
    <w:rsid w:val="007233CE"/>
    <w:rsid w:val="00723B2C"/>
    <w:rsid w:val="0072416F"/>
    <w:rsid w:val="0072430C"/>
    <w:rsid w:val="0072487F"/>
    <w:rsid w:val="00724A14"/>
    <w:rsid w:val="00724F3D"/>
    <w:rsid w:val="00724F59"/>
    <w:rsid w:val="00725238"/>
    <w:rsid w:val="00725692"/>
    <w:rsid w:val="007258CB"/>
    <w:rsid w:val="00725B30"/>
    <w:rsid w:val="00726AD5"/>
    <w:rsid w:val="007274FD"/>
    <w:rsid w:val="00727C94"/>
    <w:rsid w:val="007303CE"/>
    <w:rsid w:val="00730444"/>
    <w:rsid w:val="0073072C"/>
    <w:rsid w:val="00731063"/>
    <w:rsid w:val="007310CF"/>
    <w:rsid w:val="00731329"/>
    <w:rsid w:val="00731667"/>
    <w:rsid w:val="00731B0A"/>
    <w:rsid w:val="00731D35"/>
    <w:rsid w:val="00731DD6"/>
    <w:rsid w:val="00731DE0"/>
    <w:rsid w:val="00731EAE"/>
    <w:rsid w:val="0073257F"/>
    <w:rsid w:val="007329DB"/>
    <w:rsid w:val="00732A63"/>
    <w:rsid w:val="00733073"/>
    <w:rsid w:val="0073388F"/>
    <w:rsid w:val="00733B99"/>
    <w:rsid w:val="00733BC0"/>
    <w:rsid w:val="00733CDD"/>
    <w:rsid w:val="007347D9"/>
    <w:rsid w:val="00735033"/>
    <w:rsid w:val="0073503B"/>
    <w:rsid w:val="007350FD"/>
    <w:rsid w:val="00735328"/>
    <w:rsid w:val="007354ED"/>
    <w:rsid w:val="00735B3A"/>
    <w:rsid w:val="00735F1B"/>
    <w:rsid w:val="00735F77"/>
    <w:rsid w:val="00735FF8"/>
    <w:rsid w:val="00736347"/>
    <w:rsid w:val="0073685B"/>
    <w:rsid w:val="007368F5"/>
    <w:rsid w:val="0073694D"/>
    <w:rsid w:val="007371B9"/>
    <w:rsid w:val="0073727B"/>
    <w:rsid w:val="00737348"/>
    <w:rsid w:val="007373DE"/>
    <w:rsid w:val="007378BC"/>
    <w:rsid w:val="007402D5"/>
    <w:rsid w:val="00740368"/>
    <w:rsid w:val="0074073C"/>
    <w:rsid w:val="007409B3"/>
    <w:rsid w:val="00740E96"/>
    <w:rsid w:val="00742648"/>
    <w:rsid w:val="007427F9"/>
    <w:rsid w:val="00742BA6"/>
    <w:rsid w:val="00743075"/>
    <w:rsid w:val="007438F2"/>
    <w:rsid w:val="00743FBB"/>
    <w:rsid w:val="0074419A"/>
    <w:rsid w:val="007441FA"/>
    <w:rsid w:val="007449BF"/>
    <w:rsid w:val="007457F6"/>
    <w:rsid w:val="00745884"/>
    <w:rsid w:val="00745F36"/>
    <w:rsid w:val="007463FE"/>
    <w:rsid w:val="00746BC0"/>
    <w:rsid w:val="0074738F"/>
    <w:rsid w:val="007474F2"/>
    <w:rsid w:val="00747A22"/>
    <w:rsid w:val="00747FBA"/>
    <w:rsid w:val="0075006B"/>
    <w:rsid w:val="0075049D"/>
    <w:rsid w:val="007510B4"/>
    <w:rsid w:val="007512EC"/>
    <w:rsid w:val="0075168A"/>
    <w:rsid w:val="00752142"/>
    <w:rsid w:val="00752362"/>
    <w:rsid w:val="007523F9"/>
    <w:rsid w:val="00752460"/>
    <w:rsid w:val="007524D4"/>
    <w:rsid w:val="00752DDD"/>
    <w:rsid w:val="0075357E"/>
    <w:rsid w:val="00753645"/>
    <w:rsid w:val="00753651"/>
    <w:rsid w:val="007536BC"/>
    <w:rsid w:val="0075384C"/>
    <w:rsid w:val="00753A46"/>
    <w:rsid w:val="00753B29"/>
    <w:rsid w:val="00753B47"/>
    <w:rsid w:val="00754794"/>
    <w:rsid w:val="007548F9"/>
    <w:rsid w:val="00754BCE"/>
    <w:rsid w:val="00754D76"/>
    <w:rsid w:val="00754FA3"/>
    <w:rsid w:val="0075526E"/>
    <w:rsid w:val="007552F4"/>
    <w:rsid w:val="0075542C"/>
    <w:rsid w:val="007554C4"/>
    <w:rsid w:val="0075578D"/>
    <w:rsid w:val="0075583C"/>
    <w:rsid w:val="007558E5"/>
    <w:rsid w:val="00755A25"/>
    <w:rsid w:val="00755A8B"/>
    <w:rsid w:val="00755D51"/>
    <w:rsid w:val="00755F76"/>
    <w:rsid w:val="007561DD"/>
    <w:rsid w:val="00756570"/>
    <w:rsid w:val="007573E8"/>
    <w:rsid w:val="00760824"/>
    <w:rsid w:val="00760881"/>
    <w:rsid w:val="0076089C"/>
    <w:rsid w:val="007609ED"/>
    <w:rsid w:val="00760C4E"/>
    <w:rsid w:val="00760F9E"/>
    <w:rsid w:val="0076152E"/>
    <w:rsid w:val="007616E6"/>
    <w:rsid w:val="007616E8"/>
    <w:rsid w:val="00761A3D"/>
    <w:rsid w:val="00761E7D"/>
    <w:rsid w:val="00762277"/>
    <w:rsid w:val="007627BE"/>
    <w:rsid w:val="00762AAD"/>
    <w:rsid w:val="00762C85"/>
    <w:rsid w:val="00762E12"/>
    <w:rsid w:val="00763150"/>
    <w:rsid w:val="007641F8"/>
    <w:rsid w:val="00764258"/>
    <w:rsid w:val="00764505"/>
    <w:rsid w:val="00764B71"/>
    <w:rsid w:val="00764D87"/>
    <w:rsid w:val="00764F03"/>
    <w:rsid w:val="00765070"/>
    <w:rsid w:val="00765461"/>
    <w:rsid w:val="007657E7"/>
    <w:rsid w:val="00765881"/>
    <w:rsid w:val="00765B1A"/>
    <w:rsid w:val="00765DC1"/>
    <w:rsid w:val="00765DDC"/>
    <w:rsid w:val="0076674C"/>
    <w:rsid w:val="00766A9A"/>
    <w:rsid w:val="00766DCB"/>
    <w:rsid w:val="00766E50"/>
    <w:rsid w:val="00766F0F"/>
    <w:rsid w:val="0076719E"/>
    <w:rsid w:val="00767450"/>
    <w:rsid w:val="0076762E"/>
    <w:rsid w:val="00767E55"/>
    <w:rsid w:val="00767EB9"/>
    <w:rsid w:val="007703F3"/>
    <w:rsid w:val="00770817"/>
    <w:rsid w:val="00770891"/>
    <w:rsid w:val="007709A7"/>
    <w:rsid w:val="00771019"/>
    <w:rsid w:val="0077122B"/>
    <w:rsid w:val="00772451"/>
    <w:rsid w:val="007724E2"/>
    <w:rsid w:val="007727C5"/>
    <w:rsid w:val="0077313C"/>
    <w:rsid w:val="007733F0"/>
    <w:rsid w:val="007734BD"/>
    <w:rsid w:val="00773535"/>
    <w:rsid w:val="00773973"/>
    <w:rsid w:val="00773EF3"/>
    <w:rsid w:val="00773FB0"/>
    <w:rsid w:val="0077410F"/>
    <w:rsid w:val="0077440C"/>
    <w:rsid w:val="00774425"/>
    <w:rsid w:val="00774DED"/>
    <w:rsid w:val="00774E88"/>
    <w:rsid w:val="00774FA3"/>
    <w:rsid w:val="0077500D"/>
    <w:rsid w:val="007753D0"/>
    <w:rsid w:val="00775408"/>
    <w:rsid w:val="00775409"/>
    <w:rsid w:val="00775EB5"/>
    <w:rsid w:val="00776265"/>
    <w:rsid w:val="007762DC"/>
    <w:rsid w:val="0077665E"/>
    <w:rsid w:val="007766A6"/>
    <w:rsid w:val="007766AA"/>
    <w:rsid w:val="00776726"/>
    <w:rsid w:val="0077685C"/>
    <w:rsid w:val="00776968"/>
    <w:rsid w:val="00776A29"/>
    <w:rsid w:val="00776BCE"/>
    <w:rsid w:val="007772B2"/>
    <w:rsid w:val="00777335"/>
    <w:rsid w:val="00777806"/>
    <w:rsid w:val="00780484"/>
    <w:rsid w:val="00780CB0"/>
    <w:rsid w:val="00780D8F"/>
    <w:rsid w:val="007810E1"/>
    <w:rsid w:val="00781133"/>
    <w:rsid w:val="007812F5"/>
    <w:rsid w:val="00781851"/>
    <w:rsid w:val="00781F13"/>
    <w:rsid w:val="007820AA"/>
    <w:rsid w:val="007821EB"/>
    <w:rsid w:val="00782BED"/>
    <w:rsid w:val="00782E57"/>
    <w:rsid w:val="007834D1"/>
    <w:rsid w:val="00783673"/>
    <w:rsid w:val="00783F7F"/>
    <w:rsid w:val="007843F2"/>
    <w:rsid w:val="007846FA"/>
    <w:rsid w:val="00784974"/>
    <w:rsid w:val="00784BFB"/>
    <w:rsid w:val="00784E00"/>
    <w:rsid w:val="007850B2"/>
    <w:rsid w:val="0078582F"/>
    <w:rsid w:val="00785A3E"/>
    <w:rsid w:val="00785A9F"/>
    <w:rsid w:val="00785C38"/>
    <w:rsid w:val="007861BD"/>
    <w:rsid w:val="00786311"/>
    <w:rsid w:val="007869AB"/>
    <w:rsid w:val="00786C5A"/>
    <w:rsid w:val="00786E37"/>
    <w:rsid w:val="00787038"/>
    <w:rsid w:val="007874AD"/>
    <w:rsid w:val="007874E4"/>
    <w:rsid w:val="007876EE"/>
    <w:rsid w:val="00787C6E"/>
    <w:rsid w:val="00787C84"/>
    <w:rsid w:val="00787DC3"/>
    <w:rsid w:val="007905F4"/>
    <w:rsid w:val="00790993"/>
    <w:rsid w:val="00790D87"/>
    <w:rsid w:val="00791405"/>
    <w:rsid w:val="007916DA"/>
    <w:rsid w:val="0079172B"/>
    <w:rsid w:val="00792266"/>
    <w:rsid w:val="007925DF"/>
    <w:rsid w:val="007927DF"/>
    <w:rsid w:val="0079286C"/>
    <w:rsid w:val="00792DCC"/>
    <w:rsid w:val="007935D7"/>
    <w:rsid w:val="007938CF"/>
    <w:rsid w:val="00793FC2"/>
    <w:rsid w:val="007940EE"/>
    <w:rsid w:val="00794389"/>
    <w:rsid w:val="007943E9"/>
    <w:rsid w:val="00794662"/>
    <w:rsid w:val="00794A2F"/>
    <w:rsid w:val="00794CB3"/>
    <w:rsid w:val="00794FA2"/>
    <w:rsid w:val="007958CB"/>
    <w:rsid w:val="0079602D"/>
    <w:rsid w:val="00796196"/>
    <w:rsid w:val="007962F5"/>
    <w:rsid w:val="00796418"/>
    <w:rsid w:val="00796878"/>
    <w:rsid w:val="00796D49"/>
    <w:rsid w:val="00796FA8"/>
    <w:rsid w:val="00797677"/>
    <w:rsid w:val="007976E4"/>
    <w:rsid w:val="0079782D"/>
    <w:rsid w:val="00797B89"/>
    <w:rsid w:val="007A08AA"/>
    <w:rsid w:val="007A0A12"/>
    <w:rsid w:val="007A0AB8"/>
    <w:rsid w:val="007A132D"/>
    <w:rsid w:val="007A1345"/>
    <w:rsid w:val="007A1B13"/>
    <w:rsid w:val="007A2564"/>
    <w:rsid w:val="007A2920"/>
    <w:rsid w:val="007A2AA6"/>
    <w:rsid w:val="007A2D5B"/>
    <w:rsid w:val="007A2DDB"/>
    <w:rsid w:val="007A3BBE"/>
    <w:rsid w:val="007A3D2F"/>
    <w:rsid w:val="007A3F88"/>
    <w:rsid w:val="007A42B1"/>
    <w:rsid w:val="007A4482"/>
    <w:rsid w:val="007A5DCE"/>
    <w:rsid w:val="007A6775"/>
    <w:rsid w:val="007A6A31"/>
    <w:rsid w:val="007A6A56"/>
    <w:rsid w:val="007A70BA"/>
    <w:rsid w:val="007A749E"/>
    <w:rsid w:val="007A7615"/>
    <w:rsid w:val="007A797A"/>
    <w:rsid w:val="007A7BC6"/>
    <w:rsid w:val="007B0944"/>
    <w:rsid w:val="007B0D68"/>
    <w:rsid w:val="007B0EAE"/>
    <w:rsid w:val="007B1155"/>
    <w:rsid w:val="007B1632"/>
    <w:rsid w:val="007B1EC7"/>
    <w:rsid w:val="007B251D"/>
    <w:rsid w:val="007B2573"/>
    <w:rsid w:val="007B27D7"/>
    <w:rsid w:val="007B27EC"/>
    <w:rsid w:val="007B2CD0"/>
    <w:rsid w:val="007B2E22"/>
    <w:rsid w:val="007B30F2"/>
    <w:rsid w:val="007B32E1"/>
    <w:rsid w:val="007B3533"/>
    <w:rsid w:val="007B37A9"/>
    <w:rsid w:val="007B37BF"/>
    <w:rsid w:val="007B3D07"/>
    <w:rsid w:val="007B419B"/>
    <w:rsid w:val="007B42BC"/>
    <w:rsid w:val="007B4802"/>
    <w:rsid w:val="007B48B0"/>
    <w:rsid w:val="007B4F58"/>
    <w:rsid w:val="007B5116"/>
    <w:rsid w:val="007B528D"/>
    <w:rsid w:val="007B542F"/>
    <w:rsid w:val="007B5745"/>
    <w:rsid w:val="007B5A4A"/>
    <w:rsid w:val="007B63CA"/>
    <w:rsid w:val="007B6773"/>
    <w:rsid w:val="007B6DF7"/>
    <w:rsid w:val="007B74CA"/>
    <w:rsid w:val="007B77D1"/>
    <w:rsid w:val="007B7917"/>
    <w:rsid w:val="007B7AEF"/>
    <w:rsid w:val="007B7B6A"/>
    <w:rsid w:val="007B7CD1"/>
    <w:rsid w:val="007B7D9B"/>
    <w:rsid w:val="007C07C7"/>
    <w:rsid w:val="007C0873"/>
    <w:rsid w:val="007C0A91"/>
    <w:rsid w:val="007C10C1"/>
    <w:rsid w:val="007C13EB"/>
    <w:rsid w:val="007C1A74"/>
    <w:rsid w:val="007C1CD9"/>
    <w:rsid w:val="007C1D0D"/>
    <w:rsid w:val="007C1D9A"/>
    <w:rsid w:val="007C1DEF"/>
    <w:rsid w:val="007C1FBB"/>
    <w:rsid w:val="007C21EB"/>
    <w:rsid w:val="007C23D2"/>
    <w:rsid w:val="007C287F"/>
    <w:rsid w:val="007C289A"/>
    <w:rsid w:val="007C2E0F"/>
    <w:rsid w:val="007C2E9F"/>
    <w:rsid w:val="007C2FF5"/>
    <w:rsid w:val="007C3004"/>
    <w:rsid w:val="007C32EF"/>
    <w:rsid w:val="007C3488"/>
    <w:rsid w:val="007C356B"/>
    <w:rsid w:val="007C35C4"/>
    <w:rsid w:val="007C361D"/>
    <w:rsid w:val="007C383F"/>
    <w:rsid w:val="007C4437"/>
    <w:rsid w:val="007C49D8"/>
    <w:rsid w:val="007C4B84"/>
    <w:rsid w:val="007C4E3F"/>
    <w:rsid w:val="007C5162"/>
    <w:rsid w:val="007C52F0"/>
    <w:rsid w:val="007C53B0"/>
    <w:rsid w:val="007C552B"/>
    <w:rsid w:val="007C570E"/>
    <w:rsid w:val="007C5B9C"/>
    <w:rsid w:val="007C5E8F"/>
    <w:rsid w:val="007C5ED3"/>
    <w:rsid w:val="007C69DF"/>
    <w:rsid w:val="007C6F41"/>
    <w:rsid w:val="007C6FFD"/>
    <w:rsid w:val="007C70FF"/>
    <w:rsid w:val="007C7486"/>
    <w:rsid w:val="007C7ACD"/>
    <w:rsid w:val="007C7C25"/>
    <w:rsid w:val="007C7C6A"/>
    <w:rsid w:val="007C7E4E"/>
    <w:rsid w:val="007D004F"/>
    <w:rsid w:val="007D035F"/>
    <w:rsid w:val="007D03A2"/>
    <w:rsid w:val="007D06B2"/>
    <w:rsid w:val="007D0864"/>
    <w:rsid w:val="007D0B38"/>
    <w:rsid w:val="007D0B89"/>
    <w:rsid w:val="007D1F89"/>
    <w:rsid w:val="007D2125"/>
    <w:rsid w:val="007D2755"/>
    <w:rsid w:val="007D2A3D"/>
    <w:rsid w:val="007D302C"/>
    <w:rsid w:val="007D3577"/>
    <w:rsid w:val="007D38AE"/>
    <w:rsid w:val="007D3913"/>
    <w:rsid w:val="007D45DD"/>
    <w:rsid w:val="007D462F"/>
    <w:rsid w:val="007D537B"/>
    <w:rsid w:val="007D5440"/>
    <w:rsid w:val="007D548C"/>
    <w:rsid w:val="007D5640"/>
    <w:rsid w:val="007D5676"/>
    <w:rsid w:val="007D649B"/>
    <w:rsid w:val="007D69EB"/>
    <w:rsid w:val="007D799B"/>
    <w:rsid w:val="007D7CB1"/>
    <w:rsid w:val="007E00A6"/>
    <w:rsid w:val="007E02B3"/>
    <w:rsid w:val="007E0407"/>
    <w:rsid w:val="007E048A"/>
    <w:rsid w:val="007E049A"/>
    <w:rsid w:val="007E0568"/>
    <w:rsid w:val="007E06E2"/>
    <w:rsid w:val="007E092D"/>
    <w:rsid w:val="007E0947"/>
    <w:rsid w:val="007E09A3"/>
    <w:rsid w:val="007E128F"/>
    <w:rsid w:val="007E13AD"/>
    <w:rsid w:val="007E1BD8"/>
    <w:rsid w:val="007E1CD8"/>
    <w:rsid w:val="007E248B"/>
    <w:rsid w:val="007E251F"/>
    <w:rsid w:val="007E297E"/>
    <w:rsid w:val="007E29C0"/>
    <w:rsid w:val="007E2BA9"/>
    <w:rsid w:val="007E2E15"/>
    <w:rsid w:val="007E3120"/>
    <w:rsid w:val="007E3189"/>
    <w:rsid w:val="007E34BD"/>
    <w:rsid w:val="007E3D49"/>
    <w:rsid w:val="007E3EAA"/>
    <w:rsid w:val="007E48C1"/>
    <w:rsid w:val="007E4BAF"/>
    <w:rsid w:val="007E51D5"/>
    <w:rsid w:val="007E560A"/>
    <w:rsid w:val="007E57A9"/>
    <w:rsid w:val="007E60E8"/>
    <w:rsid w:val="007E628D"/>
    <w:rsid w:val="007E6541"/>
    <w:rsid w:val="007E6627"/>
    <w:rsid w:val="007E6C6B"/>
    <w:rsid w:val="007E6FD0"/>
    <w:rsid w:val="007E72DE"/>
    <w:rsid w:val="007E75E8"/>
    <w:rsid w:val="007F05C1"/>
    <w:rsid w:val="007F0BCC"/>
    <w:rsid w:val="007F0E87"/>
    <w:rsid w:val="007F0ECC"/>
    <w:rsid w:val="007F1017"/>
    <w:rsid w:val="007F10A0"/>
    <w:rsid w:val="007F18F5"/>
    <w:rsid w:val="007F1C48"/>
    <w:rsid w:val="007F1DC0"/>
    <w:rsid w:val="007F1EBE"/>
    <w:rsid w:val="007F1ED0"/>
    <w:rsid w:val="007F1FF1"/>
    <w:rsid w:val="007F2060"/>
    <w:rsid w:val="007F225A"/>
    <w:rsid w:val="007F2D25"/>
    <w:rsid w:val="007F2E9E"/>
    <w:rsid w:val="007F3974"/>
    <w:rsid w:val="007F3BF8"/>
    <w:rsid w:val="007F3D80"/>
    <w:rsid w:val="007F431B"/>
    <w:rsid w:val="007F48B3"/>
    <w:rsid w:val="007F4A3F"/>
    <w:rsid w:val="007F4A61"/>
    <w:rsid w:val="007F5012"/>
    <w:rsid w:val="007F50AF"/>
    <w:rsid w:val="007F5255"/>
    <w:rsid w:val="007F5517"/>
    <w:rsid w:val="007F5530"/>
    <w:rsid w:val="007F56CC"/>
    <w:rsid w:val="007F5790"/>
    <w:rsid w:val="007F5B32"/>
    <w:rsid w:val="007F6059"/>
    <w:rsid w:val="007F61C2"/>
    <w:rsid w:val="007F7206"/>
    <w:rsid w:val="007F78DA"/>
    <w:rsid w:val="007F7FD2"/>
    <w:rsid w:val="008002FA"/>
    <w:rsid w:val="008003FE"/>
    <w:rsid w:val="00800A22"/>
    <w:rsid w:val="00800EC4"/>
    <w:rsid w:val="0080238A"/>
    <w:rsid w:val="00802667"/>
    <w:rsid w:val="008027C4"/>
    <w:rsid w:val="00802A95"/>
    <w:rsid w:val="00803082"/>
    <w:rsid w:val="0080363B"/>
    <w:rsid w:val="008036A5"/>
    <w:rsid w:val="00803BAD"/>
    <w:rsid w:val="008040E4"/>
    <w:rsid w:val="008044BB"/>
    <w:rsid w:val="00804C28"/>
    <w:rsid w:val="00805142"/>
    <w:rsid w:val="0080524A"/>
    <w:rsid w:val="0080540D"/>
    <w:rsid w:val="00805443"/>
    <w:rsid w:val="0080566B"/>
    <w:rsid w:val="008056FF"/>
    <w:rsid w:val="0080582C"/>
    <w:rsid w:val="00805EA7"/>
    <w:rsid w:val="00805FCE"/>
    <w:rsid w:val="0080626B"/>
    <w:rsid w:val="0080651A"/>
    <w:rsid w:val="00806CE9"/>
    <w:rsid w:val="00806EAA"/>
    <w:rsid w:val="00807009"/>
    <w:rsid w:val="00807092"/>
    <w:rsid w:val="0080713B"/>
    <w:rsid w:val="0080738F"/>
    <w:rsid w:val="00807A81"/>
    <w:rsid w:val="00807A8B"/>
    <w:rsid w:val="00807CCD"/>
    <w:rsid w:val="00807D88"/>
    <w:rsid w:val="00807F7E"/>
    <w:rsid w:val="0081024A"/>
    <w:rsid w:val="00810511"/>
    <w:rsid w:val="008108EE"/>
    <w:rsid w:val="0081113D"/>
    <w:rsid w:val="00811383"/>
    <w:rsid w:val="008113E2"/>
    <w:rsid w:val="00811549"/>
    <w:rsid w:val="00811607"/>
    <w:rsid w:val="00811C05"/>
    <w:rsid w:val="00811F15"/>
    <w:rsid w:val="00812149"/>
    <w:rsid w:val="008121CA"/>
    <w:rsid w:val="008121DE"/>
    <w:rsid w:val="00812622"/>
    <w:rsid w:val="00812646"/>
    <w:rsid w:val="0081293B"/>
    <w:rsid w:val="00812954"/>
    <w:rsid w:val="00812CAC"/>
    <w:rsid w:val="00812E40"/>
    <w:rsid w:val="0081303A"/>
    <w:rsid w:val="0081325B"/>
    <w:rsid w:val="00813BF2"/>
    <w:rsid w:val="00813D47"/>
    <w:rsid w:val="00814491"/>
    <w:rsid w:val="00814A52"/>
    <w:rsid w:val="00814A70"/>
    <w:rsid w:val="00814CAF"/>
    <w:rsid w:val="008153E9"/>
    <w:rsid w:val="008159EA"/>
    <w:rsid w:val="00816361"/>
    <w:rsid w:val="00816506"/>
    <w:rsid w:val="008165C7"/>
    <w:rsid w:val="008166EF"/>
    <w:rsid w:val="00816FEF"/>
    <w:rsid w:val="008170FD"/>
    <w:rsid w:val="00817147"/>
    <w:rsid w:val="00817B1D"/>
    <w:rsid w:val="00817B48"/>
    <w:rsid w:val="00820127"/>
    <w:rsid w:val="00820A8C"/>
    <w:rsid w:val="00820ADC"/>
    <w:rsid w:val="008213C9"/>
    <w:rsid w:val="008215FB"/>
    <w:rsid w:val="00821B94"/>
    <w:rsid w:val="00821C55"/>
    <w:rsid w:val="00821E53"/>
    <w:rsid w:val="008220CC"/>
    <w:rsid w:val="00822421"/>
    <w:rsid w:val="00823174"/>
    <w:rsid w:val="008237C9"/>
    <w:rsid w:val="00823AFE"/>
    <w:rsid w:val="008246A8"/>
    <w:rsid w:val="00824F41"/>
    <w:rsid w:val="00825050"/>
    <w:rsid w:val="00825150"/>
    <w:rsid w:val="008255D9"/>
    <w:rsid w:val="0082564A"/>
    <w:rsid w:val="00825690"/>
    <w:rsid w:val="00825751"/>
    <w:rsid w:val="00825FAD"/>
    <w:rsid w:val="00826210"/>
    <w:rsid w:val="008262B6"/>
    <w:rsid w:val="008264EB"/>
    <w:rsid w:val="008268CE"/>
    <w:rsid w:val="00826A53"/>
    <w:rsid w:val="00826BE0"/>
    <w:rsid w:val="00827365"/>
    <w:rsid w:val="00827C23"/>
    <w:rsid w:val="008301EA"/>
    <w:rsid w:val="008302AE"/>
    <w:rsid w:val="008303A8"/>
    <w:rsid w:val="008305DB"/>
    <w:rsid w:val="00830C88"/>
    <w:rsid w:val="00830D53"/>
    <w:rsid w:val="00830DC0"/>
    <w:rsid w:val="00831740"/>
    <w:rsid w:val="00831C4E"/>
    <w:rsid w:val="00831FAC"/>
    <w:rsid w:val="00832509"/>
    <w:rsid w:val="00832731"/>
    <w:rsid w:val="0083296D"/>
    <w:rsid w:val="00832A69"/>
    <w:rsid w:val="00832DBA"/>
    <w:rsid w:val="00833B05"/>
    <w:rsid w:val="00833C83"/>
    <w:rsid w:val="00833FB9"/>
    <w:rsid w:val="008343B6"/>
    <w:rsid w:val="0083460B"/>
    <w:rsid w:val="00834A92"/>
    <w:rsid w:val="00834D12"/>
    <w:rsid w:val="0083547F"/>
    <w:rsid w:val="00835CDA"/>
    <w:rsid w:val="00835D2D"/>
    <w:rsid w:val="008362B4"/>
    <w:rsid w:val="00836787"/>
    <w:rsid w:val="00836818"/>
    <w:rsid w:val="00836867"/>
    <w:rsid w:val="00837022"/>
    <w:rsid w:val="008376C2"/>
    <w:rsid w:val="00837776"/>
    <w:rsid w:val="0084039E"/>
    <w:rsid w:val="008403CC"/>
    <w:rsid w:val="00840CA2"/>
    <w:rsid w:val="00840E65"/>
    <w:rsid w:val="0084133F"/>
    <w:rsid w:val="00841706"/>
    <w:rsid w:val="00841916"/>
    <w:rsid w:val="0084194C"/>
    <w:rsid w:val="0084215B"/>
    <w:rsid w:val="008425F5"/>
    <w:rsid w:val="00842C82"/>
    <w:rsid w:val="00842E87"/>
    <w:rsid w:val="00842F03"/>
    <w:rsid w:val="008434BC"/>
    <w:rsid w:val="0084374F"/>
    <w:rsid w:val="00843C03"/>
    <w:rsid w:val="0084444D"/>
    <w:rsid w:val="00844A22"/>
    <w:rsid w:val="00844E4B"/>
    <w:rsid w:val="00845018"/>
    <w:rsid w:val="008455BB"/>
    <w:rsid w:val="008459BC"/>
    <w:rsid w:val="00845C58"/>
    <w:rsid w:val="008460A6"/>
    <w:rsid w:val="00846137"/>
    <w:rsid w:val="00846472"/>
    <w:rsid w:val="008468D5"/>
    <w:rsid w:val="00846E05"/>
    <w:rsid w:val="00846F5E"/>
    <w:rsid w:val="00846FBD"/>
    <w:rsid w:val="0084731E"/>
    <w:rsid w:val="00847499"/>
    <w:rsid w:val="00847703"/>
    <w:rsid w:val="00847C14"/>
    <w:rsid w:val="00847DAD"/>
    <w:rsid w:val="00847DF5"/>
    <w:rsid w:val="00847F21"/>
    <w:rsid w:val="0085085C"/>
    <w:rsid w:val="008511CE"/>
    <w:rsid w:val="008518E9"/>
    <w:rsid w:val="0085192A"/>
    <w:rsid w:val="008521FD"/>
    <w:rsid w:val="00852702"/>
    <w:rsid w:val="00852DD3"/>
    <w:rsid w:val="00852E5C"/>
    <w:rsid w:val="0085309D"/>
    <w:rsid w:val="008533B5"/>
    <w:rsid w:val="00853891"/>
    <w:rsid w:val="00853C65"/>
    <w:rsid w:val="008546CE"/>
    <w:rsid w:val="008546EE"/>
    <w:rsid w:val="00854738"/>
    <w:rsid w:val="008547FE"/>
    <w:rsid w:val="00854986"/>
    <w:rsid w:val="00854A5B"/>
    <w:rsid w:val="00854D63"/>
    <w:rsid w:val="0085513A"/>
    <w:rsid w:val="00855167"/>
    <w:rsid w:val="0085554E"/>
    <w:rsid w:val="0085598B"/>
    <w:rsid w:val="00855CB8"/>
    <w:rsid w:val="00856068"/>
    <w:rsid w:val="00856125"/>
    <w:rsid w:val="008564F9"/>
    <w:rsid w:val="008566E5"/>
    <w:rsid w:val="00856897"/>
    <w:rsid w:val="00856E7D"/>
    <w:rsid w:val="00856E9A"/>
    <w:rsid w:val="00857252"/>
    <w:rsid w:val="008573B8"/>
    <w:rsid w:val="0085786F"/>
    <w:rsid w:val="00857D2E"/>
    <w:rsid w:val="008600A8"/>
    <w:rsid w:val="0086075D"/>
    <w:rsid w:val="00860FFD"/>
    <w:rsid w:val="0086147C"/>
    <w:rsid w:val="0086196A"/>
    <w:rsid w:val="00861DBC"/>
    <w:rsid w:val="00862306"/>
    <w:rsid w:val="008623D7"/>
    <w:rsid w:val="00862472"/>
    <w:rsid w:val="00862502"/>
    <w:rsid w:val="008625A0"/>
    <w:rsid w:val="008629F9"/>
    <w:rsid w:val="00862CC1"/>
    <w:rsid w:val="00863260"/>
    <w:rsid w:val="0086330E"/>
    <w:rsid w:val="00863D26"/>
    <w:rsid w:val="008640C6"/>
    <w:rsid w:val="008642A7"/>
    <w:rsid w:val="00864374"/>
    <w:rsid w:val="00864719"/>
    <w:rsid w:val="008649AD"/>
    <w:rsid w:val="00864AB7"/>
    <w:rsid w:val="00864E99"/>
    <w:rsid w:val="0086503D"/>
    <w:rsid w:val="0086551D"/>
    <w:rsid w:val="00865855"/>
    <w:rsid w:val="00865B2B"/>
    <w:rsid w:val="00865BA8"/>
    <w:rsid w:val="00865C80"/>
    <w:rsid w:val="00865FED"/>
    <w:rsid w:val="008660D4"/>
    <w:rsid w:val="0086671F"/>
    <w:rsid w:val="008668E8"/>
    <w:rsid w:val="00867577"/>
    <w:rsid w:val="008675AC"/>
    <w:rsid w:val="008678FE"/>
    <w:rsid w:val="00867A3B"/>
    <w:rsid w:val="008701BC"/>
    <w:rsid w:val="00870819"/>
    <w:rsid w:val="00870B56"/>
    <w:rsid w:val="00870D11"/>
    <w:rsid w:val="008716BE"/>
    <w:rsid w:val="008716E3"/>
    <w:rsid w:val="00871A62"/>
    <w:rsid w:val="00871FA9"/>
    <w:rsid w:val="00872346"/>
    <w:rsid w:val="0087248A"/>
    <w:rsid w:val="008728E9"/>
    <w:rsid w:val="00873544"/>
    <w:rsid w:val="0087377A"/>
    <w:rsid w:val="00873864"/>
    <w:rsid w:val="0087387B"/>
    <w:rsid w:val="00873D68"/>
    <w:rsid w:val="00873DDA"/>
    <w:rsid w:val="008746F4"/>
    <w:rsid w:val="00874BC7"/>
    <w:rsid w:val="00874BCE"/>
    <w:rsid w:val="0087511B"/>
    <w:rsid w:val="0087564D"/>
    <w:rsid w:val="008759CB"/>
    <w:rsid w:val="00875AFB"/>
    <w:rsid w:val="008765C6"/>
    <w:rsid w:val="008768E3"/>
    <w:rsid w:val="00876AC0"/>
    <w:rsid w:val="00876DC8"/>
    <w:rsid w:val="00876DFC"/>
    <w:rsid w:val="008776A5"/>
    <w:rsid w:val="008778F0"/>
    <w:rsid w:val="00877CD2"/>
    <w:rsid w:val="00877E1A"/>
    <w:rsid w:val="00880E83"/>
    <w:rsid w:val="00881082"/>
    <w:rsid w:val="008811E9"/>
    <w:rsid w:val="00881774"/>
    <w:rsid w:val="00881C08"/>
    <w:rsid w:val="00882018"/>
    <w:rsid w:val="00882134"/>
    <w:rsid w:val="00882703"/>
    <w:rsid w:val="00882835"/>
    <w:rsid w:val="00882841"/>
    <w:rsid w:val="00882874"/>
    <w:rsid w:val="008829A8"/>
    <w:rsid w:val="00882E3C"/>
    <w:rsid w:val="0088308A"/>
    <w:rsid w:val="0088350D"/>
    <w:rsid w:val="00883787"/>
    <w:rsid w:val="00884C61"/>
    <w:rsid w:val="00884C83"/>
    <w:rsid w:val="008852A8"/>
    <w:rsid w:val="008855E4"/>
    <w:rsid w:val="00885A7B"/>
    <w:rsid w:val="00885D37"/>
    <w:rsid w:val="00885DE6"/>
    <w:rsid w:val="008862FE"/>
    <w:rsid w:val="008863B9"/>
    <w:rsid w:val="00886C6C"/>
    <w:rsid w:val="00886CD2"/>
    <w:rsid w:val="00886E14"/>
    <w:rsid w:val="00887418"/>
    <w:rsid w:val="008876A4"/>
    <w:rsid w:val="00887FC5"/>
    <w:rsid w:val="00890042"/>
    <w:rsid w:val="008901A0"/>
    <w:rsid w:val="00890462"/>
    <w:rsid w:val="0089063A"/>
    <w:rsid w:val="00890664"/>
    <w:rsid w:val="00890AA9"/>
    <w:rsid w:val="00890F75"/>
    <w:rsid w:val="00891079"/>
    <w:rsid w:val="00891217"/>
    <w:rsid w:val="00891B3B"/>
    <w:rsid w:val="00891B99"/>
    <w:rsid w:val="00891E6F"/>
    <w:rsid w:val="008921B9"/>
    <w:rsid w:val="008921E4"/>
    <w:rsid w:val="00892347"/>
    <w:rsid w:val="008924C8"/>
    <w:rsid w:val="008925DE"/>
    <w:rsid w:val="0089275D"/>
    <w:rsid w:val="008927FB"/>
    <w:rsid w:val="00892A36"/>
    <w:rsid w:val="00892A37"/>
    <w:rsid w:val="00892CCD"/>
    <w:rsid w:val="00892DCF"/>
    <w:rsid w:val="00893239"/>
    <w:rsid w:val="00893326"/>
    <w:rsid w:val="00893654"/>
    <w:rsid w:val="00893666"/>
    <w:rsid w:val="00893846"/>
    <w:rsid w:val="008939AA"/>
    <w:rsid w:val="00893AFF"/>
    <w:rsid w:val="00893B62"/>
    <w:rsid w:val="00893E6A"/>
    <w:rsid w:val="0089420E"/>
    <w:rsid w:val="00894489"/>
    <w:rsid w:val="008945EC"/>
    <w:rsid w:val="00894801"/>
    <w:rsid w:val="00894CD6"/>
    <w:rsid w:val="00894E04"/>
    <w:rsid w:val="0089533A"/>
    <w:rsid w:val="00895DE3"/>
    <w:rsid w:val="0089603A"/>
    <w:rsid w:val="008963A5"/>
    <w:rsid w:val="008964B7"/>
    <w:rsid w:val="00896A35"/>
    <w:rsid w:val="00896CBF"/>
    <w:rsid w:val="00896D5D"/>
    <w:rsid w:val="00896F5F"/>
    <w:rsid w:val="00897172"/>
    <w:rsid w:val="0089788C"/>
    <w:rsid w:val="00897FB0"/>
    <w:rsid w:val="008A0181"/>
    <w:rsid w:val="008A040C"/>
    <w:rsid w:val="008A062A"/>
    <w:rsid w:val="008A0797"/>
    <w:rsid w:val="008A07C3"/>
    <w:rsid w:val="008A0B61"/>
    <w:rsid w:val="008A0F2F"/>
    <w:rsid w:val="008A197C"/>
    <w:rsid w:val="008A1AC6"/>
    <w:rsid w:val="008A2301"/>
    <w:rsid w:val="008A2A83"/>
    <w:rsid w:val="008A2AFD"/>
    <w:rsid w:val="008A2C33"/>
    <w:rsid w:val="008A2CCE"/>
    <w:rsid w:val="008A303F"/>
    <w:rsid w:val="008A3158"/>
    <w:rsid w:val="008A32A0"/>
    <w:rsid w:val="008A3363"/>
    <w:rsid w:val="008A3371"/>
    <w:rsid w:val="008A353E"/>
    <w:rsid w:val="008A388C"/>
    <w:rsid w:val="008A3A7D"/>
    <w:rsid w:val="008A3C3E"/>
    <w:rsid w:val="008A3EC0"/>
    <w:rsid w:val="008A4015"/>
    <w:rsid w:val="008A407C"/>
    <w:rsid w:val="008A467F"/>
    <w:rsid w:val="008A5359"/>
    <w:rsid w:val="008A598E"/>
    <w:rsid w:val="008A5B93"/>
    <w:rsid w:val="008A639E"/>
    <w:rsid w:val="008A64F5"/>
    <w:rsid w:val="008A73C7"/>
    <w:rsid w:val="008A76CD"/>
    <w:rsid w:val="008A79DE"/>
    <w:rsid w:val="008B00BF"/>
    <w:rsid w:val="008B0191"/>
    <w:rsid w:val="008B0895"/>
    <w:rsid w:val="008B0AF4"/>
    <w:rsid w:val="008B0D20"/>
    <w:rsid w:val="008B0D22"/>
    <w:rsid w:val="008B0D37"/>
    <w:rsid w:val="008B10B8"/>
    <w:rsid w:val="008B115D"/>
    <w:rsid w:val="008B11C4"/>
    <w:rsid w:val="008B152B"/>
    <w:rsid w:val="008B1757"/>
    <w:rsid w:val="008B1AA6"/>
    <w:rsid w:val="008B1C33"/>
    <w:rsid w:val="008B1CCE"/>
    <w:rsid w:val="008B251B"/>
    <w:rsid w:val="008B26F2"/>
    <w:rsid w:val="008B2977"/>
    <w:rsid w:val="008B2B51"/>
    <w:rsid w:val="008B2E9A"/>
    <w:rsid w:val="008B302F"/>
    <w:rsid w:val="008B33F9"/>
    <w:rsid w:val="008B424D"/>
    <w:rsid w:val="008B447D"/>
    <w:rsid w:val="008B4B53"/>
    <w:rsid w:val="008B4B6F"/>
    <w:rsid w:val="008B50D5"/>
    <w:rsid w:val="008B526E"/>
    <w:rsid w:val="008B55EE"/>
    <w:rsid w:val="008B5AC0"/>
    <w:rsid w:val="008B5B8F"/>
    <w:rsid w:val="008B657F"/>
    <w:rsid w:val="008B6CB7"/>
    <w:rsid w:val="008B7955"/>
    <w:rsid w:val="008B7992"/>
    <w:rsid w:val="008B7BED"/>
    <w:rsid w:val="008B7C1B"/>
    <w:rsid w:val="008B7D7E"/>
    <w:rsid w:val="008C0700"/>
    <w:rsid w:val="008C08C3"/>
    <w:rsid w:val="008C0DE4"/>
    <w:rsid w:val="008C0E2D"/>
    <w:rsid w:val="008C100A"/>
    <w:rsid w:val="008C11C9"/>
    <w:rsid w:val="008C1E1A"/>
    <w:rsid w:val="008C201B"/>
    <w:rsid w:val="008C21F0"/>
    <w:rsid w:val="008C247F"/>
    <w:rsid w:val="008C278E"/>
    <w:rsid w:val="008C2A25"/>
    <w:rsid w:val="008C305E"/>
    <w:rsid w:val="008C3225"/>
    <w:rsid w:val="008C323E"/>
    <w:rsid w:val="008C3265"/>
    <w:rsid w:val="008C3FE5"/>
    <w:rsid w:val="008C4602"/>
    <w:rsid w:val="008C47C4"/>
    <w:rsid w:val="008C5062"/>
    <w:rsid w:val="008C5610"/>
    <w:rsid w:val="008C5739"/>
    <w:rsid w:val="008C5AFC"/>
    <w:rsid w:val="008C5D76"/>
    <w:rsid w:val="008C6448"/>
    <w:rsid w:val="008C6657"/>
    <w:rsid w:val="008C672B"/>
    <w:rsid w:val="008C6B01"/>
    <w:rsid w:val="008C6B23"/>
    <w:rsid w:val="008C71E1"/>
    <w:rsid w:val="008C7282"/>
    <w:rsid w:val="008C72AF"/>
    <w:rsid w:val="008C77F3"/>
    <w:rsid w:val="008C7ECB"/>
    <w:rsid w:val="008C7F5D"/>
    <w:rsid w:val="008D054F"/>
    <w:rsid w:val="008D05A6"/>
    <w:rsid w:val="008D06E7"/>
    <w:rsid w:val="008D0B4B"/>
    <w:rsid w:val="008D13E9"/>
    <w:rsid w:val="008D1449"/>
    <w:rsid w:val="008D291D"/>
    <w:rsid w:val="008D2A1C"/>
    <w:rsid w:val="008D3B86"/>
    <w:rsid w:val="008D41EC"/>
    <w:rsid w:val="008D4244"/>
    <w:rsid w:val="008D43FD"/>
    <w:rsid w:val="008D443C"/>
    <w:rsid w:val="008D44F8"/>
    <w:rsid w:val="008D4755"/>
    <w:rsid w:val="008D4C3D"/>
    <w:rsid w:val="008D4DCE"/>
    <w:rsid w:val="008D4EA3"/>
    <w:rsid w:val="008D51D5"/>
    <w:rsid w:val="008D6644"/>
    <w:rsid w:val="008D7399"/>
    <w:rsid w:val="008D7406"/>
    <w:rsid w:val="008D743C"/>
    <w:rsid w:val="008D75B0"/>
    <w:rsid w:val="008D78CE"/>
    <w:rsid w:val="008D795C"/>
    <w:rsid w:val="008D7A06"/>
    <w:rsid w:val="008D7A30"/>
    <w:rsid w:val="008D7DF4"/>
    <w:rsid w:val="008E000E"/>
    <w:rsid w:val="008E0D3C"/>
    <w:rsid w:val="008E0FA1"/>
    <w:rsid w:val="008E1132"/>
    <w:rsid w:val="008E132F"/>
    <w:rsid w:val="008E13ED"/>
    <w:rsid w:val="008E19F4"/>
    <w:rsid w:val="008E1B9E"/>
    <w:rsid w:val="008E1DD1"/>
    <w:rsid w:val="008E1E1F"/>
    <w:rsid w:val="008E1F4A"/>
    <w:rsid w:val="008E22F6"/>
    <w:rsid w:val="008E23A4"/>
    <w:rsid w:val="008E26C5"/>
    <w:rsid w:val="008E302B"/>
    <w:rsid w:val="008E317E"/>
    <w:rsid w:val="008E31F4"/>
    <w:rsid w:val="008E33E4"/>
    <w:rsid w:val="008E3794"/>
    <w:rsid w:val="008E38CF"/>
    <w:rsid w:val="008E4022"/>
    <w:rsid w:val="008E4117"/>
    <w:rsid w:val="008E452E"/>
    <w:rsid w:val="008E47DC"/>
    <w:rsid w:val="008E48FD"/>
    <w:rsid w:val="008E49E2"/>
    <w:rsid w:val="008E50DE"/>
    <w:rsid w:val="008E55AB"/>
    <w:rsid w:val="008E563C"/>
    <w:rsid w:val="008E5B9D"/>
    <w:rsid w:val="008E6225"/>
    <w:rsid w:val="008E68EF"/>
    <w:rsid w:val="008E6F9D"/>
    <w:rsid w:val="008E76B0"/>
    <w:rsid w:val="008E7C2A"/>
    <w:rsid w:val="008E7FE8"/>
    <w:rsid w:val="008F0109"/>
    <w:rsid w:val="008F0F6D"/>
    <w:rsid w:val="008F120A"/>
    <w:rsid w:val="008F15CD"/>
    <w:rsid w:val="008F18E4"/>
    <w:rsid w:val="008F198D"/>
    <w:rsid w:val="008F19C9"/>
    <w:rsid w:val="008F1E55"/>
    <w:rsid w:val="008F1ED8"/>
    <w:rsid w:val="008F278B"/>
    <w:rsid w:val="008F27E0"/>
    <w:rsid w:val="008F288B"/>
    <w:rsid w:val="008F28C2"/>
    <w:rsid w:val="008F2A45"/>
    <w:rsid w:val="008F2B22"/>
    <w:rsid w:val="008F3598"/>
    <w:rsid w:val="008F3C5B"/>
    <w:rsid w:val="008F41F6"/>
    <w:rsid w:val="008F436B"/>
    <w:rsid w:val="008F4520"/>
    <w:rsid w:val="008F4886"/>
    <w:rsid w:val="008F48EB"/>
    <w:rsid w:val="008F4B5E"/>
    <w:rsid w:val="008F4C95"/>
    <w:rsid w:val="008F4F0B"/>
    <w:rsid w:val="008F53E6"/>
    <w:rsid w:val="008F55F9"/>
    <w:rsid w:val="008F5614"/>
    <w:rsid w:val="008F5784"/>
    <w:rsid w:val="008F5880"/>
    <w:rsid w:val="008F5A02"/>
    <w:rsid w:val="008F5BD0"/>
    <w:rsid w:val="008F5D7D"/>
    <w:rsid w:val="008F684A"/>
    <w:rsid w:val="008F74A5"/>
    <w:rsid w:val="008F766A"/>
    <w:rsid w:val="008F7DD7"/>
    <w:rsid w:val="009000B1"/>
    <w:rsid w:val="00900C4F"/>
    <w:rsid w:val="00901405"/>
    <w:rsid w:val="00901485"/>
    <w:rsid w:val="009015E1"/>
    <w:rsid w:val="00901A5A"/>
    <w:rsid w:val="00901DCB"/>
    <w:rsid w:val="00901DFF"/>
    <w:rsid w:val="0090285C"/>
    <w:rsid w:val="00902B62"/>
    <w:rsid w:val="00903121"/>
    <w:rsid w:val="00903D5D"/>
    <w:rsid w:val="00903E89"/>
    <w:rsid w:val="009042FD"/>
    <w:rsid w:val="0090446B"/>
    <w:rsid w:val="009046C4"/>
    <w:rsid w:val="00904BCD"/>
    <w:rsid w:val="009054B6"/>
    <w:rsid w:val="00905D3C"/>
    <w:rsid w:val="0090606C"/>
    <w:rsid w:val="009062A5"/>
    <w:rsid w:val="00906368"/>
    <w:rsid w:val="0090743D"/>
    <w:rsid w:val="00907699"/>
    <w:rsid w:val="00907A3F"/>
    <w:rsid w:val="0091020A"/>
    <w:rsid w:val="009106C1"/>
    <w:rsid w:val="009109B2"/>
    <w:rsid w:val="00910FA7"/>
    <w:rsid w:val="00910FEC"/>
    <w:rsid w:val="00911260"/>
    <w:rsid w:val="00911272"/>
    <w:rsid w:val="00911339"/>
    <w:rsid w:val="00911390"/>
    <w:rsid w:val="0091150F"/>
    <w:rsid w:val="00911D67"/>
    <w:rsid w:val="009122A6"/>
    <w:rsid w:val="009122BE"/>
    <w:rsid w:val="00912371"/>
    <w:rsid w:val="0091286E"/>
    <w:rsid w:val="00912DEB"/>
    <w:rsid w:val="00912E37"/>
    <w:rsid w:val="009135D6"/>
    <w:rsid w:val="00913A4F"/>
    <w:rsid w:val="009140D6"/>
    <w:rsid w:val="00914698"/>
    <w:rsid w:val="00914AA1"/>
    <w:rsid w:val="00914BA8"/>
    <w:rsid w:val="00914C77"/>
    <w:rsid w:val="009150A0"/>
    <w:rsid w:val="0091542B"/>
    <w:rsid w:val="00915CA3"/>
    <w:rsid w:val="00915E2B"/>
    <w:rsid w:val="00916677"/>
    <w:rsid w:val="00916F62"/>
    <w:rsid w:val="00917D14"/>
    <w:rsid w:val="00917D6F"/>
    <w:rsid w:val="009208CB"/>
    <w:rsid w:val="009208D2"/>
    <w:rsid w:val="00920916"/>
    <w:rsid w:val="009209EE"/>
    <w:rsid w:val="00920AC7"/>
    <w:rsid w:val="00920B6E"/>
    <w:rsid w:val="00920CA3"/>
    <w:rsid w:val="00920CD0"/>
    <w:rsid w:val="00920F39"/>
    <w:rsid w:val="009210CF"/>
    <w:rsid w:val="009211DE"/>
    <w:rsid w:val="00921ACB"/>
    <w:rsid w:val="00921EEE"/>
    <w:rsid w:val="00921F45"/>
    <w:rsid w:val="00922262"/>
    <w:rsid w:val="0092238A"/>
    <w:rsid w:val="00922960"/>
    <w:rsid w:val="00922BCC"/>
    <w:rsid w:val="00922E28"/>
    <w:rsid w:val="00923020"/>
    <w:rsid w:val="00923424"/>
    <w:rsid w:val="009235A6"/>
    <w:rsid w:val="0092369B"/>
    <w:rsid w:val="00923701"/>
    <w:rsid w:val="00923A97"/>
    <w:rsid w:val="00923C11"/>
    <w:rsid w:val="00923E09"/>
    <w:rsid w:val="00923FD7"/>
    <w:rsid w:val="00924279"/>
    <w:rsid w:val="0092438C"/>
    <w:rsid w:val="009249F7"/>
    <w:rsid w:val="00924D13"/>
    <w:rsid w:val="00924E62"/>
    <w:rsid w:val="009250E7"/>
    <w:rsid w:val="00925CC3"/>
    <w:rsid w:val="009260BD"/>
    <w:rsid w:val="0092637C"/>
    <w:rsid w:val="00926667"/>
    <w:rsid w:val="00926A82"/>
    <w:rsid w:val="00926EDD"/>
    <w:rsid w:val="0092709F"/>
    <w:rsid w:val="00927388"/>
    <w:rsid w:val="00927873"/>
    <w:rsid w:val="009279BF"/>
    <w:rsid w:val="00927A36"/>
    <w:rsid w:val="00927AA4"/>
    <w:rsid w:val="00927B87"/>
    <w:rsid w:val="00931042"/>
    <w:rsid w:val="0093173B"/>
    <w:rsid w:val="00931B57"/>
    <w:rsid w:val="0093218B"/>
    <w:rsid w:val="0093252C"/>
    <w:rsid w:val="00932A13"/>
    <w:rsid w:val="00932C51"/>
    <w:rsid w:val="00933425"/>
    <w:rsid w:val="00933533"/>
    <w:rsid w:val="0093388A"/>
    <w:rsid w:val="009339EB"/>
    <w:rsid w:val="00934246"/>
    <w:rsid w:val="00934366"/>
    <w:rsid w:val="0093437F"/>
    <w:rsid w:val="0093445F"/>
    <w:rsid w:val="00934748"/>
    <w:rsid w:val="00934988"/>
    <w:rsid w:val="009349BA"/>
    <w:rsid w:val="009350BD"/>
    <w:rsid w:val="0093548E"/>
    <w:rsid w:val="009356DE"/>
    <w:rsid w:val="00935B4D"/>
    <w:rsid w:val="00935BDC"/>
    <w:rsid w:val="0093622C"/>
    <w:rsid w:val="009362A4"/>
    <w:rsid w:val="009365C0"/>
    <w:rsid w:val="00937089"/>
    <w:rsid w:val="0093757A"/>
    <w:rsid w:val="009376D3"/>
    <w:rsid w:val="00937D96"/>
    <w:rsid w:val="00940000"/>
    <w:rsid w:val="0094035D"/>
    <w:rsid w:val="00940365"/>
    <w:rsid w:val="00940E7B"/>
    <w:rsid w:val="00940E9C"/>
    <w:rsid w:val="00941210"/>
    <w:rsid w:val="00941648"/>
    <w:rsid w:val="009418EE"/>
    <w:rsid w:val="009423B8"/>
    <w:rsid w:val="00942559"/>
    <w:rsid w:val="0094267A"/>
    <w:rsid w:val="009426EA"/>
    <w:rsid w:val="00942A5E"/>
    <w:rsid w:val="00942AEA"/>
    <w:rsid w:val="00942FF0"/>
    <w:rsid w:val="00943183"/>
    <w:rsid w:val="009436B0"/>
    <w:rsid w:val="009436EB"/>
    <w:rsid w:val="00943A07"/>
    <w:rsid w:val="00944148"/>
    <w:rsid w:val="0094446D"/>
    <w:rsid w:val="00944922"/>
    <w:rsid w:val="00944B46"/>
    <w:rsid w:val="00944BB4"/>
    <w:rsid w:val="00944BB6"/>
    <w:rsid w:val="00944F8A"/>
    <w:rsid w:val="00945248"/>
    <w:rsid w:val="0094547F"/>
    <w:rsid w:val="00945C29"/>
    <w:rsid w:val="00945C98"/>
    <w:rsid w:val="0094622C"/>
    <w:rsid w:val="00946621"/>
    <w:rsid w:val="00946F68"/>
    <w:rsid w:val="00947187"/>
    <w:rsid w:val="009472E2"/>
    <w:rsid w:val="0094736C"/>
    <w:rsid w:val="00947720"/>
    <w:rsid w:val="009478D8"/>
    <w:rsid w:val="00947ABB"/>
    <w:rsid w:val="00947D61"/>
    <w:rsid w:val="00947DC1"/>
    <w:rsid w:val="009503B9"/>
    <w:rsid w:val="0095063B"/>
    <w:rsid w:val="0095064F"/>
    <w:rsid w:val="00950671"/>
    <w:rsid w:val="0095076C"/>
    <w:rsid w:val="00950952"/>
    <w:rsid w:val="009509F1"/>
    <w:rsid w:val="009510A2"/>
    <w:rsid w:val="00951966"/>
    <w:rsid w:val="00951B6F"/>
    <w:rsid w:val="00951CCE"/>
    <w:rsid w:val="00951F32"/>
    <w:rsid w:val="00951FFE"/>
    <w:rsid w:val="009521DF"/>
    <w:rsid w:val="00952894"/>
    <w:rsid w:val="00952AC1"/>
    <w:rsid w:val="00953257"/>
    <w:rsid w:val="00953339"/>
    <w:rsid w:val="00953343"/>
    <w:rsid w:val="0095474C"/>
    <w:rsid w:val="009547D4"/>
    <w:rsid w:val="00954C03"/>
    <w:rsid w:val="00954D1A"/>
    <w:rsid w:val="00954E5A"/>
    <w:rsid w:val="00954E94"/>
    <w:rsid w:val="009558E2"/>
    <w:rsid w:val="00955C69"/>
    <w:rsid w:val="00955CDA"/>
    <w:rsid w:val="00955E3B"/>
    <w:rsid w:val="00955FA5"/>
    <w:rsid w:val="009560CC"/>
    <w:rsid w:val="00956510"/>
    <w:rsid w:val="00956B10"/>
    <w:rsid w:val="00956B92"/>
    <w:rsid w:val="00956C7B"/>
    <w:rsid w:val="00956E57"/>
    <w:rsid w:val="009573B5"/>
    <w:rsid w:val="00957AEF"/>
    <w:rsid w:val="00957B4D"/>
    <w:rsid w:val="00957BA5"/>
    <w:rsid w:val="00957D2C"/>
    <w:rsid w:val="00957D92"/>
    <w:rsid w:val="00960A53"/>
    <w:rsid w:val="00960CA8"/>
    <w:rsid w:val="00961714"/>
    <w:rsid w:val="00961B2C"/>
    <w:rsid w:val="00961B97"/>
    <w:rsid w:val="00961D27"/>
    <w:rsid w:val="00961F62"/>
    <w:rsid w:val="009622B2"/>
    <w:rsid w:val="00962372"/>
    <w:rsid w:val="00962679"/>
    <w:rsid w:val="00962878"/>
    <w:rsid w:val="009628E7"/>
    <w:rsid w:val="00962911"/>
    <w:rsid w:val="00962A50"/>
    <w:rsid w:val="00962A9B"/>
    <w:rsid w:val="00962CB9"/>
    <w:rsid w:val="00962E08"/>
    <w:rsid w:val="00962F70"/>
    <w:rsid w:val="0096360F"/>
    <w:rsid w:val="009636F9"/>
    <w:rsid w:val="00963D3F"/>
    <w:rsid w:val="009641E9"/>
    <w:rsid w:val="00964206"/>
    <w:rsid w:val="00964312"/>
    <w:rsid w:val="0096476E"/>
    <w:rsid w:val="00965B4E"/>
    <w:rsid w:val="00965B8A"/>
    <w:rsid w:val="0096660E"/>
    <w:rsid w:val="0096681F"/>
    <w:rsid w:val="00966CE5"/>
    <w:rsid w:val="00966F92"/>
    <w:rsid w:val="009673CE"/>
    <w:rsid w:val="009675AB"/>
    <w:rsid w:val="0096776A"/>
    <w:rsid w:val="009677DB"/>
    <w:rsid w:val="00967820"/>
    <w:rsid w:val="00967C79"/>
    <w:rsid w:val="00967DF6"/>
    <w:rsid w:val="00970189"/>
    <w:rsid w:val="0097071F"/>
    <w:rsid w:val="00970BE8"/>
    <w:rsid w:val="00971140"/>
    <w:rsid w:val="009713DA"/>
    <w:rsid w:val="00971489"/>
    <w:rsid w:val="009717AC"/>
    <w:rsid w:val="00971954"/>
    <w:rsid w:val="009719B7"/>
    <w:rsid w:val="00972462"/>
    <w:rsid w:val="00972C40"/>
    <w:rsid w:val="00972ED2"/>
    <w:rsid w:val="00973985"/>
    <w:rsid w:val="00973D5B"/>
    <w:rsid w:val="00974E63"/>
    <w:rsid w:val="00974F27"/>
    <w:rsid w:val="009751BB"/>
    <w:rsid w:val="009751C1"/>
    <w:rsid w:val="00975394"/>
    <w:rsid w:val="0097580B"/>
    <w:rsid w:val="009758E2"/>
    <w:rsid w:val="00975FBF"/>
    <w:rsid w:val="0097609E"/>
    <w:rsid w:val="00976213"/>
    <w:rsid w:val="009763F2"/>
    <w:rsid w:val="00976D0C"/>
    <w:rsid w:val="0097788F"/>
    <w:rsid w:val="00977C9B"/>
    <w:rsid w:val="00977E5F"/>
    <w:rsid w:val="00980075"/>
    <w:rsid w:val="00980081"/>
    <w:rsid w:val="009802B9"/>
    <w:rsid w:val="009803EC"/>
    <w:rsid w:val="00980587"/>
    <w:rsid w:val="00980783"/>
    <w:rsid w:val="009807A7"/>
    <w:rsid w:val="00980B76"/>
    <w:rsid w:val="00980C1D"/>
    <w:rsid w:val="00980D19"/>
    <w:rsid w:val="00980E96"/>
    <w:rsid w:val="009810CC"/>
    <w:rsid w:val="00981170"/>
    <w:rsid w:val="009811F1"/>
    <w:rsid w:val="009811F6"/>
    <w:rsid w:val="00981C81"/>
    <w:rsid w:val="00982586"/>
    <w:rsid w:val="0098262F"/>
    <w:rsid w:val="00982743"/>
    <w:rsid w:val="009827C9"/>
    <w:rsid w:val="009827E3"/>
    <w:rsid w:val="00982912"/>
    <w:rsid w:val="00982AAD"/>
    <w:rsid w:val="00982B7C"/>
    <w:rsid w:val="00983085"/>
    <w:rsid w:val="009839D3"/>
    <w:rsid w:val="00983B59"/>
    <w:rsid w:val="00983CED"/>
    <w:rsid w:val="00983E57"/>
    <w:rsid w:val="00984395"/>
    <w:rsid w:val="0098444F"/>
    <w:rsid w:val="009845F9"/>
    <w:rsid w:val="009849A7"/>
    <w:rsid w:val="00984D21"/>
    <w:rsid w:val="00984F82"/>
    <w:rsid w:val="00985086"/>
    <w:rsid w:val="0098574F"/>
    <w:rsid w:val="009858EF"/>
    <w:rsid w:val="00985DE2"/>
    <w:rsid w:val="0098602B"/>
    <w:rsid w:val="0098675D"/>
    <w:rsid w:val="00986841"/>
    <w:rsid w:val="00986866"/>
    <w:rsid w:val="009868A6"/>
    <w:rsid w:val="009868B6"/>
    <w:rsid w:val="00986A01"/>
    <w:rsid w:val="0098724E"/>
    <w:rsid w:val="00987831"/>
    <w:rsid w:val="00987BA4"/>
    <w:rsid w:val="00990074"/>
    <w:rsid w:val="00990890"/>
    <w:rsid w:val="00990A8F"/>
    <w:rsid w:val="00990FEE"/>
    <w:rsid w:val="00991317"/>
    <w:rsid w:val="00991622"/>
    <w:rsid w:val="0099246D"/>
    <w:rsid w:val="009926E0"/>
    <w:rsid w:val="00992DD1"/>
    <w:rsid w:val="00992E85"/>
    <w:rsid w:val="00993062"/>
    <w:rsid w:val="009939E8"/>
    <w:rsid w:val="00993AC4"/>
    <w:rsid w:val="00993BB9"/>
    <w:rsid w:val="00993DD1"/>
    <w:rsid w:val="00994415"/>
    <w:rsid w:val="0099451E"/>
    <w:rsid w:val="0099455A"/>
    <w:rsid w:val="00994901"/>
    <w:rsid w:val="00994AF2"/>
    <w:rsid w:val="00994D3E"/>
    <w:rsid w:val="0099535A"/>
    <w:rsid w:val="0099559E"/>
    <w:rsid w:val="0099575D"/>
    <w:rsid w:val="00995A46"/>
    <w:rsid w:val="00996B1A"/>
    <w:rsid w:val="00996B4E"/>
    <w:rsid w:val="009971F3"/>
    <w:rsid w:val="009976CB"/>
    <w:rsid w:val="009978BF"/>
    <w:rsid w:val="00997A2C"/>
    <w:rsid w:val="00997F14"/>
    <w:rsid w:val="009A0A08"/>
    <w:rsid w:val="009A0CAB"/>
    <w:rsid w:val="009A18F6"/>
    <w:rsid w:val="009A1BAA"/>
    <w:rsid w:val="009A280E"/>
    <w:rsid w:val="009A2DB1"/>
    <w:rsid w:val="009A2DCC"/>
    <w:rsid w:val="009A35D8"/>
    <w:rsid w:val="009A37D3"/>
    <w:rsid w:val="009A3E84"/>
    <w:rsid w:val="009A3EF3"/>
    <w:rsid w:val="009A3F00"/>
    <w:rsid w:val="009A45C1"/>
    <w:rsid w:val="009A46A5"/>
    <w:rsid w:val="009A4949"/>
    <w:rsid w:val="009A4A74"/>
    <w:rsid w:val="009A4BD3"/>
    <w:rsid w:val="009A530C"/>
    <w:rsid w:val="009A5540"/>
    <w:rsid w:val="009A5ABC"/>
    <w:rsid w:val="009A66A8"/>
    <w:rsid w:val="009A6C20"/>
    <w:rsid w:val="009A6D8A"/>
    <w:rsid w:val="009A721E"/>
    <w:rsid w:val="009A75FC"/>
    <w:rsid w:val="009A76FD"/>
    <w:rsid w:val="009A7925"/>
    <w:rsid w:val="009A7AB1"/>
    <w:rsid w:val="009A7F10"/>
    <w:rsid w:val="009B0053"/>
    <w:rsid w:val="009B04E8"/>
    <w:rsid w:val="009B0770"/>
    <w:rsid w:val="009B0943"/>
    <w:rsid w:val="009B101B"/>
    <w:rsid w:val="009B1A78"/>
    <w:rsid w:val="009B206D"/>
    <w:rsid w:val="009B29D7"/>
    <w:rsid w:val="009B2F21"/>
    <w:rsid w:val="009B31BB"/>
    <w:rsid w:val="009B33C0"/>
    <w:rsid w:val="009B34C0"/>
    <w:rsid w:val="009B39B4"/>
    <w:rsid w:val="009B3DEA"/>
    <w:rsid w:val="009B3E26"/>
    <w:rsid w:val="009B3F56"/>
    <w:rsid w:val="009B403A"/>
    <w:rsid w:val="009B4055"/>
    <w:rsid w:val="009B4062"/>
    <w:rsid w:val="009B4542"/>
    <w:rsid w:val="009B4D9F"/>
    <w:rsid w:val="009B556F"/>
    <w:rsid w:val="009B5AF2"/>
    <w:rsid w:val="009B63AF"/>
    <w:rsid w:val="009B65F5"/>
    <w:rsid w:val="009B671F"/>
    <w:rsid w:val="009B6C2D"/>
    <w:rsid w:val="009B6CDA"/>
    <w:rsid w:val="009B746B"/>
    <w:rsid w:val="009B787E"/>
    <w:rsid w:val="009C0096"/>
    <w:rsid w:val="009C0D9A"/>
    <w:rsid w:val="009C0DDF"/>
    <w:rsid w:val="009C0F9A"/>
    <w:rsid w:val="009C1146"/>
    <w:rsid w:val="009C1271"/>
    <w:rsid w:val="009C138E"/>
    <w:rsid w:val="009C1819"/>
    <w:rsid w:val="009C18EE"/>
    <w:rsid w:val="009C1CA4"/>
    <w:rsid w:val="009C1E30"/>
    <w:rsid w:val="009C25CB"/>
    <w:rsid w:val="009C2689"/>
    <w:rsid w:val="009C29AC"/>
    <w:rsid w:val="009C2EF2"/>
    <w:rsid w:val="009C2F89"/>
    <w:rsid w:val="009C3706"/>
    <w:rsid w:val="009C3A3A"/>
    <w:rsid w:val="009C3DCF"/>
    <w:rsid w:val="009C4063"/>
    <w:rsid w:val="009C426B"/>
    <w:rsid w:val="009C43D3"/>
    <w:rsid w:val="009C4641"/>
    <w:rsid w:val="009C4A4E"/>
    <w:rsid w:val="009C4B8D"/>
    <w:rsid w:val="009C4DBF"/>
    <w:rsid w:val="009C558C"/>
    <w:rsid w:val="009C5B6B"/>
    <w:rsid w:val="009C5C3A"/>
    <w:rsid w:val="009C6236"/>
    <w:rsid w:val="009C62AE"/>
    <w:rsid w:val="009C668F"/>
    <w:rsid w:val="009C6C8E"/>
    <w:rsid w:val="009C6CEA"/>
    <w:rsid w:val="009C713E"/>
    <w:rsid w:val="009C75E9"/>
    <w:rsid w:val="009C773A"/>
    <w:rsid w:val="009C7964"/>
    <w:rsid w:val="009C7B85"/>
    <w:rsid w:val="009C7C60"/>
    <w:rsid w:val="009C7E22"/>
    <w:rsid w:val="009C7FF7"/>
    <w:rsid w:val="009D0254"/>
    <w:rsid w:val="009D02CA"/>
    <w:rsid w:val="009D05C8"/>
    <w:rsid w:val="009D0D82"/>
    <w:rsid w:val="009D12A2"/>
    <w:rsid w:val="009D162C"/>
    <w:rsid w:val="009D1A64"/>
    <w:rsid w:val="009D1F84"/>
    <w:rsid w:val="009D2705"/>
    <w:rsid w:val="009D2CA5"/>
    <w:rsid w:val="009D33B7"/>
    <w:rsid w:val="009D33FE"/>
    <w:rsid w:val="009D3B12"/>
    <w:rsid w:val="009D3F75"/>
    <w:rsid w:val="009D3FD4"/>
    <w:rsid w:val="009D413D"/>
    <w:rsid w:val="009D42C8"/>
    <w:rsid w:val="009D43F5"/>
    <w:rsid w:val="009D444C"/>
    <w:rsid w:val="009D463B"/>
    <w:rsid w:val="009D4881"/>
    <w:rsid w:val="009D49D3"/>
    <w:rsid w:val="009D4A01"/>
    <w:rsid w:val="009D51D9"/>
    <w:rsid w:val="009D580A"/>
    <w:rsid w:val="009D5B91"/>
    <w:rsid w:val="009D5C03"/>
    <w:rsid w:val="009D616A"/>
    <w:rsid w:val="009D66B0"/>
    <w:rsid w:val="009D66EC"/>
    <w:rsid w:val="009D67A5"/>
    <w:rsid w:val="009D7414"/>
    <w:rsid w:val="009D75B6"/>
    <w:rsid w:val="009D7685"/>
    <w:rsid w:val="009D76B4"/>
    <w:rsid w:val="009D792E"/>
    <w:rsid w:val="009D7BDD"/>
    <w:rsid w:val="009D7C32"/>
    <w:rsid w:val="009E05A6"/>
    <w:rsid w:val="009E093F"/>
    <w:rsid w:val="009E0DFE"/>
    <w:rsid w:val="009E1296"/>
    <w:rsid w:val="009E174E"/>
    <w:rsid w:val="009E1DF5"/>
    <w:rsid w:val="009E263E"/>
    <w:rsid w:val="009E2BD7"/>
    <w:rsid w:val="009E31F6"/>
    <w:rsid w:val="009E32D2"/>
    <w:rsid w:val="009E3488"/>
    <w:rsid w:val="009E38AA"/>
    <w:rsid w:val="009E3ED0"/>
    <w:rsid w:val="009E430F"/>
    <w:rsid w:val="009E446A"/>
    <w:rsid w:val="009E4A44"/>
    <w:rsid w:val="009E4B8F"/>
    <w:rsid w:val="009E4C07"/>
    <w:rsid w:val="009E4E8F"/>
    <w:rsid w:val="009E503B"/>
    <w:rsid w:val="009E521B"/>
    <w:rsid w:val="009E534E"/>
    <w:rsid w:val="009E53D4"/>
    <w:rsid w:val="009E5401"/>
    <w:rsid w:val="009E58BC"/>
    <w:rsid w:val="009E5BA6"/>
    <w:rsid w:val="009E66E7"/>
    <w:rsid w:val="009E68EE"/>
    <w:rsid w:val="009E6FA6"/>
    <w:rsid w:val="009E7081"/>
    <w:rsid w:val="009E777F"/>
    <w:rsid w:val="009E77AC"/>
    <w:rsid w:val="009E7863"/>
    <w:rsid w:val="009F0227"/>
    <w:rsid w:val="009F03FF"/>
    <w:rsid w:val="009F0493"/>
    <w:rsid w:val="009F0514"/>
    <w:rsid w:val="009F1261"/>
    <w:rsid w:val="009F18DF"/>
    <w:rsid w:val="009F200A"/>
    <w:rsid w:val="009F2586"/>
    <w:rsid w:val="009F2630"/>
    <w:rsid w:val="009F2B36"/>
    <w:rsid w:val="009F2B88"/>
    <w:rsid w:val="009F2C85"/>
    <w:rsid w:val="009F34A8"/>
    <w:rsid w:val="009F34E0"/>
    <w:rsid w:val="009F3799"/>
    <w:rsid w:val="009F3E3F"/>
    <w:rsid w:val="009F400E"/>
    <w:rsid w:val="009F448B"/>
    <w:rsid w:val="009F4697"/>
    <w:rsid w:val="009F4732"/>
    <w:rsid w:val="009F49B0"/>
    <w:rsid w:val="009F5543"/>
    <w:rsid w:val="009F5EB1"/>
    <w:rsid w:val="009F5F6C"/>
    <w:rsid w:val="009F5FC6"/>
    <w:rsid w:val="009F6120"/>
    <w:rsid w:val="009F6204"/>
    <w:rsid w:val="009F620D"/>
    <w:rsid w:val="009F62B1"/>
    <w:rsid w:val="009F6365"/>
    <w:rsid w:val="009F6424"/>
    <w:rsid w:val="009F66EE"/>
    <w:rsid w:val="009F6FA0"/>
    <w:rsid w:val="009F760E"/>
    <w:rsid w:val="009F78AD"/>
    <w:rsid w:val="009F7FF0"/>
    <w:rsid w:val="00A00025"/>
    <w:rsid w:val="00A00160"/>
    <w:rsid w:val="00A002BF"/>
    <w:rsid w:val="00A00859"/>
    <w:rsid w:val="00A00D76"/>
    <w:rsid w:val="00A01184"/>
    <w:rsid w:val="00A012A9"/>
    <w:rsid w:val="00A01449"/>
    <w:rsid w:val="00A01540"/>
    <w:rsid w:val="00A01B4A"/>
    <w:rsid w:val="00A0270B"/>
    <w:rsid w:val="00A0340C"/>
    <w:rsid w:val="00A03638"/>
    <w:rsid w:val="00A037C2"/>
    <w:rsid w:val="00A0382D"/>
    <w:rsid w:val="00A03B2C"/>
    <w:rsid w:val="00A03D43"/>
    <w:rsid w:val="00A03DDF"/>
    <w:rsid w:val="00A04380"/>
    <w:rsid w:val="00A0458C"/>
    <w:rsid w:val="00A04786"/>
    <w:rsid w:val="00A04B21"/>
    <w:rsid w:val="00A04D1A"/>
    <w:rsid w:val="00A04EC7"/>
    <w:rsid w:val="00A053AF"/>
    <w:rsid w:val="00A05472"/>
    <w:rsid w:val="00A05740"/>
    <w:rsid w:val="00A05C32"/>
    <w:rsid w:val="00A05F2F"/>
    <w:rsid w:val="00A0653F"/>
    <w:rsid w:val="00A065B7"/>
    <w:rsid w:val="00A07535"/>
    <w:rsid w:val="00A1032E"/>
    <w:rsid w:val="00A1047E"/>
    <w:rsid w:val="00A105BF"/>
    <w:rsid w:val="00A10CA0"/>
    <w:rsid w:val="00A1123B"/>
    <w:rsid w:val="00A1134F"/>
    <w:rsid w:val="00A11642"/>
    <w:rsid w:val="00A118C1"/>
    <w:rsid w:val="00A1194B"/>
    <w:rsid w:val="00A11CD0"/>
    <w:rsid w:val="00A12057"/>
    <w:rsid w:val="00A12309"/>
    <w:rsid w:val="00A12388"/>
    <w:rsid w:val="00A123B8"/>
    <w:rsid w:val="00A1276D"/>
    <w:rsid w:val="00A127CE"/>
    <w:rsid w:val="00A12821"/>
    <w:rsid w:val="00A13948"/>
    <w:rsid w:val="00A13B63"/>
    <w:rsid w:val="00A13B8B"/>
    <w:rsid w:val="00A13F49"/>
    <w:rsid w:val="00A14253"/>
    <w:rsid w:val="00A1497F"/>
    <w:rsid w:val="00A153C5"/>
    <w:rsid w:val="00A154D0"/>
    <w:rsid w:val="00A1555B"/>
    <w:rsid w:val="00A155C5"/>
    <w:rsid w:val="00A156FE"/>
    <w:rsid w:val="00A1581E"/>
    <w:rsid w:val="00A15A5B"/>
    <w:rsid w:val="00A162AA"/>
    <w:rsid w:val="00A16523"/>
    <w:rsid w:val="00A167BB"/>
    <w:rsid w:val="00A16864"/>
    <w:rsid w:val="00A16A9A"/>
    <w:rsid w:val="00A16AD8"/>
    <w:rsid w:val="00A1701C"/>
    <w:rsid w:val="00A17381"/>
    <w:rsid w:val="00A17548"/>
    <w:rsid w:val="00A1791A"/>
    <w:rsid w:val="00A17C7E"/>
    <w:rsid w:val="00A17DB9"/>
    <w:rsid w:val="00A2021E"/>
    <w:rsid w:val="00A20ADE"/>
    <w:rsid w:val="00A20E6A"/>
    <w:rsid w:val="00A218E2"/>
    <w:rsid w:val="00A21986"/>
    <w:rsid w:val="00A21AB2"/>
    <w:rsid w:val="00A21ABA"/>
    <w:rsid w:val="00A21C95"/>
    <w:rsid w:val="00A21CE7"/>
    <w:rsid w:val="00A21CF3"/>
    <w:rsid w:val="00A2235D"/>
    <w:rsid w:val="00A225BE"/>
    <w:rsid w:val="00A226F9"/>
    <w:rsid w:val="00A227A8"/>
    <w:rsid w:val="00A22D3F"/>
    <w:rsid w:val="00A23881"/>
    <w:rsid w:val="00A23A89"/>
    <w:rsid w:val="00A23EC4"/>
    <w:rsid w:val="00A24813"/>
    <w:rsid w:val="00A24860"/>
    <w:rsid w:val="00A24DDA"/>
    <w:rsid w:val="00A24E2D"/>
    <w:rsid w:val="00A25162"/>
    <w:rsid w:val="00A25675"/>
    <w:rsid w:val="00A27522"/>
    <w:rsid w:val="00A27626"/>
    <w:rsid w:val="00A27695"/>
    <w:rsid w:val="00A27749"/>
    <w:rsid w:val="00A27AEC"/>
    <w:rsid w:val="00A27B00"/>
    <w:rsid w:val="00A30394"/>
    <w:rsid w:val="00A30850"/>
    <w:rsid w:val="00A30865"/>
    <w:rsid w:val="00A3097D"/>
    <w:rsid w:val="00A30B17"/>
    <w:rsid w:val="00A31118"/>
    <w:rsid w:val="00A31A20"/>
    <w:rsid w:val="00A31BE6"/>
    <w:rsid w:val="00A320DB"/>
    <w:rsid w:val="00A333EB"/>
    <w:rsid w:val="00A33B7E"/>
    <w:rsid w:val="00A33C90"/>
    <w:rsid w:val="00A340EF"/>
    <w:rsid w:val="00A3424A"/>
    <w:rsid w:val="00A342B0"/>
    <w:rsid w:val="00A3456B"/>
    <w:rsid w:val="00A3463E"/>
    <w:rsid w:val="00A34DBE"/>
    <w:rsid w:val="00A34E33"/>
    <w:rsid w:val="00A34FA3"/>
    <w:rsid w:val="00A3512B"/>
    <w:rsid w:val="00A35177"/>
    <w:rsid w:val="00A35245"/>
    <w:rsid w:val="00A3540A"/>
    <w:rsid w:val="00A35C5C"/>
    <w:rsid w:val="00A35D16"/>
    <w:rsid w:val="00A35EF8"/>
    <w:rsid w:val="00A364E3"/>
    <w:rsid w:val="00A36574"/>
    <w:rsid w:val="00A36727"/>
    <w:rsid w:val="00A36898"/>
    <w:rsid w:val="00A368CD"/>
    <w:rsid w:val="00A36BF2"/>
    <w:rsid w:val="00A370A3"/>
    <w:rsid w:val="00A3737F"/>
    <w:rsid w:val="00A37828"/>
    <w:rsid w:val="00A37909"/>
    <w:rsid w:val="00A379D3"/>
    <w:rsid w:val="00A37BCD"/>
    <w:rsid w:val="00A40101"/>
    <w:rsid w:val="00A403D4"/>
    <w:rsid w:val="00A40C20"/>
    <w:rsid w:val="00A410DE"/>
    <w:rsid w:val="00A4160B"/>
    <w:rsid w:val="00A41633"/>
    <w:rsid w:val="00A41689"/>
    <w:rsid w:val="00A41837"/>
    <w:rsid w:val="00A418C0"/>
    <w:rsid w:val="00A41B6E"/>
    <w:rsid w:val="00A41D92"/>
    <w:rsid w:val="00A4229B"/>
    <w:rsid w:val="00A42592"/>
    <w:rsid w:val="00A42856"/>
    <w:rsid w:val="00A42943"/>
    <w:rsid w:val="00A429F3"/>
    <w:rsid w:val="00A431EC"/>
    <w:rsid w:val="00A4353D"/>
    <w:rsid w:val="00A435F1"/>
    <w:rsid w:val="00A4371C"/>
    <w:rsid w:val="00A43995"/>
    <w:rsid w:val="00A43C59"/>
    <w:rsid w:val="00A4402A"/>
    <w:rsid w:val="00A44439"/>
    <w:rsid w:val="00A44AA6"/>
    <w:rsid w:val="00A44B7B"/>
    <w:rsid w:val="00A44DCA"/>
    <w:rsid w:val="00A45062"/>
    <w:rsid w:val="00A45192"/>
    <w:rsid w:val="00A4575C"/>
    <w:rsid w:val="00A45F36"/>
    <w:rsid w:val="00A45F68"/>
    <w:rsid w:val="00A47634"/>
    <w:rsid w:val="00A47FAC"/>
    <w:rsid w:val="00A5074D"/>
    <w:rsid w:val="00A50ECD"/>
    <w:rsid w:val="00A515D7"/>
    <w:rsid w:val="00A518F3"/>
    <w:rsid w:val="00A519B8"/>
    <w:rsid w:val="00A51C16"/>
    <w:rsid w:val="00A51C91"/>
    <w:rsid w:val="00A51CA4"/>
    <w:rsid w:val="00A52540"/>
    <w:rsid w:val="00A526F0"/>
    <w:rsid w:val="00A52729"/>
    <w:rsid w:val="00A5288B"/>
    <w:rsid w:val="00A53675"/>
    <w:rsid w:val="00A53CF4"/>
    <w:rsid w:val="00A54076"/>
    <w:rsid w:val="00A54C08"/>
    <w:rsid w:val="00A54C5F"/>
    <w:rsid w:val="00A55994"/>
    <w:rsid w:val="00A55A1C"/>
    <w:rsid w:val="00A55AD2"/>
    <w:rsid w:val="00A55F77"/>
    <w:rsid w:val="00A56415"/>
    <w:rsid w:val="00A564D7"/>
    <w:rsid w:val="00A567A6"/>
    <w:rsid w:val="00A56894"/>
    <w:rsid w:val="00A56965"/>
    <w:rsid w:val="00A56A44"/>
    <w:rsid w:val="00A56B6A"/>
    <w:rsid w:val="00A577A0"/>
    <w:rsid w:val="00A578DC"/>
    <w:rsid w:val="00A57B2C"/>
    <w:rsid w:val="00A57E16"/>
    <w:rsid w:val="00A57F1D"/>
    <w:rsid w:val="00A60593"/>
    <w:rsid w:val="00A606D9"/>
    <w:rsid w:val="00A6094F"/>
    <w:rsid w:val="00A60B7C"/>
    <w:rsid w:val="00A60F86"/>
    <w:rsid w:val="00A61051"/>
    <w:rsid w:val="00A61B6E"/>
    <w:rsid w:val="00A61E4E"/>
    <w:rsid w:val="00A61E55"/>
    <w:rsid w:val="00A61F47"/>
    <w:rsid w:val="00A621DD"/>
    <w:rsid w:val="00A629DA"/>
    <w:rsid w:val="00A629F1"/>
    <w:rsid w:val="00A62B2D"/>
    <w:rsid w:val="00A62C80"/>
    <w:rsid w:val="00A630A3"/>
    <w:rsid w:val="00A63174"/>
    <w:rsid w:val="00A6389A"/>
    <w:rsid w:val="00A640E2"/>
    <w:rsid w:val="00A6432C"/>
    <w:rsid w:val="00A64950"/>
    <w:rsid w:val="00A64C7E"/>
    <w:rsid w:val="00A64D65"/>
    <w:rsid w:val="00A64F06"/>
    <w:rsid w:val="00A65A46"/>
    <w:rsid w:val="00A660F8"/>
    <w:rsid w:val="00A6621F"/>
    <w:rsid w:val="00A66320"/>
    <w:rsid w:val="00A66AA0"/>
    <w:rsid w:val="00A66C08"/>
    <w:rsid w:val="00A6725B"/>
    <w:rsid w:val="00A676B4"/>
    <w:rsid w:val="00A67931"/>
    <w:rsid w:val="00A67DB1"/>
    <w:rsid w:val="00A70519"/>
    <w:rsid w:val="00A70605"/>
    <w:rsid w:val="00A712EF"/>
    <w:rsid w:val="00A71F68"/>
    <w:rsid w:val="00A72505"/>
    <w:rsid w:val="00A7267A"/>
    <w:rsid w:val="00A72862"/>
    <w:rsid w:val="00A72895"/>
    <w:rsid w:val="00A72AC4"/>
    <w:rsid w:val="00A73134"/>
    <w:rsid w:val="00A7365A"/>
    <w:rsid w:val="00A73668"/>
    <w:rsid w:val="00A73CA4"/>
    <w:rsid w:val="00A73F75"/>
    <w:rsid w:val="00A7406F"/>
    <w:rsid w:val="00A74391"/>
    <w:rsid w:val="00A74535"/>
    <w:rsid w:val="00A74765"/>
    <w:rsid w:val="00A74BB7"/>
    <w:rsid w:val="00A74D51"/>
    <w:rsid w:val="00A74DA5"/>
    <w:rsid w:val="00A74DF0"/>
    <w:rsid w:val="00A7515B"/>
    <w:rsid w:val="00A75507"/>
    <w:rsid w:val="00A75968"/>
    <w:rsid w:val="00A76001"/>
    <w:rsid w:val="00A765FA"/>
    <w:rsid w:val="00A76715"/>
    <w:rsid w:val="00A76C50"/>
    <w:rsid w:val="00A7701E"/>
    <w:rsid w:val="00A770B9"/>
    <w:rsid w:val="00A77547"/>
    <w:rsid w:val="00A777B2"/>
    <w:rsid w:val="00A77837"/>
    <w:rsid w:val="00A77EFD"/>
    <w:rsid w:val="00A800EC"/>
    <w:rsid w:val="00A80453"/>
    <w:rsid w:val="00A80788"/>
    <w:rsid w:val="00A80D73"/>
    <w:rsid w:val="00A81245"/>
    <w:rsid w:val="00A81475"/>
    <w:rsid w:val="00A814BC"/>
    <w:rsid w:val="00A8169A"/>
    <w:rsid w:val="00A81749"/>
    <w:rsid w:val="00A81797"/>
    <w:rsid w:val="00A81CBE"/>
    <w:rsid w:val="00A825D4"/>
    <w:rsid w:val="00A828F6"/>
    <w:rsid w:val="00A82AC1"/>
    <w:rsid w:val="00A82ADE"/>
    <w:rsid w:val="00A82B0C"/>
    <w:rsid w:val="00A82B73"/>
    <w:rsid w:val="00A83724"/>
    <w:rsid w:val="00A84EEA"/>
    <w:rsid w:val="00A852A2"/>
    <w:rsid w:val="00A85529"/>
    <w:rsid w:val="00A85744"/>
    <w:rsid w:val="00A8595A"/>
    <w:rsid w:val="00A85C7E"/>
    <w:rsid w:val="00A85D9A"/>
    <w:rsid w:val="00A85E32"/>
    <w:rsid w:val="00A85FB6"/>
    <w:rsid w:val="00A86364"/>
    <w:rsid w:val="00A8636C"/>
    <w:rsid w:val="00A86816"/>
    <w:rsid w:val="00A86D4F"/>
    <w:rsid w:val="00A86E8B"/>
    <w:rsid w:val="00A870A0"/>
    <w:rsid w:val="00A87164"/>
    <w:rsid w:val="00A871A9"/>
    <w:rsid w:val="00A872DF"/>
    <w:rsid w:val="00A87399"/>
    <w:rsid w:val="00A875A9"/>
    <w:rsid w:val="00A878FD"/>
    <w:rsid w:val="00A8797A"/>
    <w:rsid w:val="00A87B77"/>
    <w:rsid w:val="00A90171"/>
    <w:rsid w:val="00A90CF9"/>
    <w:rsid w:val="00A91054"/>
    <w:rsid w:val="00A913A7"/>
    <w:rsid w:val="00A926B1"/>
    <w:rsid w:val="00A92918"/>
    <w:rsid w:val="00A92A24"/>
    <w:rsid w:val="00A92C8B"/>
    <w:rsid w:val="00A93072"/>
    <w:rsid w:val="00A938BD"/>
    <w:rsid w:val="00A938F1"/>
    <w:rsid w:val="00A93953"/>
    <w:rsid w:val="00A9433F"/>
    <w:rsid w:val="00A94D4B"/>
    <w:rsid w:val="00A94EFD"/>
    <w:rsid w:val="00A95475"/>
    <w:rsid w:val="00A957FC"/>
    <w:rsid w:val="00A959D8"/>
    <w:rsid w:val="00A96240"/>
    <w:rsid w:val="00A9645B"/>
    <w:rsid w:val="00A9670F"/>
    <w:rsid w:val="00A96B3C"/>
    <w:rsid w:val="00A97085"/>
    <w:rsid w:val="00A971DD"/>
    <w:rsid w:val="00A9736B"/>
    <w:rsid w:val="00A97588"/>
    <w:rsid w:val="00A97993"/>
    <w:rsid w:val="00AA0143"/>
    <w:rsid w:val="00AA0917"/>
    <w:rsid w:val="00AA113D"/>
    <w:rsid w:val="00AA1208"/>
    <w:rsid w:val="00AA1BF9"/>
    <w:rsid w:val="00AA1D8C"/>
    <w:rsid w:val="00AA2BD3"/>
    <w:rsid w:val="00AA2C4B"/>
    <w:rsid w:val="00AA2D24"/>
    <w:rsid w:val="00AA2D4F"/>
    <w:rsid w:val="00AA374A"/>
    <w:rsid w:val="00AA3ADD"/>
    <w:rsid w:val="00AA3F34"/>
    <w:rsid w:val="00AA4243"/>
    <w:rsid w:val="00AA472A"/>
    <w:rsid w:val="00AA49C7"/>
    <w:rsid w:val="00AA4CC9"/>
    <w:rsid w:val="00AA4F7F"/>
    <w:rsid w:val="00AA513D"/>
    <w:rsid w:val="00AA5247"/>
    <w:rsid w:val="00AA56D9"/>
    <w:rsid w:val="00AA596C"/>
    <w:rsid w:val="00AA5FC6"/>
    <w:rsid w:val="00AA60BC"/>
    <w:rsid w:val="00AA6864"/>
    <w:rsid w:val="00AA698B"/>
    <w:rsid w:val="00AA6BD5"/>
    <w:rsid w:val="00AA6BD8"/>
    <w:rsid w:val="00AA6C7D"/>
    <w:rsid w:val="00AA6E0C"/>
    <w:rsid w:val="00AA6EB2"/>
    <w:rsid w:val="00AA709B"/>
    <w:rsid w:val="00AA75EE"/>
    <w:rsid w:val="00AA76E1"/>
    <w:rsid w:val="00AA7802"/>
    <w:rsid w:val="00AA797F"/>
    <w:rsid w:val="00AA7B8A"/>
    <w:rsid w:val="00AA7DA5"/>
    <w:rsid w:val="00AA7FD6"/>
    <w:rsid w:val="00AB0192"/>
    <w:rsid w:val="00AB042A"/>
    <w:rsid w:val="00AB04F7"/>
    <w:rsid w:val="00AB0C54"/>
    <w:rsid w:val="00AB0E7C"/>
    <w:rsid w:val="00AB118D"/>
    <w:rsid w:val="00AB11AD"/>
    <w:rsid w:val="00AB1605"/>
    <w:rsid w:val="00AB1776"/>
    <w:rsid w:val="00AB186B"/>
    <w:rsid w:val="00AB19EF"/>
    <w:rsid w:val="00AB2495"/>
    <w:rsid w:val="00AB27CC"/>
    <w:rsid w:val="00AB2948"/>
    <w:rsid w:val="00AB29CE"/>
    <w:rsid w:val="00AB2D34"/>
    <w:rsid w:val="00AB2D7D"/>
    <w:rsid w:val="00AB31FF"/>
    <w:rsid w:val="00AB3430"/>
    <w:rsid w:val="00AB346A"/>
    <w:rsid w:val="00AB34D3"/>
    <w:rsid w:val="00AB3631"/>
    <w:rsid w:val="00AB3721"/>
    <w:rsid w:val="00AB37B9"/>
    <w:rsid w:val="00AB41D7"/>
    <w:rsid w:val="00AB4AD1"/>
    <w:rsid w:val="00AB52E9"/>
    <w:rsid w:val="00AB5410"/>
    <w:rsid w:val="00AB5587"/>
    <w:rsid w:val="00AB5B5F"/>
    <w:rsid w:val="00AB5E07"/>
    <w:rsid w:val="00AB5E0C"/>
    <w:rsid w:val="00AB605D"/>
    <w:rsid w:val="00AB6434"/>
    <w:rsid w:val="00AB72A0"/>
    <w:rsid w:val="00AB72C2"/>
    <w:rsid w:val="00AB76B8"/>
    <w:rsid w:val="00AB7CFA"/>
    <w:rsid w:val="00AB7D95"/>
    <w:rsid w:val="00AC007B"/>
    <w:rsid w:val="00AC010C"/>
    <w:rsid w:val="00AC01D5"/>
    <w:rsid w:val="00AC038C"/>
    <w:rsid w:val="00AC0630"/>
    <w:rsid w:val="00AC078F"/>
    <w:rsid w:val="00AC0E97"/>
    <w:rsid w:val="00AC0F96"/>
    <w:rsid w:val="00AC1043"/>
    <w:rsid w:val="00AC1AA8"/>
    <w:rsid w:val="00AC1BDE"/>
    <w:rsid w:val="00AC1E20"/>
    <w:rsid w:val="00AC1FF9"/>
    <w:rsid w:val="00AC2041"/>
    <w:rsid w:val="00AC28A5"/>
    <w:rsid w:val="00AC29C3"/>
    <w:rsid w:val="00AC360A"/>
    <w:rsid w:val="00AC3737"/>
    <w:rsid w:val="00AC39D8"/>
    <w:rsid w:val="00AC3F25"/>
    <w:rsid w:val="00AC4A11"/>
    <w:rsid w:val="00AC4D9E"/>
    <w:rsid w:val="00AC505B"/>
    <w:rsid w:val="00AC599B"/>
    <w:rsid w:val="00AC59F2"/>
    <w:rsid w:val="00AC5B42"/>
    <w:rsid w:val="00AC5B48"/>
    <w:rsid w:val="00AC6E5D"/>
    <w:rsid w:val="00AC6E9E"/>
    <w:rsid w:val="00AC6F18"/>
    <w:rsid w:val="00AC7774"/>
    <w:rsid w:val="00AC7FD5"/>
    <w:rsid w:val="00AD0088"/>
    <w:rsid w:val="00AD00B4"/>
    <w:rsid w:val="00AD0255"/>
    <w:rsid w:val="00AD07BD"/>
    <w:rsid w:val="00AD0997"/>
    <w:rsid w:val="00AD0A2A"/>
    <w:rsid w:val="00AD0C41"/>
    <w:rsid w:val="00AD0C76"/>
    <w:rsid w:val="00AD101B"/>
    <w:rsid w:val="00AD1450"/>
    <w:rsid w:val="00AD14CD"/>
    <w:rsid w:val="00AD15E8"/>
    <w:rsid w:val="00AD16CC"/>
    <w:rsid w:val="00AD1A76"/>
    <w:rsid w:val="00AD281B"/>
    <w:rsid w:val="00AD2B8F"/>
    <w:rsid w:val="00AD2C37"/>
    <w:rsid w:val="00AD2C6D"/>
    <w:rsid w:val="00AD2E0E"/>
    <w:rsid w:val="00AD32BD"/>
    <w:rsid w:val="00AD3428"/>
    <w:rsid w:val="00AD356D"/>
    <w:rsid w:val="00AD38F8"/>
    <w:rsid w:val="00AD3E1B"/>
    <w:rsid w:val="00AD401D"/>
    <w:rsid w:val="00AD42E7"/>
    <w:rsid w:val="00AD44EE"/>
    <w:rsid w:val="00AD45E3"/>
    <w:rsid w:val="00AD48A5"/>
    <w:rsid w:val="00AD48AD"/>
    <w:rsid w:val="00AD4E03"/>
    <w:rsid w:val="00AD4E46"/>
    <w:rsid w:val="00AD5133"/>
    <w:rsid w:val="00AD52D1"/>
    <w:rsid w:val="00AD56F5"/>
    <w:rsid w:val="00AD5960"/>
    <w:rsid w:val="00AD5DAA"/>
    <w:rsid w:val="00AD6502"/>
    <w:rsid w:val="00AD66FA"/>
    <w:rsid w:val="00AD67CA"/>
    <w:rsid w:val="00AD6A5B"/>
    <w:rsid w:val="00AD7393"/>
    <w:rsid w:val="00AD78A1"/>
    <w:rsid w:val="00AD7DB8"/>
    <w:rsid w:val="00AE0225"/>
    <w:rsid w:val="00AE03F0"/>
    <w:rsid w:val="00AE0695"/>
    <w:rsid w:val="00AE0CD6"/>
    <w:rsid w:val="00AE1347"/>
    <w:rsid w:val="00AE13E2"/>
    <w:rsid w:val="00AE1876"/>
    <w:rsid w:val="00AE1951"/>
    <w:rsid w:val="00AE1BAA"/>
    <w:rsid w:val="00AE2380"/>
    <w:rsid w:val="00AE26C5"/>
    <w:rsid w:val="00AE301C"/>
    <w:rsid w:val="00AE3032"/>
    <w:rsid w:val="00AE30AE"/>
    <w:rsid w:val="00AE37D6"/>
    <w:rsid w:val="00AE3C6D"/>
    <w:rsid w:val="00AE3E7E"/>
    <w:rsid w:val="00AE4405"/>
    <w:rsid w:val="00AE4C44"/>
    <w:rsid w:val="00AE52F8"/>
    <w:rsid w:val="00AE57E6"/>
    <w:rsid w:val="00AE58C6"/>
    <w:rsid w:val="00AE5EC7"/>
    <w:rsid w:val="00AE6981"/>
    <w:rsid w:val="00AE6EDF"/>
    <w:rsid w:val="00AE74CB"/>
    <w:rsid w:val="00AE761A"/>
    <w:rsid w:val="00AE7CA6"/>
    <w:rsid w:val="00AE7E53"/>
    <w:rsid w:val="00AF05EE"/>
    <w:rsid w:val="00AF0D43"/>
    <w:rsid w:val="00AF129C"/>
    <w:rsid w:val="00AF1315"/>
    <w:rsid w:val="00AF1560"/>
    <w:rsid w:val="00AF19BF"/>
    <w:rsid w:val="00AF1B2A"/>
    <w:rsid w:val="00AF1BFE"/>
    <w:rsid w:val="00AF2228"/>
    <w:rsid w:val="00AF2460"/>
    <w:rsid w:val="00AF2591"/>
    <w:rsid w:val="00AF2DC3"/>
    <w:rsid w:val="00AF31BF"/>
    <w:rsid w:val="00AF3488"/>
    <w:rsid w:val="00AF3CE2"/>
    <w:rsid w:val="00AF3DA0"/>
    <w:rsid w:val="00AF4084"/>
    <w:rsid w:val="00AF40E4"/>
    <w:rsid w:val="00AF43A4"/>
    <w:rsid w:val="00AF4438"/>
    <w:rsid w:val="00AF4AA0"/>
    <w:rsid w:val="00AF542D"/>
    <w:rsid w:val="00AF565A"/>
    <w:rsid w:val="00AF5CE7"/>
    <w:rsid w:val="00AF6052"/>
    <w:rsid w:val="00AF6518"/>
    <w:rsid w:val="00AF6793"/>
    <w:rsid w:val="00AF68FE"/>
    <w:rsid w:val="00AF6BA7"/>
    <w:rsid w:val="00AF6DE1"/>
    <w:rsid w:val="00AF6E0C"/>
    <w:rsid w:val="00AF7271"/>
    <w:rsid w:val="00AF7E3C"/>
    <w:rsid w:val="00B0091E"/>
    <w:rsid w:val="00B00B36"/>
    <w:rsid w:val="00B00D11"/>
    <w:rsid w:val="00B011D3"/>
    <w:rsid w:val="00B014AE"/>
    <w:rsid w:val="00B0182B"/>
    <w:rsid w:val="00B01AC2"/>
    <w:rsid w:val="00B01B92"/>
    <w:rsid w:val="00B01B9A"/>
    <w:rsid w:val="00B01BD0"/>
    <w:rsid w:val="00B01CE5"/>
    <w:rsid w:val="00B01E4F"/>
    <w:rsid w:val="00B01F52"/>
    <w:rsid w:val="00B02A5E"/>
    <w:rsid w:val="00B033E5"/>
    <w:rsid w:val="00B03A63"/>
    <w:rsid w:val="00B04928"/>
    <w:rsid w:val="00B05823"/>
    <w:rsid w:val="00B05A91"/>
    <w:rsid w:val="00B05A95"/>
    <w:rsid w:val="00B064B0"/>
    <w:rsid w:val="00B068CE"/>
    <w:rsid w:val="00B0726B"/>
    <w:rsid w:val="00B0733D"/>
    <w:rsid w:val="00B075D0"/>
    <w:rsid w:val="00B1010A"/>
    <w:rsid w:val="00B10D9E"/>
    <w:rsid w:val="00B111DC"/>
    <w:rsid w:val="00B1165C"/>
    <w:rsid w:val="00B11E14"/>
    <w:rsid w:val="00B11F12"/>
    <w:rsid w:val="00B121A7"/>
    <w:rsid w:val="00B1276A"/>
    <w:rsid w:val="00B128DA"/>
    <w:rsid w:val="00B129A4"/>
    <w:rsid w:val="00B135FB"/>
    <w:rsid w:val="00B13A75"/>
    <w:rsid w:val="00B141F2"/>
    <w:rsid w:val="00B144A3"/>
    <w:rsid w:val="00B144B0"/>
    <w:rsid w:val="00B14524"/>
    <w:rsid w:val="00B14863"/>
    <w:rsid w:val="00B14A0C"/>
    <w:rsid w:val="00B15185"/>
    <w:rsid w:val="00B155EE"/>
    <w:rsid w:val="00B15637"/>
    <w:rsid w:val="00B15ACE"/>
    <w:rsid w:val="00B16B88"/>
    <w:rsid w:val="00B16C43"/>
    <w:rsid w:val="00B1709F"/>
    <w:rsid w:val="00B17595"/>
    <w:rsid w:val="00B1784A"/>
    <w:rsid w:val="00B17C8A"/>
    <w:rsid w:val="00B201A4"/>
    <w:rsid w:val="00B201D1"/>
    <w:rsid w:val="00B2062B"/>
    <w:rsid w:val="00B2127C"/>
    <w:rsid w:val="00B213A6"/>
    <w:rsid w:val="00B21676"/>
    <w:rsid w:val="00B21801"/>
    <w:rsid w:val="00B21A40"/>
    <w:rsid w:val="00B21B60"/>
    <w:rsid w:val="00B21BB4"/>
    <w:rsid w:val="00B2247D"/>
    <w:rsid w:val="00B22540"/>
    <w:rsid w:val="00B22889"/>
    <w:rsid w:val="00B2295F"/>
    <w:rsid w:val="00B22D0D"/>
    <w:rsid w:val="00B22EE1"/>
    <w:rsid w:val="00B22FA1"/>
    <w:rsid w:val="00B235B0"/>
    <w:rsid w:val="00B23A49"/>
    <w:rsid w:val="00B240EA"/>
    <w:rsid w:val="00B24136"/>
    <w:rsid w:val="00B24428"/>
    <w:rsid w:val="00B24774"/>
    <w:rsid w:val="00B24DF6"/>
    <w:rsid w:val="00B24F92"/>
    <w:rsid w:val="00B25489"/>
    <w:rsid w:val="00B25AE2"/>
    <w:rsid w:val="00B269F2"/>
    <w:rsid w:val="00B26AB9"/>
    <w:rsid w:val="00B26AD4"/>
    <w:rsid w:val="00B26CB9"/>
    <w:rsid w:val="00B26D5F"/>
    <w:rsid w:val="00B27550"/>
    <w:rsid w:val="00B27A0C"/>
    <w:rsid w:val="00B27A61"/>
    <w:rsid w:val="00B27C13"/>
    <w:rsid w:val="00B30076"/>
    <w:rsid w:val="00B3053A"/>
    <w:rsid w:val="00B308C1"/>
    <w:rsid w:val="00B31611"/>
    <w:rsid w:val="00B3186A"/>
    <w:rsid w:val="00B31998"/>
    <w:rsid w:val="00B32021"/>
    <w:rsid w:val="00B322A3"/>
    <w:rsid w:val="00B32939"/>
    <w:rsid w:val="00B32988"/>
    <w:rsid w:val="00B32BD9"/>
    <w:rsid w:val="00B331EA"/>
    <w:rsid w:val="00B3334A"/>
    <w:rsid w:val="00B33589"/>
    <w:rsid w:val="00B33594"/>
    <w:rsid w:val="00B335CE"/>
    <w:rsid w:val="00B338E7"/>
    <w:rsid w:val="00B3395A"/>
    <w:rsid w:val="00B34976"/>
    <w:rsid w:val="00B34BB0"/>
    <w:rsid w:val="00B34BD9"/>
    <w:rsid w:val="00B34E30"/>
    <w:rsid w:val="00B34FE2"/>
    <w:rsid w:val="00B350F3"/>
    <w:rsid w:val="00B35166"/>
    <w:rsid w:val="00B35452"/>
    <w:rsid w:val="00B357D8"/>
    <w:rsid w:val="00B35927"/>
    <w:rsid w:val="00B35F80"/>
    <w:rsid w:val="00B360F4"/>
    <w:rsid w:val="00B36A00"/>
    <w:rsid w:val="00B36C9F"/>
    <w:rsid w:val="00B36CD5"/>
    <w:rsid w:val="00B36CEF"/>
    <w:rsid w:val="00B36FD5"/>
    <w:rsid w:val="00B3792B"/>
    <w:rsid w:val="00B37A34"/>
    <w:rsid w:val="00B37AA6"/>
    <w:rsid w:val="00B37BFC"/>
    <w:rsid w:val="00B402C4"/>
    <w:rsid w:val="00B40358"/>
    <w:rsid w:val="00B4038D"/>
    <w:rsid w:val="00B40461"/>
    <w:rsid w:val="00B4075E"/>
    <w:rsid w:val="00B40778"/>
    <w:rsid w:val="00B40D02"/>
    <w:rsid w:val="00B40E6B"/>
    <w:rsid w:val="00B410DA"/>
    <w:rsid w:val="00B41614"/>
    <w:rsid w:val="00B4167B"/>
    <w:rsid w:val="00B41F2E"/>
    <w:rsid w:val="00B424C5"/>
    <w:rsid w:val="00B426A8"/>
    <w:rsid w:val="00B42837"/>
    <w:rsid w:val="00B42851"/>
    <w:rsid w:val="00B42F80"/>
    <w:rsid w:val="00B435CB"/>
    <w:rsid w:val="00B4453D"/>
    <w:rsid w:val="00B44835"/>
    <w:rsid w:val="00B44887"/>
    <w:rsid w:val="00B4492B"/>
    <w:rsid w:val="00B44C32"/>
    <w:rsid w:val="00B44CEC"/>
    <w:rsid w:val="00B44D9A"/>
    <w:rsid w:val="00B44E83"/>
    <w:rsid w:val="00B452F7"/>
    <w:rsid w:val="00B4621E"/>
    <w:rsid w:val="00B462C2"/>
    <w:rsid w:val="00B465EC"/>
    <w:rsid w:val="00B46C2C"/>
    <w:rsid w:val="00B473EA"/>
    <w:rsid w:val="00B47442"/>
    <w:rsid w:val="00B47482"/>
    <w:rsid w:val="00B47526"/>
    <w:rsid w:val="00B47848"/>
    <w:rsid w:val="00B47CB4"/>
    <w:rsid w:val="00B5027D"/>
    <w:rsid w:val="00B505C8"/>
    <w:rsid w:val="00B506E0"/>
    <w:rsid w:val="00B50DB8"/>
    <w:rsid w:val="00B50F7F"/>
    <w:rsid w:val="00B51531"/>
    <w:rsid w:val="00B524A5"/>
    <w:rsid w:val="00B5263B"/>
    <w:rsid w:val="00B527EE"/>
    <w:rsid w:val="00B5288B"/>
    <w:rsid w:val="00B52BA2"/>
    <w:rsid w:val="00B5354A"/>
    <w:rsid w:val="00B53654"/>
    <w:rsid w:val="00B53905"/>
    <w:rsid w:val="00B53957"/>
    <w:rsid w:val="00B53E95"/>
    <w:rsid w:val="00B54323"/>
    <w:rsid w:val="00B5432F"/>
    <w:rsid w:val="00B544AD"/>
    <w:rsid w:val="00B545A9"/>
    <w:rsid w:val="00B546DB"/>
    <w:rsid w:val="00B54B5B"/>
    <w:rsid w:val="00B54D0D"/>
    <w:rsid w:val="00B54E20"/>
    <w:rsid w:val="00B5562E"/>
    <w:rsid w:val="00B55862"/>
    <w:rsid w:val="00B55AAC"/>
    <w:rsid w:val="00B55B6C"/>
    <w:rsid w:val="00B55D45"/>
    <w:rsid w:val="00B55D65"/>
    <w:rsid w:val="00B56305"/>
    <w:rsid w:val="00B56607"/>
    <w:rsid w:val="00B56629"/>
    <w:rsid w:val="00B56DE6"/>
    <w:rsid w:val="00B57000"/>
    <w:rsid w:val="00B57029"/>
    <w:rsid w:val="00B57058"/>
    <w:rsid w:val="00B5756E"/>
    <w:rsid w:val="00B57604"/>
    <w:rsid w:val="00B57612"/>
    <w:rsid w:val="00B5780A"/>
    <w:rsid w:val="00B57DD9"/>
    <w:rsid w:val="00B60638"/>
    <w:rsid w:val="00B60939"/>
    <w:rsid w:val="00B609F1"/>
    <w:rsid w:val="00B60A0B"/>
    <w:rsid w:val="00B60AFD"/>
    <w:rsid w:val="00B60EDA"/>
    <w:rsid w:val="00B61382"/>
    <w:rsid w:val="00B614AE"/>
    <w:rsid w:val="00B61B3C"/>
    <w:rsid w:val="00B61FA8"/>
    <w:rsid w:val="00B62690"/>
    <w:rsid w:val="00B62715"/>
    <w:rsid w:val="00B62915"/>
    <w:rsid w:val="00B62DDB"/>
    <w:rsid w:val="00B63199"/>
    <w:rsid w:val="00B63479"/>
    <w:rsid w:val="00B63816"/>
    <w:rsid w:val="00B63FE9"/>
    <w:rsid w:val="00B64142"/>
    <w:rsid w:val="00B6474D"/>
    <w:rsid w:val="00B64A89"/>
    <w:rsid w:val="00B64AEA"/>
    <w:rsid w:val="00B64C1A"/>
    <w:rsid w:val="00B64E58"/>
    <w:rsid w:val="00B65046"/>
    <w:rsid w:val="00B65611"/>
    <w:rsid w:val="00B65728"/>
    <w:rsid w:val="00B65B1B"/>
    <w:rsid w:val="00B65C74"/>
    <w:rsid w:val="00B65DFD"/>
    <w:rsid w:val="00B66002"/>
    <w:rsid w:val="00B661F4"/>
    <w:rsid w:val="00B6630D"/>
    <w:rsid w:val="00B66794"/>
    <w:rsid w:val="00B668EA"/>
    <w:rsid w:val="00B6690F"/>
    <w:rsid w:val="00B67528"/>
    <w:rsid w:val="00B67677"/>
    <w:rsid w:val="00B67D43"/>
    <w:rsid w:val="00B67DE7"/>
    <w:rsid w:val="00B705E5"/>
    <w:rsid w:val="00B70A75"/>
    <w:rsid w:val="00B70CAE"/>
    <w:rsid w:val="00B70E8E"/>
    <w:rsid w:val="00B70F61"/>
    <w:rsid w:val="00B71CFA"/>
    <w:rsid w:val="00B724AC"/>
    <w:rsid w:val="00B729CC"/>
    <w:rsid w:val="00B7383B"/>
    <w:rsid w:val="00B73B85"/>
    <w:rsid w:val="00B73BE5"/>
    <w:rsid w:val="00B73C5A"/>
    <w:rsid w:val="00B73E1A"/>
    <w:rsid w:val="00B7409C"/>
    <w:rsid w:val="00B744CA"/>
    <w:rsid w:val="00B74AC6"/>
    <w:rsid w:val="00B74B5A"/>
    <w:rsid w:val="00B74E2A"/>
    <w:rsid w:val="00B75200"/>
    <w:rsid w:val="00B75765"/>
    <w:rsid w:val="00B7590F"/>
    <w:rsid w:val="00B75E0B"/>
    <w:rsid w:val="00B76C92"/>
    <w:rsid w:val="00B76F78"/>
    <w:rsid w:val="00B80416"/>
    <w:rsid w:val="00B80EFD"/>
    <w:rsid w:val="00B816F3"/>
    <w:rsid w:val="00B81743"/>
    <w:rsid w:val="00B817AA"/>
    <w:rsid w:val="00B818A4"/>
    <w:rsid w:val="00B81B12"/>
    <w:rsid w:val="00B81CEB"/>
    <w:rsid w:val="00B82381"/>
    <w:rsid w:val="00B82D22"/>
    <w:rsid w:val="00B83739"/>
    <w:rsid w:val="00B83929"/>
    <w:rsid w:val="00B83A7F"/>
    <w:rsid w:val="00B83C38"/>
    <w:rsid w:val="00B83C48"/>
    <w:rsid w:val="00B83F49"/>
    <w:rsid w:val="00B840C5"/>
    <w:rsid w:val="00B84117"/>
    <w:rsid w:val="00B84476"/>
    <w:rsid w:val="00B849EE"/>
    <w:rsid w:val="00B84A1D"/>
    <w:rsid w:val="00B84B35"/>
    <w:rsid w:val="00B84C28"/>
    <w:rsid w:val="00B85499"/>
    <w:rsid w:val="00B858F0"/>
    <w:rsid w:val="00B85AA2"/>
    <w:rsid w:val="00B85C5F"/>
    <w:rsid w:val="00B85EF8"/>
    <w:rsid w:val="00B8649C"/>
    <w:rsid w:val="00B8695D"/>
    <w:rsid w:val="00B86F4A"/>
    <w:rsid w:val="00B87136"/>
    <w:rsid w:val="00B8734B"/>
    <w:rsid w:val="00B87739"/>
    <w:rsid w:val="00B8774F"/>
    <w:rsid w:val="00B87963"/>
    <w:rsid w:val="00B87968"/>
    <w:rsid w:val="00B87CB7"/>
    <w:rsid w:val="00B87F0A"/>
    <w:rsid w:val="00B90241"/>
    <w:rsid w:val="00B90E05"/>
    <w:rsid w:val="00B9107D"/>
    <w:rsid w:val="00B9144B"/>
    <w:rsid w:val="00B916A0"/>
    <w:rsid w:val="00B91D54"/>
    <w:rsid w:val="00B9205B"/>
    <w:rsid w:val="00B92716"/>
    <w:rsid w:val="00B92A92"/>
    <w:rsid w:val="00B92D0B"/>
    <w:rsid w:val="00B9332B"/>
    <w:rsid w:val="00B93E19"/>
    <w:rsid w:val="00B942BA"/>
    <w:rsid w:val="00B94945"/>
    <w:rsid w:val="00B94A51"/>
    <w:rsid w:val="00B94D77"/>
    <w:rsid w:val="00B94DD6"/>
    <w:rsid w:val="00B958B6"/>
    <w:rsid w:val="00B95F4A"/>
    <w:rsid w:val="00B96249"/>
    <w:rsid w:val="00B962D2"/>
    <w:rsid w:val="00B96489"/>
    <w:rsid w:val="00B969D9"/>
    <w:rsid w:val="00B9750E"/>
    <w:rsid w:val="00BA0782"/>
    <w:rsid w:val="00BA0890"/>
    <w:rsid w:val="00BA0A50"/>
    <w:rsid w:val="00BA0B37"/>
    <w:rsid w:val="00BA0C12"/>
    <w:rsid w:val="00BA0D56"/>
    <w:rsid w:val="00BA13D0"/>
    <w:rsid w:val="00BA1570"/>
    <w:rsid w:val="00BA1AE6"/>
    <w:rsid w:val="00BA1D72"/>
    <w:rsid w:val="00BA1F24"/>
    <w:rsid w:val="00BA25C6"/>
    <w:rsid w:val="00BA264F"/>
    <w:rsid w:val="00BA2660"/>
    <w:rsid w:val="00BA26D2"/>
    <w:rsid w:val="00BA2D0E"/>
    <w:rsid w:val="00BA322D"/>
    <w:rsid w:val="00BA3434"/>
    <w:rsid w:val="00BA375F"/>
    <w:rsid w:val="00BA3A7E"/>
    <w:rsid w:val="00BA3B7F"/>
    <w:rsid w:val="00BA3CD1"/>
    <w:rsid w:val="00BA3D2C"/>
    <w:rsid w:val="00BA44E0"/>
    <w:rsid w:val="00BA4600"/>
    <w:rsid w:val="00BA4C40"/>
    <w:rsid w:val="00BA53D9"/>
    <w:rsid w:val="00BA5743"/>
    <w:rsid w:val="00BA63FA"/>
    <w:rsid w:val="00BA6AE3"/>
    <w:rsid w:val="00BA6B52"/>
    <w:rsid w:val="00BA6C7E"/>
    <w:rsid w:val="00BA6CC3"/>
    <w:rsid w:val="00BA6F65"/>
    <w:rsid w:val="00BA71C6"/>
    <w:rsid w:val="00BA755A"/>
    <w:rsid w:val="00BA75B0"/>
    <w:rsid w:val="00BA784A"/>
    <w:rsid w:val="00BA7DB6"/>
    <w:rsid w:val="00BA7DBF"/>
    <w:rsid w:val="00BA7DD3"/>
    <w:rsid w:val="00BB00B3"/>
    <w:rsid w:val="00BB0148"/>
    <w:rsid w:val="00BB0628"/>
    <w:rsid w:val="00BB0818"/>
    <w:rsid w:val="00BB08BF"/>
    <w:rsid w:val="00BB0BDD"/>
    <w:rsid w:val="00BB0F5C"/>
    <w:rsid w:val="00BB150A"/>
    <w:rsid w:val="00BB176C"/>
    <w:rsid w:val="00BB1E75"/>
    <w:rsid w:val="00BB20D2"/>
    <w:rsid w:val="00BB22EF"/>
    <w:rsid w:val="00BB2A73"/>
    <w:rsid w:val="00BB31EF"/>
    <w:rsid w:val="00BB3312"/>
    <w:rsid w:val="00BB3321"/>
    <w:rsid w:val="00BB3460"/>
    <w:rsid w:val="00BB36D2"/>
    <w:rsid w:val="00BB3A45"/>
    <w:rsid w:val="00BB3D37"/>
    <w:rsid w:val="00BB3D74"/>
    <w:rsid w:val="00BB3E3C"/>
    <w:rsid w:val="00BB41B4"/>
    <w:rsid w:val="00BB4ACC"/>
    <w:rsid w:val="00BB5168"/>
    <w:rsid w:val="00BB57B2"/>
    <w:rsid w:val="00BB584D"/>
    <w:rsid w:val="00BB5AC8"/>
    <w:rsid w:val="00BB5BD2"/>
    <w:rsid w:val="00BB5E36"/>
    <w:rsid w:val="00BB62E2"/>
    <w:rsid w:val="00BB6410"/>
    <w:rsid w:val="00BB64C5"/>
    <w:rsid w:val="00BB703E"/>
    <w:rsid w:val="00BB732D"/>
    <w:rsid w:val="00BB73AA"/>
    <w:rsid w:val="00BB7405"/>
    <w:rsid w:val="00BB7523"/>
    <w:rsid w:val="00BC037A"/>
    <w:rsid w:val="00BC0E8D"/>
    <w:rsid w:val="00BC1E4E"/>
    <w:rsid w:val="00BC227D"/>
    <w:rsid w:val="00BC2502"/>
    <w:rsid w:val="00BC266C"/>
    <w:rsid w:val="00BC278B"/>
    <w:rsid w:val="00BC2A58"/>
    <w:rsid w:val="00BC2FC3"/>
    <w:rsid w:val="00BC325A"/>
    <w:rsid w:val="00BC3631"/>
    <w:rsid w:val="00BC366F"/>
    <w:rsid w:val="00BC3B27"/>
    <w:rsid w:val="00BC49EB"/>
    <w:rsid w:val="00BC4C2C"/>
    <w:rsid w:val="00BC4EE5"/>
    <w:rsid w:val="00BC5079"/>
    <w:rsid w:val="00BC5091"/>
    <w:rsid w:val="00BC5644"/>
    <w:rsid w:val="00BC591F"/>
    <w:rsid w:val="00BC5AAF"/>
    <w:rsid w:val="00BC5B54"/>
    <w:rsid w:val="00BC5E03"/>
    <w:rsid w:val="00BC5F72"/>
    <w:rsid w:val="00BC65E6"/>
    <w:rsid w:val="00BC6746"/>
    <w:rsid w:val="00BC69F7"/>
    <w:rsid w:val="00BC6AA1"/>
    <w:rsid w:val="00BC7309"/>
    <w:rsid w:val="00BC7387"/>
    <w:rsid w:val="00BC7C47"/>
    <w:rsid w:val="00BC7D17"/>
    <w:rsid w:val="00BC7D6D"/>
    <w:rsid w:val="00BC7F44"/>
    <w:rsid w:val="00BD0255"/>
    <w:rsid w:val="00BD0305"/>
    <w:rsid w:val="00BD0406"/>
    <w:rsid w:val="00BD0A7F"/>
    <w:rsid w:val="00BD0B82"/>
    <w:rsid w:val="00BD103F"/>
    <w:rsid w:val="00BD12D9"/>
    <w:rsid w:val="00BD14B7"/>
    <w:rsid w:val="00BD1967"/>
    <w:rsid w:val="00BD1AAB"/>
    <w:rsid w:val="00BD1C98"/>
    <w:rsid w:val="00BD1D0B"/>
    <w:rsid w:val="00BD1E92"/>
    <w:rsid w:val="00BD1FB0"/>
    <w:rsid w:val="00BD2108"/>
    <w:rsid w:val="00BD2C6D"/>
    <w:rsid w:val="00BD36D0"/>
    <w:rsid w:val="00BD3DDD"/>
    <w:rsid w:val="00BD3F93"/>
    <w:rsid w:val="00BD41F4"/>
    <w:rsid w:val="00BD44F9"/>
    <w:rsid w:val="00BD4799"/>
    <w:rsid w:val="00BD4F60"/>
    <w:rsid w:val="00BD51F0"/>
    <w:rsid w:val="00BD54F1"/>
    <w:rsid w:val="00BD593F"/>
    <w:rsid w:val="00BD60AD"/>
    <w:rsid w:val="00BD6652"/>
    <w:rsid w:val="00BD66DB"/>
    <w:rsid w:val="00BD68A3"/>
    <w:rsid w:val="00BD6938"/>
    <w:rsid w:val="00BD6950"/>
    <w:rsid w:val="00BD69D9"/>
    <w:rsid w:val="00BD6B5E"/>
    <w:rsid w:val="00BD6CF3"/>
    <w:rsid w:val="00BD6F68"/>
    <w:rsid w:val="00BD75D7"/>
    <w:rsid w:val="00BD7B38"/>
    <w:rsid w:val="00BD7F72"/>
    <w:rsid w:val="00BE05C4"/>
    <w:rsid w:val="00BE0820"/>
    <w:rsid w:val="00BE0ECA"/>
    <w:rsid w:val="00BE0EF6"/>
    <w:rsid w:val="00BE0FDA"/>
    <w:rsid w:val="00BE1DB5"/>
    <w:rsid w:val="00BE1E0B"/>
    <w:rsid w:val="00BE2180"/>
    <w:rsid w:val="00BE21F2"/>
    <w:rsid w:val="00BE240B"/>
    <w:rsid w:val="00BE275D"/>
    <w:rsid w:val="00BE27A8"/>
    <w:rsid w:val="00BE2826"/>
    <w:rsid w:val="00BE3140"/>
    <w:rsid w:val="00BE35C5"/>
    <w:rsid w:val="00BE38A1"/>
    <w:rsid w:val="00BE3CD8"/>
    <w:rsid w:val="00BE4275"/>
    <w:rsid w:val="00BE469E"/>
    <w:rsid w:val="00BE47F7"/>
    <w:rsid w:val="00BE4F25"/>
    <w:rsid w:val="00BE57DC"/>
    <w:rsid w:val="00BE58AF"/>
    <w:rsid w:val="00BE5E26"/>
    <w:rsid w:val="00BE5E9D"/>
    <w:rsid w:val="00BE609F"/>
    <w:rsid w:val="00BE615C"/>
    <w:rsid w:val="00BE61CF"/>
    <w:rsid w:val="00BE6AA4"/>
    <w:rsid w:val="00BE6EE4"/>
    <w:rsid w:val="00BE6FEF"/>
    <w:rsid w:val="00BE7223"/>
    <w:rsid w:val="00BE78B0"/>
    <w:rsid w:val="00BE7AD7"/>
    <w:rsid w:val="00BE7DCC"/>
    <w:rsid w:val="00BF019B"/>
    <w:rsid w:val="00BF0430"/>
    <w:rsid w:val="00BF0623"/>
    <w:rsid w:val="00BF06AE"/>
    <w:rsid w:val="00BF0B79"/>
    <w:rsid w:val="00BF0E4E"/>
    <w:rsid w:val="00BF0F95"/>
    <w:rsid w:val="00BF1710"/>
    <w:rsid w:val="00BF17D2"/>
    <w:rsid w:val="00BF1CA2"/>
    <w:rsid w:val="00BF1ECE"/>
    <w:rsid w:val="00BF2109"/>
    <w:rsid w:val="00BF238B"/>
    <w:rsid w:val="00BF2433"/>
    <w:rsid w:val="00BF2951"/>
    <w:rsid w:val="00BF29C6"/>
    <w:rsid w:val="00BF2E6E"/>
    <w:rsid w:val="00BF3040"/>
    <w:rsid w:val="00BF30FB"/>
    <w:rsid w:val="00BF3335"/>
    <w:rsid w:val="00BF3A8B"/>
    <w:rsid w:val="00BF3B47"/>
    <w:rsid w:val="00BF4287"/>
    <w:rsid w:val="00BF4349"/>
    <w:rsid w:val="00BF572D"/>
    <w:rsid w:val="00BF5A0B"/>
    <w:rsid w:val="00BF5F46"/>
    <w:rsid w:val="00BF5FB2"/>
    <w:rsid w:val="00BF61C9"/>
    <w:rsid w:val="00BF63EF"/>
    <w:rsid w:val="00BF6C43"/>
    <w:rsid w:val="00BF6C94"/>
    <w:rsid w:val="00BF6FCC"/>
    <w:rsid w:val="00BF75EC"/>
    <w:rsid w:val="00BF78D7"/>
    <w:rsid w:val="00BF7E36"/>
    <w:rsid w:val="00C000A4"/>
    <w:rsid w:val="00C00424"/>
    <w:rsid w:val="00C00B8F"/>
    <w:rsid w:val="00C00BA9"/>
    <w:rsid w:val="00C00BB0"/>
    <w:rsid w:val="00C00CC6"/>
    <w:rsid w:val="00C0142D"/>
    <w:rsid w:val="00C01C48"/>
    <w:rsid w:val="00C01F19"/>
    <w:rsid w:val="00C01F26"/>
    <w:rsid w:val="00C02164"/>
    <w:rsid w:val="00C0264A"/>
    <w:rsid w:val="00C02A0F"/>
    <w:rsid w:val="00C02B9E"/>
    <w:rsid w:val="00C02ECE"/>
    <w:rsid w:val="00C02F76"/>
    <w:rsid w:val="00C0355E"/>
    <w:rsid w:val="00C03A80"/>
    <w:rsid w:val="00C03D78"/>
    <w:rsid w:val="00C043E2"/>
    <w:rsid w:val="00C044CB"/>
    <w:rsid w:val="00C04BC7"/>
    <w:rsid w:val="00C05B36"/>
    <w:rsid w:val="00C05BA0"/>
    <w:rsid w:val="00C061B3"/>
    <w:rsid w:val="00C06800"/>
    <w:rsid w:val="00C06880"/>
    <w:rsid w:val="00C06947"/>
    <w:rsid w:val="00C06B01"/>
    <w:rsid w:val="00C06BFE"/>
    <w:rsid w:val="00C06F73"/>
    <w:rsid w:val="00C07842"/>
    <w:rsid w:val="00C07C0C"/>
    <w:rsid w:val="00C07F9B"/>
    <w:rsid w:val="00C1023E"/>
    <w:rsid w:val="00C10D0A"/>
    <w:rsid w:val="00C10D96"/>
    <w:rsid w:val="00C10FD5"/>
    <w:rsid w:val="00C1124A"/>
    <w:rsid w:val="00C112E8"/>
    <w:rsid w:val="00C1179F"/>
    <w:rsid w:val="00C1207B"/>
    <w:rsid w:val="00C12115"/>
    <w:rsid w:val="00C127B9"/>
    <w:rsid w:val="00C128FA"/>
    <w:rsid w:val="00C12C14"/>
    <w:rsid w:val="00C131A1"/>
    <w:rsid w:val="00C13F3E"/>
    <w:rsid w:val="00C1417E"/>
    <w:rsid w:val="00C144CA"/>
    <w:rsid w:val="00C144FE"/>
    <w:rsid w:val="00C1467D"/>
    <w:rsid w:val="00C148CD"/>
    <w:rsid w:val="00C14DCB"/>
    <w:rsid w:val="00C15085"/>
    <w:rsid w:val="00C151BF"/>
    <w:rsid w:val="00C153E7"/>
    <w:rsid w:val="00C15996"/>
    <w:rsid w:val="00C15A40"/>
    <w:rsid w:val="00C15D7C"/>
    <w:rsid w:val="00C15F04"/>
    <w:rsid w:val="00C16199"/>
    <w:rsid w:val="00C1685F"/>
    <w:rsid w:val="00C16A62"/>
    <w:rsid w:val="00C16BF9"/>
    <w:rsid w:val="00C16CD9"/>
    <w:rsid w:val="00C1716F"/>
    <w:rsid w:val="00C179B3"/>
    <w:rsid w:val="00C17D06"/>
    <w:rsid w:val="00C17E3F"/>
    <w:rsid w:val="00C200AA"/>
    <w:rsid w:val="00C2024A"/>
    <w:rsid w:val="00C2028C"/>
    <w:rsid w:val="00C209F1"/>
    <w:rsid w:val="00C20B89"/>
    <w:rsid w:val="00C21BFF"/>
    <w:rsid w:val="00C21D06"/>
    <w:rsid w:val="00C220BA"/>
    <w:rsid w:val="00C22281"/>
    <w:rsid w:val="00C22EBF"/>
    <w:rsid w:val="00C2367F"/>
    <w:rsid w:val="00C237ED"/>
    <w:rsid w:val="00C23918"/>
    <w:rsid w:val="00C23B53"/>
    <w:rsid w:val="00C241D7"/>
    <w:rsid w:val="00C24441"/>
    <w:rsid w:val="00C245A2"/>
    <w:rsid w:val="00C24632"/>
    <w:rsid w:val="00C24A50"/>
    <w:rsid w:val="00C24C0E"/>
    <w:rsid w:val="00C24CED"/>
    <w:rsid w:val="00C24D32"/>
    <w:rsid w:val="00C25418"/>
    <w:rsid w:val="00C25AA4"/>
    <w:rsid w:val="00C25CF0"/>
    <w:rsid w:val="00C25D9C"/>
    <w:rsid w:val="00C25F47"/>
    <w:rsid w:val="00C261D6"/>
    <w:rsid w:val="00C26266"/>
    <w:rsid w:val="00C269C6"/>
    <w:rsid w:val="00C26D44"/>
    <w:rsid w:val="00C26E4A"/>
    <w:rsid w:val="00C27140"/>
    <w:rsid w:val="00C27433"/>
    <w:rsid w:val="00C27764"/>
    <w:rsid w:val="00C2778B"/>
    <w:rsid w:val="00C27B50"/>
    <w:rsid w:val="00C27D2B"/>
    <w:rsid w:val="00C27DC8"/>
    <w:rsid w:val="00C27E3A"/>
    <w:rsid w:val="00C27EE5"/>
    <w:rsid w:val="00C3064D"/>
    <w:rsid w:val="00C30999"/>
    <w:rsid w:val="00C30FE1"/>
    <w:rsid w:val="00C31084"/>
    <w:rsid w:val="00C3108C"/>
    <w:rsid w:val="00C31513"/>
    <w:rsid w:val="00C31649"/>
    <w:rsid w:val="00C3171E"/>
    <w:rsid w:val="00C317F1"/>
    <w:rsid w:val="00C31A8B"/>
    <w:rsid w:val="00C322F7"/>
    <w:rsid w:val="00C32642"/>
    <w:rsid w:val="00C326FD"/>
    <w:rsid w:val="00C327A6"/>
    <w:rsid w:val="00C327E4"/>
    <w:rsid w:val="00C32CF4"/>
    <w:rsid w:val="00C32EDB"/>
    <w:rsid w:val="00C33C31"/>
    <w:rsid w:val="00C33FF1"/>
    <w:rsid w:val="00C3434C"/>
    <w:rsid w:val="00C34DBF"/>
    <w:rsid w:val="00C35859"/>
    <w:rsid w:val="00C35ED0"/>
    <w:rsid w:val="00C3630F"/>
    <w:rsid w:val="00C364B5"/>
    <w:rsid w:val="00C36DBC"/>
    <w:rsid w:val="00C3789F"/>
    <w:rsid w:val="00C37F2A"/>
    <w:rsid w:val="00C400E1"/>
    <w:rsid w:val="00C40385"/>
    <w:rsid w:val="00C403B0"/>
    <w:rsid w:val="00C40694"/>
    <w:rsid w:val="00C40821"/>
    <w:rsid w:val="00C40C62"/>
    <w:rsid w:val="00C40D00"/>
    <w:rsid w:val="00C40D53"/>
    <w:rsid w:val="00C4120A"/>
    <w:rsid w:val="00C41768"/>
    <w:rsid w:val="00C41770"/>
    <w:rsid w:val="00C41843"/>
    <w:rsid w:val="00C419AD"/>
    <w:rsid w:val="00C41D05"/>
    <w:rsid w:val="00C41DE7"/>
    <w:rsid w:val="00C41DFF"/>
    <w:rsid w:val="00C422A2"/>
    <w:rsid w:val="00C42504"/>
    <w:rsid w:val="00C42DBE"/>
    <w:rsid w:val="00C42F41"/>
    <w:rsid w:val="00C43314"/>
    <w:rsid w:val="00C433C8"/>
    <w:rsid w:val="00C43806"/>
    <w:rsid w:val="00C4442D"/>
    <w:rsid w:val="00C44631"/>
    <w:rsid w:val="00C446F0"/>
    <w:rsid w:val="00C447EA"/>
    <w:rsid w:val="00C448BD"/>
    <w:rsid w:val="00C44AAA"/>
    <w:rsid w:val="00C44CD9"/>
    <w:rsid w:val="00C44F89"/>
    <w:rsid w:val="00C451FA"/>
    <w:rsid w:val="00C455F0"/>
    <w:rsid w:val="00C459D9"/>
    <w:rsid w:val="00C45B0D"/>
    <w:rsid w:val="00C45F9A"/>
    <w:rsid w:val="00C46301"/>
    <w:rsid w:val="00C469D8"/>
    <w:rsid w:val="00C46D7E"/>
    <w:rsid w:val="00C473A2"/>
    <w:rsid w:val="00C475AA"/>
    <w:rsid w:val="00C475AE"/>
    <w:rsid w:val="00C47B5C"/>
    <w:rsid w:val="00C47F90"/>
    <w:rsid w:val="00C507C2"/>
    <w:rsid w:val="00C507F3"/>
    <w:rsid w:val="00C50B71"/>
    <w:rsid w:val="00C51213"/>
    <w:rsid w:val="00C514ED"/>
    <w:rsid w:val="00C516C2"/>
    <w:rsid w:val="00C51ED1"/>
    <w:rsid w:val="00C524A1"/>
    <w:rsid w:val="00C5276F"/>
    <w:rsid w:val="00C527C7"/>
    <w:rsid w:val="00C52B1C"/>
    <w:rsid w:val="00C52D21"/>
    <w:rsid w:val="00C52D23"/>
    <w:rsid w:val="00C53C98"/>
    <w:rsid w:val="00C53FA3"/>
    <w:rsid w:val="00C540E0"/>
    <w:rsid w:val="00C542B5"/>
    <w:rsid w:val="00C54386"/>
    <w:rsid w:val="00C548AF"/>
    <w:rsid w:val="00C54DB0"/>
    <w:rsid w:val="00C54F75"/>
    <w:rsid w:val="00C55035"/>
    <w:rsid w:val="00C5562C"/>
    <w:rsid w:val="00C557D7"/>
    <w:rsid w:val="00C56C40"/>
    <w:rsid w:val="00C56E40"/>
    <w:rsid w:val="00C56EFA"/>
    <w:rsid w:val="00C56F1D"/>
    <w:rsid w:val="00C56F94"/>
    <w:rsid w:val="00C56FCF"/>
    <w:rsid w:val="00C57052"/>
    <w:rsid w:val="00C572F6"/>
    <w:rsid w:val="00C57AF3"/>
    <w:rsid w:val="00C57B48"/>
    <w:rsid w:val="00C57B6C"/>
    <w:rsid w:val="00C60167"/>
    <w:rsid w:val="00C607BF"/>
    <w:rsid w:val="00C61283"/>
    <w:rsid w:val="00C61355"/>
    <w:rsid w:val="00C61A59"/>
    <w:rsid w:val="00C61CFF"/>
    <w:rsid w:val="00C61EAA"/>
    <w:rsid w:val="00C627FF"/>
    <w:rsid w:val="00C628A6"/>
    <w:rsid w:val="00C6328B"/>
    <w:rsid w:val="00C63489"/>
    <w:rsid w:val="00C63BBC"/>
    <w:rsid w:val="00C63F70"/>
    <w:rsid w:val="00C64344"/>
    <w:rsid w:val="00C645BC"/>
    <w:rsid w:val="00C64FED"/>
    <w:rsid w:val="00C65108"/>
    <w:rsid w:val="00C65576"/>
    <w:rsid w:val="00C66165"/>
    <w:rsid w:val="00C6657D"/>
    <w:rsid w:val="00C66F4D"/>
    <w:rsid w:val="00C671FB"/>
    <w:rsid w:val="00C672C4"/>
    <w:rsid w:val="00C6745E"/>
    <w:rsid w:val="00C6755F"/>
    <w:rsid w:val="00C677B1"/>
    <w:rsid w:val="00C679FB"/>
    <w:rsid w:val="00C67B10"/>
    <w:rsid w:val="00C67D20"/>
    <w:rsid w:val="00C70029"/>
    <w:rsid w:val="00C70116"/>
    <w:rsid w:val="00C705D1"/>
    <w:rsid w:val="00C7060A"/>
    <w:rsid w:val="00C706C1"/>
    <w:rsid w:val="00C708AD"/>
    <w:rsid w:val="00C70A50"/>
    <w:rsid w:val="00C70CC9"/>
    <w:rsid w:val="00C70D69"/>
    <w:rsid w:val="00C70E24"/>
    <w:rsid w:val="00C710CC"/>
    <w:rsid w:val="00C71239"/>
    <w:rsid w:val="00C7151A"/>
    <w:rsid w:val="00C717E3"/>
    <w:rsid w:val="00C71D74"/>
    <w:rsid w:val="00C71F60"/>
    <w:rsid w:val="00C72241"/>
    <w:rsid w:val="00C722E9"/>
    <w:rsid w:val="00C72367"/>
    <w:rsid w:val="00C72973"/>
    <w:rsid w:val="00C72BD1"/>
    <w:rsid w:val="00C72CA3"/>
    <w:rsid w:val="00C72EAF"/>
    <w:rsid w:val="00C73AC4"/>
    <w:rsid w:val="00C73D82"/>
    <w:rsid w:val="00C73FE8"/>
    <w:rsid w:val="00C74062"/>
    <w:rsid w:val="00C742BC"/>
    <w:rsid w:val="00C7440B"/>
    <w:rsid w:val="00C7499B"/>
    <w:rsid w:val="00C749A6"/>
    <w:rsid w:val="00C75058"/>
    <w:rsid w:val="00C750C8"/>
    <w:rsid w:val="00C75320"/>
    <w:rsid w:val="00C75570"/>
    <w:rsid w:val="00C7560F"/>
    <w:rsid w:val="00C759EC"/>
    <w:rsid w:val="00C75AF0"/>
    <w:rsid w:val="00C76526"/>
    <w:rsid w:val="00C765D8"/>
    <w:rsid w:val="00C767CD"/>
    <w:rsid w:val="00C768B2"/>
    <w:rsid w:val="00C76B58"/>
    <w:rsid w:val="00C76E7A"/>
    <w:rsid w:val="00C76EAF"/>
    <w:rsid w:val="00C76F0D"/>
    <w:rsid w:val="00C77206"/>
    <w:rsid w:val="00C776DA"/>
    <w:rsid w:val="00C77740"/>
    <w:rsid w:val="00C77D43"/>
    <w:rsid w:val="00C802F5"/>
    <w:rsid w:val="00C80A0E"/>
    <w:rsid w:val="00C80D06"/>
    <w:rsid w:val="00C80D0A"/>
    <w:rsid w:val="00C81087"/>
    <w:rsid w:val="00C8114A"/>
    <w:rsid w:val="00C811A1"/>
    <w:rsid w:val="00C815B5"/>
    <w:rsid w:val="00C815DD"/>
    <w:rsid w:val="00C8213F"/>
    <w:rsid w:val="00C8224B"/>
    <w:rsid w:val="00C822C1"/>
    <w:rsid w:val="00C82FF1"/>
    <w:rsid w:val="00C8303F"/>
    <w:rsid w:val="00C83168"/>
    <w:rsid w:val="00C83233"/>
    <w:rsid w:val="00C83CDB"/>
    <w:rsid w:val="00C842D7"/>
    <w:rsid w:val="00C85154"/>
    <w:rsid w:val="00C8527E"/>
    <w:rsid w:val="00C8586A"/>
    <w:rsid w:val="00C858B5"/>
    <w:rsid w:val="00C85A70"/>
    <w:rsid w:val="00C85A7A"/>
    <w:rsid w:val="00C85C1F"/>
    <w:rsid w:val="00C868A4"/>
    <w:rsid w:val="00C8698A"/>
    <w:rsid w:val="00C87288"/>
    <w:rsid w:val="00C877AD"/>
    <w:rsid w:val="00C8797A"/>
    <w:rsid w:val="00C87D0F"/>
    <w:rsid w:val="00C900B8"/>
    <w:rsid w:val="00C90197"/>
    <w:rsid w:val="00C90297"/>
    <w:rsid w:val="00C902C3"/>
    <w:rsid w:val="00C90C71"/>
    <w:rsid w:val="00C915FE"/>
    <w:rsid w:val="00C91C54"/>
    <w:rsid w:val="00C91FD1"/>
    <w:rsid w:val="00C925A8"/>
    <w:rsid w:val="00C929AA"/>
    <w:rsid w:val="00C931CF"/>
    <w:rsid w:val="00C938CF"/>
    <w:rsid w:val="00C93A2A"/>
    <w:rsid w:val="00C93B9A"/>
    <w:rsid w:val="00C93D9D"/>
    <w:rsid w:val="00C94053"/>
    <w:rsid w:val="00C9462B"/>
    <w:rsid w:val="00C9471B"/>
    <w:rsid w:val="00C95128"/>
    <w:rsid w:val="00C95340"/>
    <w:rsid w:val="00C95A21"/>
    <w:rsid w:val="00C95E1A"/>
    <w:rsid w:val="00C95E59"/>
    <w:rsid w:val="00C95FCC"/>
    <w:rsid w:val="00C95FDB"/>
    <w:rsid w:val="00C960AF"/>
    <w:rsid w:val="00C9610B"/>
    <w:rsid w:val="00C961E6"/>
    <w:rsid w:val="00C9624D"/>
    <w:rsid w:val="00C96627"/>
    <w:rsid w:val="00C96672"/>
    <w:rsid w:val="00C96702"/>
    <w:rsid w:val="00C96933"/>
    <w:rsid w:val="00C969DA"/>
    <w:rsid w:val="00C96A12"/>
    <w:rsid w:val="00C96DF8"/>
    <w:rsid w:val="00C9739F"/>
    <w:rsid w:val="00C976AC"/>
    <w:rsid w:val="00C97A5B"/>
    <w:rsid w:val="00C97CD0"/>
    <w:rsid w:val="00CA008E"/>
    <w:rsid w:val="00CA013B"/>
    <w:rsid w:val="00CA0162"/>
    <w:rsid w:val="00CA0A8A"/>
    <w:rsid w:val="00CA0B04"/>
    <w:rsid w:val="00CA0CA3"/>
    <w:rsid w:val="00CA0F6E"/>
    <w:rsid w:val="00CA1428"/>
    <w:rsid w:val="00CA14D8"/>
    <w:rsid w:val="00CA161A"/>
    <w:rsid w:val="00CA1C6A"/>
    <w:rsid w:val="00CA1C81"/>
    <w:rsid w:val="00CA201F"/>
    <w:rsid w:val="00CA2156"/>
    <w:rsid w:val="00CA26F6"/>
    <w:rsid w:val="00CA27ED"/>
    <w:rsid w:val="00CA2C77"/>
    <w:rsid w:val="00CA3064"/>
    <w:rsid w:val="00CA39C5"/>
    <w:rsid w:val="00CA3B40"/>
    <w:rsid w:val="00CA3D9A"/>
    <w:rsid w:val="00CA3F9C"/>
    <w:rsid w:val="00CA444F"/>
    <w:rsid w:val="00CA5245"/>
    <w:rsid w:val="00CA5347"/>
    <w:rsid w:val="00CA5990"/>
    <w:rsid w:val="00CA5F91"/>
    <w:rsid w:val="00CA6238"/>
    <w:rsid w:val="00CA6273"/>
    <w:rsid w:val="00CA62BC"/>
    <w:rsid w:val="00CA68B1"/>
    <w:rsid w:val="00CA6A39"/>
    <w:rsid w:val="00CA6ACE"/>
    <w:rsid w:val="00CA71F4"/>
    <w:rsid w:val="00CA7395"/>
    <w:rsid w:val="00CA790D"/>
    <w:rsid w:val="00CA7B09"/>
    <w:rsid w:val="00CB01AD"/>
    <w:rsid w:val="00CB09B5"/>
    <w:rsid w:val="00CB12A5"/>
    <w:rsid w:val="00CB176A"/>
    <w:rsid w:val="00CB1A1B"/>
    <w:rsid w:val="00CB1B4B"/>
    <w:rsid w:val="00CB1CAC"/>
    <w:rsid w:val="00CB24CD"/>
    <w:rsid w:val="00CB26E8"/>
    <w:rsid w:val="00CB2E0E"/>
    <w:rsid w:val="00CB2F2A"/>
    <w:rsid w:val="00CB2F62"/>
    <w:rsid w:val="00CB30A8"/>
    <w:rsid w:val="00CB341F"/>
    <w:rsid w:val="00CB3B90"/>
    <w:rsid w:val="00CB3F8A"/>
    <w:rsid w:val="00CB415D"/>
    <w:rsid w:val="00CB42D6"/>
    <w:rsid w:val="00CB48DE"/>
    <w:rsid w:val="00CB506E"/>
    <w:rsid w:val="00CB5092"/>
    <w:rsid w:val="00CB5137"/>
    <w:rsid w:val="00CB58A2"/>
    <w:rsid w:val="00CB5B1A"/>
    <w:rsid w:val="00CB5EE5"/>
    <w:rsid w:val="00CB5FCD"/>
    <w:rsid w:val="00CB6040"/>
    <w:rsid w:val="00CB6100"/>
    <w:rsid w:val="00CB6380"/>
    <w:rsid w:val="00CB6B22"/>
    <w:rsid w:val="00CB7013"/>
    <w:rsid w:val="00CB712C"/>
    <w:rsid w:val="00CB7130"/>
    <w:rsid w:val="00CB7253"/>
    <w:rsid w:val="00CB7275"/>
    <w:rsid w:val="00CB73C3"/>
    <w:rsid w:val="00CB7B75"/>
    <w:rsid w:val="00CB7E75"/>
    <w:rsid w:val="00CB7EAB"/>
    <w:rsid w:val="00CB7F5F"/>
    <w:rsid w:val="00CC07FB"/>
    <w:rsid w:val="00CC14B2"/>
    <w:rsid w:val="00CC1B39"/>
    <w:rsid w:val="00CC1BFA"/>
    <w:rsid w:val="00CC2431"/>
    <w:rsid w:val="00CC2711"/>
    <w:rsid w:val="00CC2C80"/>
    <w:rsid w:val="00CC2E9F"/>
    <w:rsid w:val="00CC30B4"/>
    <w:rsid w:val="00CC33CB"/>
    <w:rsid w:val="00CC35EA"/>
    <w:rsid w:val="00CC3690"/>
    <w:rsid w:val="00CC376D"/>
    <w:rsid w:val="00CC37BA"/>
    <w:rsid w:val="00CC3848"/>
    <w:rsid w:val="00CC3CD6"/>
    <w:rsid w:val="00CC3FD2"/>
    <w:rsid w:val="00CC4205"/>
    <w:rsid w:val="00CC456F"/>
    <w:rsid w:val="00CC46BD"/>
    <w:rsid w:val="00CC485D"/>
    <w:rsid w:val="00CC4BC8"/>
    <w:rsid w:val="00CC4CF6"/>
    <w:rsid w:val="00CC4D57"/>
    <w:rsid w:val="00CC4EFB"/>
    <w:rsid w:val="00CC505C"/>
    <w:rsid w:val="00CC5B8E"/>
    <w:rsid w:val="00CC5D3F"/>
    <w:rsid w:val="00CC5D72"/>
    <w:rsid w:val="00CC647F"/>
    <w:rsid w:val="00CC6D5E"/>
    <w:rsid w:val="00CC74C8"/>
    <w:rsid w:val="00CC75F0"/>
    <w:rsid w:val="00CC76A4"/>
    <w:rsid w:val="00CC7BDD"/>
    <w:rsid w:val="00CC7C85"/>
    <w:rsid w:val="00CC7FA1"/>
    <w:rsid w:val="00CD01D4"/>
    <w:rsid w:val="00CD0200"/>
    <w:rsid w:val="00CD082B"/>
    <w:rsid w:val="00CD091D"/>
    <w:rsid w:val="00CD1036"/>
    <w:rsid w:val="00CD113F"/>
    <w:rsid w:val="00CD127D"/>
    <w:rsid w:val="00CD17F6"/>
    <w:rsid w:val="00CD198C"/>
    <w:rsid w:val="00CD1C15"/>
    <w:rsid w:val="00CD35D7"/>
    <w:rsid w:val="00CD3B54"/>
    <w:rsid w:val="00CD3D35"/>
    <w:rsid w:val="00CD3D88"/>
    <w:rsid w:val="00CD3D97"/>
    <w:rsid w:val="00CD3E58"/>
    <w:rsid w:val="00CD3F77"/>
    <w:rsid w:val="00CD4196"/>
    <w:rsid w:val="00CD454C"/>
    <w:rsid w:val="00CD460E"/>
    <w:rsid w:val="00CD46BE"/>
    <w:rsid w:val="00CD4AAB"/>
    <w:rsid w:val="00CD4E38"/>
    <w:rsid w:val="00CD4E88"/>
    <w:rsid w:val="00CD4F50"/>
    <w:rsid w:val="00CD5770"/>
    <w:rsid w:val="00CD5A1D"/>
    <w:rsid w:val="00CD5C52"/>
    <w:rsid w:val="00CD5FF5"/>
    <w:rsid w:val="00CD609F"/>
    <w:rsid w:val="00CD6273"/>
    <w:rsid w:val="00CD6295"/>
    <w:rsid w:val="00CD6900"/>
    <w:rsid w:val="00CD6ADC"/>
    <w:rsid w:val="00CD6B28"/>
    <w:rsid w:val="00CD6D37"/>
    <w:rsid w:val="00CD6F10"/>
    <w:rsid w:val="00CD7102"/>
    <w:rsid w:val="00CD7193"/>
    <w:rsid w:val="00CD737C"/>
    <w:rsid w:val="00CD7770"/>
    <w:rsid w:val="00CE00A3"/>
    <w:rsid w:val="00CE0378"/>
    <w:rsid w:val="00CE09EF"/>
    <w:rsid w:val="00CE1662"/>
    <w:rsid w:val="00CE1A2E"/>
    <w:rsid w:val="00CE1BC1"/>
    <w:rsid w:val="00CE1C44"/>
    <w:rsid w:val="00CE1C6A"/>
    <w:rsid w:val="00CE1ECB"/>
    <w:rsid w:val="00CE20DC"/>
    <w:rsid w:val="00CE2A19"/>
    <w:rsid w:val="00CE32C8"/>
    <w:rsid w:val="00CE38C8"/>
    <w:rsid w:val="00CE44F0"/>
    <w:rsid w:val="00CE456C"/>
    <w:rsid w:val="00CE4912"/>
    <w:rsid w:val="00CE4D9E"/>
    <w:rsid w:val="00CE524F"/>
    <w:rsid w:val="00CE58CC"/>
    <w:rsid w:val="00CE5CD8"/>
    <w:rsid w:val="00CE5F5C"/>
    <w:rsid w:val="00CE6274"/>
    <w:rsid w:val="00CE6680"/>
    <w:rsid w:val="00CE6BD5"/>
    <w:rsid w:val="00CE7324"/>
    <w:rsid w:val="00CE748B"/>
    <w:rsid w:val="00CE74B6"/>
    <w:rsid w:val="00CE77B6"/>
    <w:rsid w:val="00CF0492"/>
    <w:rsid w:val="00CF0AA8"/>
    <w:rsid w:val="00CF1022"/>
    <w:rsid w:val="00CF1B72"/>
    <w:rsid w:val="00CF1FC5"/>
    <w:rsid w:val="00CF1FC6"/>
    <w:rsid w:val="00CF202B"/>
    <w:rsid w:val="00CF2794"/>
    <w:rsid w:val="00CF2B8D"/>
    <w:rsid w:val="00CF2C00"/>
    <w:rsid w:val="00CF3204"/>
    <w:rsid w:val="00CF387A"/>
    <w:rsid w:val="00CF3A1B"/>
    <w:rsid w:val="00CF3A90"/>
    <w:rsid w:val="00CF3F5E"/>
    <w:rsid w:val="00CF442B"/>
    <w:rsid w:val="00CF456B"/>
    <w:rsid w:val="00CF45B5"/>
    <w:rsid w:val="00CF48D1"/>
    <w:rsid w:val="00CF4A71"/>
    <w:rsid w:val="00CF4F85"/>
    <w:rsid w:val="00CF5373"/>
    <w:rsid w:val="00CF5A22"/>
    <w:rsid w:val="00CF6103"/>
    <w:rsid w:val="00CF6584"/>
    <w:rsid w:val="00CF70F7"/>
    <w:rsid w:val="00CF72F9"/>
    <w:rsid w:val="00CF7E04"/>
    <w:rsid w:val="00CF7FFB"/>
    <w:rsid w:val="00D00A01"/>
    <w:rsid w:val="00D00FB3"/>
    <w:rsid w:val="00D0103C"/>
    <w:rsid w:val="00D01903"/>
    <w:rsid w:val="00D01ABB"/>
    <w:rsid w:val="00D022D9"/>
    <w:rsid w:val="00D0244C"/>
    <w:rsid w:val="00D02487"/>
    <w:rsid w:val="00D0262E"/>
    <w:rsid w:val="00D035BD"/>
    <w:rsid w:val="00D035C2"/>
    <w:rsid w:val="00D03679"/>
    <w:rsid w:val="00D03F2B"/>
    <w:rsid w:val="00D04048"/>
    <w:rsid w:val="00D047C5"/>
    <w:rsid w:val="00D048B6"/>
    <w:rsid w:val="00D04E17"/>
    <w:rsid w:val="00D05081"/>
    <w:rsid w:val="00D050F5"/>
    <w:rsid w:val="00D0540E"/>
    <w:rsid w:val="00D054CC"/>
    <w:rsid w:val="00D05E3D"/>
    <w:rsid w:val="00D06139"/>
    <w:rsid w:val="00D0675D"/>
    <w:rsid w:val="00D0690D"/>
    <w:rsid w:val="00D06C66"/>
    <w:rsid w:val="00D06D17"/>
    <w:rsid w:val="00D06F67"/>
    <w:rsid w:val="00D07190"/>
    <w:rsid w:val="00D0767D"/>
    <w:rsid w:val="00D07BD0"/>
    <w:rsid w:val="00D07E90"/>
    <w:rsid w:val="00D101BA"/>
    <w:rsid w:val="00D101FE"/>
    <w:rsid w:val="00D10390"/>
    <w:rsid w:val="00D10599"/>
    <w:rsid w:val="00D1062A"/>
    <w:rsid w:val="00D1095C"/>
    <w:rsid w:val="00D11074"/>
    <w:rsid w:val="00D1107D"/>
    <w:rsid w:val="00D110BD"/>
    <w:rsid w:val="00D110E6"/>
    <w:rsid w:val="00D1113A"/>
    <w:rsid w:val="00D11431"/>
    <w:rsid w:val="00D11441"/>
    <w:rsid w:val="00D11D0D"/>
    <w:rsid w:val="00D11E0C"/>
    <w:rsid w:val="00D11E26"/>
    <w:rsid w:val="00D1267E"/>
    <w:rsid w:val="00D126B8"/>
    <w:rsid w:val="00D12779"/>
    <w:rsid w:val="00D12CD4"/>
    <w:rsid w:val="00D133A2"/>
    <w:rsid w:val="00D13675"/>
    <w:rsid w:val="00D13810"/>
    <w:rsid w:val="00D13DB1"/>
    <w:rsid w:val="00D13EDE"/>
    <w:rsid w:val="00D141AE"/>
    <w:rsid w:val="00D141E1"/>
    <w:rsid w:val="00D14578"/>
    <w:rsid w:val="00D146EF"/>
    <w:rsid w:val="00D14AB5"/>
    <w:rsid w:val="00D14E1E"/>
    <w:rsid w:val="00D14F42"/>
    <w:rsid w:val="00D15162"/>
    <w:rsid w:val="00D15314"/>
    <w:rsid w:val="00D157C7"/>
    <w:rsid w:val="00D15B48"/>
    <w:rsid w:val="00D15BA2"/>
    <w:rsid w:val="00D15E43"/>
    <w:rsid w:val="00D16472"/>
    <w:rsid w:val="00D16C60"/>
    <w:rsid w:val="00D16EEF"/>
    <w:rsid w:val="00D17BF8"/>
    <w:rsid w:val="00D17D6C"/>
    <w:rsid w:val="00D20950"/>
    <w:rsid w:val="00D20BDD"/>
    <w:rsid w:val="00D2155B"/>
    <w:rsid w:val="00D22138"/>
    <w:rsid w:val="00D2272E"/>
    <w:rsid w:val="00D228A8"/>
    <w:rsid w:val="00D22D3D"/>
    <w:rsid w:val="00D22E8B"/>
    <w:rsid w:val="00D23011"/>
    <w:rsid w:val="00D2302B"/>
    <w:rsid w:val="00D23077"/>
    <w:rsid w:val="00D230DD"/>
    <w:rsid w:val="00D231D0"/>
    <w:rsid w:val="00D2323A"/>
    <w:rsid w:val="00D232AA"/>
    <w:rsid w:val="00D2366E"/>
    <w:rsid w:val="00D23D11"/>
    <w:rsid w:val="00D23DBE"/>
    <w:rsid w:val="00D23E94"/>
    <w:rsid w:val="00D244B6"/>
    <w:rsid w:val="00D24895"/>
    <w:rsid w:val="00D24DBB"/>
    <w:rsid w:val="00D2520E"/>
    <w:rsid w:val="00D25423"/>
    <w:rsid w:val="00D259E3"/>
    <w:rsid w:val="00D25D59"/>
    <w:rsid w:val="00D25E66"/>
    <w:rsid w:val="00D25E7D"/>
    <w:rsid w:val="00D25F9C"/>
    <w:rsid w:val="00D25FC1"/>
    <w:rsid w:val="00D2619A"/>
    <w:rsid w:val="00D266A7"/>
    <w:rsid w:val="00D269FA"/>
    <w:rsid w:val="00D26B9B"/>
    <w:rsid w:val="00D271E8"/>
    <w:rsid w:val="00D2754D"/>
    <w:rsid w:val="00D27AC5"/>
    <w:rsid w:val="00D27B27"/>
    <w:rsid w:val="00D27D04"/>
    <w:rsid w:val="00D27F95"/>
    <w:rsid w:val="00D30780"/>
    <w:rsid w:val="00D30C58"/>
    <w:rsid w:val="00D30D5B"/>
    <w:rsid w:val="00D30ED6"/>
    <w:rsid w:val="00D30F66"/>
    <w:rsid w:val="00D3198B"/>
    <w:rsid w:val="00D31BC8"/>
    <w:rsid w:val="00D31C2B"/>
    <w:rsid w:val="00D32321"/>
    <w:rsid w:val="00D3270C"/>
    <w:rsid w:val="00D3290A"/>
    <w:rsid w:val="00D32A0A"/>
    <w:rsid w:val="00D32E20"/>
    <w:rsid w:val="00D3307C"/>
    <w:rsid w:val="00D33684"/>
    <w:rsid w:val="00D336C3"/>
    <w:rsid w:val="00D3389D"/>
    <w:rsid w:val="00D33BE9"/>
    <w:rsid w:val="00D33E53"/>
    <w:rsid w:val="00D33F93"/>
    <w:rsid w:val="00D343A3"/>
    <w:rsid w:val="00D34683"/>
    <w:rsid w:val="00D34701"/>
    <w:rsid w:val="00D34CC3"/>
    <w:rsid w:val="00D34EBB"/>
    <w:rsid w:val="00D350EE"/>
    <w:rsid w:val="00D3571E"/>
    <w:rsid w:val="00D357FF"/>
    <w:rsid w:val="00D35D5E"/>
    <w:rsid w:val="00D362C5"/>
    <w:rsid w:val="00D3633C"/>
    <w:rsid w:val="00D36444"/>
    <w:rsid w:val="00D366CD"/>
    <w:rsid w:val="00D36A67"/>
    <w:rsid w:val="00D36AA4"/>
    <w:rsid w:val="00D36B9D"/>
    <w:rsid w:val="00D36CE6"/>
    <w:rsid w:val="00D37BEE"/>
    <w:rsid w:val="00D37EFE"/>
    <w:rsid w:val="00D37F93"/>
    <w:rsid w:val="00D4019B"/>
    <w:rsid w:val="00D403E3"/>
    <w:rsid w:val="00D40437"/>
    <w:rsid w:val="00D40811"/>
    <w:rsid w:val="00D4085C"/>
    <w:rsid w:val="00D40E5B"/>
    <w:rsid w:val="00D40E88"/>
    <w:rsid w:val="00D41016"/>
    <w:rsid w:val="00D410BE"/>
    <w:rsid w:val="00D412CB"/>
    <w:rsid w:val="00D4149F"/>
    <w:rsid w:val="00D41BFF"/>
    <w:rsid w:val="00D422BD"/>
    <w:rsid w:val="00D422E4"/>
    <w:rsid w:val="00D42447"/>
    <w:rsid w:val="00D424C7"/>
    <w:rsid w:val="00D426ED"/>
    <w:rsid w:val="00D42708"/>
    <w:rsid w:val="00D42947"/>
    <w:rsid w:val="00D42C20"/>
    <w:rsid w:val="00D4320F"/>
    <w:rsid w:val="00D437A5"/>
    <w:rsid w:val="00D43B2A"/>
    <w:rsid w:val="00D43B6B"/>
    <w:rsid w:val="00D43CF1"/>
    <w:rsid w:val="00D43D83"/>
    <w:rsid w:val="00D43FD2"/>
    <w:rsid w:val="00D4401F"/>
    <w:rsid w:val="00D4440E"/>
    <w:rsid w:val="00D44CB9"/>
    <w:rsid w:val="00D44D8D"/>
    <w:rsid w:val="00D44EB7"/>
    <w:rsid w:val="00D454DE"/>
    <w:rsid w:val="00D4582D"/>
    <w:rsid w:val="00D45A1B"/>
    <w:rsid w:val="00D45AFF"/>
    <w:rsid w:val="00D4658B"/>
    <w:rsid w:val="00D4675B"/>
    <w:rsid w:val="00D467AA"/>
    <w:rsid w:val="00D46BE8"/>
    <w:rsid w:val="00D471E1"/>
    <w:rsid w:val="00D47575"/>
    <w:rsid w:val="00D47AF6"/>
    <w:rsid w:val="00D50F80"/>
    <w:rsid w:val="00D51625"/>
    <w:rsid w:val="00D5166E"/>
    <w:rsid w:val="00D518EA"/>
    <w:rsid w:val="00D5213B"/>
    <w:rsid w:val="00D52384"/>
    <w:rsid w:val="00D5243B"/>
    <w:rsid w:val="00D524FA"/>
    <w:rsid w:val="00D5264D"/>
    <w:rsid w:val="00D526AD"/>
    <w:rsid w:val="00D528FC"/>
    <w:rsid w:val="00D53279"/>
    <w:rsid w:val="00D533EC"/>
    <w:rsid w:val="00D53476"/>
    <w:rsid w:val="00D53575"/>
    <w:rsid w:val="00D5388A"/>
    <w:rsid w:val="00D53E33"/>
    <w:rsid w:val="00D53FD3"/>
    <w:rsid w:val="00D547A5"/>
    <w:rsid w:val="00D54A9A"/>
    <w:rsid w:val="00D54BE0"/>
    <w:rsid w:val="00D554E1"/>
    <w:rsid w:val="00D55519"/>
    <w:rsid w:val="00D55527"/>
    <w:rsid w:val="00D55D08"/>
    <w:rsid w:val="00D56688"/>
    <w:rsid w:val="00D56A95"/>
    <w:rsid w:val="00D56BC0"/>
    <w:rsid w:val="00D56F46"/>
    <w:rsid w:val="00D57AE8"/>
    <w:rsid w:val="00D60009"/>
    <w:rsid w:val="00D604A6"/>
    <w:rsid w:val="00D6076E"/>
    <w:rsid w:val="00D62043"/>
    <w:rsid w:val="00D6206C"/>
    <w:rsid w:val="00D62C1D"/>
    <w:rsid w:val="00D62D8E"/>
    <w:rsid w:val="00D62DE2"/>
    <w:rsid w:val="00D6335D"/>
    <w:rsid w:val="00D6353B"/>
    <w:rsid w:val="00D63B22"/>
    <w:rsid w:val="00D63EE4"/>
    <w:rsid w:val="00D640E2"/>
    <w:rsid w:val="00D64502"/>
    <w:rsid w:val="00D6495E"/>
    <w:rsid w:val="00D64C1E"/>
    <w:rsid w:val="00D64E13"/>
    <w:rsid w:val="00D64F0E"/>
    <w:rsid w:val="00D6513E"/>
    <w:rsid w:val="00D6578B"/>
    <w:rsid w:val="00D65ABC"/>
    <w:rsid w:val="00D6648A"/>
    <w:rsid w:val="00D66CBC"/>
    <w:rsid w:val="00D66DEA"/>
    <w:rsid w:val="00D6721F"/>
    <w:rsid w:val="00D67444"/>
    <w:rsid w:val="00D675A8"/>
    <w:rsid w:val="00D676D4"/>
    <w:rsid w:val="00D7002F"/>
    <w:rsid w:val="00D703FA"/>
    <w:rsid w:val="00D70523"/>
    <w:rsid w:val="00D706D9"/>
    <w:rsid w:val="00D70F16"/>
    <w:rsid w:val="00D713E8"/>
    <w:rsid w:val="00D7219A"/>
    <w:rsid w:val="00D72617"/>
    <w:rsid w:val="00D72F57"/>
    <w:rsid w:val="00D72FA1"/>
    <w:rsid w:val="00D73303"/>
    <w:rsid w:val="00D734AF"/>
    <w:rsid w:val="00D73900"/>
    <w:rsid w:val="00D73991"/>
    <w:rsid w:val="00D73A41"/>
    <w:rsid w:val="00D73CC3"/>
    <w:rsid w:val="00D74060"/>
    <w:rsid w:val="00D744FC"/>
    <w:rsid w:val="00D7462D"/>
    <w:rsid w:val="00D74844"/>
    <w:rsid w:val="00D749BE"/>
    <w:rsid w:val="00D74B40"/>
    <w:rsid w:val="00D74D6A"/>
    <w:rsid w:val="00D75367"/>
    <w:rsid w:val="00D7547B"/>
    <w:rsid w:val="00D754EF"/>
    <w:rsid w:val="00D76A44"/>
    <w:rsid w:val="00D7714F"/>
    <w:rsid w:val="00D77160"/>
    <w:rsid w:val="00D77E04"/>
    <w:rsid w:val="00D800E1"/>
    <w:rsid w:val="00D802B0"/>
    <w:rsid w:val="00D8092D"/>
    <w:rsid w:val="00D80ABA"/>
    <w:rsid w:val="00D80C30"/>
    <w:rsid w:val="00D80D8C"/>
    <w:rsid w:val="00D815EF"/>
    <w:rsid w:val="00D81949"/>
    <w:rsid w:val="00D81F26"/>
    <w:rsid w:val="00D82155"/>
    <w:rsid w:val="00D822E2"/>
    <w:rsid w:val="00D8247F"/>
    <w:rsid w:val="00D827E1"/>
    <w:rsid w:val="00D82BB6"/>
    <w:rsid w:val="00D82CAC"/>
    <w:rsid w:val="00D82CFF"/>
    <w:rsid w:val="00D82DF2"/>
    <w:rsid w:val="00D835A0"/>
    <w:rsid w:val="00D837D2"/>
    <w:rsid w:val="00D83821"/>
    <w:rsid w:val="00D83A2E"/>
    <w:rsid w:val="00D843F2"/>
    <w:rsid w:val="00D84BFE"/>
    <w:rsid w:val="00D85153"/>
    <w:rsid w:val="00D8546C"/>
    <w:rsid w:val="00D85F17"/>
    <w:rsid w:val="00D86231"/>
    <w:rsid w:val="00D864E2"/>
    <w:rsid w:val="00D86837"/>
    <w:rsid w:val="00D86C01"/>
    <w:rsid w:val="00D86D75"/>
    <w:rsid w:val="00D86E99"/>
    <w:rsid w:val="00D87033"/>
    <w:rsid w:val="00D8717E"/>
    <w:rsid w:val="00D878C8"/>
    <w:rsid w:val="00D900D3"/>
    <w:rsid w:val="00D90355"/>
    <w:rsid w:val="00D90781"/>
    <w:rsid w:val="00D912AB"/>
    <w:rsid w:val="00D916B0"/>
    <w:rsid w:val="00D91923"/>
    <w:rsid w:val="00D91A61"/>
    <w:rsid w:val="00D91E35"/>
    <w:rsid w:val="00D91FAE"/>
    <w:rsid w:val="00D923C5"/>
    <w:rsid w:val="00D9253E"/>
    <w:rsid w:val="00D928E5"/>
    <w:rsid w:val="00D92A59"/>
    <w:rsid w:val="00D92D9D"/>
    <w:rsid w:val="00D93004"/>
    <w:rsid w:val="00D9351E"/>
    <w:rsid w:val="00D93562"/>
    <w:rsid w:val="00D93753"/>
    <w:rsid w:val="00D937E1"/>
    <w:rsid w:val="00D93972"/>
    <w:rsid w:val="00D939F9"/>
    <w:rsid w:val="00D93A04"/>
    <w:rsid w:val="00D93BF4"/>
    <w:rsid w:val="00D94031"/>
    <w:rsid w:val="00D94168"/>
    <w:rsid w:val="00D9442B"/>
    <w:rsid w:val="00D951AD"/>
    <w:rsid w:val="00D957DB"/>
    <w:rsid w:val="00D968FE"/>
    <w:rsid w:val="00D9701E"/>
    <w:rsid w:val="00D97819"/>
    <w:rsid w:val="00D97D67"/>
    <w:rsid w:val="00D97FA9"/>
    <w:rsid w:val="00DA0237"/>
    <w:rsid w:val="00DA035E"/>
    <w:rsid w:val="00DA060B"/>
    <w:rsid w:val="00DA0FE2"/>
    <w:rsid w:val="00DA10D3"/>
    <w:rsid w:val="00DA146D"/>
    <w:rsid w:val="00DA1573"/>
    <w:rsid w:val="00DA1D97"/>
    <w:rsid w:val="00DA1FBC"/>
    <w:rsid w:val="00DA21D2"/>
    <w:rsid w:val="00DA2ACB"/>
    <w:rsid w:val="00DA3067"/>
    <w:rsid w:val="00DA3167"/>
    <w:rsid w:val="00DA343A"/>
    <w:rsid w:val="00DA345B"/>
    <w:rsid w:val="00DA34D3"/>
    <w:rsid w:val="00DA3B5D"/>
    <w:rsid w:val="00DA3FC8"/>
    <w:rsid w:val="00DA4495"/>
    <w:rsid w:val="00DA4669"/>
    <w:rsid w:val="00DA4A83"/>
    <w:rsid w:val="00DA4AE0"/>
    <w:rsid w:val="00DA4B53"/>
    <w:rsid w:val="00DA4D4F"/>
    <w:rsid w:val="00DA4D9A"/>
    <w:rsid w:val="00DA4DC3"/>
    <w:rsid w:val="00DA5290"/>
    <w:rsid w:val="00DA56A6"/>
    <w:rsid w:val="00DA5D86"/>
    <w:rsid w:val="00DA6184"/>
    <w:rsid w:val="00DA629C"/>
    <w:rsid w:val="00DA63B3"/>
    <w:rsid w:val="00DA676D"/>
    <w:rsid w:val="00DA7257"/>
    <w:rsid w:val="00DA77A5"/>
    <w:rsid w:val="00DA7CD8"/>
    <w:rsid w:val="00DA7EB5"/>
    <w:rsid w:val="00DB0295"/>
    <w:rsid w:val="00DB041C"/>
    <w:rsid w:val="00DB0827"/>
    <w:rsid w:val="00DB0E36"/>
    <w:rsid w:val="00DB0EAB"/>
    <w:rsid w:val="00DB1519"/>
    <w:rsid w:val="00DB1813"/>
    <w:rsid w:val="00DB18FB"/>
    <w:rsid w:val="00DB23C5"/>
    <w:rsid w:val="00DB2416"/>
    <w:rsid w:val="00DB2723"/>
    <w:rsid w:val="00DB2B65"/>
    <w:rsid w:val="00DB31E9"/>
    <w:rsid w:val="00DB32E7"/>
    <w:rsid w:val="00DB3485"/>
    <w:rsid w:val="00DB3741"/>
    <w:rsid w:val="00DB37A1"/>
    <w:rsid w:val="00DB3DBF"/>
    <w:rsid w:val="00DB42B4"/>
    <w:rsid w:val="00DB4459"/>
    <w:rsid w:val="00DB44B0"/>
    <w:rsid w:val="00DB484F"/>
    <w:rsid w:val="00DB4A74"/>
    <w:rsid w:val="00DB4CBE"/>
    <w:rsid w:val="00DB5376"/>
    <w:rsid w:val="00DB5686"/>
    <w:rsid w:val="00DB600B"/>
    <w:rsid w:val="00DB62FD"/>
    <w:rsid w:val="00DB64DA"/>
    <w:rsid w:val="00DB6664"/>
    <w:rsid w:val="00DB680D"/>
    <w:rsid w:val="00DB6BF4"/>
    <w:rsid w:val="00DB6CF5"/>
    <w:rsid w:val="00DB765E"/>
    <w:rsid w:val="00DB7BD3"/>
    <w:rsid w:val="00DB7ED4"/>
    <w:rsid w:val="00DC01F7"/>
    <w:rsid w:val="00DC0479"/>
    <w:rsid w:val="00DC04F6"/>
    <w:rsid w:val="00DC0690"/>
    <w:rsid w:val="00DC07B0"/>
    <w:rsid w:val="00DC095F"/>
    <w:rsid w:val="00DC0A2A"/>
    <w:rsid w:val="00DC0B64"/>
    <w:rsid w:val="00DC0D23"/>
    <w:rsid w:val="00DC147F"/>
    <w:rsid w:val="00DC1D65"/>
    <w:rsid w:val="00DC1DAF"/>
    <w:rsid w:val="00DC2563"/>
    <w:rsid w:val="00DC2828"/>
    <w:rsid w:val="00DC2976"/>
    <w:rsid w:val="00DC2DDB"/>
    <w:rsid w:val="00DC3238"/>
    <w:rsid w:val="00DC37A8"/>
    <w:rsid w:val="00DC3B84"/>
    <w:rsid w:val="00DC3BBD"/>
    <w:rsid w:val="00DC3C57"/>
    <w:rsid w:val="00DC3D51"/>
    <w:rsid w:val="00DC40A8"/>
    <w:rsid w:val="00DC4255"/>
    <w:rsid w:val="00DC5153"/>
    <w:rsid w:val="00DC5501"/>
    <w:rsid w:val="00DC5B6B"/>
    <w:rsid w:val="00DC5BEC"/>
    <w:rsid w:val="00DC5DE4"/>
    <w:rsid w:val="00DC5F4E"/>
    <w:rsid w:val="00DC6517"/>
    <w:rsid w:val="00DC66EF"/>
    <w:rsid w:val="00DC693B"/>
    <w:rsid w:val="00DC698F"/>
    <w:rsid w:val="00DC704C"/>
    <w:rsid w:val="00DC7154"/>
    <w:rsid w:val="00DC7206"/>
    <w:rsid w:val="00DC7A2D"/>
    <w:rsid w:val="00DC7E8A"/>
    <w:rsid w:val="00DD0349"/>
    <w:rsid w:val="00DD06C1"/>
    <w:rsid w:val="00DD07AB"/>
    <w:rsid w:val="00DD0B1B"/>
    <w:rsid w:val="00DD0B7B"/>
    <w:rsid w:val="00DD0E26"/>
    <w:rsid w:val="00DD0F78"/>
    <w:rsid w:val="00DD115F"/>
    <w:rsid w:val="00DD19F5"/>
    <w:rsid w:val="00DD1DA2"/>
    <w:rsid w:val="00DD24D8"/>
    <w:rsid w:val="00DD273C"/>
    <w:rsid w:val="00DD2A90"/>
    <w:rsid w:val="00DD2C12"/>
    <w:rsid w:val="00DD2EEB"/>
    <w:rsid w:val="00DD317C"/>
    <w:rsid w:val="00DD3246"/>
    <w:rsid w:val="00DD3570"/>
    <w:rsid w:val="00DD3A51"/>
    <w:rsid w:val="00DD3CE9"/>
    <w:rsid w:val="00DD3F28"/>
    <w:rsid w:val="00DD43F5"/>
    <w:rsid w:val="00DD4446"/>
    <w:rsid w:val="00DD4537"/>
    <w:rsid w:val="00DD4BA9"/>
    <w:rsid w:val="00DD4E15"/>
    <w:rsid w:val="00DD556B"/>
    <w:rsid w:val="00DD5EE6"/>
    <w:rsid w:val="00DD618F"/>
    <w:rsid w:val="00DD664A"/>
    <w:rsid w:val="00DD6959"/>
    <w:rsid w:val="00DD6979"/>
    <w:rsid w:val="00DD78DA"/>
    <w:rsid w:val="00DD7A01"/>
    <w:rsid w:val="00DD7F25"/>
    <w:rsid w:val="00DE011A"/>
    <w:rsid w:val="00DE04B1"/>
    <w:rsid w:val="00DE0B61"/>
    <w:rsid w:val="00DE128F"/>
    <w:rsid w:val="00DE193E"/>
    <w:rsid w:val="00DE2304"/>
    <w:rsid w:val="00DE24AA"/>
    <w:rsid w:val="00DE2603"/>
    <w:rsid w:val="00DE2B91"/>
    <w:rsid w:val="00DE2D64"/>
    <w:rsid w:val="00DE2F37"/>
    <w:rsid w:val="00DE3138"/>
    <w:rsid w:val="00DE37F8"/>
    <w:rsid w:val="00DE3C02"/>
    <w:rsid w:val="00DE3F05"/>
    <w:rsid w:val="00DE4273"/>
    <w:rsid w:val="00DE43BA"/>
    <w:rsid w:val="00DE450B"/>
    <w:rsid w:val="00DE462C"/>
    <w:rsid w:val="00DE46AA"/>
    <w:rsid w:val="00DE4A61"/>
    <w:rsid w:val="00DE4FCB"/>
    <w:rsid w:val="00DE5369"/>
    <w:rsid w:val="00DE5937"/>
    <w:rsid w:val="00DE5C90"/>
    <w:rsid w:val="00DE5D07"/>
    <w:rsid w:val="00DE5F10"/>
    <w:rsid w:val="00DE6455"/>
    <w:rsid w:val="00DE649B"/>
    <w:rsid w:val="00DE6864"/>
    <w:rsid w:val="00DE7127"/>
    <w:rsid w:val="00DE7212"/>
    <w:rsid w:val="00DE72A7"/>
    <w:rsid w:val="00DE72EB"/>
    <w:rsid w:val="00DE7832"/>
    <w:rsid w:val="00DE7D48"/>
    <w:rsid w:val="00DE7D59"/>
    <w:rsid w:val="00DE7FA0"/>
    <w:rsid w:val="00DF0224"/>
    <w:rsid w:val="00DF0AAA"/>
    <w:rsid w:val="00DF12D1"/>
    <w:rsid w:val="00DF18FC"/>
    <w:rsid w:val="00DF1F7D"/>
    <w:rsid w:val="00DF22A0"/>
    <w:rsid w:val="00DF2B6D"/>
    <w:rsid w:val="00DF3230"/>
    <w:rsid w:val="00DF3478"/>
    <w:rsid w:val="00DF35BD"/>
    <w:rsid w:val="00DF3AC4"/>
    <w:rsid w:val="00DF3FE4"/>
    <w:rsid w:val="00DF408D"/>
    <w:rsid w:val="00DF46BF"/>
    <w:rsid w:val="00DF4C57"/>
    <w:rsid w:val="00DF526F"/>
    <w:rsid w:val="00DF59A7"/>
    <w:rsid w:val="00DF5D2B"/>
    <w:rsid w:val="00DF5F4A"/>
    <w:rsid w:val="00DF5F4E"/>
    <w:rsid w:val="00DF5FAC"/>
    <w:rsid w:val="00DF6275"/>
    <w:rsid w:val="00DF6341"/>
    <w:rsid w:val="00DF6469"/>
    <w:rsid w:val="00DF6474"/>
    <w:rsid w:val="00DF6587"/>
    <w:rsid w:val="00DF6690"/>
    <w:rsid w:val="00DF6CA3"/>
    <w:rsid w:val="00DF7200"/>
    <w:rsid w:val="00DF7646"/>
    <w:rsid w:val="00DF7784"/>
    <w:rsid w:val="00DF7802"/>
    <w:rsid w:val="00DF7A80"/>
    <w:rsid w:val="00E002F9"/>
    <w:rsid w:val="00E00531"/>
    <w:rsid w:val="00E007D8"/>
    <w:rsid w:val="00E0083B"/>
    <w:rsid w:val="00E00B15"/>
    <w:rsid w:val="00E00C96"/>
    <w:rsid w:val="00E00E8E"/>
    <w:rsid w:val="00E015A3"/>
    <w:rsid w:val="00E015F1"/>
    <w:rsid w:val="00E01648"/>
    <w:rsid w:val="00E026DF"/>
    <w:rsid w:val="00E031A4"/>
    <w:rsid w:val="00E03266"/>
    <w:rsid w:val="00E03556"/>
    <w:rsid w:val="00E037A3"/>
    <w:rsid w:val="00E03D22"/>
    <w:rsid w:val="00E0418B"/>
    <w:rsid w:val="00E044C5"/>
    <w:rsid w:val="00E046E5"/>
    <w:rsid w:val="00E053E5"/>
    <w:rsid w:val="00E05630"/>
    <w:rsid w:val="00E056BD"/>
    <w:rsid w:val="00E05F0C"/>
    <w:rsid w:val="00E06BC5"/>
    <w:rsid w:val="00E06DBB"/>
    <w:rsid w:val="00E0752B"/>
    <w:rsid w:val="00E07FF0"/>
    <w:rsid w:val="00E10149"/>
    <w:rsid w:val="00E101FF"/>
    <w:rsid w:val="00E10C85"/>
    <w:rsid w:val="00E10F96"/>
    <w:rsid w:val="00E11340"/>
    <w:rsid w:val="00E11792"/>
    <w:rsid w:val="00E11878"/>
    <w:rsid w:val="00E11A67"/>
    <w:rsid w:val="00E122A1"/>
    <w:rsid w:val="00E1249B"/>
    <w:rsid w:val="00E12CD2"/>
    <w:rsid w:val="00E14050"/>
    <w:rsid w:val="00E14307"/>
    <w:rsid w:val="00E14390"/>
    <w:rsid w:val="00E144D5"/>
    <w:rsid w:val="00E14672"/>
    <w:rsid w:val="00E148F2"/>
    <w:rsid w:val="00E14B1D"/>
    <w:rsid w:val="00E1531B"/>
    <w:rsid w:val="00E156B8"/>
    <w:rsid w:val="00E1592B"/>
    <w:rsid w:val="00E15DA6"/>
    <w:rsid w:val="00E15E34"/>
    <w:rsid w:val="00E16030"/>
    <w:rsid w:val="00E16372"/>
    <w:rsid w:val="00E16475"/>
    <w:rsid w:val="00E164C1"/>
    <w:rsid w:val="00E1665C"/>
    <w:rsid w:val="00E16AD8"/>
    <w:rsid w:val="00E16D5F"/>
    <w:rsid w:val="00E170EC"/>
    <w:rsid w:val="00E17373"/>
    <w:rsid w:val="00E17611"/>
    <w:rsid w:val="00E17BB6"/>
    <w:rsid w:val="00E17FFA"/>
    <w:rsid w:val="00E2005B"/>
    <w:rsid w:val="00E201CC"/>
    <w:rsid w:val="00E20236"/>
    <w:rsid w:val="00E2061E"/>
    <w:rsid w:val="00E20E15"/>
    <w:rsid w:val="00E20E4D"/>
    <w:rsid w:val="00E20EB7"/>
    <w:rsid w:val="00E20ECA"/>
    <w:rsid w:val="00E20ED6"/>
    <w:rsid w:val="00E20FA0"/>
    <w:rsid w:val="00E21358"/>
    <w:rsid w:val="00E213D6"/>
    <w:rsid w:val="00E21724"/>
    <w:rsid w:val="00E21A0B"/>
    <w:rsid w:val="00E21AA0"/>
    <w:rsid w:val="00E21AE5"/>
    <w:rsid w:val="00E21B7D"/>
    <w:rsid w:val="00E2249B"/>
    <w:rsid w:val="00E225E2"/>
    <w:rsid w:val="00E22A0D"/>
    <w:rsid w:val="00E22D15"/>
    <w:rsid w:val="00E23584"/>
    <w:rsid w:val="00E23E0C"/>
    <w:rsid w:val="00E244F6"/>
    <w:rsid w:val="00E2455D"/>
    <w:rsid w:val="00E249A8"/>
    <w:rsid w:val="00E24AA7"/>
    <w:rsid w:val="00E24D5A"/>
    <w:rsid w:val="00E250F4"/>
    <w:rsid w:val="00E25443"/>
    <w:rsid w:val="00E258DB"/>
    <w:rsid w:val="00E2602A"/>
    <w:rsid w:val="00E2636C"/>
    <w:rsid w:val="00E2645A"/>
    <w:rsid w:val="00E26608"/>
    <w:rsid w:val="00E268F2"/>
    <w:rsid w:val="00E26918"/>
    <w:rsid w:val="00E26CC9"/>
    <w:rsid w:val="00E26F79"/>
    <w:rsid w:val="00E270F2"/>
    <w:rsid w:val="00E273FF"/>
    <w:rsid w:val="00E2771E"/>
    <w:rsid w:val="00E2798C"/>
    <w:rsid w:val="00E27BBD"/>
    <w:rsid w:val="00E31065"/>
    <w:rsid w:val="00E310F5"/>
    <w:rsid w:val="00E311EF"/>
    <w:rsid w:val="00E31256"/>
    <w:rsid w:val="00E3159D"/>
    <w:rsid w:val="00E315AD"/>
    <w:rsid w:val="00E31888"/>
    <w:rsid w:val="00E3196C"/>
    <w:rsid w:val="00E31B24"/>
    <w:rsid w:val="00E32177"/>
    <w:rsid w:val="00E32180"/>
    <w:rsid w:val="00E32439"/>
    <w:rsid w:val="00E32808"/>
    <w:rsid w:val="00E32EBF"/>
    <w:rsid w:val="00E331CB"/>
    <w:rsid w:val="00E339E8"/>
    <w:rsid w:val="00E343B4"/>
    <w:rsid w:val="00E348FB"/>
    <w:rsid w:val="00E34948"/>
    <w:rsid w:val="00E34B94"/>
    <w:rsid w:val="00E34FCA"/>
    <w:rsid w:val="00E3574A"/>
    <w:rsid w:val="00E358EC"/>
    <w:rsid w:val="00E3595A"/>
    <w:rsid w:val="00E35E76"/>
    <w:rsid w:val="00E36709"/>
    <w:rsid w:val="00E36CCA"/>
    <w:rsid w:val="00E370AB"/>
    <w:rsid w:val="00E370DA"/>
    <w:rsid w:val="00E3738B"/>
    <w:rsid w:val="00E37437"/>
    <w:rsid w:val="00E37569"/>
    <w:rsid w:val="00E37797"/>
    <w:rsid w:val="00E40144"/>
    <w:rsid w:val="00E401B2"/>
    <w:rsid w:val="00E41745"/>
    <w:rsid w:val="00E4187F"/>
    <w:rsid w:val="00E41CCA"/>
    <w:rsid w:val="00E41E30"/>
    <w:rsid w:val="00E420ED"/>
    <w:rsid w:val="00E42145"/>
    <w:rsid w:val="00E422C6"/>
    <w:rsid w:val="00E4249B"/>
    <w:rsid w:val="00E425EA"/>
    <w:rsid w:val="00E42A58"/>
    <w:rsid w:val="00E42F73"/>
    <w:rsid w:val="00E43605"/>
    <w:rsid w:val="00E43D70"/>
    <w:rsid w:val="00E44487"/>
    <w:rsid w:val="00E447CC"/>
    <w:rsid w:val="00E44BBD"/>
    <w:rsid w:val="00E44E3D"/>
    <w:rsid w:val="00E44FE3"/>
    <w:rsid w:val="00E4507E"/>
    <w:rsid w:val="00E4537B"/>
    <w:rsid w:val="00E457CA"/>
    <w:rsid w:val="00E45F2F"/>
    <w:rsid w:val="00E460B8"/>
    <w:rsid w:val="00E4641E"/>
    <w:rsid w:val="00E466C1"/>
    <w:rsid w:val="00E466F3"/>
    <w:rsid w:val="00E46758"/>
    <w:rsid w:val="00E46968"/>
    <w:rsid w:val="00E46AB7"/>
    <w:rsid w:val="00E46CF6"/>
    <w:rsid w:val="00E46D0E"/>
    <w:rsid w:val="00E46EF6"/>
    <w:rsid w:val="00E47219"/>
    <w:rsid w:val="00E473B8"/>
    <w:rsid w:val="00E4776D"/>
    <w:rsid w:val="00E479E6"/>
    <w:rsid w:val="00E47B2C"/>
    <w:rsid w:val="00E47B33"/>
    <w:rsid w:val="00E47B57"/>
    <w:rsid w:val="00E47CC8"/>
    <w:rsid w:val="00E47EDB"/>
    <w:rsid w:val="00E47FE2"/>
    <w:rsid w:val="00E501D4"/>
    <w:rsid w:val="00E501EC"/>
    <w:rsid w:val="00E50284"/>
    <w:rsid w:val="00E50304"/>
    <w:rsid w:val="00E50788"/>
    <w:rsid w:val="00E51560"/>
    <w:rsid w:val="00E51821"/>
    <w:rsid w:val="00E51F16"/>
    <w:rsid w:val="00E52072"/>
    <w:rsid w:val="00E521D4"/>
    <w:rsid w:val="00E5229D"/>
    <w:rsid w:val="00E522D7"/>
    <w:rsid w:val="00E526F0"/>
    <w:rsid w:val="00E52A63"/>
    <w:rsid w:val="00E532AD"/>
    <w:rsid w:val="00E5330F"/>
    <w:rsid w:val="00E53850"/>
    <w:rsid w:val="00E53947"/>
    <w:rsid w:val="00E53E3F"/>
    <w:rsid w:val="00E53FC8"/>
    <w:rsid w:val="00E54150"/>
    <w:rsid w:val="00E54347"/>
    <w:rsid w:val="00E54C9B"/>
    <w:rsid w:val="00E54D67"/>
    <w:rsid w:val="00E54F65"/>
    <w:rsid w:val="00E5527A"/>
    <w:rsid w:val="00E552B9"/>
    <w:rsid w:val="00E55424"/>
    <w:rsid w:val="00E5548A"/>
    <w:rsid w:val="00E55915"/>
    <w:rsid w:val="00E55BB5"/>
    <w:rsid w:val="00E55D0A"/>
    <w:rsid w:val="00E55D3E"/>
    <w:rsid w:val="00E5622F"/>
    <w:rsid w:val="00E56315"/>
    <w:rsid w:val="00E56683"/>
    <w:rsid w:val="00E5673B"/>
    <w:rsid w:val="00E56BD5"/>
    <w:rsid w:val="00E578D1"/>
    <w:rsid w:val="00E6052C"/>
    <w:rsid w:val="00E606DF"/>
    <w:rsid w:val="00E607AC"/>
    <w:rsid w:val="00E60999"/>
    <w:rsid w:val="00E61068"/>
    <w:rsid w:val="00E611DF"/>
    <w:rsid w:val="00E612D4"/>
    <w:rsid w:val="00E614C1"/>
    <w:rsid w:val="00E614C6"/>
    <w:rsid w:val="00E61AF1"/>
    <w:rsid w:val="00E62502"/>
    <w:rsid w:val="00E62D84"/>
    <w:rsid w:val="00E630F5"/>
    <w:rsid w:val="00E63125"/>
    <w:rsid w:val="00E63368"/>
    <w:rsid w:val="00E635F6"/>
    <w:rsid w:val="00E638E4"/>
    <w:rsid w:val="00E63985"/>
    <w:rsid w:val="00E63C3D"/>
    <w:rsid w:val="00E64113"/>
    <w:rsid w:val="00E64589"/>
    <w:rsid w:val="00E64845"/>
    <w:rsid w:val="00E6539A"/>
    <w:rsid w:val="00E65E79"/>
    <w:rsid w:val="00E66BA2"/>
    <w:rsid w:val="00E673B2"/>
    <w:rsid w:val="00E67416"/>
    <w:rsid w:val="00E6777D"/>
    <w:rsid w:val="00E67878"/>
    <w:rsid w:val="00E67A1F"/>
    <w:rsid w:val="00E67CFE"/>
    <w:rsid w:val="00E67DC4"/>
    <w:rsid w:val="00E67F07"/>
    <w:rsid w:val="00E67F22"/>
    <w:rsid w:val="00E7005C"/>
    <w:rsid w:val="00E70998"/>
    <w:rsid w:val="00E70999"/>
    <w:rsid w:val="00E70BC0"/>
    <w:rsid w:val="00E71116"/>
    <w:rsid w:val="00E7138E"/>
    <w:rsid w:val="00E718B6"/>
    <w:rsid w:val="00E71BD8"/>
    <w:rsid w:val="00E723BA"/>
    <w:rsid w:val="00E72CB9"/>
    <w:rsid w:val="00E72EDB"/>
    <w:rsid w:val="00E73581"/>
    <w:rsid w:val="00E73EA1"/>
    <w:rsid w:val="00E74628"/>
    <w:rsid w:val="00E74A8F"/>
    <w:rsid w:val="00E74B1D"/>
    <w:rsid w:val="00E74D2C"/>
    <w:rsid w:val="00E7518F"/>
    <w:rsid w:val="00E75280"/>
    <w:rsid w:val="00E759CE"/>
    <w:rsid w:val="00E75A07"/>
    <w:rsid w:val="00E76141"/>
    <w:rsid w:val="00E765C5"/>
    <w:rsid w:val="00E7782B"/>
    <w:rsid w:val="00E77F95"/>
    <w:rsid w:val="00E80248"/>
    <w:rsid w:val="00E805C9"/>
    <w:rsid w:val="00E807C6"/>
    <w:rsid w:val="00E80857"/>
    <w:rsid w:val="00E811E9"/>
    <w:rsid w:val="00E816D4"/>
    <w:rsid w:val="00E81768"/>
    <w:rsid w:val="00E81AA1"/>
    <w:rsid w:val="00E81B26"/>
    <w:rsid w:val="00E81DBB"/>
    <w:rsid w:val="00E829D6"/>
    <w:rsid w:val="00E82A1D"/>
    <w:rsid w:val="00E83196"/>
    <w:rsid w:val="00E8327D"/>
    <w:rsid w:val="00E83390"/>
    <w:rsid w:val="00E833F7"/>
    <w:rsid w:val="00E83539"/>
    <w:rsid w:val="00E8383A"/>
    <w:rsid w:val="00E8393F"/>
    <w:rsid w:val="00E83BDF"/>
    <w:rsid w:val="00E83CA7"/>
    <w:rsid w:val="00E84643"/>
    <w:rsid w:val="00E8501F"/>
    <w:rsid w:val="00E85D3B"/>
    <w:rsid w:val="00E85EBB"/>
    <w:rsid w:val="00E86AD5"/>
    <w:rsid w:val="00E86D6C"/>
    <w:rsid w:val="00E86E90"/>
    <w:rsid w:val="00E86FCC"/>
    <w:rsid w:val="00E87320"/>
    <w:rsid w:val="00E87856"/>
    <w:rsid w:val="00E87A1D"/>
    <w:rsid w:val="00E90680"/>
    <w:rsid w:val="00E9094A"/>
    <w:rsid w:val="00E909EA"/>
    <w:rsid w:val="00E911B0"/>
    <w:rsid w:val="00E911D5"/>
    <w:rsid w:val="00E91569"/>
    <w:rsid w:val="00E91882"/>
    <w:rsid w:val="00E9198E"/>
    <w:rsid w:val="00E91BA3"/>
    <w:rsid w:val="00E91D35"/>
    <w:rsid w:val="00E9225E"/>
    <w:rsid w:val="00E926A5"/>
    <w:rsid w:val="00E92709"/>
    <w:rsid w:val="00E92E23"/>
    <w:rsid w:val="00E93317"/>
    <w:rsid w:val="00E93410"/>
    <w:rsid w:val="00E938C4"/>
    <w:rsid w:val="00E9390E"/>
    <w:rsid w:val="00E93B9F"/>
    <w:rsid w:val="00E93BC5"/>
    <w:rsid w:val="00E93F17"/>
    <w:rsid w:val="00E942AE"/>
    <w:rsid w:val="00E949B5"/>
    <w:rsid w:val="00E94A2D"/>
    <w:rsid w:val="00E9514B"/>
    <w:rsid w:val="00E95737"/>
    <w:rsid w:val="00E957E4"/>
    <w:rsid w:val="00E962CC"/>
    <w:rsid w:val="00E96716"/>
    <w:rsid w:val="00E96CBF"/>
    <w:rsid w:val="00E96F29"/>
    <w:rsid w:val="00E97127"/>
    <w:rsid w:val="00E978F9"/>
    <w:rsid w:val="00E97CD7"/>
    <w:rsid w:val="00E97F7F"/>
    <w:rsid w:val="00EA0824"/>
    <w:rsid w:val="00EA0C75"/>
    <w:rsid w:val="00EA0CF2"/>
    <w:rsid w:val="00EA17C3"/>
    <w:rsid w:val="00EA1C22"/>
    <w:rsid w:val="00EA2307"/>
    <w:rsid w:val="00EA26E0"/>
    <w:rsid w:val="00EA27F0"/>
    <w:rsid w:val="00EA2CAA"/>
    <w:rsid w:val="00EA2FF1"/>
    <w:rsid w:val="00EA3364"/>
    <w:rsid w:val="00EA3864"/>
    <w:rsid w:val="00EA4195"/>
    <w:rsid w:val="00EA4CB0"/>
    <w:rsid w:val="00EA57B2"/>
    <w:rsid w:val="00EA582E"/>
    <w:rsid w:val="00EA5DE0"/>
    <w:rsid w:val="00EA6586"/>
    <w:rsid w:val="00EA6965"/>
    <w:rsid w:val="00EA6F6C"/>
    <w:rsid w:val="00EA7676"/>
    <w:rsid w:val="00EA7813"/>
    <w:rsid w:val="00EA7B42"/>
    <w:rsid w:val="00EA7D3E"/>
    <w:rsid w:val="00EA7F1C"/>
    <w:rsid w:val="00EB091A"/>
    <w:rsid w:val="00EB0A0D"/>
    <w:rsid w:val="00EB0AEB"/>
    <w:rsid w:val="00EB0DC6"/>
    <w:rsid w:val="00EB0F29"/>
    <w:rsid w:val="00EB0F62"/>
    <w:rsid w:val="00EB15B6"/>
    <w:rsid w:val="00EB16D2"/>
    <w:rsid w:val="00EB183B"/>
    <w:rsid w:val="00EB1D72"/>
    <w:rsid w:val="00EB218C"/>
    <w:rsid w:val="00EB250D"/>
    <w:rsid w:val="00EB28D2"/>
    <w:rsid w:val="00EB350E"/>
    <w:rsid w:val="00EB3533"/>
    <w:rsid w:val="00EB3614"/>
    <w:rsid w:val="00EB3852"/>
    <w:rsid w:val="00EB3A8A"/>
    <w:rsid w:val="00EB3AAC"/>
    <w:rsid w:val="00EB3D06"/>
    <w:rsid w:val="00EB3D23"/>
    <w:rsid w:val="00EB3E67"/>
    <w:rsid w:val="00EB3FB3"/>
    <w:rsid w:val="00EB42CB"/>
    <w:rsid w:val="00EB4916"/>
    <w:rsid w:val="00EB51D7"/>
    <w:rsid w:val="00EB5D6D"/>
    <w:rsid w:val="00EB7355"/>
    <w:rsid w:val="00EB74FE"/>
    <w:rsid w:val="00EB7574"/>
    <w:rsid w:val="00EC00C9"/>
    <w:rsid w:val="00EC015B"/>
    <w:rsid w:val="00EC0293"/>
    <w:rsid w:val="00EC045B"/>
    <w:rsid w:val="00EC0AD3"/>
    <w:rsid w:val="00EC0C46"/>
    <w:rsid w:val="00EC0D36"/>
    <w:rsid w:val="00EC0D8A"/>
    <w:rsid w:val="00EC0DD9"/>
    <w:rsid w:val="00EC12AE"/>
    <w:rsid w:val="00EC1A6A"/>
    <w:rsid w:val="00EC1CE1"/>
    <w:rsid w:val="00EC214D"/>
    <w:rsid w:val="00EC2649"/>
    <w:rsid w:val="00EC2DAB"/>
    <w:rsid w:val="00EC2EF9"/>
    <w:rsid w:val="00EC2F8D"/>
    <w:rsid w:val="00EC31ED"/>
    <w:rsid w:val="00EC437F"/>
    <w:rsid w:val="00EC4EC0"/>
    <w:rsid w:val="00EC4EC7"/>
    <w:rsid w:val="00EC5504"/>
    <w:rsid w:val="00EC55F2"/>
    <w:rsid w:val="00EC5836"/>
    <w:rsid w:val="00EC5876"/>
    <w:rsid w:val="00EC59C6"/>
    <w:rsid w:val="00EC5CDF"/>
    <w:rsid w:val="00EC5EE2"/>
    <w:rsid w:val="00EC6330"/>
    <w:rsid w:val="00EC6382"/>
    <w:rsid w:val="00EC63EC"/>
    <w:rsid w:val="00EC6712"/>
    <w:rsid w:val="00EC688C"/>
    <w:rsid w:val="00EC753D"/>
    <w:rsid w:val="00EC7919"/>
    <w:rsid w:val="00EC7959"/>
    <w:rsid w:val="00EC7DEE"/>
    <w:rsid w:val="00ED022F"/>
    <w:rsid w:val="00ED0CBB"/>
    <w:rsid w:val="00ED0E94"/>
    <w:rsid w:val="00ED0EB1"/>
    <w:rsid w:val="00ED1018"/>
    <w:rsid w:val="00ED101F"/>
    <w:rsid w:val="00ED11FC"/>
    <w:rsid w:val="00ED12E3"/>
    <w:rsid w:val="00ED1B15"/>
    <w:rsid w:val="00ED229C"/>
    <w:rsid w:val="00ED2A72"/>
    <w:rsid w:val="00ED2DC0"/>
    <w:rsid w:val="00ED3232"/>
    <w:rsid w:val="00ED34D3"/>
    <w:rsid w:val="00ED3D80"/>
    <w:rsid w:val="00ED42C6"/>
    <w:rsid w:val="00ED44D7"/>
    <w:rsid w:val="00ED4B04"/>
    <w:rsid w:val="00ED4F01"/>
    <w:rsid w:val="00ED5140"/>
    <w:rsid w:val="00ED5299"/>
    <w:rsid w:val="00ED57EA"/>
    <w:rsid w:val="00ED5B4F"/>
    <w:rsid w:val="00ED5BD4"/>
    <w:rsid w:val="00ED6020"/>
    <w:rsid w:val="00ED606C"/>
    <w:rsid w:val="00ED63AB"/>
    <w:rsid w:val="00ED641E"/>
    <w:rsid w:val="00ED6AA1"/>
    <w:rsid w:val="00ED6B56"/>
    <w:rsid w:val="00ED7042"/>
    <w:rsid w:val="00EE026B"/>
    <w:rsid w:val="00EE035D"/>
    <w:rsid w:val="00EE07D3"/>
    <w:rsid w:val="00EE12A2"/>
    <w:rsid w:val="00EE1996"/>
    <w:rsid w:val="00EE1B00"/>
    <w:rsid w:val="00EE1C01"/>
    <w:rsid w:val="00EE1E47"/>
    <w:rsid w:val="00EE1E9A"/>
    <w:rsid w:val="00EE2068"/>
    <w:rsid w:val="00EE2179"/>
    <w:rsid w:val="00EE22AF"/>
    <w:rsid w:val="00EE2673"/>
    <w:rsid w:val="00EE26D4"/>
    <w:rsid w:val="00EE2BB7"/>
    <w:rsid w:val="00EE3009"/>
    <w:rsid w:val="00EE322F"/>
    <w:rsid w:val="00EE3A6B"/>
    <w:rsid w:val="00EE3C1A"/>
    <w:rsid w:val="00EE3F48"/>
    <w:rsid w:val="00EE40D9"/>
    <w:rsid w:val="00EE4E92"/>
    <w:rsid w:val="00EE51E1"/>
    <w:rsid w:val="00EE55D9"/>
    <w:rsid w:val="00EE5AEF"/>
    <w:rsid w:val="00EE5D33"/>
    <w:rsid w:val="00EE6161"/>
    <w:rsid w:val="00EE62DA"/>
    <w:rsid w:val="00EE6C15"/>
    <w:rsid w:val="00EE6CCF"/>
    <w:rsid w:val="00EE6F4F"/>
    <w:rsid w:val="00EE7447"/>
    <w:rsid w:val="00EE777D"/>
    <w:rsid w:val="00EF003B"/>
    <w:rsid w:val="00EF012B"/>
    <w:rsid w:val="00EF0171"/>
    <w:rsid w:val="00EF0347"/>
    <w:rsid w:val="00EF09B7"/>
    <w:rsid w:val="00EF0B96"/>
    <w:rsid w:val="00EF0E45"/>
    <w:rsid w:val="00EF10C6"/>
    <w:rsid w:val="00EF1B25"/>
    <w:rsid w:val="00EF1C46"/>
    <w:rsid w:val="00EF1DA0"/>
    <w:rsid w:val="00EF1FEC"/>
    <w:rsid w:val="00EF24C9"/>
    <w:rsid w:val="00EF254B"/>
    <w:rsid w:val="00EF28A2"/>
    <w:rsid w:val="00EF2904"/>
    <w:rsid w:val="00EF2BEF"/>
    <w:rsid w:val="00EF2C57"/>
    <w:rsid w:val="00EF33D1"/>
    <w:rsid w:val="00EF39EE"/>
    <w:rsid w:val="00EF3DB6"/>
    <w:rsid w:val="00EF3E2B"/>
    <w:rsid w:val="00EF40B4"/>
    <w:rsid w:val="00EF4585"/>
    <w:rsid w:val="00EF4747"/>
    <w:rsid w:val="00EF4BF8"/>
    <w:rsid w:val="00EF4FEA"/>
    <w:rsid w:val="00EF567E"/>
    <w:rsid w:val="00EF5747"/>
    <w:rsid w:val="00EF57BF"/>
    <w:rsid w:val="00EF5CC9"/>
    <w:rsid w:val="00EF5DE8"/>
    <w:rsid w:val="00EF622C"/>
    <w:rsid w:val="00EF6A76"/>
    <w:rsid w:val="00EF6B8A"/>
    <w:rsid w:val="00EF7080"/>
    <w:rsid w:val="00EF7B63"/>
    <w:rsid w:val="00F000FE"/>
    <w:rsid w:val="00F0090C"/>
    <w:rsid w:val="00F00FD9"/>
    <w:rsid w:val="00F01CAC"/>
    <w:rsid w:val="00F021BF"/>
    <w:rsid w:val="00F02253"/>
    <w:rsid w:val="00F0255E"/>
    <w:rsid w:val="00F029E2"/>
    <w:rsid w:val="00F0315F"/>
    <w:rsid w:val="00F03491"/>
    <w:rsid w:val="00F0376A"/>
    <w:rsid w:val="00F03AB9"/>
    <w:rsid w:val="00F03C2E"/>
    <w:rsid w:val="00F04A66"/>
    <w:rsid w:val="00F04B4B"/>
    <w:rsid w:val="00F04C57"/>
    <w:rsid w:val="00F0516C"/>
    <w:rsid w:val="00F05DD4"/>
    <w:rsid w:val="00F05E65"/>
    <w:rsid w:val="00F060F1"/>
    <w:rsid w:val="00F063AB"/>
    <w:rsid w:val="00F06572"/>
    <w:rsid w:val="00F065F9"/>
    <w:rsid w:val="00F067A2"/>
    <w:rsid w:val="00F0691C"/>
    <w:rsid w:val="00F06C5B"/>
    <w:rsid w:val="00F06E5F"/>
    <w:rsid w:val="00F06F87"/>
    <w:rsid w:val="00F06FDC"/>
    <w:rsid w:val="00F0778C"/>
    <w:rsid w:val="00F07B9E"/>
    <w:rsid w:val="00F104D7"/>
    <w:rsid w:val="00F10ECC"/>
    <w:rsid w:val="00F1105C"/>
    <w:rsid w:val="00F1116F"/>
    <w:rsid w:val="00F111EB"/>
    <w:rsid w:val="00F113B4"/>
    <w:rsid w:val="00F11AD1"/>
    <w:rsid w:val="00F11BF9"/>
    <w:rsid w:val="00F11D00"/>
    <w:rsid w:val="00F1203A"/>
    <w:rsid w:val="00F1221F"/>
    <w:rsid w:val="00F1263A"/>
    <w:rsid w:val="00F1275C"/>
    <w:rsid w:val="00F12A83"/>
    <w:rsid w:val="00F130CE"/>
    <w:rsid w:val="00F132F7"/>
    <w:rsid w:val="00F133F2"/>
    <w:rsid w:val="00F137D2"/>
    <w:rsid w:val="00F139C5"/>
    <w:rsid w:val="00F13A25"/>
    <w:rsid w:val="00F13B3A"/>
    <w:rsid w:val="00F1448A"/>
    <w:rsid w:val="00F144F5"/>
    <w:rsid w:val="00F1464F"/>
    <w:rsid w:val="00F14B89"/>
    <w:rsid w:val="00F14D2F"/>
    <w:rsid w:val="00F14D7A"/>
    <w:rsid w:val="00F14ECA"/>
    <w:rsid w:val="00F15352"/>
    <w:rsid w:val="00F1556B"/>
    <w:rsid w:val="00F15635"/>
    <w:rsid w:val="00F15B77"/>
    <w:rsid w:val="00F16008"/>
    <w:rsid w:val="00F1644E"/>
    <w:rsid w:val="00F16492"/>
    <w:rsid w:val="00F165EF"/>
    <w:rsid w:val="00F16956"/>
    <w:rsid w:val="00F16A92"/>
    <w:rsid w:val="00F16B83"/>
    <w:rsid w:val="00F16FB0"/>
    <w:rsid w:val="00F17664"/>
    <w:rsid w:val="00F17786"/>
    <w:rsid w:val="00F17EB3"/>
    <w:rsid w:val="00F17EB7"/>
    <w:rsid w:val="00F20197"/>
    <w:rsid w:val="00F21236"/>
    <w:rsid w:val="00F2189D"/>
    <w:rsid w:val="00F21D18"/>
    <w:rsid w:val="00F2277D"/>
    <w:rsid w:val="00F231A7"/>
    <w:rsid w:val="00F235F6"/>
    <w:rsid w:val="00F2396C"/>
    <w:rsid w:val="00F239DF"/>
    <w:rsid w:val="00F23A0D"/>
    <w:rsid w:val="00F23E74"/>
    <w:rsid w:val="00F240F7"/>
    <w:rsid w:val="00F24837"/>
    <w:rsid w:val="00F24D87"/>
    <w:rsid w:val="00F252E0"/>
    <w:rsid w:val="00F255CB"/>
    <w:rsid w:val="00F2575F"/>
    <w:rsid w:val="00F25DD7"/>
    <w:rsid w:val="00F25E85"/>
    <w:rsid w:val="00F26624"/>
    <w:rsid w:val="00F26839"/>
    <w:rsid w:val="00F27242"/>
    <w:rsid w:val="00F274F9"/>
    <w:rsid w:val="00F2755C"/>
    <w:rsid w:val="00F27565"/>
    <w:rsid w:val="00F27598"/>
    <w:rsid w:val="00F27646"/>
    <w:rsid w:val="00F27737"/>
    <w:rsid w:val="00F2783D"/>
    <w:rsid w:val="00F27E3D"/>
    <w:rsid w:val="00F30032"/>
    <w:rsid w:val="00F30159"/>
    <w:rsid w:val="00F3080D"/>
    <w:rsid w:val="00F3104D"/>
    <w:rsid w:val="00F310D4"/>
    <w:rsid w:val="00F314CF"/>
    <w:rsid w:val="00F3199F"/>
    <w:rsid w:val="00F31D5A"/>
    <w:rsid w:val="00F32120"/>
    <w:rsid w:val="00F32515"/>
    <w:rsid w:val="00F32E1F"/>
    <w:rsid w:val="00F32E70"/>
    <w:rsid w:val="00F33215"/>
    <w:rsid w:val="00F3342C"/>
    <w:rsid w:val="00F3363B"/>
    <w:rsid w:val="00F3379B"/>
    <w:rsid w:val="00F33975"/>
    <w:rsid w:val="00F33DE9"/>
    <w:rsid w:val="00F3413A"/>
    <w:rsid w:val="00F347AD"/>
    <w:rsid w:val="00F349A2"/>
    <w:rsid w:val="00F34E29"/>
    <w:rsid w:val="00F3513A"/>
    <w:rsid w:val="00F35342"/>
    <w:rsid w:val="00F353A5"/>
    <w:rsid w:val="00F35786"/>
    <w:rsid w:val="00F35E6D"/>
    <w:rsid w:val="00F35ED5"/>
    <w:rsid w:val="00F35F2D"/>
    <w:rsid w:val="00F3619A"/>
    <w:rsid w:val="00F372CD"/>
    <w:rsid w:val="00F37AA7"/>
    <w:rsid w:val="00F37E43"/>
    <w:rsid w:val="00F4078A"/>
    <w:rsid w:val="00F40AAA"/>
    <w:rsid w:val="00F40BA7"/>
    <w:rsid w:val="00F40F9D"/>
    <w:rsid w:val="00F416EE"/>
    <w:rsid w:val="00F4175A"/>
    <w:rsid w:val="00F4178D"/>
    <w:rsid w:val="00F41ACD"/>
    <w:rsid w:val="00F41B7B"/>
    <w:rsid w:val="00F4283A"/>
    <w:rsid w:val="00F42ADC"/>
    <w:rsid w:val="00F42BD7"/>
    <w:rsid w:val="00F432F3"/>
    <w:rsid w:val="00F4341A"/>
    <w:rsid w:val="00F4350F"/>
    <w:rsid w:val="00F437F1"/>
    <w:rsid w:val="00F43C35"/>
    <w:rsid w:val="00F43D03"/>
    <w:rsid w:val="00F44010"/>
    <w:rsid w:val="00F44045"/>
    <w:rsid w:val="00F44262"/>
    <w:rsid w:val="00F442C7"/>
    <w:rsid w:val="00F442E5"/>
    <w:rsid w:val="00F443CF"/>
    <w:rsid w:val="00F44A5A"/>
    <w:rsid w:val="00F4529B"/>
    <w:rsid w:val="00F457AB"/>
    <w:rsid w:val="00F459CB"/>
    <w:rsid w:val="00F46271"/>
    <w:rsid w:val="00F467AB"/>
    <w:rsid w:val="00F46A0B"/>
    <w:rsid w:val="00F46CB6"/>
    <w:rsid w:val="00F46DDD"/>
    <w:rsid w:val="00F46FE8"/>
    <w:rsid w:val="00F472B4"/>
    <w:rsid w:val="00F4756D"/>
    <w:rsid w:val="00F47BD2"/>
    <w:rsid w:val="00F47DE8"/>
    <w:rsid w:val="00F510C8"/>
    <w:rsid w:val="00F512D2"/>
    <w:rsid w:val="00F51391"/>
    <w:rsid w:val="00F51AD3"/>
    <w:rsid w:val="00F52241"/>
    <w:rsid w:val="00F52E6C"/>
    <w:rsid w:val="00F533FB"/>
    <w:rsid w:val="00F542C1"/>
    <w:rsid w:val="00F54448"/>
    <w:rsid w:val="00F54FED"/>
    <w:rsid w:val="00F550E3"/>
    <w:rsid w:val="00F55CB8"/>
    <w:rsid w:val="00F55E18"/>
    <w:rsid w:val="00F55E73"/>
    <w:rsid w:val="00F55EDA"/>
    <w:rsid w:val="00F55FD2"/>
    <w:rsid w:val="00F568CC"/>
    <w:rsid w:val="00F56C80"/>
    <w:rsid w:val="00F56D6F"/>
    <w:rsid w:val="00F56EE8"/>
    <w:rsid w:val="00F570E4"/>
    <w:rsid w:val="00F57DBB"/>
    <w:rsid w:val="00F6002B"/>
    <w:rsid w:val="00F60092"/>
    <w:rsid w:val="00F6039A"/>
    <w:rsid w:val="00F605D8"/>
    <w:rsid w:val="00F605DD"/>
    <w:rsid w:val="00F607B9"/>
    <w:rsid w:val="00F60818"/>
    <w:rsid w:val="00F609AB"/>
    <w:rsid w:val="00F60C35"/>
    <w:rsid w:val="00F60C5E"/>
    <w:rsid w:val="00F60E1D"/>
    <w:rsid w:val="00F60F59"/>
    <w:rsid w:val="00F61038"/>
    <w:rsid w:val="00F6157A"/>
    <w:rsid w:val="00F61C18"/>
    <w:rsid w:val="00F61FF8"/>
    <w:rsid w:val="00F6227F"/>
    <w:rsid w:val="00F62A3A"/>
    <w:rsid w:val="00F62B4A"/>
    <w:rsid w:val="00F62BCA"/>
    <w:rsid w:val="00F62FD4"/>
    <w:rsid w:val="00F630DC"/>
    <w:rsid w:val="00F632FE"/>
    <w:rsid w:val="00F633B7"/>
    <w:rsid w:val="00F6340B"/>
    <w:rsid w:val="00F63476"/>
    <w:rsid w:val="00F635C4"/>
    <w:rsid w:val="00F63E77"/>
    <w:rsid w:val="00F63F1D"/>
    <w:rsid w:val="00F64FE5"/>
    <w:rsid w:val="00F65A42"/>
    <w:rsid w:val="00F65F4B"/>
    <w:rsid w:val="00F66340"/>
    <w:rsid w:val="00F663C3"/>
    <w:rsid w:val="00F6660C"/>
    <w:rsid w:val="00F667C4"/>
    <w:rsid w:val="00F67A69"/>
    <w:rsid w:val="00F67EF0"/>
    <w:rsid w:val="00F700E5"/>
    <w:rsid w:val="00F705F5"/>
    <w:rsid w:val="00F70674"/>
    <w:rsid w:val="00F70760"/>
    <w:rsid w:val="00F70804"/>
    <w:rsid w:val="00F70960"/>
    <w:rsid w:val="00F70B09"/>
    <w:rsid w:val="00F70BFF"/>
    <w:rsid w:val="00F70C9D"/>
    <w:rsid w:val="00F70D15"/>
    <w:rsid w:val="00F70D47"/>
    <w:rsid w:val="00F70F8C"/>
    <w:rsid w:val="00F71A80"/>
    <w:rsid w:val="00F71DD9"/>
    <w:rsid w:val="00F726E8"/>
    <w:rsid w:val="00F7292E"/>
    <w:rsid w:val="00F72B75"/>
    <w:rsid w:val="00F73026"/>
    <w:rsid w:val="00F73184"/>
    <w:rsid w:val="00F733B2"/>
    <w:rsid w:val="00F73494"/>
    <w:rsid w:val="00F73A40"/>
    <w:rsid w:val="00F73D79"/>
    <w:rsid w:val="00F73E08"/>
    <w:rsid w:val="00F73EAC"/>
    <w:rsid w:val="00F73FB3"/>
    <w:rsid w:val="00F74111"/>
    <w:rsid w:val="00F74520"/>
    <w:rsid w:val="00F74563"/>
    <w:rsid w:val="00F747F6"/>
    <w:rsid w:val="00F74B22"/>
    <w:rsid w:val="00F74CD9"/>
    <w:rsid w:val="00F7526D"/>
    <w:rsid w:val="00F752BD"/>
    <w:rsid w:val="00F75375"/>
    <w:rsid w:val="00F75AA1"/>
    <w:rsid w:val="00F75D13"/>
    <w:rsid w:val="00F75DB6"/>
    <w:rsid w:val="00F76987"/>
    <w:rsid w:val="00F76D41"/>
    <w:rsid w:val="00F778F4"/>
    <w:rsid w:val="00F80335"/>
    <w:rsid w:val="00F80475"/>
    <w:rsid w:val="00F8081C"/>
    <w:rsid w:val="00F80A7B"/>
    <w:rsid w:val="00F80AFF"/>
    <w:rsid w:val="00F80E5D"/>
    <w:rsid w:val="00F81083"/>
    <w:rsid w:val="00F81E78"/>
    <w:rsid w:val="00F820B9"/>
    <w:rsid w:val="00F824EA"/>
    <w:rsid w:val="00F82584"/>
    <w:rsid w:val="00F83467"/>
    <w:rsid w:val="00F83916"/>
    <w:rsid w:val="00F83A31"/>
    <w:rsid w:val="00F83F38"/>
    <w:rsid w:val="00F8464B"/>
    <w:rsid w:val="00F84696"/>
    <w:rsid w:val="00F84A0B"/>
    <w:rsid w:val="00F84C90"/>
    <w:rsid w:val="00F85137"/>
    <w:rsid w:val="00F851CE"/>
    <w:rsid w:val="00F852CE"/>
    <w:rsid w:val="00F85314"/>
    <w:rsid w:val="00F85387"/>
    <w:rsid w:val="00F85416"/>
    <w:rsid w:val="00F859F4"/>
    <w:rsid w:val="00F85A38"/>
    <w:rsid w:val="00F85DAB"/>
    <w:rsid w:val="00F85DF5"/>
    <w:rsid w:val="00F860D2"/>
    <w:rsid w:val="00F86230"/>
    <w:rsid w:val="00F869A2"/>
    <w:rsid w:val="00F86BB8"/>
    <w:rsid w:val="00F86C02"/>
    <w:rsid w:val="00F86FB9"/>
    <w:rsid w:val="00F8793D"/>
    <w:rsid w:val="00F87BDD"/>
    <w:rsid w:val="00F87BE6"/>
    <w:rsid w:val="00F9096E"/>
    <w:rsid w:val="00F90ACF"/>
    <w:rsid w:val="00F90DAC"/>
    <w:rsid w:val="00F90E95"/>
    <w:rsid w:val="00F910F9"/>
    <w:rsid w:val="00F91219"/>
    <w:rsid w:val="00F91329"/>
    <w:rsid w:val="00F915ED"/>
    <w:rsid w:val="00F91CEA"/>
    <w:rsid w:val="00F922AA"/>
    <w:rsid w:val="00F92444"/>
    <w:rsid w:val="00F9267D"/>
    <w:rsid w:val="00F9281B"/>
    <w:rsid w:val="00F93309"/>
    <w:rsid w:val="00F937E5"/>
    <w:rsid w:val="00F9393E"/>
    <w:rsid w:val="00F93D25"/>
    <w:rsid w:val="00F94A1D"/>
    <w:rsid w:val="00F94E1B"/>
    <w:rsid w:val="00F950C7"/>
    <w:rsid w:val="00F9540F"/>
    <w:rsid w:val="00F955EF"/>
    <w:rsid w:val="00F957B3"/>
    <w:rsid w:val="00F95AD7"/>
    <w:rsid w:val="00F963B0"/>
    <w:rsid w:val="00F966DB"/>
    <w:rsid w:val="00F96D6B"/>
    <w:rsid w:val="00F96F1C"/>
    <w:rsid w:val="00F96FD0"/>
    <w:rsid w:val="00F970B2"/>
    <w:rsid w:val="00F977C1"/>
    <w:rsid w:val="00F97A78"/>
    <w:rsid w:val="00F97CDF"/>
    <w:rsid w:val="00FA022D"/>
    <w:rsid w:val="00FA05A3"/>
    <w:rsid w:val="00FA073C"/>
    <w:rsid w:val="00FA089F"/>
    <w:rsid w:val="00FA0A72"/>
    <w:rsid w:val="00FA0B20"/>
    <w:rsid w:val="00FA0FA3"/>
    <w:rsid w:val="00FA137E"/>
    <w:rsid w:val="00FA1533"/>
    <w:rsid w:val="00FA1D9A"/>
    <w:rsid w:val="00FA24E7"/>
    <w:rsid w:val="00FA26DF"/>
    <w:rsid w:val="00FA27CF"/>
    <w:rsid w:val="00FA296A"/>
    <w:rsid w:val="00FA2D96"/>
    <w:rsid w:val="00FA2E29"/>
    <w:rsid w:val="00FA360B"/>
    <w:rsid w:val="00FA3CA7"/>
    <w:rsid w:val="00FA3EE7"/>
    <w:rsid w:val="00FA4444"/>
    <w:rsid w:val="00FA464E"/>
    <w:rsid w:val="00FA4A4E"/>
    <w:rsid w:val="00FA5162"/>
    <w:rsid w:val="00FA5268"/>
    <w:rsid w:val="00FA52F2"/>
    <w:rsid w:val="00FA5DB3"/>
    <w:rsid w:val="00FA5EE6"/>
    <w:rsid w:val="00FA6397"/>
    <w:rsid w:val="00FA6A5B"/>
    <w:rsid w:val="00FA7956"/>
    <w:rsid w:val="00FB0824"/>
    <w:rsid w:val="00FB16E8"/>
    <w:rsid w:val="00FB1815"/>
    <w:rsid w:val="00FB18D1"/>
    <w:rsid w:val="00FB1951"/>
    <w:rsid w:val="00FB1B38"/>
    <w:rsid w:val="00FB2502"/>
    <w:rsid w:val="00FB2FCB"/>
    <w:rsid w:val="00FB365F"/>
    <w:rsid w:val="00FB37A3"/>
    <w:rsid w:val="00FB3A2B"/>
    <w:rsid w:val="00FB3AD1"/>
    <w:rsid w:val="00FB4070"/>
    <w:rsid w:val="00FB461B"/>
    <w:rsid w:val="00FB4C9C"/>
    <w:rsid w:val="00FB4D3B"/>
    <w:rsid w:val="00FB51FC"/>
    <w:rsid w:val="00FB5355"/>
    <w:rsid w:val="00FB5730"/>
    <w:rsid w:val="00FB59F4"/>
    <w:rsid w:val="00FB5BF0"/>
    <w:rsid w:val="00FB63AB"/>
    <w:rsid w:val="00FB64BF"/>
    <w:rsid w:val="00FB679E"/>
    <w:rsid w:val="00FB689B"/>
    <w:rsid w:val="00FB6BD6"/>
    <w:rsid w:val="00FB6C63"/>
    <w:rsid w:val="00FB7082"/>
    <w:rsid w:val="00FB7315"/>
    <w:rsid w:val="00FB7417"/>
    <w:rsid w:val="00FB74F4"/>
    <w:rsid w:val="00FB7A89"/>
    <w:rsid w:val="00FB7C55"/>
    <w:rsid w:val="00FC006D"/>
    <w:rsid w:val="00FC0387"/>
    <w:rsid w:val="00FC0B87"/>
    <w:rsid w:val="00FC1074"/>
    <w:rsid w:val="00FC1293"/>
    <w:rsid w:val="00FC1410"/>
    <w:rsid w:val="00FC1660"/>
    <w:rsid w:val="00FC16B2"/>
    <w:rsid w:val="00FC16EE"/>
    <w:rsid w:val="00FC1884"/>
    <w:rsid w:val="00FC1B85"/>
    <w:rsid w:val="00FC1F60"/>
    <w:rsid w:val="00FC1F67"/>
    <w:rsid w:val="00FC24B1"/>
    <w:rsid w:val="00FC268E"/>
    <w:rsid w:val="00FC280B"/>
    <w:rsid w:val="00FC2CEF"/>
    <w:rsid w:val="00FC324D"/>
    <w:rsid w:val="00FC355C"/>
    <w:rsid w:val="00FC371D"/>
    <w:rsid w:val="00FC3A23"/>
    <w:rsid w:val="00FC4212"/>
    <w:rsid w:val="00FC4487"/>
    <w:rsid w:val="00FC53A8"/>
    <w:rsid w:val="00FC5D50"/>
    <w:rsid w:val="00FC5F0B"/>
    <w:rsid w:val="00FC60DC"/>
    <w:rsid w:val="00FC621A"/>
    <w:rsid w:val="00FC6250"/>
    <w:rsid w:val="00FC634A"/>
    <w:rsid w:val="00FC6498"/>
    <w:rsid w:val="00FC6590"/>
    <w:rsid w:val="00FC69E8"/>
    <w:rsid w:val="00FC7266"/>
    <w:rsid w:val="00FC783A"/>
    <w:rsid w:val="00FC7933"/>
    <w:rsid w:val="00FC798A"/>
    <w:rsid w:val="00FC7BDC"/>
    <w:rsid w:val="00FC7F68"/>
    <w:rsid w:val="00FD02D6"/>
    <w:rsid w:val="00FD0844"/>
    <w:rsid w:val="00FD0CE4"/>
    <w:rsid w:val="00FD121B"/>
    <w:rsid w:val="00FD1617"/>
    <w:rsid w:val="00FD1973"/>
    <w:rsid w:val="00FD2100"/>
    <w:rsid w:val="00FD27EA"/>
    <w:rsid w:val="00FD2933"/>
    <w:rsid w:val="00FD29E6"/>
    <w:rsid w:val="00FD2CC0"/>
    <w:rsid w:val="00FD2DA7"/>
    <w:rsid w:val="00FD325E"/>
    <w:rsid w:val="00FD3A80"/>
    <w:rsid w:val="00FD3F4E"/>
    <w:rsid w:val="00FD3FC2"/>
    <w:rsid w:val="00FD404C"/>
    <w:rsid w:val="00FD436C"/>
    <w:rsid w:val="00FD446D"/>
    <w:rsid w:val="00FD4658"/>
    <w:rsid w:val="00FD465B"/>
    <w:rsid w:val="00FD4C13"/>
    <w:rsid w:val="00FD4CBE"/>
    <w:rsid w:val="00FD4D14"/>
    <w:rsid w:val="00FD4F2C"/>
    <w:rsid w:val="00FD516D"/>
    <w:rsid w:val="00FD53FA"/>
    <w:rsid w:val="00FD546C"/>
    <w:rsid w:val="00FD5588"/>
    <w:rsid w:val="00FD5856"/>
    <w:rsid w:val="00FD58AB"/>
    <w:rsid w:val="00FD5B66"/>
    <w:rsid w:val="00FD5D31"/>
    <w:rsid w:val="00FD5D8F"/>
    <w:rsid w:val="00FD60DA"/>
    <w:rsid w:val="00FD6394"/>
    <w:rsid w:val="00FD6AD2"/>
    <w:rsid w:val="00FD6D12"/>
    <w:rsid w:val="00FD6FE8"/>
    <w:rsid w:val="00FD7E0A"/>
    <w:rsid w:val="00FD7FB2"/>
    <w:rsid w:val="00FE02A8"/>
    <w:rsid w:val="00FE02E2"/>
    <w:rsid w:val="00FE0478"/>
    <w:rsid w:val="00FE06B3"/>
    <w:rsid w:val="00FE0AAD"/>
    <w:rsid w:val="00FE0D98"/>
    <w:rsid w:val="00FE0DB8"/>
    <w:rsid w:val="00FE0E6C"/>
    <w:rsid w:val="00FE1CDC"/>
    <w:rsid w:val="00FE1D6C"/>
    <w:rsid w:val="00FE2234"/>
    <w:rsid w:val="00FE25D8"/>
    <w:rsid w:val="00FE2871"/>
    <w:rsid w:val="00FE2960"/>
    <w:rsid w:val="00FE2D38"/>
    <w:rsid w:val="00FE366D"/>
    <w:rsid w:val="00FE37E4"/>
    <w:rsid w:val="00FE3C68"/>
    <w:rsid w:val="00FE4149"/>
    <w:rsid w:val="00FE4F6E"/>
    <w:rsid w:val="00FE524B"/>
    <w:rsid w:val="00FE529E"/>
    <w:rsid w:val="00FE53E5"/>
    <w:rsid w:val="00FE55B5"/>
    <w:rsid w:val="00FE5E42"/>
    <w:rsid w:val="00FE5FCD"/>
    <w:rsid w:val="00FE6520"/>
    <w:rsid w:val="00FE67FE"/>
    <w:rsid w:val="00FE70C3"/>
    <w:rsid w:val="00FE7386"/>
    <w:rsid w:val="00FE741A"/>
    <w:rsid w:val="00FE74A8"/>
    <w:rsid w:val="00FE7E69"/>
    <w:rsid w:val="00FE7F3A"/>
    <w:rsid w:val="00FF052D"/>
    <w:rsid w:val="00FF0917"/>
    <w:rsid w:val="00FF0A45"/>
    <w:rsid w:val="00FF0ECE"/>
    <w:rsid w:val="00FF0F5A"/>
    <w:rsid w:val="00FF0F98"/>
    <w:rsid w:val="00FF1007"/>
    <w:rsid w:val="00FF1200"/>
    <w:rsid w:val="00FF1241"/>
    <w:rsid w:val="00FF1296"/>
    <w:rsid w:val="00FF1320"/>
    <w:rsid w:val="00FF173E"/>
    <w:rsid w:val="00FF1A8B"/>
    <w:rsid w:val="00FF1B3B"/>
    <w:rsid w:val="00FF1C4F"/>
    <w:rsid w:val="00FF280A"/>
    <w:rsid w:val="00FF2AD9"/>
    <w:rsid w:val="00FF2D76"/>
    <w:rsid w:val="00FF3028"/>
    <w:rsid w:val="00FF30EC"/>
    <w:rsid w:val="00FF31BC"/>
    <w:rsid w:val="00FF31D9"/>
    <w:rsid w:val="00FF359F"/>
    <w:rsid w:val="00FF3CDD"/>
    <w:rsid w:val="00FF3DCF"/>
    <w:rsid w:val="00FF3ECD"/>
    <w:rsid w:val="00FF450F"/>
    <w:rsid w:val="00FF45E2"/>
    <w:rsid w:val="00FF492C"/>
    <w:rsid w:val="00FF4A21"/>
    <w:rsid w:val="00FF5AA3"/>
    <w:rsid w:val="00FF5AD8"/>
    <w:rsid w:val="00FF5CA6"/>
    <w:rsid w:val="00FF5DE5"/>
    <w:rsid w:val="00FF5EF0"/>
    <w:rsid w:val="00FF663B"/>
    <w:rsid w:val="00FF68FA"/>
    <w:rsid w:val="00FF6942"/>
    <w:rsid w:val="00FF6BDF"/>
    <w:rsid w:val="00FF797D"/>
    <w:rsid w:val="00FF79A5"/>
    <w:rsid w:val="00FF79B5"/>
    <w:rsid w:val="00FF7EC2"/>
    <w:rsid w:val="00FF7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20E"/>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PBAC table,new style,MSD Table Grid,Lash Style Table,Dossier table,Section 3- footnotes,Summary Table,HTAtableplain,Tabellengitternetz 9pt,Header Table,NICE instructions,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4530E3"/>
    <w:pPr>
      <w:widowControl w:val="0"/>
    </w:pPr>
    <w:rPr>
      <w:rFonts w:ascii="Arial Narrow" w:eastAsiaTheme="majorEastAsia" w:hAnsi="Arial Narrow" w:cstheme="majorBidi"/>
      <w:bCs/>
      <w:i/>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1"/>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AA1208"/>
    <w:pPr>
      <w:numPr>
        <w:ilvl w:val="1"/>
        <w:numId w:val="1"/>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AA1208"/>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4530E3"/>
    <w:rPr>
      <w:rFonts w:ascii="Arial Narrow" w:eastAsiaTheme="majorEastAsia" w:hAnsi="Arial Narrow" w:cstheme="majorBidi"/>
      <w:bCs/>
      <w:i/>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3"/>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4"/>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5"/>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E460B8"/>
    <w:pPr>
      <w:keepNext/>
      <w:spacing w:after="120"/>
      <w:outlineLvl w:val="2"/>
    </w:pPr>
    <w:rPr>
      <w:b/>
      <w:iCs/>
      <w:sz w:val="28"/>
    </w:rPr>
  </w:style>
  <w:style w:type="character" w:customStyle="1" w:styleId="COMH3Char">
    <w:name w:val="COM H3 Char"/>
    <w:basedOn w:val="DefaultParagraphFont"/>
    <w:link w:val="COMH3"/>
    <w:rsid w:val="00E460B8"/>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17739A"/>
    <w:pPr>
      <w:tabs>
        <w:tab w:val="center" w:pos="4513"/>
        <w:tab w:val="right" w:pos="9026"/>
      </w:tabs>
    </w:pPr>
  </w:style>
  <w:style w:type="character" w:customStyle="1" w:styleId="FooterChar">
    <w:name w:val="Footer Char"/>
    <w:basedOn w:val="DefaultParagraphFont"/>
    <w:link w:val="Footer"/>
    <w:uiPriority w:val="99"/>
    <w:rsid w:val="0017739A"/>
    <w:rPr>
      <w:rFonts w:ascii="Calibri" w:hAnsi="Calibri" w:cs="Arial"/>
      <w:sz w:val="24"/>
      <w:szCs w:val="24"/>
    </w:rPr>
  </w:style>
  <w:style w:type="character" w:styleId="PlaceholderText">
    <w:name w:val="Placeholder Text"/>
    <w:basedOn w:val="DefaultParagraphFont"/>
    <w:uiPriority w:val="99"/>
    <w:semiHidden/>
    <w:rsid w:val="00293D4B"/>
    <w:rPr>
      <w:color w:val="666666"/>
    </w:rPr>
  </w:style>
  <w:style w:type="character" w:customStyle="1" w:styleId="TabletextChar0">
    <w:name w:val="Table text Char"/>
    <w:link w:val="Tabletext0"/>
    <w:locked/>
    <w:rsid w:val="00972462"/>
    <w:rPr>
      <w:rFonts w:ascii="Arial Narrow" w:hAnsi="Arial Narrow"/>
      <w:szCs w:val="22"/>
      <w:lang w:eastAsia="en-US"/>
    </w:rPr>
  </w:style>
  <w:style w:type="paragraph" w:customStyle="1" w:styleId="Tabletext0">
    <w:name w:val="Table text"/>
    <w:basedOn w:val="Normal"/>
    <w:link w:val="TabletextChar0"/>
    <w:qFormat/>
    <w:rsid w:val="00972462"/>
    <w:pPr>
      <w:jc w:val="left"/>
    </w:pPr>
    <w:rPr>
      <w:rFonts w:ascii="Arial Narrow" w:hAnsi="Arial Narrow" w:cs="Times New Roman"/>
      <w:sz w:val="20"/>
      <w:szCs w:val="22"/>
      <w:lang w:eastAsia="en-US"/>
    </w:rPr>
  </w:style>
  <w:style w:type="character" w:styleId="UnresolvedMention">
    <w:name w:val="Unresolved Mention"/>
    <w:basedOn w:val="DefaultParagraphFont"/>
    <w:uiPriority w:val="99"/>
    <w:semiHidden/>
    <w:unhideWhenUsed/>
    <w:rsid w:val="00B155EE"/>
    <w:rPr>
      <w:color w:val="605E5C"/>
      <w:shd w:val="clear" w:color="auto" w:fill="E1DFDD"/>
    </w:rPr>
  </w:style>
  <w:style w:type="character" w:styleId="CommentReference">
    <w:name w:val="annotation reference"/>
    <w:aliases w:val="Table Title"/>
    <w:basedOn w:val="DefaultParagraphFont"/>
    <w:uiPriority w:val="99"/>
    <w:unhideWhenUsed/>
    <w:qFormat/>
    <w:rsid w:val="0030751D"/>
    <w:rPr>
      <w:sz w:val="16"/>
      <w:szCs w:val="16"/>
    </w:rPr>
  </w:style>
  <w:style w:type="paragraph" w:styleId="CommentText">
    <w:name w:val="annotation text"/>
    <w:basedOn w:val="Normal"/>
    <w:link w:val="CommentTextChar"/>
    <w:uiPriority w:val="99"/>
    <w:unhideWhenUsed/>
    <w:rsid w:val="0030751D"/>
    <w:rPr>
      <w:sz w:val="20"/>
      <w:szCs w:val="20"/>
    </w:rPr>
  </w:style>
  <w:style w:type="character" w:customStyle="1" w:styleId="CommentTextChar">
    <w:name w:val="Comment Text Char"/>
    <w:basedOn w:val="DefaultParagraphFont"/>
    <w:link w:val="CommentText"/>
    <w:uiPriority w:val="99"/>
    <w:rsid w:val="0030751D"/>
    <w:rPr>
      <w:rFonts w:ascii="Calibri" w:hAnsi="Calibri" w:cs="Arial"/>
    </w:rPr>
  </w:style>
  <w:style w:type="paragraph" w:styleId="CommentSubject">
    <w:name w:val="annotation subject"/>
    <w:basedOn w:val="CommentText"/>
    <w:next w:val="CommentText"/>
    <w:link w:val="CommentSubjectChar"/>
    <w:uiPriority w:val="99"/>
    <w:semiHidden/>
    <w:unhideWhenUsed/>
    <w:rsid w:val="0030751D"/>
    <w:rPr>
      <w:b/>
      <w:bCs/>
    </w:rPr>
  </w:style>
  <w:style w:type="character" w:customStyle="1" w:styleId="CommentSubjectChar">
    <w:name w:val="Comment Subject Char"/>
    <w:basedOn w:val="CommentTextChar"/>
    <w:link w:val="CommentSubject"/>
    <w:uiPriority w:val="99"/>
    <w:semiHidden/>
    <w:rsid w:val="0030751D"/>
    <w:rPr>
      <w:rFonts w:ascii="Calibri" w:hAnsi="Calibri" w:cs="Arial"/>
      <w:b/>
      <w:bCs/>
    </w:rPr>
  </w:style>
  <w:style w:type="paragraph" w:styleId="ListBullet">
    <w:name w:val="List Bullet"/>
    <w:aliases w:val="zz List Bullet"/>
    <w:basedOn w:val="Normal"/>
    <w:unhideWhenUsed/>
    <w:rsid w:val="00674371"/>
    <w:pPr>
      <w:tabs>
        <w:tab w:val="num" w:pos="360"/>
      </w:tabs>
      <w:ind w:left="360" w:hanging="360"/>
      <w:contextualSpacing/>
    </w:pPr>
  </w:style>
  <w:style w:type="paragraph" w:styleId="FootnoteText">
    <w:name w:val="footnote text"/>
    <w:basedOn w:val="Normal"/>
    <w:link w:val="FootnoteTextChar"/>
    <w:semiHidden/>
    <w:unhideWhenUsed/>
    <w:rsid w:val="0095076C"/>
    <w:rPr>
      <w:sz w:val="20"/>
      <w:szCs w:val="20"/>
    </w:rPr>
  </w:style>
  <w:style w:type="character" w:customStyle="1" w:styleId="FootnoteTextChar">
    <w:name w:val="Footnote Text Char"/>
    <w:basedOn w:val="DefaultParagraphFont"/>
    <w:link w:val="FootnoteText"/>
    <w:semiHidden/>
    <w:rsid w:val="0095076C"/>
    <w:rPr>
      <w:rFonts w:ascii="Calibri" w:hAnsi="Calibri" w:cs="Arial"/>
    </w:rPr>
  </w:style>
  <w:style w:type="character" w:styleId="FootnoteReference">
    <w:name w:val="footnote reference"/>
    <w:basedOn w:val="DefaultParagraphFont"/>
    <w:semiHidden/>
    <w:unhideWhenUsed/>
    <w:rsid w:val="0095076C"/>
    <w:rPr>
      <w:vertAlign w:val="superscript"/>
    </w:rPr>
  </w:style>
  <w:style w:type="paragraph" w:styleId="EndnoteText">
    <w:name w:val="endnote text"/>
    <w:basedOn w:val="Normal"/>
    <w:link w:val="EndnoteTextChar"/>
    <w:semiHidden/>
    <w:unhideWhenUsed/>
    <w:rsid w:val="00E310F5"/>
    <w:rPr>
      <w:sz w:val="20"/>
      <w:szCs w:val="20"/>
    </w:rPr>
  </w:style>
  <w:style w:type="character" w:customStyle="1" w:styleId="EndnoteTextChar">
    <w:name w:val="Endnote Text Char"/>
    <w:basedOn w:val="DefaultParagraphFont"/>
    <w:link w:val="EndnoteText"/>
    <w:semiHidden/>
    <w:rsid w:val="00E310F5"/>
    <w:rPr>
      <w:rFonts w:ascii="Calibri" w:hAnsi="Calibri" w:cs="Arial"/>
    </w:rPr>
  </w:style>
  <w:style w:type="character" w:styleId="EndnoteReference">
    <w:name w:val="endnote reference"/>
    <w:basedOn w:val="DefaultParagraphFont"/>
    <w:semiHidden/>
    <w:unhideWhenUsed/>
    <w:rsid w:val="00E310F5"/>
    <w:rPr>
      <w:vertAlign w:val="superscript"/>
    </w:rPr>
  </w:style>
  <w:style w:type="paragraph" w:customStyle="1" w:styleId="Tableheading">
    <w:name w:val="Table heading"/>
    <w:basedOn w:val="Normal"/>
    <w:qFormat/>
    <w:rsid w:val="00807F7E"/>
    <w:pPr>
      <w:keepNext/>
      <w:spacing w:line="276" w:lineRule="auto"/>
      <w:jc w:val="center"/>
    </w:pPr>
    <w:rPr>
      <w:rFonts w:eastAsiaTheme="minorHAnsi" w:cstheme="minorBidi"/>
      <w:b/>
      <w:bCs/>
      <w:sz w:val="20"/>
      <w:szCs w:val="20"/>
      <w:lang w:eastAsia="en-US"/>
    </w:rPr>
  </w:style>
  <w:style w:type="paragraph" w:customStyle="1" w:styleId="Tablecentre">
    <w:name w:val="Table centre"/>
    <w:basedOn w:val="Tabletext0"/>
    <w:qFormat/>
    <w:rsid w:val="00807F7E"/>
    <w:pPr>
      <w:spacing w:line="276" w:lineRule="auto"/>
      <w:jc w:val="center"/>
    </w:pPr>
    <w:rPr>
      <w:rFonts w:ascii="Calibri" w:eastAsiaTheme="minorHAnsi" w:hAnsi="Calibri" w:cstheme="minorBidi"/>
      <w:szCs w:val="20"/>
    </w:rPr>
  </w:style>
  <w:style w:type="paragraph" w:customStyle="1" w:styleId="Tablebold">
    <w:name w:val="Table bold"/>
    <w:basedOn w:val="Tabletext0"/>
    <w:qFormat/>
    <w:rsid w:val="00807F7E"/>
    <w:pPr>
      <w:keepNext/>
      <w:tabs>
        <w:tab w:val="left" w:pos="416"/>
        <w:tab w:val="left" w:pos="582"/>
      </w:tabs>
      <w:spacing w:line="276" w:lineRule="auto"/>
      <w:jc w:val="both"/>
    </w:pPr>
    <w:rPr>
      <w:rFonts w:ascii="Calibri" w:hAnsi="Calibri"/>
      <w:b/>
      <w:bCs/>
      <w:szCs w:val="20"/>
      <w:lang w:eastAsia="en-AU"/>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06F5A"/>
    <w:pPr>
      <w:spacing w:after="160" w:line="259" w:lineRule="auto"/>
      <w:ind w:left="720"/>
      <w:contextualSpacing/>
      <w:jc w:val="left"/>
    </w:pPr>
    <w:rPr>
      <w:rFonts w:ascii="Times New Roman" w:eastAsiaTheme="minorHAnsi" w:hAnsi="Times New Roman" w:cs="Times New Roman"/>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306F5A"/>
    <w:rPr>
      <w:rFonts w:eastAsiaTheme="minorHAnsi"/>
      <w:sz w:val="24"/>
      <w:szCs w:val="24"/>
      <w:lang w:eastAsia="en-US"/>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12+,12"/>
    <w:basedOn w:val="COMtablefigcaption"/>
    <w:next w:val="Normal"/>
    <w:link w:val="CaptionChar"/>
    <w:uiPriority w:val="99"/>
    <w:unhideWhenUsed/>
    <w:qFormat/>
    <w:rsid w:val="000843BA"/>
  </w:style>
  <w:style w:type="paragraph" w:styleId="TOC6">
    <w:name w:val="toc 6"/>
    <w:basedOn w:val="Normal"/>
    <w:next w:val="Normal"/>
    <w:autoRedefine/>
    <w:uiPriority w:val="39"/>
    <w:unhideWhenUsed/>
    <w:rsid w:val="00953343"/>
    <w:pPr>
      <w:spacing w:after="100"/>
      <w:ind w:left="1200"/>
    </w:pPr>
  </w:style>
  <w:style w:type="paragraph" w:customStyle="1" w:styleId="TableFigureFooter">
    <w:name w:val="Table/Figure Footer"/>
    <w:basedOn w:val="Normal"/>
    <w:link w:val="TableFigureFooterChar"/>
    <w:qFormat/>
    <w:rsid w:val="0095334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53343"/>
    <w:rPr>
      <w:rFonts w:ascii="Arial Narrow" w:hAnsi="Arial Narrow" w:cs="Arial"/>
      <w:snapToGrid w:val="0"/>
      <w:sz w:val="18"/>
      <w:szCs w:val="22"/>
    </w:rPr>
  </w:style>
  <w:style w:type="paragraph" w:customStyle="1" w:styleId="SyneviNormal">
    <w:name w:val="Synevi Normal"/>
    <w:basedOn w:val="Normal"/>
    <w:link w:val="SyneviNormalChar"/>
    <w:qFormat/>
    <w:rsid w:val="00953343"/>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953343"/>
    <w:rPr>
      <w:rFonts w:asciiTheme="minorHAnsi" w:hAnsiTheme="minorHAnsi"/>
      <w:sz w:val="22"/>
      <w:lang w:val="en-US" w:eastAsia="en-US"/>
    </w:rPr>
  </w:style>
  <w:style w:type="paragraph" w:customStyle="1" w:styleId="Default">
    <w:name w:val="Default"/>
    <w:rsid w:val="00953343"/>
    <w:pPr>
      <w:autoSpaceDE w:val="0"/>
      <w:autoSpaceDN w:val="0"/>
      <w:adjustRightInd w:val="0"/>
    </w:pPr>
    <w:rPr>
      <w:rFonts w:ascii="Arial" w:hAnsi="Arial" w:cs="Arial"/>
      <w:color w:val="000000"/>
      <w:sz w:val="24"/>
      <w:szCs w:val="24"/>
    </w:rPr>
  </w:style>
  <w:style w:type="paragraph" w:customStyle="1" w:styleId="zzBulletpoints">
    <w:name w:val="zz Bullet points"/>
    <w:basedOn w:val="ListParagraph"/>
    <w:rsid w:val="00953343"/>
    <w:pPr>
      <w:spacing w:after="120" w:line="240" w:lineRule="auto"/>
      <w:ind w:hanging="360"/>
      <w:jc w:val="both"/>
    </w:pPr>
    <w:rPr>
      <w:rFonts w:asciiTheme="minorHAnsi" w:eastAsia="Times New Roman" w:hAnsiTheme="minorHAnsi" w:cs="Arial"/>
      <w:snapToGrid w:val="0"/>
      <w:lang w:eastAsia="en-AU"/>
    </w:rPr>
  </w:style>
  <w:style w:type="character" w:styleId="Emphasis">
    <w:name w:val="Emphasis"/>
    <w:basedOn w:val="DefaultParagraphFont"/>
    <w:uiPriority w:val="20"/>
    <w:qFormat/>
    <w:rsid w:val="00272AF4"/>
    <w:rPr>
      <w:i/>
      <w:iCs/>
    </w:rPr>
  </w:style>
  <w:style w:type="paragraph" w:customStyle="1" w:styleId="3-BodyText">
    <w:name w:val="3-Body Text"/>
    <w:basedOn w:val="ListParagraph"/>
    <w:link w:val="3-BodyTextChar"/>
    <w:qFormat/>
    <w:rsid w:val="008F4886"/>
    <w:pPr>
      <w:spacing w:after="120" w:line="240" w:lineRule="auto"/>
      <w:ind w:left="0"/>
      <w:contextualSpacing w:val="0"/>
      <w:jc w:val="both"/>
    </w:pPr>
    <w:rPr>
      <w:rFonts w:asciiTheme="minorHAnsi" w:eastAsia="Times New Roman" w:hAnsiTheme="minorHAnsi" w:cs="Arial"/>
      <w:snapToGrid w:val="0"/>
      <w:lang w:eastAsia="en-AU"/>
    </w:rPr>
  </w:style>
  <w:style w:type="character" w:customStyle="1" w:styleId="3-BodyTextChar">
    <w:name w:val="3-Body Text Char"/>
    <w:basedOn w:val="DefaultParagraphFont"/>
    <w:link w:val="3-BodyText"/>
    <w:rsid w:val="008F4886"/>
    <w:rPr>
      <w:rFonts w:asciiTheme="minorHAnsi" w:hAnsiTheme="minorHAnsi" w:cs="Arial"/>
      <w:snapToGrid w:val="0"/>
      <w:sz w:val="24"/>
      <w:szCs w:val="24"/>
    </w:rPr>
  </w:style>
  <w:style w:type="numbering" w:customStyle="1" w:styleId="NoList1">
    <w:name w:val="No List1"/>
    <w:next w:val="NoList"/>
    <w:uiPriority w:val="99"/>
    <w:semiHidden/>
    <w:unhideWhenUsed/>
    <w:rsid w:val="008F4886"/>
  </w:style>
  <w:style w:type="character" w:customStyle="1" w:styleId="Heading1Char">
    <w:name w:val="Heading 1 Char"/>
    <w:basedOn w:val="DefaultParagraphFont"/>
    <w:link w:val="Heading1"/>
    <w:uiPriority w:val="9"/>
    <w:rsid w:val="008F4886"/>
    <w:rPr>
      <w:rFonts w:ascii="Calibri" w:hAnsi="Calibri" w:cs="Arial"/>
      <w:b/>
      <w:caps/>
      <w:sz w:val="32"/>
      <w:szCs w:val="24"/>
    </w:rPr>
  </w:style>
  <w:style w:type="paragraph" w:customStyle="1" w:styleId="2-SectionHeading">
    <w:name w:val="2-Section Heading"/>
    <w:qFormat/>
    <w:rsid w:val="008F4886"/>
    <w:pPr>
      <w:keepNext/>
      <w:spacing w:before="240" w:after="120"/>
      <w:outlineLvl w:val="0"/>
    </w:pPr>
    <w:rPr>
      <w:rFonts w:ascii="Calibri" w:hAnsi="Calibri" w:cs="Arial"/>
      <w:b/>
      <w:snapToGrid w:val="0"/>
      <w:sz w:val="32"/>
      <w:szCs w:val="32"/>
    </w:rPr>
  </w:style>
  <w:style w:type="paragraph" w:customStyle="1" w:styleId="COMexecsumnumberedpara">
    <w:name w:val="COM exec sum numbered para"/>
    <w:basedOn w:val="ListParagraph"/>
    <w:link w:val="COMexecsumnumberedparaChar"/>
    <w:qFormat/>
    <w:rsid w:val="008F4886"/>
    <w:pPr>
      <w:spacing w:after="120" w:line="240" w:lineRule="auto"/>
      <w:ind w:left="0"/>
      <w:contextualSpacing w:val="0"/>
      <w:jc w:val="both"/>
    </w:pPr>
    <w:rPr>
      <w:rFonts w:ascii="Calibri" w:eastAsia="Times New Roman" w:hAnsi="Calibri" w:cs="Arial"/>
      <w:snapToGrid w:val="0"/>
      <w:lang w:eastAsia="en-AU"/>
    </w:rPr>
  </w:style>
  <w:style w:type="character" w:customStyle="1" w:styleId="COMexecsumnumberedparaChar">
    <w:name w:val="COM exec sum numbered para Char"/>
    <w:basedOn w:val="DefaultParagraphFont"/>
    <w:link w:val="COMexecsumnumberedpara"/>
    <w:rsid w:val="008F4886"/>
    <w:rPr>
      <w:rFonts w:ascii="Calibri" w:hAnsi="Calibri" w:cs="Arial"/>
      <w:snapToGrid w:val="0"/>
      <w:sz w:val="24"/>
      <w:szCs w:val="24"/>
    </w:rPr>
  </w:style>
  <w:style w:type="table" w:customStyle="1" w:styleId="TableGridbeth2">
    <w:name w:val="Table Gridbeth2"/>
    <w:basedOn w:val="TableNormal"/>
    <w:next w:val="TableGrid"/>
    <w:uiPriority w:val="39"/>
    <w:rsid w:val="008F48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4886"/>
    <w:rPr>
      <w:rFonts w:eastAsia="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03ACB"/>
    <w:rPr>
      <w:rFonts w:ascii="Times New Roman" w:hAnsi="Times New Roman" w:cs="Times New Roman"/>
      <w:b/>
      <w:szCs w:val="20"/>
    </w:rPr>
  </w:style>
  <w:style w:type="character" w:customStyle="1" w:styleId="SubtitleChar">
    <w:name w:val="Subtitle Char"/>
    <w:basedOn w:val="DefaultParagraphFont"/>
    <w:link w:val="Subtitle"/>
    <w:rsid w:val="00103ACB"/>
    <w:rPr>
      <w:b/>
      <w:sz w:val="24"/>
    </w:rPr>
  </w:style>
  <w:style w:type="paragraph" w:customStyle="1" w:styleId="3-SubsectionHeading">
    <w:name w:val="3-Subsection Heading"/>
    <w:basedOn w:val="Heading2"/>
    <w:next w:val="Normal"/>
    <w:link w:val="3-SubsectionHeadingChar"/>
    <w:qFormat/>
    <w:rsid w:val="00087900"/>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87900"/>
    <w:rPr>
      <w:rFonts w:asciiTheme="minorHAnsi" w:eastAsiaTheme="majorEastAsia" w:hAnsiTheme="minorHAnsi" w:cstheme="majorBidi"/>
      <w:b/>
      <w:i/>
      <w:spacing w:val="5"/>
      <w:kern w:val="28"/>
      <w:sz w:val="28"/>
      <w:szCs w:val="36"/>
      <w:lang w:eastAsia="en-US"/>
    </w:rPr>
  </w:style>
  <w:style w:type="paragraph" w:styleId="NormalWeb">
    <w:name w:val="Normal (Web)"/>
    <w:basedOn w:val="Normal"/>
    <w:uiPriority w:val="99"/>
    <w:semiHidden/>
    <w:unhideWhenUsed/>
    <w:rsid w:val="007D537B"/>
    <w:pPr>
      <w:spacing w:before="100" w:beforeAutospacing="1" w:after="100" w:afterAutospacing="1"/>
      <w:jc w:val="left"/>
    </w:pPr>
    <w:rPr>
      <w:rFonts w:ascii="Times New Roman" w:hAnsi="Times New Roman" w:cs="Times New Roman"/>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uiPriority w:val="99"/>
    <w:rsid w:val="00B5354A"/>
    <w:rPr>
      <w:rFonts w:ascii="Arial Narrow" w:eastAsiaTheme="majorEastAsia" w:hAnsi="Arial Narrow" w:cstheme="majorBidi"/>
      <w:b/>
      <w:bCs/>
      <w:szCs w:val="24"/>
    </w:rPr>
  </w:style>
  <w:style w:type="paragraph" w:customStyle="1" w:styleId="TableFigureHeading">
    <w:name w:val="Table/Figure Heading"/>
    <w:next w:val="Normal"/>
    <w:link w:val="TableFigureHeadingChar"/>
    <w:qFormat/>
    <w:rsid w:val="00B5354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5354A"/>
    <w:rPr>
      <w:rFonts w:ascii="Arial Narrow" w:eastAsiaTheme="majorEastAsia" w:hAnsi="Arial Narrow" w:cstheme="majorBidi"/>
      <w:b/>
      <w:bCs/>
      <w:szCs w:val="24"/>
    </w:rPr>
  </w:style>
  <w:style w:type="paragraph" w:customStyle="1" w:styleId="COMH1numbered">
    <w:name w:val="COM H1 numbered"/>
    <w:next w:val="Normal"/>
    <w:qFormat/>
    <w:rsid w:val="00FB74F4"/>
    <w:pPr>
      <w:keepNext/>
      <w:spacing w:before="240" w:after="120"/>
      <w:ind w:left="720" w:hanging="720"/>
      <w:outlineLvl w:val="0"/>
    </w:pPr>
    <w:rPr>
      <w:rFonts w:asciiTheme="minorHAnsi" w:hAnsiTheme="minorHAnsi" w:cs="Arial"/>
      <w:b/>
      <w:snapToGrid w:val="0"/>
      <w:sz w:val="32"/>
      <w:szCs w:val="32"/>
    </w:rPr>
  </w:style>
  <w:style w:type="character" w:customStyle="1" w:styleId="cf01">
    <w:name w:val="cf01"/>
    <w:basedOn w:val="DefaultParagraphFont"/>
    <w:rsid w:val="0075657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283">
      <w:bodyDiv w:val="1"/>
      <w:marLeft w:val="0"/>
      <w:marRight w:val="0"/>
      <w:marTop w:val="0"/>
      <w:marBottom w:val="0"/>
      <w:divBdr>
        <w:top w:val="none" w:sz="0" w:space="0" w:color="auto"/>
        <w:left w:val="none" w:sz="0" w:space="0" w:color="auto"/>
        <w:bottom w:val="none" w:sz="0" w:space="0" w:color="auto"/>
        <w:right w:val="none" w:sz="0" w:space="0" w:color="auto"/>
      </w:divBdr>
    </w:div>
    <w:div w:id="8676166">
      <w:bodyDiv w:val="1"/>
      <w:marLeft w:val="0"/>
      <w:marRight w:val="0"/>
      <w:marTop w:val="0"/>
      <w:marBottom w:val="0"/>
      <w:divBdr>
        <w:top w:val="none" w:sz="0" w:space="0" w:color="auto"/>
        <w:left w:val="none" w:sz="0" w:space="0" w:color="auto"/>
        <w:bottom w:val="none" w:sz="0" w:space="0" w:color="auto"/>
        <w:right w:val="none" w:sz="0" w:space="0" w:color="auto"/>
      </w:divBdr>
    </w:div>
    <w:div w:id="8037431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719064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961202">
      <w:bodyDiv w:val="1"/>
      <w:marLeft w:val="0"/>
      <w:marRight w:val="0"/>
      <w:marTop w:val="0"/>
      <w:marBottom w:val="0"/>
      <w:divBdr>
        <w:top w:val="none" w:sz="0" w:space="0" w:color="auto"/>
        <w:left w:val="none" w:sz="0" w:space="0" w:color="auto"/>
        <w:bottom w:val="none" w:sz="0" w:space="0" w:color="auto"/>
        <w:right w:val="none" w:sz="0" w:space="0" w:color="auto"/>
      </w:divBdr>
    </w:div>
    <w:div w:id="2988013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4600281">
      <w:bodyDiv w:val="1"/>
      <w:marLeft w:val="0"/>
      <w:marRight w:val="0"/>
      <w:marTop w:val="0"/>
      <w:marBottom w:val="0"/>
      <w:divBdr>
        <w:top w:val="none" w:sz="0" w:space="0" w:color="auto"/>
        <w:left w:val="none" w:sz="0" w:space="0" w:color="auto"/>
        <w:bottom w:val="none" w:sz="0" w:space="0" w:color="auto"/>
        <w:right w:val="none" w:sz="0" w:space="0" w:color="auto"/>
      </w:divBdr>
    </w:div>
    <w:div w:id="498814575">
      <w:bodyDiv w:val="1"/>
      <w:marLeft w:val="0"/>
      <w:marRight w:val="0"/>
      <w:marTop w:val="0"/>
      <w:marBottom w:val="0"/>
      <w:divBdr>
        <w:top w:val="none" w:sz="0" w:space="0" w:color="auto"/>
        <w:left w:val="none" w:sz="0" w:space="0" w:color="auto"/>
        <w:bottom w:val="none" w:sz="0" w:space="0" w:color="auto"/>
        <w:right w:val="none" w:sz="0" w:space="0" w:color="auto"/>
      </w:divBdr>
    </w:div>
    <w:div w:id="660351646">
      <w:bodyDiv w:val="1"/>
      <w:marLeft w:val="0"/>
      <w:marRight w:val="0"/>
      <w:marTop w:val="0"/>
      <w:marBottom w:val="0"/>
      <w:divBdr>
        <w:top w:val="none" w:sz="0" w:space="0" w:color="auto"/>
        <w:left w:val="none" w:sz="0" w:space="0" w:color="auto"/>
        <w:bottom w:val="none" w:sz="0" w:space="0" w:color="auto"/>
        <w:right w:val="none" w:sz="0" w:space="0" w:color="auto"/>
      </w:divBdr>
    </w:div>
    <w:div w:id="771826232">
      <w:bodyDiv w:val="1"/>
      <w:marLeft w:val="0"/>
      <w:marRight w:val="0"/>
      <w:marTop w:val="0"/>
      <w:marBottom w:val="0"/>
      <w:divBdr>
        <w:top w:val="none" w:sz="0" w:space="0" w:color="auto"/>
        <w:left w:val="none" w:sz="0" w:space="0" w:color="auto"/>
        <w:bottom w:val="none" w:sz="0" w:space="0" w:color="auto"/>
        <w:right w:val="none" w:sz="0" w:space="0" w:color="auto"/>
      </w:divBdr>
    </w:div>
    <w:div w:id="800465433">
      <w:bodyDiv w:val="1"/>
      <w:marLeft w:val="0"/>
      <w:marRight w:val="0"/>
      <w:marTop w:val="0"/>
      <w:marBottom w:val="0"/>
      <w:divBdr>
        <w:top w:val="none" w:sz="0" w:space="0" w:color="auto"/>
        <w:left w:val="none" w:sz="0" w:space="0" w:color="auto"/>
        <w:bottom w:val="none" w:sz="0" w:space="0" w:color="auto"/>
        <w:right w:val="none" w:sz="0" w:space="0" w:color="auto"/>
      </w:divBdr>
    </w:div>
    <w:div w:id="813445973">
      <w:bodyDiv w:val="1"/>
      <w:marLeft w:val="0"/>
      <w:marRight w:val="0"/>
      <w:marTop w:val="0"/>
      <w:marBottom w:val="0"/>
      <w:divBdr>
        <w:top w:val="none" w:sz="0" w:space="0" w:color="auto"/>
        <w:left w:val="none" w:sz="0" w:space="0" w:color="auto"/>
        <w:bottom w:val="none" w:sz="0" w:space="0" w:color="auto"/>
        <w:right w:val="none" w:sz="0" w:space="0" w:color="auto"/>
      </w:divBdr>
    </w:div>
    <w:div w:id="816337028">
      <w:bodyDiv w:val="1"/>
      <w:marLeft w:val="0"/>
      <w:marRight w:val="0"/>
      <w:marTop w:val="0"/>
      <w:marBottom w:val="0"/>
      <w:divBdr>
        <w:top w:val="none" w:sz="0" w:space="0" w:color="auto"/>
        <w:left w:val="none" w:sz="0" w:space="0" w:color="auto"/>
        <w:bottom w:val="none" w:sz="0" w:space="0" w:color="auto"/>
        <w:right w:val="none" w:sz="0" w:space="0" w:color="auto"/>
      </w:divBdr>
    </w:div>
    <w:div w:id="82228208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1788171">
      <w:bodyDiv w:val="1"/>
      <w:marLeft w:val="0"/>
      <w:marRight w:val="0"/>
      <w:marTop w:val="0"/>
      <w:marBottom w:val="0"/>
      <w:divBdr>
        <w:top w:val="none" w:sz="0" w:space="0" w:color="auto"/>
        <w:left w:val="none" w:sz="0" w:space="0" w:color="auto"/>
        <w:bottom w:val="none" w:sz="0" w:space="0" w:color="auto"/>
        <w:right w:val="none" w:sz="0" w:space="0" w:color="auto"/>
      </w:divBdr>
    </w:div>
    <w:div w:id="979579358">
      <w:bodyDiv w:val="1"/>
      <w:marLeft w:val="0"/>
      <w:marRight w:val="0"/>
      <w:marTop w:val="0"/>
      <w:marBottom w:val="0"/>
      <w:divBdr>
        <w:top w:val="none" w:sz="0" w:space="0" w:color="auto"/>
        <w:left w:val="none" w:sz="0" w:space="0" w:color="auto"/>
        <w:bottom w:val="none" w:sz="0" w:space="0" w:color="auto"/>
        <w:right w:val="none" w:sz="0" w:space="0" w:color="auto"/>
      </w:divBdr>
    </w:div>
    <w:div w:id="1038505344">
      <w:bodyDiv w:val="1"/>
      <w:marLeft w:val="0"/>
      <w:marRight w:val="0"/>
      <w:marTop w:val="0"/>
      <w:marBottom w:val="0"/>
      <w:divBdr>
        <w:top w:val="none" w:sz="0" w:space="0" w:color="auto"/>
        <w:left w:val="none" w:sz="0" w:space="0" w:color="auto"/>
        <w:bottom w:val="none" w:sz="0" w:space="0" w:color="auto"/>
        <w:right w:val="none" w:sz="0" w:space="0" w:color="auto"/>
      </w:divBdr>
    </w:div>
    <w:div w:id="1100299025">
      <w:bodyDiv w:val="1"/>
      <w:marLeft w:val="0"/>
      <w:marRight w:val="0"/>
      <w:marTop w:val="0"/>
      <w:marBottom w:val="0"/>
      <w:divBdr>
        <w:top w:val="none" w:sz="0" w:space="0" w:color="auto"/>
        <w:left w:val="none" w:sz="0" w:space="0" w:color="auto"/>
        <w:bottom w:val="none" w:sz="0" w:space="0" w:color="auto"/>
        <w:right w:val="none" w:sz="0" w:space="0" w:color="auto"/>
      </w:divBdr>
    </w:div>
    <w:div w:id="11265806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490">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27544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1233740">
      <w:bodyDiv w:val="1"/>
      <w:marLeft w:val="0"/>
      <w:marRight w:val="0"/>
      <w:marTop w:val="0"/>
      <w:marBottom w:val="0"/>
      <w:divBdr>
        <w:top w:val="none" w:sz="0" w:space="0" w:color="auto"/>
        <w:left w:val="none" w:sz="0" w:space="0" w:color="auto"/>
        <w:bottom w:val="none" w:sz="0" w:space="0" w:color="auto"/>
        <w:right w:val="none" w:sz="0" w:space="0" w:color="auto"/>
      </w:divBdr>
    </w:div>
    <w:div w:id="1256011587">
      <w:bodyDiv w:val="1"/>
      <w:marLeft w:val="0"/>
      <w:marRight w:val="0"/>
      <w:marTop w:val="0"/>
      <w:marBottom w:val="0"/>
      <w:divBdr>
        <w:top w:val="none" w:sz="0" w:space="0" w:color="auto"/>
        <w:left w:val="none" w:sz="0" w:space="0" w:color="auto"/>
        <w:bottom w:val="none" w:sz="0" w:space="0" w:color="auto"/>
        <w:right w:val="none" w:sz="0" w:space="0" w:color="auto"/>
      </w:divBdr>
    </w:div>
    <w:div w:id="1259604487">
      <w:bodyDiv w:val="1"/>
      <w:marLeft w:val="0"/>
      <w:marRight w:val="0"/>
      <w:marTop w:val="0"/>
      <w:marBottom w:val="0"/>
      <w:divBdr>
        <w:top w:val="none" w:sz="0" w:space="0" w:color="auto"/>
        <w:left w:val="none" w:sz="0" w:space="0" w:color="auto"/>
        <w:bottom w:val="none" w:sz="0" w:space="0" w:color="auto"/>
        <w:right w:val="none" w:sz="0" w:space="0" w:color="auto"/>
      </w:divBdr>
    </w:div>
    <w:div w:id="1291935280">
      <w:bodyDiv w:val="1"/>
      <w:marLeft w:val="0"/>
      <w:marRight w:val="0"/>
      <w:marTop w:val="0"/>
      <w:marBottom w:val="0"/>
      <w:divBdr>
        <w:top w:val="none" w:sz="0" w:space="0" w:color="auto"/>
        <w:left w:val="none" w:sz="0" w:space="0" w:color="auto"/>
        <w:bottom w:val="none" w:sz="0" w:space="0" w:color="auto"/>
        <w:right w:val="none" w:sz="0" w:space="0" w:color="auto"/>
      </w:divBdr>
      <w:divsChild>
        <w:div w:id="175268426">
          <w:marLeft w:val="1080"/>
          <w:marRight w:val="0"/>
          <w:marTop w:val="100"/>
          <w:marBottom w:val="0"/>
          <w:divBdr>
            <w:top w:val="none" w:sz="0" w:space="0" w:color="auto"/>
            <w:left w:val="none" w:sz="0" w:space="0" w:color="auto"/>
            <w:bottom w:val="none" w:sz="0" w:space="0" w:color="auto"/>
            <w:right w:val="none" w:sz="0" w:space="0" w:color="auto"/>
          </w:divBdr>
        </w:div>
        <w:div w:id="561988874">
          <w:marLeft w:val="1080"/>
          <w:marRight w:val="0"/>
          <w:marTop w:val="100"/>
          <w:marBottom w:val="0"/>
          <w:divBdr>
            <w:top w:val="none" w:sz="0" w:space="0" w:color="auto"/>
            <w:left w:val="none" w:sz="0" w:space="0" w:color="auto"/>
            <w:bottom w:val="none" w:sz="0" w:space="0" w:color="auto"/>
            <w:right w:val="none" w:sz="0" w:space="0" w:color="auto"/>
          </w:divBdr>
        </w:div>
      </w:divsChild>
    </w:div>
    <w:div w:id="1398360249">
      <w:bodyDiv w:val="1"/>
      <w:marLeft w:val="0"/>
      <w:marRight w:val="0"/>
      <w:marTop w:val="0"/>
      <w:marBottom w:val="0"/>
      <w:divBdr>
        <w:top w:val="none" w:sz="0" w:space="0" w:color="auto"/>
        <w:left w:val="none" w:sz="0" w:space="0" w:color="auto"/>
        <w:bottom w:val="none" w:sz="0" w:space="0" w:color="auto"/>
        <w:right w:val="none" w:sz="0" w:space="0" w:color="auto"/>
      </w:divBdr>
    </w:div>
    <w:div w:id="1435201294">
      <w:bodyDiv w:val="1"/>
      <w:marLeft w:val="0"/>
      <w:marRight w:val="0"/>
      <w:marTop w:val="0"/>
      <w:marBottom w:val="0"/>
      <w:divBdr>
        <w:top w:val="none" w:sz="0" w:space="0" w:color="auto"/>
        <w:left w:val="none" w:sz="0" w:space="0" w:color="auto"/>
        <w:bottom w:val="none" w:sz="0" w:space="0" w:color="auto"/>
        <w:right w:val="none" w:sz="0" w:space="0" w:color="auto"/>
      </w:divBdr>
    </w:div>
    <w:div w:id="1448818232">
      <w:bodyDiv w:val="1"/>
      <w:marLeft w:val="0"/>
      <w:marRight w:val="0"/>
      <w:marTop w:val="0"/>
      <w:marBottom w:val="0"/>
      <w:divBdr>
        <w:top w:val="none" w:sz="0" w:space="0" w:color="auto"/>
        <w:left w:val="none" w:sz="0" w:space="0" w:color="auto"/>
        <w:bottom w:val="none" w:sz="0" w:space="0" w:color="auto"/>
        <w:right w:val="none" w:sz="0" w:space="0" w:color="auto"/>
      </w:divBdr>
    </w:div>
    <w:div w:id="1460681722">
      <w:bodyDiv w:val="1"/>
      <w:marLeft w:val="0"/>
      <w:marRight w:val="0"/>
      <w:marTop w:val="0"/>
      <w:marBottom w:val="0"/>
      <w:divBdr>
        <w:top w:val="none" w:sz="0" w:space="0" w:color="auto"/>
        <w:left w:val="none" w:sz="0" w:space="0" w:color="auto"/>
        <w:bottom w:val="none" w:sz="0" w:space="0" w:color="auto"/>
        <w:right w:val="none" w:sz="0" w:space="0" w:color="auto"/>
      </w:divBdr>
    </w:div>
    <w:div w:id="1490251308">
      <w:bodyDiv w:val="1"/>
      <w:marLeft w:val="0"/>
      <w:marRight w:val="0"/>
      <w:marTop w:val="0"/>
      <w:marBottom w:val="0"/>
      <w:divBdr>
        <w:top w:val="none" w:sz="0" w:space="0" w:color="auto"/>
        <w:left w:val="none" w:sz="0" w:space="0" w:color="auto"/>
        <w:bottom w:val="none" w:sz="0" w:space="0" w:color="auto"/>
        <w:right w:val="none" w:sz="0" w:space="0" w:color="auto"/>
      </w:divBdr>
    </w:div>
    <w:div w:id="1557280522">
      <w:bodyDiv w:val="1"/>
      <w:marLeft w:val="0"/>
      <w:marRight w:val="0"/>
      <w:marTop w:val="0"/>
      <w:marBottom w:val="0"/>
      <w:divBdr>
        <w:top w:val="none" w:sz="0" w:space="0" w:color="auto"/>
        <w:left w:val="none" w:sz="0" w:space="0" w:color="auto"/>
        <w:bottom w:val="none" w:sz="0" w:space="0" w:color="auto"/>
        <w:right w:val="none" w:sz="0" w:space="0" w:color="auto"/>
      </w:divBdr>
    </w:div>
    <w:div w:id="1568106746">
      <w:bodyDiv w:val="1"/>
      <w:marLeft w:val="0"/>
      <w:marRight w:val="0"/>
      <w:marTop w:val="0"/>
      <w:marBottom w:val="0"/>
      <w:divBdr>
        <w:top w:val="none" w:sz="0" w:space="0" w:color="auto"/>
        <w:left w:val="none" w:sz="0" w:space="0" w:color="auto"/>
        <w:bottom w:val="none" w:sz="0" w:space="0" w:color="auto"/>
        <w:right w:val="none" w:sz="0" w:space="0" w:color="auto"/>
      </w:divBdr>
    </w:div>
    <w:div w:id="1673680909">
      <w:bodyDiv w:val="1"/>
      <w:marLeft w:val="0"/>
      <w:marRight w:val="0"/>
      <w:marTop w:val="0"/>
      <w:marBottom w:val="0"/>
      <w:divBdr>
        <w:top w:val="none" w:sz="0" w:space="0" w:color="auto"/>
        <w:left w:val="none" w:sz="0" w:space="0" w:color="auto"/>
        <w:bottom w:val="none" w:sz="0" w:space="0" w:color="auto"/>
        <w:right w:val="none" w:sz="0" w:space="0" w:color="auto"/>
      </w:divBdr>
    </w:div>
    <w:div w:id="180842853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92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sho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FE43FAC0-02BA-4099-81AD-A3FD8BEADBB7}"/>
</file>

<file path=customXml/itemProps3.xml><?xml version="1.0" encoding="utf-8"?>
<ds:datastoreItem xmlns:ds="http://schemas.openxmlformats.org/officeDocument/2006/customXml" ds:itemID="{486F5316-539A-4EFA-ABBF-1DFB490B3A6D}"/>
</file>

<file path=customXml/itemProps4.xml><?xml version="1.0" encoding="utf-8"?>
<ds:datastoreItem xmlns:ds="http://schemas.openxmlformats.org/officeDocument/2006/customXml" ds:itemID="{7552487E-6BEE-4159-B38B-53D12826022C}"/>
</file>

<file path=docProps/app.xml><?xml version="1.0" encoding="utf-8"?>
<Properties xmlns="http://schemas.openxmlformats.org/officeDocument/2006/extended-properties" xmlns:vt="http://schemas.openxmlformats.org/officeDocument/2006/docPropsVTypes">
  <Template>Normal.dotm</Template>
  <TotalTime>0</TotalTime>
  <Pages>71</Pages>
  <Words>30101</Words>
  <Characters>171577</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201276</CharactersWithSpaces>
  <SharedDoc>false</SharedDoc>
  <HLinks>
    <vt:vector size="6" baseType="variant">
      <vt:variant>
        <vt:i4>720920</vt:i4>
      </vt:variant>
      <vt:variant>
        <vt:i4>102</vt:i4>
      </vt:variant>
      <vt:variant>
        <vt:i4>0</vt:i4>
      </vt:variant>
      <vt:variant>
        <vt:i4>5</vt:i4>
      </vt:variant>
      <vt:variant>
        <vt:lpwstr>https://diabetesshop.com/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2025-03-05T03:47:00Z</dcterms:created>
  <dcterms:modified xsi:type="dcterms:W3CDTF">2025-03-05T03:47:00Z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408600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